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C7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28"/>
          <w:szCs w:val="28"/>
          <w:lang w:val="en-US" w:eastAsia="zh-CN"/>
        </w:rPr>
        <w:t>附件1</w:t>
      </w:r>
    </w:p>
    <w:p w14:paraId="7DBD4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2025年全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森林草原防灭火宣传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教育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工作方案</w:t>
      </w:r>
    </w:p>
    <w:p w14:paraId="441E7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7C733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2025年是全面贯彻党的二十届三中全会精神的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之年，是落实“十四五”规划收官之年，是全县经济社会发展纵深推进的关键之年。为进一步加强新形势下全县森林草原防灭火工作，推动全县森林草原防灭火新质生产力建设，提高全民防火责任意识，切实防范化解森林火灾风险，结合我县森林草原防灭火工作实际，特制定本方案。</w:t>
      </w:r>
    </w:p>
    <w:p w14:paraId="582BB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、宣传内容</w:t>
      </w:r>
    </w:p>
    <w:p w14:paraId="6BC8C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（一）深入宣传习近平总书记关于安全生产、防灾减灾救灾、生态保护等重要论述和关于森林草原防灭火的重要指示精神，中、市、县关于森林草原防灭火工作部署和有关领导同志讲话精神。</w:t>
      </w:r>
    </w:p>
    <w:p w14:paraId="1909B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（二）深入宣传《中华人民共和国森林法》《森林防火条例》《重庆市森林防火条例》等法律法规；中、市、县关于森林草原防灭火工作部署要求及工作措施；各级领导同志关于森林草原防灭火工作的指示批示。</w:t>
      </w:r>
    </w:p>
    <w:p w14:paraId="60072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广泛宣传森林草原火灾预防和扑救知识，提升社会公众森林草原防灭火意识和紧急避险能力；宣传野外火源管控和野外用火的有关规定，切实做到未经批准不用火，防范措施不到位不用火，从源头上遏制森林草原火灾的发生。</w:t>
      </w:r>
    </w:p>
    <w:p w14:paraId="43557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四）剖析森林草原火灾典型案例、违规用火典型案例，充分发挥案例的警示教育和震慑作用。总结森林草原防灭火工作中涌现出的先进经验和先进人物事迹，组织媒体记者赴火灾预防成效突出、火情扑救及时高效的区县一线采风，深入挖掘整理、总结推广森林草原防灭火工作的先进经验和典型做法。</w:t>
      </w:r>
    </w:p>
    <w:p w14:paraId="1DBCB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、宣传时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间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</w:t>
      </w:r>
    </w:p>
    <w:p w14:paraId="135AF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2025年全年（即日起—5月10日，7月10日—8月31日为重点宣传时段）。</w:t>
      </w:r>
    </w:p>
    <w:p w14:paraId="77C97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、宣传重点</w:t>
      </w:r>
    </w:p>
    <w:p w14:paraId="0E7FC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（一）重点时段。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根据全县森林草原防灭火规律和特点，确定春节、清明节、中元节、“五一”、“十一”等重大节假日期间，各级重要会议、重大活动期间，森林火灾高发期（每年3月和8月）、森林火灾高发时段（4月、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7月人为活动较密集的时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段）为重点宣传时段。</w:t>
      </w:r>
    </w:p>
    <w:p w14:paraId="4687A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（二）重点地区。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一是全县自然保护区、风景区、森林公园、国有林场、森林草原高火险区；二是林区庙宇、农家乐、公墓、坟场、加油加气站以及军事设施；三是林耕结合地、林城结合地、林区路沿地、集体林地等区域。</w:t>
      </w:r>
    </w:p>
    <w:p w14:paraId="1769D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（三）重点人群。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农村留守有种养殖需求的老人（农事用火人员）、坟墓管理主人（祭祀用火人员）、景区游客（野炊吸烟人员）、中小学生、疫木除治人员、痴呆智障人员等为重点人群。</w:t>
      </w:r>
    </w:p>
    <w:p w14:paraId="1DCC2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、宣传方式</w:t>
      </w:r>
    </w:p>
    <w:p w14:paraId="36246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（一）开展常态化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宣传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在自然保护区、国有林场、森林草原旅游景区的主要路口、乡镇（村居）的显著位置设置森林防火宣传长廊、宣传碑牌，制作防火警示旗，张贴悬挂宣传标语、横幅（每个乡镇街不少于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10块/幅）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，发放防火宣传单，播放广播电视等传统方式开展宣传；利用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抖音、视频号、微信、微博、户外大屏等多种新媒体，制作播放防火专题片、公益广告、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宣传标语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和防火知识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；在公交车、出租车等交通工具上张贴宣传海报；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采取精准推送手机短信的方式，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对进入林区作业人员、游客、群众等重点人群进行“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一对一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的精准短信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提醒，提高进林人员的防火意识。</w:t>
      </w:r>
    </w:p>
    <w:p w14:paraId="741A9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（二）召开新闻发布会。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适时召开专题新闻发布会，向各界媒体通报全县春季和夏季森林防灭火工作重点、预防措施及工作要求，教育引导公众遵守森林防灭火各项规章制度，提升全民森林防灭火意识。</w:t>
      </w:r>
    </w:p>
    <w:p w14:paraId="61B7E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媒体宣传报道。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邀请媒体单位，专题报道全县春季和夏季森林草原防灭火工作的整体部署、工作措施和经验做法。</w:t>
      </w:r>
    </w:p>
    <w:p w14:paraId="0C6D6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（四）开展文艺巡演。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与市森防办沟通，协调组织森林防灭火宣传小分队，深入全县森林防火重点乡镇（街道）、林区开展文艺巡演。通过歌舞、小品、相声等文艺表演、知识有奖竞答互动、展板巡展、发放资料等形式，“面对面”地向群众宣传森林防灭火知识。</w:t>
      </w:r>
    </w:p>
    <w:p w14:paraId="6A655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（五）开展入户宣传。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行业主管部门和乡镇（街道）组成森林防火宣传队伍，深入林区周边村庄、社区、农户开展“敲门行动”，通过上门入户的方式发放宣传资料，“点对点”地为群众宣讲森林防火知识；与农户签订森林防火责任书，明确责任和义务。教育部门牵头深入学校通过主题班会、制作手抄报、做趣味游戏、播放电影等活动开展防火宣传。</w:t>
      </w:r>
    </w:p>
    <w:p w14:paraId="6FB5D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（六）开展警示教育。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选择典型森林火灾案例，制作警示教育片，在林区周边乡镇（村居）、学校、企业等场所播放，通过“以案说法”，用身边事教育身边人；举办森林防火警示教育展览，展示火灾现场照片、残骸等，增强公众的防火意识和责任感；结合专项督查、隐患排查整治、野外火源专项治理等活动，曝光一批典型案例，不断提高社会各界依法用火治火的观念意识。</w:t>
      </w:r>
    </w:p>
    <w:p w14:paraId="28ABD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（七）开展信息宣传。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将森林草原防灭火工作典型案例、相关经验做法及时向市森防指办公室和县防减救灾办报送，进一步扩大宣传影响力。</w:t>
      </w:r>
    </w:p>
    <w:p w14:paraId="7BD7E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、工作要求</w:t>
      </w:r>
    </w:p>
    <w:p w14:paraId="3963E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提高思想认识。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各乡镇、街道和县防减救灾委有关成员单位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要进一步深化做好森林草原防灭火宣传工作重要性的认识，提高政治站位，强化责任担当，全面组织开展森林草原防灭火宣传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工作。</w:t>
      </w:r>
    </w:p>
    <w:p w14:paraId="5B49A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（二）强化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工作责任。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各乡镇、街道和县防减救灾委有关成员单位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要高度重视、精心组织，把森林草原防灭火宣传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作为一项重要任务抓紧抓实抓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到位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，要严明宣传工作纪律，严格遵守森林草原火灾信息发布的有关规定，正确引导社会舆论。</w:t>
      </w:r>
    </w:p>
    <w:p w14:paraId="00CA6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（三）注重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宣传时效。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各乡镇、街道和县防减救灾委有关成员单位要切实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增强宣传的针对性、时效性、专业性，准确发布森林草原防灭火权威信息，不断提高森林草原防灭火宣传的传播力、引导力、影响力。</w:t>
      </w:r>
    </w:p>
    <w:p w14:paraId="173A6C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pacing w:val="-20"/>
          <w:sz w:val="44"/>
          <w:szCs w:val="44"/>
          <w:lang w:val="en-US" w:eastAsia="zh-CN"/>
        </w:rPr>
        <w:t>全县森林草原防灭火宣传教育工作指导参考表</w:t>
      </w: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80"/>
        <w:gridCol w:w="1180"/>
        <w:gridCol w:w="2267"/>
        <w:gridCol w:w="2335"/>
        <w:gridCol w:w="1901"/>
      </w:tblGrid>
      <w:tr w14:paraId="1B14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2E3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00C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  <w:t>宣传重点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EC3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  <w:t>主要时段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629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  <w:t>常态化宣传措施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1B6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  <w:t>其他宣传措施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9BF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</w:rPr>
              <w:t>责任主体</w:t>
            </w:r>
          </w:p>
        </w:tc>
      </w:tr>
      <w:tr w14:paraId="4268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tblHeader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221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426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春季、夏季森林防火期，以及每年森林火灾高发期（3月和8月）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971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持续开展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65D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制发文件、召开会议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 xml:space="preserve">在林区主要出入口悬挂防火警示旗、宣传标语、横幅；组织十户联防相互提醒、监督 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451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利用微信、微博、抖音、户外LED等新媒体宣传；防火文艺巡演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召开新闻发布会、报道典型案例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、开展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全国消防宣传月活动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2F1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乡镇（街道）、县防减救灾委有关成员单位和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林区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经营主体等</w:t>
            </w:r>
          </w:p>
        </w:tc>
      </w:tr>
      <w:tr w14:paraId="042AF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tblHeader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DAC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9A3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清明节、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中元节等节假日及重要会议、重大活动期间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C09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适时开展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FAA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制发文件、召开会议、设置集中宣传点；组织十户联防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361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手机短信推送、防火文艺巡演、防火案例展示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8D2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乡镇（街道）、县防减救灾委有关成员单位和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林区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经营主体等</w:t>
            </w:r>
          </w:p>
        </w:tc>
      </w:tr>
      <w:tr w14:paraId="3674B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tblHeader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821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F6F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每日重点时段（9点至13点，15点至17点）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542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预警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信号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发布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期间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585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通过广播电视、大喇叭、流动宣传车宣传；组织十户联防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16A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上门入户、“一对一”讲解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E8A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乡镇（街道）、县防减救灾委有关成员单位和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林区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经营主体等</w:t>
            </w:r>
          </w:p>
        </w:tc>
      </w:tr>
      <w:tr w14:paraId="7C1F0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tblHeader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501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700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公园、自然保护区、风景区、国有林场等重要地区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2B9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持续开展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8F7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推行扫码入林、签订防火责任书、发放防火宣传单册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、设立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宣传长廊、设立大型宣传立牌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7C6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制作LED屏宣传视频、投放公益广告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BD0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景区管理主体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乡镇（街道）、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林场管理单位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等</w:t>
            </w:r>
          </w:p>
        </w:tc>
      </w:tr>
      <w:tr w14:paraId="6DAA2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tblHeader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3D9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892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林区住户、留守老人、中小学生、疫木防治人员、痴呆智障人员等重点人群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3CB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持续开展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523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开展敲门行动、发放宣传资料、建立管护名册定期拜访；组织十户联防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，强化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相互提醒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，相互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监督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8E7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  <w:p w14:paraId="62A05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开展“百校千村”防火宣传，深入村社召开院坝会、深入学校开展主题班会，通过制作手抄报、游园活动、做趣味游戏、播放防火教育电影等形式开展防火宣传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C7F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乡镇（街道）、县防减救灾委各有关成员单位、护林员、群众等</w:t>
            </w:r>
          </w:p>
        </w:tc>
      </w:tr>
    </w:tbl>
    <w:p w14:paraId="6A359E97">
      <w:pPr>
        <w:pStyle w:val="2"/>
        <w:rPr>
          <w:rFonts w:hint="default"/>
          <w:lang w:val="en-US" w:eastAsia="zh-CN"/>
        </w:rPr>
      </w:pPr>
    </w:p>
    <w:p w14:paraId="6C915249"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84" w:right="1446" w:bottom="1644" w:left="1446" w:header="851" w:footer="1247" w:gutter="0"/>
      <w:pgNumType w:fmt="decimal"/>
      <w:cols w:space="72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ont-weight : 400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5EF70">
    <w:pPr>
      <w:pStyle w:val="5"/>
      <w:wordWrap w:val="0"/>
      <w:jc w:val="right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w:pict>
        <v:shape id="_x0000_s4103" o:spid="_x0000_s4103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16pt,0mm,16pt,0mm" style="mso-fit-shape-to-text:t;">
            <w:txbxContent>
              <w:p w14:paraId="4E034F20">
                <w:pPr>
                  <w:pStyle w:val="5"/>
                  <w:rPr>
                    <w:rFonts w:hint="eastAsia" w:ascii="宋体" w:hAnsi="宋体" w:eastAsia="宋体" w:cstheme="minorEastAsia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theme="minorEastAsia"/>
                    <w:sz w:val="24"/>
                    <w:szCs w:val="28"/>
                  </w:rPr>
                  <w:t>　</w:t>
                </w:r>
                <w:r>
                  <w:rPr>
                    <w:rFonts w:hint="eastAsia" w:ascii="宋体" w:hAnsi="宋体" w:eastAsia="宋体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theme="minorEastAsia"/>
                    <w:sz w:val="24"/>
                    <w:szCs w:val="28"/>
                  </w:rPr>
                  <w:t>　</w:t>
                </w:r>
                <w:r>
                  <w:rPr>
                    <w:rFonts w:hint="eastAsia" w:ascii="宋体" w:hAnsi="宋体" w:eastAsia="宋体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62601">
    <w:pPr>
      <w:pStyle w:val="5"/>
      <w:wordWrap w:val="0"/>
      <w:ind w:firstLine="280" w:firstLineChars="100"/>
      <w:jc w:val="both"/>
    </w:pPr>
    <w:r>
      <w:rPr>
        <w:rStyle w:val="12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2"/>
        <w:rFonts w:ascii="宋体" w:hAnsi="宋体" w:eastAsia="宋体" w:cs="宋体"/>
        <w:sz w:val="28"/>
        <w:szCs w:val="28"/>
      </w:rPr>
      <w:t>14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2"/>
        <w:rFonts w:hint="eastAsia" w:ascii="宋体" w:hAnsi="宋体" w:eastAsia="宋体" w:cs="宋体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7EF96"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F1E2A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7D24923"/>
    <w:rsid w:val="08CD5BC0"/>
    <w:rsid w:val="0D171F27"/>
    <w:rsid w:val="0E0B7EA2"/>
    <w:rsid w:val="0EC65CD5"/>
    <w:rsid w:val="11636051"/>
    <w:rsid w:val="144327F5"/>
    <w:rsid w:val="1584273F"/>
    <w:rsid w:val="16E73216"/>
    <w:rsid w:val="223F470E"/>
    <w:rsid w:val="22D95F27"/>
    <w:rsid w:val="24DF0232"/>
    <w:rsid w:val="26560910"/>
    <w:rsid w:val="276F4A07"/>
    <w:rsid w:val="284A5CCB"/>
    <w:rsid w:val="2B510607"/>
    <w:rsid w:val="2B703A46"/>
    <w:rsid w:val="2B734909"/>
    <w:rsid w:val="2DC85A68"/>
    <w:rsid w:val="317E514A"/>
    <w:rsid w:val="35DC61C5"/>
    <w:rsid w:val="35EB2D8A"/>
    <w:rsid w:val="36CC4562"/>
    <w:rsid w:val="36F464F5"/>
    <w:rsid w:val="3A0A6433"/>
    <w:rsid w:val="3A415CCE"/>
    <w:rsid w:val="3AD38167"/>
    <w:rsid w:val="3EFDA941"/>
    <w:rsid w:val="408554CA"/>
    <w:rsid w:val="40C204A7"/>
    <w:rsid w:val="427273AD"/>
    <w:rsid w:val="4975330E"/>
    <w:rsid w:val="499466BB"/>
    <w:rsid w:val="4BF03A2D"/>
    <w:rsid w:val="4C54576D"/>
    <w:rsid w:val="4DD12A21"/>
    <w:rsid w:val="54E12460"/>
    <w:rsid w:val="54F17EA6"/>
    <w:rsid w:val="55F96E69"/>
    <w:rsid w:val="59884B9B"/>
    <w:rsid w:val="59BB3CC0"/>
    <w:rsid w:val="5AFBBEB0"/>
    <w:rsid w:val="5BFFA7E7"/>
    <w:rsid w:val="5C6C6AD2"/>
    <w:rsid w:val="5C951242"/>
    <w:rsid w:val="5D4A696A"/>
    <w:rsid w:val="5FBE3CB4"/>
    <w:rsid w:val="68EF2745"/>
    <w:rsid w:val="6B322957"/>
    <w:rsid w:val="6B766FFC"/>
    <w:rsid w:val="6C7014AF"/>
    <w:rsid w:val="6D4E6A8A"/>
    <w:rsid w:val="6D6B0782"/>
    <w:rsid w:val="6EE113A4"/>
    <w:rsid w:val="6EFD8789"/>
    <w:rsid w:val="7099249D"/>
    <w:rsid w:val="70C72C60"/>
    <w:rsid w:val="7376607A"/>
    <w:rsid w:val="741A7F4F"/>
    <w:rsid w:val="753F1EE9"/>
    <w:rsid w:val="7C4821FC"/>
    <w:rsid w:val="7FCFF782"/>
    <w:rsid w:val="9FBFB7B7"/>
    <w:rsid w:val="ABFFB4C1"/>
    <w:rsid w:val="B35F0D0B"/>
    <w:rsid w:val="BB367128"/>
    <w:rsid w:val="BFB7A23B"/>
    <w:rsid w:val="DDF7AC68"/>
    <w:rsid w:val="F77FCA47"/>
    <w:rsid w:val="FBDE5EED"/>
    <w:rsid w:val="FBF7A71E"/>
    <w:rsid w:val="FFFDA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黑体_GBK" w:cs="宋体"/>
      <w:b/>
      <w:kern w:val="44"/>
      <w:sz w:val="36"/>
      <w:szCs w:val="48"/>
      <w:lang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eastAsia="宋体" w:cs="Calibri"/>
    </w:rPr>
  </w:style>
  <w:style w:type="paragraph" w:styleId="4">
    <w:name w:val="Body Text"/>
    <w:basedOn w:val="1"/>
    <w:next w:val="1"/>
    <w:qFormat/>
    <w:uiPriority w:val="1"/>
    <w:pPr>
      <w:snapToGrid w:val="0"/>
      <w:jc w:val="center"/>
    </w:pPr>
    <w:rPr>
      <w:rFonts w:ascii="Calibri" w:hAnsi="Calibri" w:eastAsia="方正小标宋_GBK" w:cs="Times New Roman"/>
      <w:kern w:val="2"/>
      <w:sz w:val="44"/>
      <w:szCs w:val="24"/>
    </w:rPr>
  </w:style>
  <w:style w:type="paragraph" w:styleId="5">
    <w:name w:val="footer"/>
    <w:basedOn w:val="1"/>
    <w:next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next w:val="4"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qFormat/>
    <w:uiPriority w:val="0"/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4">
    <w:name w:val="font71"/>
    <w:qFormat/>
    <w:uiPriority w:val="0"/>
    <w:rPr>
      <w:rFonts w:ascii="font-weight : 400" w:hAnsi="font-weight : 400" w:eastAsia="font-weight : 400" w:cs="font-weight : 400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2820</Words>
  <Characters>2842</Characters>
  <Lines>1</Lines>
  <Paragraphs>1</Paragraphs>
  <TotalTime>1</TotalTime>
  <ScaleCrop>false</ScaleCrop>
  <LinksUpToDate>false</LinksUpToDate>
  <CharactersWithSpaces>2844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2008-09-14T17:20:00Z</dcterms:created>
  <dc:creator>Administrator</dc:creator>
  <cp:lastModifiedBy> </cp:lastModifiedBy>
  <cp:lastPrinted>2025-03-28T20:18:00Z</cp:lastPrinted>
  <dcterms:modified xsi:type="dcterms:W3CDTF">2025-06-09T18:15:16Z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EA7A18418C154A74AFCC4E5C18A64716_12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