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Times New Roman" w:hAnsi="Times New Roman" w:eastAsia="方正仿宋_GBK"/>
          <w:sz w:val="44"/>
          <w:szCs w:val="44"/>
        </w:rPr>
      </w:pPr>
      <w:r>
        <w:rPr>
          <w:rFonts w:ascii="Times New Roman" w:hAnsi="Times New Roman" w:eastAsia="方正仿宋_GBK"/>
          <w:sz w:val="44"/>
          <w:szCs w:val="44"/>
        </w:rPr>
        <w:t xml:space="preserve"> </w:t>
      </w:r>
    </w:p>
    <w:p>
      <w:pPr>
        <w:spacing w:line="600" w:lineRule="exact"/>
        <w:jc w:val="center"/>
        <w:rPr>
          <w:rFonts w:ascii="方正小标宋_GBK" w:hAnsi="Times New Roman" w:eastAsia="方正小标宋_GBK"/>
          <w:sz w:val="24"/>
          <w:szCs w:val="24"/>
        </w:rPr>
      </w:pPr>
      <w:r>
        <w:rPr>
          <w:rFonts w:hint="eastAsia" w:ascii="方正小标宋_GBK" w:hAnsi="Times New Roman" w:eastAsia="方正小标宋_GBK"/>
          <w:sz w:val="44"/>
          <w:szCs w:val="44"/>
          <w:lang w:val="en-US" w:eastAsia="zh-CN"/>
        </w:rPr>
        <w:t>酉阳土家族苗族自治县浪坪乡人民政府</w:t>
      </w:r>
      <w:r>
        <w:rPr>
          <w:rFonts w:hint="eastAsia" w:ascii="方正小标宋_GBK" w:hAnsi="Times New Roman" w:eastAsia="方正小标宋_GBK"/>
          <w:sz w:val="44"/>
          <w:szCs w:val="44"/>
          <w:lang w:eastAsia="zh-CN"/>
        </w:rPr>
        <w:t>2025</w:t>
      </w:r>
      <w:r>
        <w:rPr>
          <w:rFonts w:hint="eastAsia" w:ascii="方正小标宋_GBK" w:hAnsi="Times New Roman" w:eastAsia="方正小标宋_GBK"/>
          <w:sz w:val="44"/>
          <w:szCs w:val="44"/>
        </w:rPr>
        <w:t>年部门预算情况说明</w:t>
      </w:r>
    </w:p>
    <w:p>
      <w:pPr>
        <w:spacing w:line="600" w:lineRule="exact"/>
        <w:ind w:firstLine="640" w:firstLineChars="200"/>
        <w:rPr>
          <w:rFonts w:hint="eastAsia" w:ascii="方正黑体_GBK" w:hAnsi="Times New Roman" w:eastAsia="方正黑体_GBK"/>
          <w:sz w:val="32"/>
          <w:szCs w:val="32"/>
        </w:rPr>
      </w:pPr>
    </w:p>
    <w:p>
      <w:pPr>
        <w:spacing w:line="60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一、单位基本情况</w:t>
      </w:r>
    </w:p>
    <w:p>
      <w:pPr>
        <w:spacing w:line="60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（一）职能职责</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全面贯彻党的路线、方针、政策，执行上级的决定命令，领导所属工作部门负责本辖区工业、农业、第三产业等经济发展管理工作及辖区内教育、文化、卫生、体育、计划生育、环境和资源保护、安全生产、老龄退休管理、劳动就业和社会保障、人民武装、民政、民族宗教、政府法制等行政工作；负责本辖区村镇建设、管理工作和村委会开展工作，反映村民的意见和要求，处理人民来信来访；负责组织开发建设本辖区内重要的经济社会发</w:t>
      </w:r>
      <w:r>
        <w:rPr>
          <w:rFonts w:hint="eastAsia" w:ascii="仿宋_GB2312" w:hAnsi="仿宋_GB2312" w:eastAsia="仿宋_GB2312" w:cs="仿宋_GB2312"/>
          <w:sz w:val="32"/>
          <w:lang w:val="en-US" w:eastAsia="zh-CN"/>
        </w:rPr>
        <w:t>展</w:t>
      </w:r>
      <w:r>
        <w:rPr>
          <w:rFonts w:hint="eastAsia" w:ascii="仿宋_GB2312" w:hAnsi="仿宋_GB2312" w:eastAsia="仿宋_GB2312" w:cs="仿宋_GB2312"/>
          <w:sz w:val="32"/>
        </w:rPr>
        <w:t>项目。</w:t>
      </w:r>
    </w:p>
    <w:p>
      <w:pPr>
        <w:numPr>
          <w:ilvl w:val="0"/>
          <w:numId w:val="1"/>
        </w:numPr>
        <w:spacing w:line="600" w:lineRule="exact"/>
        <w:ind w:firstLine="640" w:firstLineChars="200"/>
        <w:rPr>
          <w:rFonts w:ascii="方正楷体_GBK" w:hAnsi="Times New Roman" w:eastAsia="方正楷体_GBK"/>
          <w:sz w:val="32"/>
          <w:szCs w:val="32"/>
        </w:rPr>
      </w:pPr>
      <w:r>
        <w:rPr>
          <w:rFonts w:ascii="方正楷体_GBK" w:hAnsi="Times New Roman" w:eastAsia="方正楷体_GBK"/>
          <w:sz w:val="32"/>
          <w:szCs w:val="32"/>
        </w:rPr>
        <w:t>单位构成</w:t>
      </w:r>
    </w:p>
    <w:p>
      <w:pPr>
        <w:spacing w:line="400" w:lineRule="atLeast"/>
        <w:ind w:left="643"/>
        <w:jc w:val="center"/>
        <w:rPr>
          <w:rFonts w:ascii="仿宋_GB2312" w:hAnsi="仿宋_GB2312" w:eastAsia="仿宋_GB2312" w:cs="仿宋_GB2312"/>
          <w:b/>
          <w:sz w:val="32"/>
          <w:szCs w:val="32"/>
        </w:rPr>
      </w:pPr>
      <w:r>
        <w:rPr>
          <w:rFonts w:hint="eastAsia" w:ascii="方正黑体_GBK" w:hAnsi="方正黑体_GBK" w:eastAsia="方正黑体_GBK" w:cs="方正黑体_GBK"/>
          <w:b w:val="0"/>
          <w:bCs w:val="0"/>
          <w:sz w:val="32"/>
          <w:szCs w:val="32"/>
        </w:rPr>
        <w:t>1.人员编制和领导职数核定情况表</w:t>
      </w:r>
    </w:p>
    <w:tbl>
      <w:tblPr>
        <w:tblStyle w:val="6"/>
        <w:tblW w:w="14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470"/>
        <w:gridCol w:w="525"/>
        <w:gridCol w:w="825"/>
        <w:gridCol w:w="705"/>
        <w:gridCol w:w="645"/>
        <w:gridCol w:w="720"/>
        <w:gridCol w:w="645"/>
        <w:gridCol w:w="720"/>
        <w:gridCol w:w="750"/>
        <w:gridCol w:w="705"/>
        <w:gridCol w:w="810"/>
        <w:gridCol w:w="690"/>
        <w:gridCol w:w="675"/>
        <w:gridCol w:w="885"/>
        <w:gridCol w:w="675"/>
        <w:gridCol w:w="660"/>
        <w:gridCol w:w="70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trPr>
        <w:tc>
          <w:tcPr>
            <w:tcW w:w="570" w:type="dxa"/>
            <w:vMerge w:val="restart"/>
            <w:vAlign w:val="center"/>
          </w:tcPr>
          <w:p>
            <w:pPr>
              <w:spacing w:line="400" w:lineRule="atLeast"/>
              <w:jc w:val="center"/>
              <w:rPr>
                <w:bCs/>
                <w:sz w:val="24"/>
                <w:szCs w:val="24"/>
              </w:rPr>
            </w:pPr>
            <w:r>
              <w:rPr>
                <w:rFonts w:hint="eastAsia" w:hAnsi="方正仿宋_GBK"/>
                <w:bCs/>
                <w:sz w:val="24"/>
                <w:szCs w:val="24"/>
              </w:rPr>
              <w:t>序号</w:t>
            </w:r>
          </w:p>
        </w:tc>
        <w:tc>
          <w:tcPr>
            <w:tcW w:w="1470" w:type="dxa"/>
            <w:vMerge w:val="restart"/>
            <w:vAlign w:val="center"/>
          </w:tcPr>
          <w:p>
            <w:pPr>
              <w:spacing w:line="400" w:lineRule="atLeast"/>
              <w:jc w:val="center"/>
              <w:rPr>
                <w:rFonts w:eastAsia="方正小标宋_GBK"/>
                <w:bCs/>
                <w:sz w:val="24"/>
                <w:szCs w:val="24"/>
              </w:rPr>
            </w:pPr>
            <w:r>
              <w:rPr>
                <w:rFonts w:hint="eastAsia" w:hAnsi="方正仿宋_GBK"/>
                <w:bCs/>
                <w:sz w:val="24"/>
                <w:szCs w:val="24"/>
              </w:rPr>
              <w:t>单位名称</w:t>
            </w:r>
          </w:p>
        </w:tc>
        <w:tc>
          <w:tcPr>
            <w:tcW w:w="525" w:type="dxa"/>
            <w:vMerge w:val="restart"/>
            <w:vAlign w:val="center"/>
          </w:tcPr>
          <w:p>
            <w:pPr>
              <w:spacing w:line="400" w:lineRule="atLeast"/>
              <w:jc w:val="center"/>
              <w:outlineLvl w:val="6"/>
              <w:rPr>
                <w:bCs/>
                <w:kern w:val="22"/>
                <w:sz w:val="24"/>
                <w:szCs w:val="24"/>
              </w:rPr>
            </w:pPr>
          </w:p>
          <w:p>
            <w:pPr>
              <w:spacing w:line="400" w:lineRule="atLeast"/>
              <w:jc w:val="center"/>
              <w:outlineLvl w:val="6"/>
              <w:rPr>
                <w:bCs/>
                <w:kern w:val="22"/>
                <w:sz w:val="24"/>
                <w:szCs w:val="24"/>
              </w:rPr>
            </w:pPr>
            <w:r>
              <w:rPr>
                <w:rFonts w:hint="eastAsia" w:hAnsi="方正仿宋_GBK"/>
                <w:bCs/>
                <w:kern w:val="22"/>
                <w:sz w:val="24"/>
                <w:szCs w:val="24"/>
              </w:rPr>
              <w:t>机构</w:t>
            </w:r>
            <w:r>
              <w:rPr>
                <w:bCs/>
                <w:kern w:val="22"/>
                <w:sz w:val="24"/>
                <w:szCs w:val="24"/>
              </w:rPr>
              <w:t xml:space="preserve"> </w:t>
            </w:r>
            <w:r>
              <w:rPr>
                <w:rFonts w:hint="eastAsia" w:hAnsi="方正仿宋_GBK"/>
                <w:bCs/>
                <w:kern w:val="22"/>
                <w:sz w:val="24"/>
                <w:szCs w:val="24"/>
              </w:rPr>
              <w:t>规格</w:t>
            </w:r>
          </w:p>
          <w:p>
            <w:pPr>
              <w:spacing w:line="400" w:lineRule="atLeast"/>
              <w:jc w:val="center"/>
              <w:rPr>
                <w:bCs/>
                <w:sz w:val="24"/>
                <w:szCs w:val="24"/>
              </w:rPr>
            </w:pPr>
          </w:p>
        </w:tc>
        <w:tc>
          <w:tcPr>
            <w:tcW w:w="1530" w:type="dxa"/>
            <w:gridSpan w:val="2"/>
            <w:vAlign w:val="center"/>
          </w:tcPr>
          <w:p>
            <w:pPr>
              <w:spacing w:line="400" w:lineRule="atLeast"/>
              <w:jc w:val="center"/>
              <w:rPr>
                <w:bCs/>
                <w:sz w:val="24"/>
                <w:szCs w:val="24"/>
              </w:rPr>
            </w:pPr>
            <w:r>
              <w:rPr>
                <w:rFonts w:hint="eastAsia" w:hAnsi="方正仿宋_GBK"/>
                <w:bCs/>
                <w:sz w:val="24"/>
                <w:szCs w:val="24"/>
              </w:rPr>
              <w:t>编制</w:t>
            </w:r>
          </w:p>
        </w:tc>
        <w:tc>
          <w:tcPr>
            <w:tcW w:w="645" w:type="dxa"/>
            <w:vMerge w:val="restart"/>
            <w:vAlign w:val="center"/>
          </w:tcPr>
          <w:p>
            <w:pPr>
              <w:spacing w:line="400" w:lineRule="atLeast"/>
              <w:jc w:val="center"/>
              <w:outlineLvl w:val="6"/>
              <w:rPr>
                <w:bCs/>
                <w:kern w:val="22"/>
                <w:sz w:val="24"/>
                <w:szCs w:val="24"/>
              </w:rPr>
            </w:pPr>
          </w:p>
          <w:p>
            <w:pPr>
              <w:spacing w:line="400" w:lineRule="atLeast"/>
              <w:jc w:val="center"/>
              <w:outlineLvl w:val="6"/>
              <w:rPr>
                <w:bCs/>
                <w:kern w:val="22"/>
                <w:position w:val="6"/>
                <w:sz w:val="24"/>
                <w:szCs w:val="24"/>
              </w:rPr>
            </w:pPr>
            <w:r>
              <w:rPr>
                <w:rFonts w:hint="eastAsia" w:hAnsi="方正仿宋_GBK"/>
                <w:bCs/>
                <w:kern w:val="22"/>
                <w:sz w:val="24"/>
                <w:szCs w:val="24"/>
              </w:rPr>
              <w:t>领导职数</w:t>
            </w:r>
          </w:p>
          <w:p>
            <w:pPr>
              <w:spacing w:line="400" w:lineRule="atLeast"/>
              <w:jc w:val="center"/>
              <w:rPr>
                <w:bCs/>
                <w:sz w:val="24"/>
                <w:szCs w:val="24"/>
              </w:rPr>
            </w:pPr>
          </w:p>
        </w:tc>
        <w:tc>
          <w:tcPr>
            <w:tcW w:w="9375" w:type="dxa"/>
            <w:gridSpan w:val="13"/>
            <w:vAlign w:val="center"/>
          </w:tcPr>
          <w:p>
            <w:pPr>
              <w:spacing w:line="400" w:lineRule="atLeast"/>
              <w:jc w:val="center"/>
              <w:rPr>
                <w:bCs/>
                <w:sz w:val="24"/>
                <w:szCs w:val="24"/>
              </w:rPr>
            </w:pPr>
            <w:r>
              <w:rPr>
                <w:rFonts w:hint="eastAsia" w:hAnsi="方正仿宋_GBK"/>
                <w:bCs/>
                <w:sz w:val="24"/>
                <w:szCs w:val="24"/>
              </w:rPr>
              <w:t>综合办事机构领导职数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exact"/>
          <w:tblHeader/>
        </w:trPr>
        <w:tc>
          <w:tcPr>
            <w:tcW w:w="570" w:type="dxa"/>
            <w:vMerge w:val="continue"/>
            <w:vAlign w:val="center"/>
          </w:tcPr>
          <w:p>
            <w:pPr>
              <w:spacing w:line="400" w:lineRule="atLeast"/>
              <w:jc w:val="center"/>
              <w:rPr>
                <w:bCs/>
                <w:sz w:val="24"/>
                <w:szCs w:val="24"/>
              </w:rPr>
            </w:pPr>
          </w:p>
        </w:tc>
        <w:tc>
          <w:tcPr>
            <w:tcW w:w="1470" w:type="dxa"/>
            <w:vMerge w:val="continue"/>
            <w:vAlign w:val="center"/>
          </w:tcPr>
          <w:p>
            <w:pPr>
              <w:spacing w:line="400" w:lineRule="atLeast"/>
              <w:jc w:val="center"/>
              <w:rPr>
                <w:rFonts w:eastAsia="方正小标宋_GBK"/>
                <w:bCs/>
                <w:sz w:val="24"/>
                <w:szCs w:val="24"/>
              </w:rPr>
            </w:pPr>
          </w:p>
        </w:tc>
        <w:tc>
          <w:tcPr>
            <w:tcW w:w="525" w:type="dxa"/>
            <w:vMerge w:val="continue"/>
            <w:vAlign w:val="center"/>
          </w:tcPr>
          <w:p>
            <w:pPr>
              <w:spacing w:line="400" w:lineRule="atLeast"/>
              <w:jc w:val="center"/>
              <w:rPr>
                <w:rFonts w:eastAsia="方正小标宋_GBK"/>
                <w:bCs/>
                <w:sz w:val="24"/>
                <w:szCs w:val="24"/>
              </w:rPr>
            </w:pPr>
          </w:p>
        </w:tc>
        <w:tc>
          <w:tcPr>
            <w:tcW w:w="825" w:type="dxa"/>
            <w:vAlign w:val="center"/>
          </w:tcPr>
          <w:p>
            <w:pPr>
              <w:spacing w:line="400" w:lineRule="atLeast"/>
              <w:jc w:val="center"/>
              <w:rPr>
                <w:rFonts w:eastAsia="方正小标宋_GBK"/>
                <w:bCs/>
                <w:sz w:val="24"/>
                <w:szCs w:val="24"/>
              </w:rPr>
            </w:pPr>
            <w:r>
              <w:rPr>
                <w:rFonts w:hint="eastAsia" w:hAnsi="方正仿宋_GBK"/>
                <w:bCs/>
                <w:sz w:val="24"/>
                <w:szCs w:val="24"/>
              </w:rPr>
              <w:t>行政</w:t>
            </w:r>
          </w:p>
        </w:tc>
        <w:tc>
          <w:tcPr>
            <w:tcW w:w="705" w:type="dxa"/>
            <w:vAlign w:val="center"/>
          </w:tcPr>
          <w:p>
            <w:pPr>
              <w:spacing w:line="400" w:lineRule="atLeast"/>
              <w:jc w:val="center"/>
              <w:rPr>
                <w:rFonts w:eastAsia="方正小标宋_GBK"/>
                <w:bCs/>
                <w:sz w:val="24"/>
                <w:szCs w:val="24"/>
              </w:rPr>
            </w:pPr>
            <w:r>
              <w:rPr>
                <w:rFonts w:hint="eastAsia" w:hAnsi="方正仿宋_GBK"/>
                <w:bCs/>
                <w:sz w:val="24"/>
                <w:szCs w:val="24"/>
              </w:rPr>
              <w:t>机关工勤</w:t>
            </w:r>
          </w:p>
        </w:tc>
        <w:tc>
          <w:tcPr>
            <w:tcW w:w="645" w:type="dxa"/>
            <w:vMerge w:val="continue"/>
            <w:vAlign w:val="center"/>
          </w:tcPr>
          <w:p>
            <w:pPr>
              <w:spacing w:line="400" w:lineRule="atLeast"/>
              <w:jc w:val="center"/>
              <w:rPr>
                <w:rFonts w:eastAsia="方正小标宋_GBK"/>
                <w:bCs/>
                <w:sz w:val="24"/>
                <w:szCs w:val="24"/>
              </w:rPr>
            </w:pPr>
          </w:p>
        </w:tc>
        <w:tc>
          <w:tcPr>
            <w:tcW w:w="720" w:type="dxa"/>
            <w:vAlign w:val="center"/>
          </w:tcPr>
          <w:p>
            <w:pPr>
              <w:spacing w:line="400" w:lineRule="atLeast"/>
              <w:jc w:val="center"/>
              <w:rPr>
                <w:rFonts w:eastAsia="方正小标宋_GBK"/>
                <w:bCs/>
                <w:sz w:val="24"/>
                <w:szCs w:val="24"/>
              </w:rPr>
            </w:pPr>
            <w:r>
              <w:rPr>
                <w:rFonts w:hint="eastAsia" w:hAnsi="方正仿宋_GBK"/>
                <w:bCs/>
                <w:sz w:val="24"/>
                <w:szCs w:val="24"/>
              </w:rPr>
              <w:t>合计</w:t>
            </w:r>
          </w:p>
        </w:tc>
        <w:tc>
          <w:tcPr>
            <w:tcW w:w="645" w:type="dxa"/>
            <w:vAlign w:val="center"/>
          </w:tcPr>
          <w:p>
            <w:pPr>
              <w:widowControl/>
              <w:spacing w:line="400" w:lineRule="atLeast"/>
              <w:jc w:val="center"/>
              <w:textAlignment w:val="center"/>
              <w:rPr>
                <w:rFonts w:eastAsia="方正小标宋_GBK"/>
                <w:bCs/>
                <w:szCs w:val="21"/>
              </w:rPr>
            </w:pPr>
            <w:r>
              <w:rPr>
                <w:rFonts w:hint="eastAsia" w:hAnsi="方正仿宋_GBK"/>
                <w:bCs/>
                <w:color w:val="000000"/>
                <w:kern w:val="0"/>
                <w:szCs w:val="21"/>
              </w:rPr>
              <w:t>党政办公室</w:t>
            </w:r>
          </w:p>
        </w:tc>
        <w:tc>
          <w:tcPr>
            <w:tcW w:w="720" w:type="dxa"/>
            <w:vAlign w:val="center"/>
          </w:tcPr>
          <w:p>
            <w:pPr>
              <w:widowControl/>
              <w:spacing w:line="400" w:lineRule="atLeast"/>
              <w:jc w:val="center"/>
              <w:textAlignment w:val="center"/>
              <w:rPr>
                <w:rFonts w:eastAsia="方正小标宋_GBK"/>
                <w:bCs/>
                <w:szCs w:val="21"/>
              </w:rPr>
            </w:pPr>
            <w:r>
              <w:rPr>
                <w:rFonts w:hint="eastAsia" w:hAnsi="方正仿宋_GBK"/>
                <w:bCs/>
                <w:color w:val="000000"/>
                <w:kern w:val="0"/>
                <w:szCs w:val="21"/>
              </w:rPr>
              <w:t>党群工作办公室</w:t>
            </w:r>
          </w:p>
        </w:tc>
        <w:tc>
          <w:tcPr>
            <w:tcW w:w="750" w:type="dxa"/>
            <w:vAlign w:val="center"/>
          </w:tcPr>
          <w:p>
            <w:pPr>
              <w:widowControl/>
              <w:spacing w:line="400" w:lineRule="atLeast"/>
              <w:jc w:val="center"/>
              <w:textAlignment w:val="center"/>
              <w:rPr>
                <w:rFonts w:eastAsia="方正小标宋_GBK"/>
                <w:bCs/>
                <w:szCs w:val="21"/>
              </w:rPr>
            </w:pPr>
            <w:r>
              <w:rPr>
                <w:rFonts w:hint="eastAsia" w:hAnsi="方正仿宋_GBK"/>
                <w:bCs/>
                <w:color w:val="000000"/>
                <w:kern w:val="0"/>
                <w:szCs w:val="21"/>
              </w:rPr>
              <w:t>人</w:t>
            </w:r>
            <w:r>
              <w:rPr>
                <w:rFonts w:hint="eastAsia" w:hAnsi="方正仿宋_GBK"/>
                <w:bCs/>
                <w:color w:val="000000"/>
                <w:kern w:val="0"/>
                <w:szCs w:val="21"/>
                <w:lang w:val="en-US" w:eastAsia="zh-CN"/>
              </w:rPr>
              <w:t>民代表</w:t>
            </w:r>
            <w:r>
              <w:rPr>
                <w:rFonts w:hint="eastAsia" w:hAnsi="方正仿宋_GBK"/>
                <w:bCs/>
                <w:color w:val="000000"/>
                <w:kern w:val="0"/>
                <w:szCs w:val="21"/>
              </w:rPr>
              <w:t>办公室</w:t>
            </w:r>
          </w:p>
        </w:tc>
        <w:tc>
          <w:tcPr>
            <w:tcW w:w="705" w:type="dxa"/>
            <w:vAlign w:val="center"/>
          </w:tcPr>
          <w:p>
            <w:pPr>
              <w:widowControl/>
              <w:spacing w:line="400" w:lineRule="atLeast"/>
              <w:jc w:val="center"/>
              <w:textAlignment w:val="center"/>
              <w:rPr>
                <w:rFonts w:eastAsia="方正小标宋_GBK"/>
                <w:bCs/>
                <w:szCs w:val="21"/>
              </w:rPr>
            </w:pPr>
            <w:r>
              <w:rPr>
                <w:rFonts w:hint="eastAsia" w:hAnsi="方正仿宋_GBK"/>
                <w:bCs/>
                <w:color w:val="000000"/>
                <w:kern w:val="0"/>
                <w:szCs w:val="21"/>
              </w:rPr>
              <w:t>经济发展办公室</w:t>
            </w:r>
          </w:p>
        </w:tc>
        <w:tc>
          <w:tcPr>
            <w:tcW w:w="810" w:type="dxa"/>
            <w:vAlign w:val="center"/>
          </w:tcPr>
          <w:p>
            <w:pPr>
              <w:widowControl/>
              <w:spacing w:line="400" w:lineRule="atLeast"/>
              <w:jc w:val="center"/>
              <w:textAlignment w:val="center"/>
              <w:rPr>
                <w:rFonts w:eastAsia="方正小标宋_GBK"/>
                <w:bCs/>
                <w:szCs w:val="21"/>
              </w:rPr>
            </w:pPr>
            <w:r>
              <w:rPr>
                <w:rFonts w:hint="eastAsia" w:hAnsi="方正仿宋_GBK"/>
                <w:bCs/>
                <w:color w:val="000000"/>
                <w:kern w:val="0"/>
                <w:szCs w:val="21"/>
              </w:rPr>
              <w:t>民政和社会事务办公室</w:t>
            </w:r>
          </w:p>
        </w:tc>
        <w:tc>
          <w:tcPr>
            <w:tcW w:w="690" w:type="dxa"/>
            <w:vAlign w:val="center"/>
          </w:tcPr>
          <w:p>
            <w:pPr>
              <w:widowControl/>
              <w:spacing w:line="400" w:lineRule="atLeast"/>
              <w:jc w:val="center"/>
              <w:textAlignment w:val="center"/>
              <w:rPr>
                <w:rFonts w:eastAsia="方正小标宋_GBK"/>
                <w:bCs/>
                <w:szCs w:val="21"/>
              </w:rPr>
            </w:pPr>
            <w:r>
              <w:rPr>
                <w:rFonts w:hint="eastAsia" w:hAnsi="方正仿宋_GBK"/>
                <w:bCs/>
                <w:color w:val="000000"/>
                <w:kern w:val="0"/>
                <w:szCs w:val="21"/>
              </w:rPr>
              <w:t>平安建设办公室</w:t>
            </w:r>
          </w:p>
        </w:tc>
        <w:tc>
          <w:tcPr>
            <w:tcW w:w="675" w:type="dxa"/>
            <w:vAlign w:val="center"/>
          </w:tcPr>
          <w:p>
            <w:pPr>
              <w:widowControl/>
              <w:spacing w:line="400" w:lineRule="atLeast"/>
              <w:jc w:val="center"/>
              <w:textAlignment w:val="center"/>
              <w:rPr>
                <w:bCs/>
                <w:color w:val="000000"/>
                <w:kern w:val="0"/>
                <w:szCs w:val="21"/>
              </w:rPr>
            </w:pPr>
            <w:r>
              <w:rPr>
                <w:rFonts w:hint="eastAsia" w:hAnsi="方正仿宋_GBK"/>
                <w:bCs/>
                <w:color w:val="000000"/>
                <w:kern w:val="0"/>
                <w:szCs w:val="21"/>
              </w:rPr>
              <w:t>应急管理办公室</w:t>
            </w:r>
          </w:p>
        </w:tc>
        <w:tc>
          <w:tcPr>
            <w:tcW w:w="885" w:type="dxa"/>
            <w:vAlign w:val="center"/>
          </w:tcPr>
          <w:p>
            <w:pPr>
              <w:widowControl/>
              <w:spacing w:line="400" w:lineRule="atLeast"/>
              <w:jc w:val="center"/>
              <w:textAlignment w:val="center"/>
              <w:rPr>
                <w:rFonts w:eastAsia="方正小标宋_GBK"/>
                <w:bCs/>
                <w:szCs w:val="21"/>
              </w:rPr>
            </w:pPr>
            <w:r>
              <w:rPr>
                <w:rFonts w:hint="eastAsia" w:hAnsi="方正仿宋_GBK"/>
                <w:bCs/>
                <w:color w:val="000000"/>
                <w:kern w:val="0"/>
                <w:szCs w:val="21"/>
              </w:rPr>
              <w:t>规划建设管理环保办公室</w:t>
            </w:r>
          </w:p>
        </w:tc>
        <w:tc>
          <w:tcPr>
            <w:tcW w:w="675" w:type="dxa"/>
            <w:vAlign w:val="center"/>
          </w:tcPr>
          <w:p>
            <w:pPr>
              <w:widowControl/>
              <w:spacing w:line="400" w:lineRule="atLeast"/>
              <w:jc w:val="center"/>
              <w:textAlignment w:val="center"/>
              <w:rPr>
                <w:rFonts w:eastAsia="方正小标宋_GBK"/>
                <w:bCs/>
                <w:szCs w:val="21"/>
              </w:rPr>
            </w:pPr>
            <w:r>
              <w:rPr>
                <w:rFonts w:hint="eastAsia" w:hAnsi="方正仿宋_GBK"/>
                <w:bCs/>
                <w:color w:val="000000"/>
                <w:kern w:val="0"/>
                <w:szCs w:val="21"/>
              </w:rPr>
              <w:t>财政办公室</w:t>
            </w:r>
          </w:p>
        </w:tc>
        <w:tc>
          <w:tcPr>
            <w:tcW w:w="660" w:type="dxa"/>
            <w:vAlign w:val="center"/>
          </w:tcPr>
          <w:p>
            <w:pPr>
              <w:widowControl/>
              <w:spacing w:line="400" w:lineRule="atLeast"/>
              <w:jc w:val="center"/>
              <w:textAlignment w:val="center"/>
              <w:rPr>
                <w:rFonts w:eastAsia="方正小标宋_GBK"/>
                <w:bCs/>
                <w:szCs w:val="21"/>
              </w:rPr>
            </w:pPr>
            <w:r>
              <w:rPr>
                <w:rFonts w:hint="eastAsia" w:hAnsi="方正仿宋_GBK"/>
                <w:bCs/>
                <w:color w:val="000000"/>
                <w:kern w:val="0"/>
                <w:szCs w:val="21"/>
              </w:rPr>
              <w:t>乡村振兴办公室</w:t>
            </w:r>
          </w:p>
        </w:tc>
        <w:tc>
          <w:tcPr>
            <w:tcW w:w="705" w:type="dxa"/>
            <w:vAlign w:val="center"/>
          </w:tcPr>
          <w:p>
            <w:pPr>
              <w:widowControl/>
              <w:spacing w:line="400" w:lineRule="atLeast"/>
              <w:jc w:val="center"/>
              <w:textAlignment w:val="center"/>
              <w:rPr>
                <w:rFonts w:eastAsia="方正小标宋_GBK"/>
                <w:bCs/>
                <w:szCs w:val="21"/>
              </w:rPr>
            </w:pPr>
            <w:r>
              <w:rPr>
                <w:rFonts w:hint="eastAsia" w:hAnsi="方正仿宋_GBK"/>
                <w:bCs/>
                <w:color w:val="000000"/>
                <w:kern w:val="0"/>
                <w:szCs w:val="21"/>
              </w:rPr>
              <w:t>综合行政执法办公室</w:t>
            </w:r>
          </w:p>
        </w:tc>
        <w:tc>
          <w:tcPr>
            <w:tcW w:w="735" w:type="dxa"/>
            <w:vAlign w:val="center"/>
          </w:tcPr>
          <w:p>
            <w:pPr>
              <w:widowControl/>
              <w:spacing w:line="400" w:lineRule="atLeast"/>
              <w:jc w:val="center"/>
              <w:textAlignment w:val="center"/>
              <w:rPr>
                <w:rFonts w:eastAsia="方正小标宋_GBK"/>
                <w:bCs/>
                <w:szCs w:val="21"/>
              </w:rPr>
            </w:pPr>
            <w:r>
              <w:rPr>
                <w:rFonts w:hint="eastAsia" w:hAnsi="方正仿宋_GBK"/>
                <w:bCs/>
                <w:color w:val="000000"/>
                <w:kern w:val="0"/>
                <w:szCs w:val="21"/>
              </w:rPr>
              <w:t>统筹设置的副职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570" w:type="dxa"/>
            <w:vAlign w:val="center"/>
          </w:tcPr>
          <w:p>
            <w:pPr>
              <w:spacing w:line="400" w:lineRule="atLeast"/>
              <w:jc w:val="center"/>
              <w:rPr>
                <w:bCs/>
                <w:sz w:val="24"/>
                <w:szCs w:val="24"/>
              </w:rPr>
            </w:pPr>
            <w:r>
              <w:rPr>
                <w:bCs/>
                <w:sz w:val="24"/>
                <w:szCs w:val="24"/>
              </w:rPr>
              <w:t>1</w:t>
            </w:r>
          </w:p>
        </w:tc>
        <w:tc>
          <w:tcPr>
            <w:tcW w:w="1470" w:type="dxa"/>
            <w:shd w:val="clear" w:color="auto" w:fill="FFFFFF"/>
            <w:vAlign w:val="center"/>
          </w:tcPr>
          <w:p>
            <w:pPr>
              <w:spacing w:line="400" w:lineRule="atLeast"/>
              <w:jc w:val="center"/>
              <w:rPr>
                <w:bCs/>
                <w:sz w:val="24"/>
                <w:szCs w:val="24"/>
              </w:rPr>
            </w:pPr>
            <w:r>
              <w:rPr>
                <w:rFonts w:hint="eastAsia" w:hAnsi="方正仿宋_GBK"/>
                <w:bCs/>
                <w:sz w:val="24"/>
                <w:szCs w:val="24"/>
              </w:rPr>
              <w:t>酉阳土家族苗族自治县</w:t>
            </w:r>
            <w:r>
              <w:rPr>
                <w:rFonts w:hint="eastAsia" w:hAnsi="方正仿宋_GBK"/>
                <w:bCs/>
                <w:sz w:val="24"/>
                <w:szCs w:val="24"/>
                <w:lang w:eastAsia="zh-CN"/>
              </w:rPr>
              <w:t>浪坪</w:t>
            </w:r>
            <w:r>
              <w:rPr>
                <w:rFonts w:hint="eastAsia" w:hAnsi="方正仿宋_GBK"/>
                <w:bCs/>
                <w:sz w:val="24"/>
                <w:szCs w:val="24"/>
              </w:rPr>
              <w:t>乡人民政府</w:t>
            </w:r>
          </w:p>
          <w:p>
            <w:pPr>
              <w:widowControl/>
              <w:spacing w:line="400" w:lineRule="atLeast"/>
              <w:jc w:val="center"/>
              <w:textAlignment w:val="center"/>
              <w:rPr>
                <w:bCs/>
                <w:sz w:val="24"/>
                <w:szCs w:val="24"/>
              </w:rPr>
            </w:pPr>
          </w:p>
        </w:tc>
        <w:tc>
          <w:tcPr>
            <w:tcW w:w="525" w:type="dxa"/>
            <w:vAlign w:val="center"/>
          </w:tcPr>
          <w:p>
            <w:pPr>
              <w:widowControl/>
              <w:spacing w:line="400" w:lineRule="atLeast"/>
              <w:jc w:val="center"/>
              <w:textAlignment w:val="center"/>
              <w:rPr>
                <w:bCs/>
                <w:sz w:val="24"/>
                <w:szCs w:val="24"/>
              </w:rPr>
            </w:pPr>
            <w:r>
              <w:rPr>
                <w:rFonts w:hint="eastAsia" w:hAnsi="方正仿宋_GBK"/>
                <w:bCs/>
                <w:color w:val="000000"/>
                <w:kern w:val="0"/>
                <w:sz w:val="24"/>
                <w:szCs w:val="24"/>
              </w:rPr>
              <w:t>正科级</w:t>
            </w:r>
          </w:p>
        </w:tc>
        <w:tc>
          <w:tcPr>
            <w:tcW w:w="825" w:type="dxa"/>
            <w:vAlign w:val="center"/>
          </w:tcPr>
          <w:p>
            <w:pPr>
              <w:widowControl/>
              <w:spacing w:line="400" w:lineRule="atLeast"/>
              <w:jc w:val="center"/>
              <w:textAlignment w:val="center"/>
              <w:rPr>
                <w:rFonts w:hint="default" w:eastAsia="宋体"/>
                <w:bCs/>
                <w:sz w:val="24"/>
                <w:szCs w:val="24"/>
                <w:lang w:val="en-US" w:eastAsia="zh-CN"/>
              </w:rPr>
            </w:pPr>
            <w:r>
              <w:rPr>
                <w:rFonts w:hint="eastAsia"/>
                <w:bCs/>
                <w:sz w:val="24"/>
                <w:szCs w:val="24"/>
                <w:lang w:val="en-US" w:eastAsia="zh-CN"/>
              </w:rPr>
              <w:t>18</w:t>
            </w:r>
          </w:p>
        </w:tc>
        <w:tc>
          <w:tcPr>
            <w:tcW w:w="705" w:type="dxa"/>
            <w:vAlign w:val="center"/>
          </w:tcPr>
          <w:p>
            <w:pPr>
              <w:widowControl/>
              <w:spacing w:line="400" w:lineRule="atLeast"/>
              <w:jc w:val="center"/>
              <w:textAlignment w:val="center"/>
              <w:rPr>
                <w:bCs/>
                <w:sz w:val="24"/>
                <w:szCs w:val="24"/>
              </w:rPr>
            </w:pPr>
            <w:r>
              <w:rPr>
                <w:bCs/>
                <w:sz w:val="24"/>
                <w:szCs w:val="24"/>
              </w:rPr>
              <w:t>0</w:t>
            </w:r>
          </w:p>
        </w:tc>
        <w:tc>
          <w:tcPr>
            <w:tcW w:w="645" w:type="dxa"/>
            <w:shd w:val="clear" w:color="auto" w:fill="FFFFFF"/>
            <w:vAlign w:val="center"/>
          </w:tcPr>
          <w:p>
            <w:pPr>
              <w:widowControl/>
              <w:spacing w:line="400" w:lineRule="atLeast"/>
              <w:jc w:val="center"/>
              <w:textAlignment w:val="center"/>
              <w:rPr>
                <w:bCs/>
                <w:sz w:val="24"/>
                <w:szCs w:val="24"/>
              </w:rPr>
            </w:pPr>
            <w:r>
              <w:rPr>
                <w:bCs/>
                <w:color w:val="000000"/>
                <w:kern w:val="0"/>
                <w:sz w:val="24"/>
                <w:szCs w:val="24"/>
              </w:rPr>
              <w:t>9</w:t>
            </w:r>
          </w:p>
        </w:tc>
        <w:tc>
          <w:tcPr>
            <w:tcW w:w="720" w:type="dxa"/>
            <w:vAlign w:val="center"/>
          </w:tcPr>
          <w:p>
            <w:pPr>
              <w:widowControl/>
              <w:spacing w:line="400" w:lineRule="atLeast"/>
              <w:jc w:val="center"/>
              <w:textAlignment w:val="center"/>
              <w:rPr>
                <w:bCs/>
                <w:sz w:val="24"/>
                <w:szCs w:val="24"/>
              </w:rPr>
            </w:pPr>
            <w:r>
              <w:rPr>
                <w:bCs/>
                <w:color w:val="000000"/>
                <w:kern w:val="0"/>
                <w:sz w:val="24"/>
                <w:szCs w:val="24"/>
              </w:rPr>
              <w:t>11</w:t>
            </w:r>
          </w:p>
        </w:tc>
        <w:tc>
          <w:tcPr>
            <w:tcW w:w="645" w:type="dxa"/>
            <w:vAlign w:val="center"/>
          </w:tcPr>
          <w:p>
            <w:pPr>
              <w:spacing w:line="400" w:lineRule="atLeast"/>
              <w:jc w:val="center"/>
              <w:rPr>
                <w:bCs/>
                <w:sz w:val="24"/>
                <w:szCs w:val="24"/>
              </w:rPr>
            </w:pPr>
            <w:r>
              <w:rPr>
                <w:bCs/>
                <w:sz w:val="24"/>
                <w:szCs w:val="24"/>
              </w:rPr>
              <w:t>1</w:t>
            </w:r>
          </w:p>
        </w:tc>
        <w:tc>
          <w:tcPr>
            <w:tcW w:w="720" w:type="dxa"/>
            <w:vAlign w:val="center"/>
          </w:tcPr>
          <w:p>
            <w:pPr>
              <w:spacing w:line="400" w:lineRule="atLeast"/>
              <w:jc w:val="center"/>
              <w:rPr>
                <w:bCs/>
                <w:sz w:val="24"/>
                <w:szCs w:val="24"/>
              </w:rPr>
            </w:pPr>
            <w:r>
              <w:rPr>
                <w:bCs/>
                <w:sz w:val="24"/>
                <w:szCs w:val="24"/>
              </w:rPr>
              <w:t>1</w:t>
            </w:r>
          </w:p>
        </w:tc>
        <w:tc>
          <w:tcPr>
            <w:tcW w:w="750" w:type="dxa"/>
            <w:vAlign w:val="center"/>
          </w:tcPr>
          <w:p>
            <w:pPr>
              <w:spacing w:line="400" w:lineRule="atLeast"/>
              <w:jc w:val="center"/>
              <w:rPr>
                <w:rFonts w:hint="eastAsia" w:eastAsia="宋体"/>
                <w:bCs/>
                <w:sz w:val="24"/>
                <w:szCs w:val="24"/>
                <w:lang w:val="en-US" w:eastAsia="zh-CN"/>
              </w:rPr>
            </w:pPr>
            <w:r>
              <w:rPr>
                <w:rFonts w:hint="eastAsia"/>
                <w:bCs/>
                <w:sz w:val="24"/>
                <w:szCs w:val="24"/>
                <w:lang w:val="en-US" w:eastAsia="zh-CN"/>
              </w:rPr>
              <w:t>0</w:t>
            </w:r>
          </w:p>
        </w:tc>
        <w:tc>
          <w:tcPr>
            <w:tcW w:w="705" w:type="dxa"/>
            <w:vAlign w:val="center"/>
          </w:tcPr>
          <w:p>
            <w:pPr>
              <w:spacing w:line="400" w:lineRule="atLeast"/>
              <w:jc w:val="center"/>
              <w:rPr>
                <w:bCs/>
                <w:sz w:val="24"/>
                <w:szCs w:val="24"/>
              </w:rPr>
            </w:pPr>
            <w:r>
              <w:rPr>
                <w:bCs/>
                <w:sz w:val="24"/>
                <w:szCs w:val="24"/>
              </w:rPr>
              <w:t>1</w:t>
            </w:r>
          </w:p>
        </w:tc>
        <w:tc>
          <w:tcPr>
            <w:tcW w:w="810" w:type="dxa"/>
            <w:vAlign w:val="center"/>
          </w:tcPr>
          <w:p>
            <w:pPr>
              <w:spacing w:line="400" w:lineRule="atLeast"/>
              <w:jc w:val="center"/>
              <w:rPr>
                <w:bCs/>
                <w:sz w:val="24"/>
                <w:szCs w:val="24"/>
              </w:rPr>
            </w:pPr>
            <w:r>
              <w:rPr>
                <w:bCs/>
                <w:sz w:val="24"/>
                <w:szCs w:val="24"/>
              </w:rPr>
              <w:t>1</w:t>
            </w:r>
          </w:p>
        </w:tc>
        <w:tc>
          <w:tcPr>
            <w:tcW w:w="690" w:type="dxa"/>
            <w:vAlign w:val="center"/>
          </w:tcPr>
          <w:p>
            <w:pPr>
              <w:spacing w:line="400" w:lineRule="atLeast"/>
              <w:jc w:val="center"/>
              <w:rPr>
                <w:bCs/>
                <w:sz w:val="24"/>
                <w:szCs w:val="24"/>
              </w:rPr>
            </w:pPr>
            <w:r>
              <w:rPr>
                <w:bCs/>
                <w:sz w:val="24"/>
                <w:szCs w:val="24"/>
              </w:rPr>
              <w:t>0</w:t>
            </w:r>
          </w:p>
        </w:tc>
        <w:tc>
          <w:tcPr>
            <w:tcW w:w="675" w:type="dxa"/>
            <w:vAlign w:val="center"/>
          </w:tcPr>
          <w:p>
            <w:pPr>
              <w:spacing w:line="400" w:lineRule="atLeast"/>
              <w:jc w:val="center"/>
              <w:rPr>
                <w:bCs/>
                <w:sz w:val="24"/>
                <w:szCs w:val="24"/>
              </w:rPr>
            </w:pPr>
            <w:r>
              <w:rPr>
                <w:bCs/>
                <w:sz w:val="24"/>
                <w:szCs w:val="24"/>
              </w:rPr>
              <w:t>1</w:t>
            </w:r>
          </w:p>
        </w:tc>
        <w:tc>
          <w:tcPr>
            <w:tcW w:w="885" w:type="dxa"/>
            <w:vAlign w:val="center"/>
          </w:tcPr>
          <w:p>
            <w:pPr>
              <w:widowControl/>
              <w:spacing w:line="400" w:lineRule="atLeast"/>
              <w:jc w:val="center"/>
              <w:textAlignment w:val="center"/>
              <w:rPr>
                <w:rFonts w:hint="eastAsia" w:eastAsia="宋体"/>
                <w:bCs/>
                <w:sz w:val="24"/>
                <w:szCs w:val="24"/>
                <w:lang w:val="en-US" w:eastAsia="zh-CN"/>
              </w:rPr>
            </w:pPr>
            <w:r>
              <w:rPr>
                <w:rFonts w:hint="eastAsia"/>
                <w:bCs/>
                <w:sz w:val="24"/>
                <w:szCs w:val="24"/>
                <w:lang w:val="en-US" w:eastAsia="zh-CN"/>
              </w:rPr>
              <w:t>1</w:t>
            </w:r>
          </w:p>
        </w:tc>
        <w:tc>
          <w:tcPr>
            <w:tcW w:w="675" w:type="dxa"/>
            <w:vAlign w:val="center"/>
          </w:tcPr>
          <w:p>
            <w:pPr>
              <w:spacing w:line="400" w:lineRule="atLeast"/>
              <w:jc w:val="center"/>
              <w:rPr>
                <w:bCs/>
                <w:sz w:val="24"/>
                <w:szCs w:val="24"/>
              </w:rPr>
            </w:pPr>
            <w:r>
              <w:rPr>
                <w:bCs/>
                <w:sz w:val="24"/>
                <w:szCs w:val="24"/>
              </w:rPr>
              <w:t>1</w:t>
            </w:r>
          </w:p>
        </w:tc>
        <w:tc>
          <w:tcPr>
            <w:tcW w:w="660" w:type="dxa"/>
            <w:vAlign w:val="center"/>
          </w:tcPr>
          <w:p>
            <w:pPr>
              <w:spacing w:line="400" w:lineRule="atLeast"/>
              <w:jc w:val="center"/>
              <w:rPr>
                <w:bCs/>
                <w:sz w:val="24"/>
                <w:szCs w:val="24"/>
              </w:rPr>
            </w:pPr>
            <w:r>
              <w:rPr>
                <w:bCs/>
                <w:sz w:val="24"/>
                <w:szCs w:val="24"/>
              </w:rPr>
              <w:t>1</w:t>
            </w:r>
          </w:p>
        </w:tc>
        <w:tc>
          <w:tcPr>
            <w:tcW w:w="705" w:type="dxa"/>
            <w:vAlign w:val="center"/>
          </w:tcPr>
          <w:p>
            <w:pPr>
              <w:spacing w:line="400" w:lineRule="atLeast"/>
              <w:jc w:val="center"/>
              <w:rPr>
                <w:bCs/>
                <w:sz w:val="24"/>
                <w:szCs w:val="24"/>
              </w:rPr>
            </w:pPr>
            <w:r>
              <w:rPr>
                <w:bCs/>
                <w:sz w:val="24"/>
                <w:szCs w:val="24"/>
              </w:rPr>
              <w:t>1</w:t>
            </w:r>
          </w:p>
        </w:tc>
        <w:tc>
          <w:tcPr>
            <w:tcW w:w="735" w:type="dxa"/>
            <w:vAlign w:val="center"/>
          </w:tcPr>
          <w:p>
            <w:pPr>
              <w:widowControl/>
              <w:spacing w:line="400" w:lineRule="atLeast"/>
              <w:jc w:val="center"/>
              <w:textAlignment w:val="center"/>
              <w:rPr>
                <w:bCs/>
                <w:sz w:val="24"/>
                <w:szCs w:val="24"/>
              </w:rPr>
            </w:pPr>
            <w:r>
              <w:rPr>
                <w:bCs/>
                <w:sz w:val="24"/>
                <w:szCs w:val="24"/>
              </w:rPr>
              <w:t>0</w:t>
            </w:r>
          </w:p>
        </w:tc>
      </w:tr>
    </w:tbl>
    <w:p>
      <w:pPr>
        <w:spacing w:line="400" w:lineRule="atLeast"/>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2.事业机构人员编制和领导职数核定情况表</w:t>
      </w:r>
    </w:p>
    <w:tbl>
      <w:tblPr>
        <w:tblStyle w:val="6"/>
        <w:tblW w:w="14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2319"/>
        <w:gridCol w:w="6118"/>
        <w:gridCol w:w="1257"/>
        <w:gridCol w:w="1257"/>
        <w:gridCol w:w="1257"/>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tblHeader/>
        </w:trPr>
        <w:tc>
          <w:tcPr>
            <w:tcW w:w="10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序号</w:t>
            </w:r>
          </w:p>
        </w:tc>
        <w:tc>
          <w:tcPr>
            <w:tcW w:w="23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主管单位</w:t>
            </w:r>
          </w:p>
        </w:tc>
        <w:tc>
          <w:tcPr>
            <w:tcW w:w="61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单位名称</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机构规格</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事业编制</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领导职数</w:t>
            </w: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tblHeader/>
        </w:trPr>
        <w:tc>
          <w:tcPr>
            <w:tcW w:w="10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w:t>
            </w:r>
          </w:p>
        </w:tc>
        <w:tc>
          <w:tcPr>
            <w:tcW w:w="23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浪坪</w:t>
            </w:r>
            <w:r>
              <w:rPr>
                <w:rFonts w:hint="eastAsia" w:ascii="方正仿宋_GBK" w:hAnsi="方正仿宋_GBK" w:eastAsia="方正仿宋_GBK" w:cs="方正仿宋_GBK"/>
                <w:bCs/>
                <w:sz w:val="32"/>
                <w:szCs w:val="32"/>
              </w:rPr>
              <w:t>乡</w:t>
            </w:r>
          </w:p>
        </w:tc>
        <w:tc>
          <w:tcPr>
            <w:tcW w:w="61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酉阳土家族苗族自治县</w:t>
            </w:r>
            <w:r>
              <w:rPr>
                <w:rFonts w:hint="eastAsia" w:ascii="方正仿宋_GBK" w:hAnsi="方正仿宋_GBK" w:eastAsia="方正仿宋_GBK" w:cs="方正仿宋_GBK"/>
                <w:bCs/>
                <w:sz w:val="32"/>
                <w:szCs w:val="32"/>
                <w:lang w:eastAsia="zh-CN"/>
              </w:rPr>
              <w:t>浪坪</w:t>
            </w:r>
            <w:r>
              <w:rPr>
                <w:rFonts w:hint="eastAsia" w:ascii="方正仿宋_GBK" w:hAnsi="方正仿宋_GBK" w:eastAsia="方正仿宋_GBK" w:cs="方正仿宋_GBK"/>
                <w:bCs/>
                <w:sz w:val="32"/>
                <w:szCs w:val="32"/>
              </w:rPr>
              <w:t>乡</w:t>
            </w:r>
            <w:r>
              <w:rPr>
                <w:rFonts w:hint="eastAsia" w:ascii="方正仿宋_GBK" w:hAnsi="方正仿宋_GBK" w:eastAsia="方正仿宋_GBK" w:cs="方正仿宋_GBK"/>
                <w:bCs/>
                <w:sz w:val="32"/>
                <w:szCs w:val="32"/>
                <w:lang w:val="en-US" w:eastAsia="zh-CN"/>
              </w:rPr>
              <w:t>产业发展</w:t>
            </w:r>
            <w:r>
              <w:rPr>
                <w:rFonts w:hint="eastAsia" w:ascii="方正仿宋_GBK" w:hAnsi="方正仿宋_GBK" w:eastAsia="方正仿宋_GBK" w:cs="方正仿宋_GBK"/>
                <w:bCs/>
                <w:sz w:val="32"/>
                <w:szCs w:val="32"/>
              </w:rPr>
              <w:t>服务中心</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副科级</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6</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w:t>
            </w: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tblHeader/>
        </w:trPr>
        <w:tc>
          <w:tcPr>
            <w:tcW w:w="10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w:t>
            </w:r>
          </w:p>
        </w:tc>
        <w:tc>
          <w:tcPr>
            <w:tcW w:w="23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浪坪</w:t>
            </w:r>
            <w:r>
              <w:rPr>
                <w:rFonts w:hint="eastAsia" w:ascii="方正仿宋_GBK" w:hAnsi="方正仿宋_GBK" w:eastAsia="方正仿宋_GBK" w:cs="方正仿宋_GBK"/>
                <w:bCs/>
                <w:sz w:val="32"/>
                <w:szCs w:val="32"/>
              </w:rPr>
              <w:t>乡</w:t>
            </w:r>
          </w:p>
        </w:tc>
        <w:tc>
          <w:tcPr>
            <w:tcW w:w="61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酉阳土家族苗族自治县</w:t>
            </w:r>
            <w:r>
              <w:rPr>
                <w:rFonts w:hint="eastAsia" w:ascii="方正仿宋_GBK" w:hAnsi="方正仿宋_GBK" w:eastAsia="方正仿宋_GBK" w:cs="方正仿宋_GBK"/>
                <w:bCs/>
                <w:sz w:val="32"/>
                <w:szCs w:val="32"/>
                <w:lang w:eastAsia="zh-CN"/>
              </w:rPr>
              <w:t>浪坪</w:t>
            </w:r>
            <w:r>
              <w:rPr>
                <w:rFonts w:hint="eastAsia" w:ascii="方正仿宋_GBK" w:hAnsi="方正仿宋_GBK" w:eastAsia="方正仿宋_GBK" w:cs="方正仿宋_GBK"/>
                <w:bCs/>
                <w:sz w:val="32"/>
                <w:szCs w:val="32"/>
              </w:rPr>
              <w:t>乡</w:t>
            </w:r>
            <w:r>
              <w:rPr>
                <w:rFonts w:hint="eastAsia" w:ascii="方正仿宋_GBK" w:hAnsi="方正仿宋_GBK" w:eastAsia="方正仿宋_GBK" w:cs="方正仿宋_GBK"/>
                <w:bCs/>
                <w:sz w:val="32"/>
                <w:szCs w:val="32"/>
                <w:lang w:val="en-US" w:eastAsia="zh-CN"/>
              </w:rPr>
              <w:t>新时代文明实践</w:t>
            </w:r>
            <w:r>
              <w:rPr>
                <w:rFonts w:hint="eastAsia" w:ascii="方正仿宋_GBK" w:hAnsi="方正仿宋_GBK" w:eastAsia="方正仿宋_GBK" w:cs="方正仿宋_GBK"/>
                <w:bCs/>
                <w:sz w:val="32"/>
                <w:szCs w:val="32"/>
              </w:rPr>
              <w:t>服务中心</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副科级</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w:t>
            </w: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tblHeader/>
        </w:trPr>
        <w:tc>
          <w:tcPr>
            <w:tcW w:w="10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w:t>
            </w:r>
          </w:p>
        </w:tc>
        <w:tc>
          <w:tcPr>
            <w:tcW w:w="23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浪坪</w:t>
            </w:r>
            <w:r>
              <w:rPr>
                <w:rFonts w:hint="eastAsia" w:ascii="方正仿宋_GBK" w:hAnsi="方正仿宋_GBK" w:eastAsia="方正仿宋_GBK" w:cs="方正仿宋_GBK"/>
                <w:bCs/>
                <w:sz w:val="32"/>
                <w:szCs w:val="32"/>
              </w:rPr>
              <w:t>乡</w:t>
            </w:r>
          </w:p>
        </w:tc>
        <w:tc>
          <w:tcPr>
            <w:tcW w:w="61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rPr>
              <w:t>酉阳土家族苗族自治县</w:t>
            </w:r>
            <w:r>
              <w:rPr>
                <w:rFonts w:hint="eastAsia" w:ascii="方正仿宋_GBK" w:hAnsi="方正仿宋_GBK" w:eastAsia="方正仿宋_GBK" w:cs="方正仿宋_GBK"/>
                <w:bCs/>
                <w:sz w:val="32"/>
                <w:szCs w:val="32"/>
                <w:lang w:eastAsia="zh-CN"/>
              </w:rPr>
              <w:t>浪坪</w:t>
            </w:r>
            <w:r>
              <w:rPr>
                <w:rFonts w:hint="eastAsia" w:ascii="方正仿宋_GBK" w:hAnsi="方正仿宋_GBK" w:eastAsia="方正仿宋_GBK" w:cs="方正仿宋_GBK"/>
                <w:bCs/>
                <w:sz w:val="32"/>
                <w:szCs w:val="32"/>
              </w:rPr>
              <w:t>乡</w:t>
            </w:r>
            <w:r>
              <w:rPr>
                <w:rFonts w:hint="eastAsia" w:ascii="方正仿宋_GBK" w:hAnsi="方正仿宋_GBK" w:eastAsia="方正仿宋_GBK" w:cs="方正仿宋_GBK"/>
                <w:bCs/>
                <w:sz w:val="32"/>
                <w:szCs w:val="32"/>
                <w:lang w:val="en-US" w:eastAsia="zh-CN"/>
              </w:rPr>
              <w:t>便民服务中心（退役军人服务站）</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副科级</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5</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w:t>
            </w: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tblHeader/>
        </w:trPr>
        <w:tc>
          <w:tcPr>
            <w:tcW w:w="10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w:t>
            </w:r>
          </w:p>
        </w:tc>
        <w:tc>
          <w:tcPr>
            <w:tcW w:w="23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浪坪</w:t>
            </w:r>
            <w:r>
              <w:rPr>
                <w:rFonts w:hint="eastAsia" w:ascii="方正仿宋_GBK" w:hAnsi="方正仿宋_GBK" w:eastAsia="方正仿宋_GBK" w:cs="方正仿宋_GBK"/>
                <w:bCs/>
                <w:sz w:val="32"/>
                <w:szCs w:val="32"/>
              </w:rPr>
              <w:t>乡</w:t>
            </w:r>
          </w:p>
        </w:tc>
        <w:tc>
          <w:tcPr>
            <w:tcW w:w="61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rPr>
              <w:t>酉阳土家族苗族自治县</w:t>
            </w:r>
            <w:r>
              <w:rPr>
                <w:rFonts w:hint="eastAsia" w:ascii="方正仿宋_GBK" w:hAnsi="方正仿宋_GBK" w:eastAsia="方正仿宋_GBK" w:cs="方正仿宋_GBK"/>
                <w:bCs/>
                <w:sz w:val="32"/>
                <w:szCs w:val="32"/>
                <w:lang w:eastAsia="zh-CN"/>
              </w:rPr>
              <w:t>浪坪</w:t>
            </w:r>
            <w:r>
              <w:rPr>
                <w:rFonts w:hint="eastAsia" w:ascii="方正仿宋_GBK" w:hAnsi="方正仿宋_GBK" w:eastAsia="方正仿宋_GBK" w:cs="方正仿宋_GBK"/>
                <w:bCs/>
                <w:sz w:val="32"/>
                <w:szCs w:val="32"/>
              </w:rPr>
              <w:t>乡</w:t>
            </w:r>
            <w:r>
              <w:rPr>
                <w:rFonts w:hint="eastAsia" w:ascii="方正仿宋_GBK" w:hAnsi="方正仿宋_GBK" w:eastAsia="方正仿宋_GBK" w:cs="方正仿宋_GBK"/>
                <w:bCs/>
                <w:sz w:val="32"/>
                <w:szCs w:val="32"/>
                <w:lang w:val="en-US" w:eastAsia="zh-CN"/>
              </w:rPr>
              <w:t>综合行政执法大队</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副科级</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val="en-US" w:eastAsia="zh-CN"/>
              </w:rPr>
              <w:t>6</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w:t>
            </w: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sz w:val="32"/>
                <w:szCs w:val="32"/>
              </w:rPr>
            </w:pPr>
          </w:p>
        </w:tc>
      </w:tr>
    </w:tbl>
    <w:p>
      <w:pPr>
        <w:numPr>
          <w:ilvl w:val="0"/>
          <w:numId w:val="0"/>
        </w:numPr>
        <w:spacing w:line="600" w:lineRule="exact"/>
        <w:rPr>
          <w:rFonts w:ascii="方正楷体_GBK" w:hAnsi="Times New Roman" w:eastAsia="方正楷体_GBK"/>
          <w:sz w:val="32"/>
          <w:szCs w:val="32"/>
        </w:rPr>
      </w:pPr>
    </w:p>
    <w:p>
      <w:pPr>
        <w:spacing w:line="600" w:lineRule="exact"/>
        <w:ind w:firstLine="640" w:firstLineChars="200"/>
        <w:rPr>
          <w:rFonts w:ascii="方正黑体_GBK" w:hAnsi="Times New Roman" w:eastAsia="方正黑体_GBK"/>
          <w:sz w:val="32"/>
          <w:szCs w:val="32"/>
          <w:u w:val="none"/>
        </w:rPr>
      </w:pPr>
      <w:r>
        <w:rPr>
          <w:rFonts w:ascii="方正黑体_GBK" w:hAnsi="Times New Roman" w:eastAsia="方正黑体_GBK"/>
          <w:sz w:val="32"/>
          <w:szCs w:val="32"/>
          <w:u w:val="none"/>
        </w:rPr>
        <w:t>二、部门收支总体情况</w:t>
      </w:r>
    </w:p>
    <w:p>
      <w:pPr>
        <w:spacing w:line="600" w:lineRule="exact"/>
        <w:ind w:firstLine="640" w:firstLineChars="200"/>
        <w:rPr>
          <w:rFonts w:ascii="Times New Roman" w:hAnsi="Times New Roman" w:eastAsia="方正仿宋_GBK"/>
          <w:sz w:val="32"/>
          <w:szCs w:val="32"/>
          <w:u w:val="none"/>
        </w:rPr>
      </w:pPr>
      <w:r>
        <w:rPr>
          <w:rFonts w:ascii="方正楷体_GBK" w:hAnsi="Times New Roman" w:eastAsia="方正楷体_GBK"/>
          <w:sz w:val="32"/>
          <w:szCs w:val="32"/>
          <w:u w:val="none"/>
        </w:rPr>
        <w:t>（一）收入预算</w:t>
      </w:r>
      <w:r>
        <w:rPr>
          <w:rFonts w:ascii="Times New Roman" w:hAnsi="Times New Roman" w:eastAsia="方正仿宋_GBK"/>
          <w:sz w:val="32"/>
          <w:szCs w:val="32"/>
          <w:u w:val="none"/>
        </w:rPr>
        <w:t>：</w:t>
      </w:r>
      <w:r>
        <w:rPr>
          <w:rFonts w:hint="eastAsia" w:ascii="Times New Roman" w:hAnsi="Times New Roman" w:eastAsia="方正仿宋_GBK"/>
          <w:sz w:val="32"/>
          <w:szCs w:val="32"/>
          <w:u w:val="none"/>
          <w:lang w:eastAsia="zh-CN"/>
        </w:rPr>
        <w:t>2025</w:t>
      </w:r>
      <w:r>
        <w:rPr>
          <w:rFonts w:ascii="Times New Roman" w:hAnsi="Times New Roman" w:eastAsia="方正仿宋_GBK"/>
          <w:sz w:val="32"/>
          <w:szCs w:val="32"/>
          <w:u w:val="none"/>
        </w:rPr>
        <w:t>年年初预算数</w:t>
      </w:r>
      <w:r>
        <w:rPr>
          <w:rFonts w:hint="eastAsia" w:ascii="Times New Roman" w:hAnsi="Times New Roman" w:eastAsia="方正仿宋_GBK"/>
          <w:sz w:val="32"/>
          <w:szCs w:val="32"/>
          <w:u w:val="none"/>
          <w:lang w:val="en-US" w:eastAsia="zh-CN"/>
        </w:rPr>
        <w:t>1169.6</w:t>
      </w:r>
      <w:r>
        <w:rPr>
          <w:rFonts w:ascii="Times New Roman" w:hAnsi="Times New Roman" w:eastAsia="方正仿宋_GBK"/>
          <w:sz w:val="32"/>
          <w:szCs w:val="32"/>
          <w:u w:val="none"/>
        </w:rPr>
        <w:t>万元，其中：一般公共预算财政拨款</w:t>
      </w:r>
      <w:r>
        <w:rPr>
          <w:rFonts w:hint="eastAsia" w:ascii="Times New Roman" w:hAnsi="Times New Roman" w:eastAsia="方正仿宋_GBK"/>
          <w:sz w:val="32"/>
          <w:szCs w:val="32"/>
          <w:u w:val="none"/>
          <w:lang w:val="en-US" w:eastAsia="zh-CN"/>
        </w:rPr>
        <w:t>1088.1</w:t>
      </w:r>
      <w:r>
        <w:rPr>
          <w:rFonts w:ascii="Times New Roman" w:hAnsi="Times New Roman" w:eastAsia="方正仿宋_GBK"/>
          <w:sz w:val="32"/>
          <w:szCs w:val="32"/>
          <w:u w:val="none"/>
        </w:rPr>
        <w:t>万元</w:t>
      </w:r>
      <w:r>
        <w:rPr>
          <w:rFonts w:hint="eastAsia" w:ascii="Times New Roman" w:hAnsi="Times New Roman" w:eastAsia="方正仿宋_GBK"/>
          <w:sz w:val="32"/>
          <w:szCs w:val="32"/>
          <w:u w:val="none"/>
          <w:lang w:eastAsia="zh-CN"/>
        </w:rPr>
        <w:t>，政府性基金预算资金</w:t>
      </w:r>
      <w:r>
        <w:rPr>
          <w:rFonts w:hint="eastAsia" w:ascii="Times New Roman" w:hAnsi="Times New Roman" w:eastAsia="方正仿宋_GBK"/>
          <w:sz w:val="32"/>
          <w:szCs w:val="32"/>
          <w:u w:val="none"/>
          <w:lang w:val="en-US" w:eastAsia="zh-CN"/>
        </w:rPr>
        <w:t>81.5万元，</w:t>
      </w:r>
      <w:r>
        <w:rPr>
          <w:rFonts w:hint="eastAsia" w:ascii="Times New Roman" w:hAnsi="Times New Roman" w:eastAsia="方正仿宋_GBK"/>
          <w:sz w:val="32"/>
        </w:rPr>
        <w:t>国有资本经营预算收入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万元，事业单位经营收入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万元，其他收入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r>
        <w:rPr>
          <w:rFonts w:ascii="Times New Roman" w:hAnsi="Times New Roman" w:eastAsia="方正仿宋_GBK"/>
          <w:sz w:val="32"/>
          <w:szCs w:val="32"/>
          <w:u w:val="none"/>
        </w:rPr>
        <w:t>。收入预算较上年</w:t>
      </w:r>
      <w:r>
        <w:rPr>
          <w:rFonts w:hint="eastAsia" w:ascii="Times New Roman" w:hAnsi="Times New Roman" w:eastAsia="方正仿宋_GBK"/>
          <w:sz w:val="32"/>
          <w:szCs w:val="32"/>
          <w:u w:val="none"/>
          <w:lang w:val="en-US" w:eastAsia="zh-CN"/>
        </w:rPr>
        <w:t>增加18.97</w:t>
      </w:r>
      <w:r>
        <w:rPr>
          <w:rFonts w:ascii="Times New Roman" w:hAnsi="Times New Roman" w:eastAsia="方正仿宋_GBK"/>
          <w:sz w:val="32"/>
          <w:szCs w:val="32"/>
          <w:u w:val="none"/>
        </w:rPr>
        <w:t>万元，主要是一般公共预算财政拨款</w:t>
      </w:r>
      <w:r>
        <w:rPr>
          <w:rFonts w:hint="eastAsia" w:ascii="Times New Roman" w:hAnsi="Times New Roman" w:eastAsia="方正仿宋_GBK"/>
          <w:sz w:val="32"/>
          <w:szCs w:val="32"/>
          <w:u w:val="none"/>
          <w:lang w:val="en-US" w:eastAsia="zh-CN"/>
        </w:rPr>
        <w:t>减少55.01</w:t>
      </w:r>
      <w:r>
        <w:rPr>
          <w:rFonts w:ascii="Times New Roman" w:hAnsi="Times New Roman" w:eastAsia="方正仿宋_GBK"/>
          <w:sz w:val="32"/>
          <w:szCs w:val="32"/>
          <w:u w:val="none"/>
        </w:rPr>
        <w:t>万元</w:t>
      </w:r>
      <w:r>
        <w:rPr>
          <w:rFonts w:hint="eastAsia" w:ascii="Times New Roman" w:hAnsi="Times New Roman" w:eastAsia="方正仿宋_GBK"/>
          <w:sz w:val="32"/>
          <w:szCs w:val="32"/>
          <w:u w:val="none"/>
          <w:lang w:eastAsia="zh-CN"/>
        </w:rPr>
        <w:t>，政府性基金预算资金</w:t>
      </w:r>
      <w:r>
        <w:rPr>
          <w:rFonts w:hint="eastAsia" w:ascii="Times New Roman" w:hAnsi="Times New Roman" w:eastAsia="方正仿宋_GBK"/>
          <w:sz w:val="32"/>
          <w:szCs w:val="32"/>
          <w:u w:val="none"/>
          <w:lang w:val="en-US" w:eastAsia="zh-CN"/>
        </w:rPr>
        <w:t>增加73.98万元</w:t>
      </w:r>
      <w:r>
        <w:rPr>
          <w:rFonts w:ascii="Times New Roman" w:hAnsi="Times New Roman" w:eastAsia="方正仿宋_GBK"/>
          <w:sz w:val="32"/>
          <w:szCs w:val="32"/>
          <w:u w:val="none"/>
        </w:rPr>
        <w:t>。</w:t>
      </w:r>
    </w:p>
    <w:p>
      <w:pPr>
        <w:spacing w:line="600" w:lineRule="exact"/>
        <w:ind w:firstLine="640" w:firstLineChars="200"/>
        <w:rPr>
          <w:rFonts w:ascii="Times New Roman" w:hAnsi="Times New Roman" w:eastAsia="方正仿宋_GBK"/>
          <w:sz w:val="32"/>
          <w:szCs w:val="32"/>
          <w:u w:val="none"/>
        </w:rPr>
      </w:pPr>
      <w:r>
        <w:rPr>
          <w:rFonts w:ascii="方正楷体_GBK" w:hAnsi="Times New Roman" w:eastAsia="方正楷体_GBK"/>
          <w:sz w:val="32"/>
          <w:szCs w:val="32"/>
          <w:u w:val="none"/>
        </w:rPr>
        <w:t>（二）支出预算</w:t>
      </w:r>
      <w:r>
        <w:rPr>
          <w:rFonts w:ascii="Times New Roman" w:hAnsi="Times New Roman" w:eastAsia="方正仿宋_GBK"/>
          <w:sz w:val="32"/>
          <w:szCs w:val="32"/>
          <w:u w:val="none"/>
        </w:rPr>
        <w:t>：</w:t>
      </w:r>
      <w:r>
        <w:rPr>
          <w:rFonts w:hint="eastAsia" w:ascii="Times New Roman" w:hAnsi="Times New Roman" w:eastAsia="方正仿宋_GBK"/>
          <w:sz w:val="32"/>
          <w:szCs w:val="32"/>
          <w:u w:val="none"/>
          <w:lang w:eastAsia="zh-CN"/>
        </w:rPr>
        <w:t>2025</w:t>
      </w:r>
      <w:r>
        <w:rPr>
          <w:rFonts w:ascii="Times New Roman" w:hAnsi="Times New Roman" w:eastAsia="方正仿宋_GBK"/>
          <w:sz w:val="32"/>
          <w:szCs w:val="32"/>
          <w:u w:val="none"/>
        </w:rPr>
        <w:t>年年初预算数</w:t>
      </w:r>
      <w:r>
        <w:rPr>
          <w:rFonts w:hint="eastAsia" w:ascii="Times New Roman" w:hAnsi="Times New Roman" w:eastAsia="方正仿宋_GBK"/>
          <w:sz w:val="32"/>
          <w:szCs w:val="32"/>
          <w:u w:val="none"/>
          <w:lang w:val="en-US" w:eastAsia="zh-CN"/>
        </w:rPr>
        <w:t>1169.6</w:t>
      </w:r>
      <w:r>
        <w:rPr>
          <w:rFonts w:ascii="Times New Roman" w:hAnsi="Times New Roman" w:eastAsia="方正仿宋_GBK"/>
          <w:sz w:val="32"/>
          <w:szCs w:val="32"/>
          <w:u w:val="none"/>
        </w:rPr>
        <w:t>万元，其中：</w:t>
      </w:r>
      <w:r>
        <w:rPr>
          <w:rFonts w:hint="eastAsia" w:ascii="Times New Roman" w:hAnsi="Times New Roman" w:eastAsia="方正仿宋_GBK"/>
          <w:sz w:val="32"/>
          <w:szCs w:val="32"/>
          <w:u w:val="none"/>
        </w:rPr>
        <w:t>一般公共服务支出437.23</w:t>
      </w:r>
      <w:r>
        <w:rPr>
          <w:rFonts w:ascii="Times New Roman" w:hAnsi="Times New Roman" w:eastAsia="方正仿宋_GBK"/>
          <w:sz w:val="32"/>
          <w:szCs w:val="32"/>
          <w:u w:val="none"/>
        </w:rPr>
        <w:t>万元，</w:t>
      </w:r>
      <w:r>
        <w:rPr>
          <w:rFonts w:hint="eastAsia" w:ascii="Times New Roman" w:hAnsi="Times New Roman" w:eastAsia="方正仿宋_GBK"/>
          <w:sz w:val="32"/>
          <w:szCs w:val="32"/>
          <w:u w:val="none"/>
        </w:rPr>
        <w:t>文化旅游体育与传媒支出62.5</w:t>
      </w:r>
      <w:r>
        <w:rPr>
          <w:rFonts w:hint="eastAsia" w:ascii="Times New Roman" w:hAnsi="Times New Roman" w:eastAsia="方正仿宋_GBK"/>
          <w:sz w:val="32"/>
          <w:szCs w:val="32"/>
          <w:u w:val="none"/>
          <w:lang w:val="en-US" w:eastAsia="zh-CN"/>
        </w:rPr>
        <w:t>万元，</w:t>
      </w:r>
      <w:r>
        <w:rPr>
          <w:rFonts w:ascii="Times New Roman" w:hAnsi="Times New Roman" w:eastAsia="方正仿宋_GBK"/>
          <w:sz w:val="32"/>
          <w:szCs w:val="32"/>
          <w:u w:val="none"/>
        </w:rPr>
        <w:t>社会保障和就业支出</w:t>
      </w:r>
      <w:r>
        <w:rPr>
          <w:rFonts w:hint="eastAsia" w:ascii="Times New Roman" w:hAnsi="Times New Roman" w:eastAsia="方正仿宋_GBK"/>
          <w:sz w:val="32"/>
          <w:szCs w:val="32"/>
          <w:u w:val="none"/>
        </w:rPr>
        <w:t>204.68</w:t>
      </w:r>
      <w:r>
        <w:rPr>
          <w:rFonts w:ascii="Times New Roman" w:hAnsi="Times New Roman" w:eastAsia="方正仿宋_GBK"/>
          <w:sz w:val="32"/>
          <w:szCs w:val="32"/>
          <w:u w:val="none"/>
        </w:rPr>
        <w:t>万元，卫生健康支出</w:t>
      </w:r>
      <w:r>
        <w:rPr>
          <w:rFonts w:hint="eastAsia" w:ascii="Times New Roman" w:hAnsi="Times New Roman" w:eastAsia="方正仿宋_GBK"/>
          <w:sz w:val="32"/>
          <w:szCs w:val="32"/>
          <w:u w:val="none"/>
        </w:rPr>
        <w:t>50.43</w:t>
      </w:r>
      <w:r>
        <w:rPr>
          <w:rFonts w:ascii="Times New Roman" w:hAnsi="Times New Roman" w:eastAsia="方正仿宋_GBK"/>
          <w:sz w:val="32"/>
          <w:szCs w:val="32"/>
          <w:u w:val="none"/>
        </w:rPr>
        <w:t>万元，节能环保支出</w:t>
      </w:r>
      <w:r>
        <w:rPr>
          <w:rFonts w:hint="eastAsia" w:ascii="Times New Roman" w:hAnsi="Times New Roman" w:eastAsia="方正仿宋_GBK"/>
          <w:sz w:val="32"/>
          <w:szCs w:val="32"/>
          <w:u w:val="none"/>
          <w:lang w:val="en-US" w:eastAsia="zh-CN"/>
        </w:rPr>
        <w:t>8</w:t>
      </w:r>
      <w:r>
        <w:rPr>
          <w:rFonts w:ascii="Times New Roman" w:hAnsi="Times New Roman" w:eastAsia="方正仿宋_GBK"/>
          <w:sz w:val="32"/>
          <w:szCs w:val="32"/>
          <w:u w:val="none"/>
        </w:rPr>
        <w:t>万元，</w:t>
      </w:r>
      <w:r>
        <w:rPr>
          <w:rFonts w:hint="eastAsia" w:ascii="Times New Roman" w:hAnsi="Times New Roman" w:eastAsia="方正仿宋_GBK"/>
          <w:sz w:val="32"/>
          <w:szCs w:val="32"/>
          <w:u w:val="none"/>
        </w:rPr>
        <w:t>城乡社区支出91.89</w:t>
      </w:r>
      <w:r>
        <w:rPr>
          <w:rFonts w:ascii="Times New Roman" w:hAnsi="Times New Roman" w:eastAsia="方正仿宋_GBK"/>
          <w:sz w:val="32"/>
          <w:szCs w:val="32"/>
          <w:u w:val="none"/>
        </w:rPr>
        <w:t>万元，</w:t>
      </w:r>
      <w:r>
        <w:rPr>
          <w:rFonts w:hint="eastAsia" w:ascii="Times New Roman" w:hAnsi="Times New Roman" w:eastAsia="方正仿宋_GBK"/>
          <w:sz w:val="32"/>
          <w:szCs w:val="32"/>
          <w:u w:val="none"/>
        </w:rPr>
        <w:t>农林水支出172.16</w:t>
      </w:r>
      <w:r>
        <w:rPr>
          <w:rFonts w:hint="eastAsia" w:ascii="Times New Roman" w:hAnsi="Times New Roman" w:eastAsia="方正仿宋_GBK"/>
          <w:sz w:val="32"/>
          <w:szCs w:val="32"/>
          <w:u w:val="none"/>
          <w:lang w:val="en-US" w:eastAsia="zh-CN"/>
        </w:rPr>
        <w:t>万元，</w:t>
      </w:r>
      <w:r>
        <w:rPr>
          <w:rFonts w:ascii="Times New Roman" w:hAnsi="Times New Roman" w:eastAsia="方正仿宋_GBK"/>
          <w:sz w:val="32"/>
          <w:szCs w:val="32"/>
          <w:u w:val="none"/>
        </w:rPr>
        <w:t>住房保障支出</w:t>
      </w:r>
      <w:r>
        <w:rPr>
          <w:rFonts w:hint="eastAsia" w:ascii="Times New Roman" w:hAnsi="Times New Roman" w:eastAsia="方正仿宋_GBK"/>
          <w:sz w:val="32"/>
          <w:szCs w:val="32"/>
          <w:u w:val="none"/>
        </w:rPr>
        <w:t>52.89</w:t>
      </w:r>
      <w:r>
        <w:rPr>
          <w:rFonts w:ascii="Times New Roman" w:hAnsi="Times New Roman" w:eastAsia="方正仿宋_GBK"/>
          <w:sz w:val="32"/>
          <w:szCs w:val="32"/>
          <w:u w:val="none"/>
        </w:rPr>
        <w:t>万元，</w:t>
      </w:r>
      <w:r>
        <w:rPr>
          <w:rFonts w:hint="eastAsia" w:ascii="Times New Roman" w:hAnsi="Times New Roman" w:eastAsia="方正仿宋_GBK"/>
          <w:sz w:val="32"/>
          <w:szCs w:val="32"/>
          <w:u w:val="none"/>
        </w:rPr>
        <w:t>灾害防治及应急管理支出8.32</w:t>
      </w:r>
      <w:r>
        <w:rPr>
          <w:rFonts w:ascii="Times New Roman" w:hAnsi="Times New Roman" w:eastAsia="方正仿宋_GBK"/>
          <w:sz w:val="32"/>
          <w:szCs w:val="32"/>
          <w:u w:val="none"/>
        </w:rPr>
        <w:t>万元</w:t>
      </w:r>
      <w:r>
        <w:rPr>
          <w:rFonts w:hint="eastAsia" w:ascii="Times New Roman" w:hAnsi="Times New Roman" w:eastAsia="方正仿宋_GBK"/>
          <w:sz w:val="32"/>
          <w:szCs w:val="32"/>
          <w:u w:val="none"/>
          <w:lang w:eastAsia="zh-CN"/>
        </w:rPr>
        <w:t>，</w:t>
      </w:r>
      <w:r>
        <w:rPr>
          <w:rFonts w:hint="eastAsia" w:ascii="Times New Roman" w:hAnsi="Times New Roman" w:eastAsia="方正仿宋_GBK"/>
          <w:sz w:val="32"/>
          <w:szCs w:val="32"/>
          <w:u w:val="none"/>
          <w:lang w:val="en-US" w:eastAsia="zh-CN"/>
        </w:rPr>
        <w:t>其他支出81.5万元。</w:t>
      </w:r>
      <w:r>
        <w:rPr>
          <w:rFonts w:ascii="Times New Roman" w:hAnsi="Times New Roman" w:eastAsia="方正仿宋_GBK"/>
          <w:sz w:val="32"/>
          <w:szCs w:val="32"/>
          <w:u w:val="none"/>
        </w:rPr>
        <w:t>支出预算较上年增加</w:t>
      </w:r>
      <w:r>
        <w:rPr>
          <w:rFonts w:hint="eastAsia" w:ascii="Times New Roman" w:hAnsi="Times New Roman" w:eastAsia="方正仿宋_GBK"/>
          <w:sz w:val="32"/>
          <w:szCs w:val="32"/>
          <w:u w:val="none"/>
          <w:lang w:val="en-US" w:eastAsia="zh-CN"/>
        </w:rPr>
        <w:t>18.97</w:t>
      </w:r>
      <w:r>
        <w:rPr>
          <w:rFonts w:ascii="Times New Roman" w:hAnsi="Times New Roman" w:eastAsia="方正仿宋_GBK"/>
          <w:sz w:val="32"/>
          <w:szCs w:val="32"/>
          <w:u w:val="none"/>
        </w:rPr>
        <w:t>万元，主要是基本支出预算减少</w:t>
      </w:r>
      <w:r>
        <w:rPr>
          <w:rFonts w:hint="eastAsia" w:ascii="Times New Roman" w:hAnsi="Times New Roman" w:eastAsia="方正仿宋_GBK"/>
          <w:sz w:val="32"/>
          <w:szCs w:val="32"/>
          <w:u w:val="none"/>
          <w:lang w:val="en-US" w:eastAsia="zh-CN"/>
        </w:rPr>
        <w:t>15.17</w:t>
      </w:r>
      <w:r>
        <w:rPr>
          <w:rFonts w:ascii="Times New Roman" w:hAnsi="Times New Roman" w:eastAsia="方正仿宋_GBK"/>
          <w:sz w:val="32"/>
          <w:szCs w:val="32"/>
          <w:u w:val="none"/>
        </w:rPr>
        <w:t>万元，项目支出预算</w:t>
      </w:r>
      <w:r>
        <w:rPr>
          <w:rFonts w:hint="eastAsia" w:ascii="Times New Roman" w:hAnsi="Times New Roman" w:eastAsia="方正仿宋_GBK"/>
          <w:sz w:val="32"/>
          <w:szCs w:val="32"/>
          <w:u w:val="none"/>
          <w:lang w:val="en-US" w:eastAsia="zh-CN"/>
        </w:rPr>
        <w:t>减少34.14</w:t>
      </w:r>
      <w:r>
        <w:rPr>
          <w:rFonts w:ascii="Times New Roman" w:hAnsi="Times New Roman" w:eastAsia="方正仿宋_GBK"/>
          <w:sz w:val="32"/>
          <w:szCs w:val="32"/>
          <w:u w:val="none"/>
        </w:rPr>
        <w:t>万元。</w:t>
      </w:r>
    </w:p>
    <w:p>
      <w:pPr>
        <w:spacing w:line="600" w:lineRule="exact"/>
        <w:ind w:firstLine="640" w:firstLineChars="200"/>
        <w:rPr>
          <w:rFonts w:ascii="方正黑体_GBK" w:hAnsi="Times New Roman" w:eastAsia="方正黑体_GBK"/>
          <w:sz w:val="32"/>
          <w:szCs w:val="32"/>
          <w:u w:val="none"/>
        </w:rPr>
      </w:pPr>
      <w:r>
        <w:rPr>
          <w:rFonts w:ascii="方正黑体_GBK" w:hAnsi="Times New Roman" w:eastAsia="方正黑体_GBK"/>
          <w:sz w:val="32"/>
          <w:szCs w:val="32"/>
          <w:u w:val="none"/>
        </w:rPr>
        <w:t>三、</w:t>
      </w:r>
      <w:r>
        <w:rPr>
          <w:rFonts w:hint="eastAsia" w:ascii="方正黑体_GBK" w:hAnsi="Times New Roman" w:eastAsia="方正黑体_GBK"/>
          <w:sz w:val="32"/>
          <w:szCs w:val="32"/>
          <w:u w:val="none"/>
        </w:rPr>
        <w:t>部门预算情况说明</w:t>
      </w:r>
    </w:p>
    <w:p>
      <w:pPr>
        <w:spacing w:line="600" w:lineRule="exact"/>
        <w:ind w:firstLine="640" w:firstLineChars="200"/>
        <w:rPr>
          <w:rFonts w:ascii="Times New Roman" w:hAnsi="Times New Roman" w:eastAsia="方正仿宋_GBK"/>
          <w:sz w:val="32"/>
          <w:szCs w:val="32"/>
          <w:u w:val="none"/>
        </w:rPr>
      </w:pPr>
      <w:r>
        <w:rPr>
          <w:rFonts w:hint="eastAsia" w:ascii="Times New Roman" w:hAnsi="Times New Roman" w:eastAsia="方正仿宋_GBK"/>
          <w:sz w:val="32"/>
          <w:szCs w:val="32"/>
          <w:u w:val="none"/>
          <w:lang w:eastAsia="zh-CN"/>
        </w:rPr>
        <w:t>2025</w:t>
      </w:r>
      <w:r>
        <w:rPr>
          <w:rFonts w:ascii="Times New Roman" w:hAnsi="Times New Roman" w:eastAsia="方正仿宋_GBK"/>
          <w:sz w:val="32"/>
          <w:szCs w:val="32"/>
          <w:u w:val="none"/>
        </w:rPr>
        <w:t>年一般公共预算财政拨款收入</w:t>
      </w:r>
      <w:r>
        <w:rPr>
          <w:rFonts w:hint="eastAsia" w:ascii="Times New Roman" w:hAnsi="Times New Roman" w:eastAsia="方正仿宋_GBK"/>
          <w:sz w:val="32"/>
          <w:szCs w:val="32"/>
          <w:u w:val="none"/>
          <w:lang w:val="en-US" w:eastAsia="zh-CN"/>
        </w:rPr>
        <w:t>1088.1</w:t>
      </w:r>
      <w:r>
        <w:rPr>
          <w:rFonts w:ascii="Times New Roman" w:hAnsi="Times New Roman" w:eastAsia="方正仿宋_GBK"/>
          <w:sz w:val="32"/>
          <w:szCs w:val="32"/>
          <w:u w:val="none"/>
        </w:rPr>
        <w:t>万元，一般公共预算财政拨款支出</w:t>
      </w:r>
      <w:r>
        <w:rPr>
          <w:rFonts w:hint="eastAsia" w:ascii="Times New Roman" w:hAnsi="Times New Roman" w:eastAsia="方正仿宋_GBK"/>
          <w:sz w:val="32"/>
          <w:szCs w:val="32"/>
          <w:u w:val="none"/>
          <w:lang w:val="en-US" w:eastAsia="zh-CN"/>
        </w:rPr>
        <w:t>1088.1</w:t>
      </w:r>
      <w:r>
        <w:rPr>
          <w:rFonts w:ascii="Times New Roman" w:hAnsi="Times New Roman" w:eastAsia="方正仿宋_GBK"/>
          <w:sz w:val="32"/>
          <w:szCs w:val="32"/>
          <w:u w:val="none"/>
        </w:rPr>
        <w:t>万元，比上年</w:t>
      </w:r>
      <w:r>
        <w:rPr>
          <w:rFonts w:hint="eastAsia" w:ascii="Times New Roman" w:hAnsi="Times New Roman" w:eastAsia="方正仿宋_GBK"/>
          <w:sz w:val="32"/>
          <w:szCs w:val="32"/>
          <w:u w:val="none"/>
          <w:lang w:eastAsia="zh-CN"/>
        </w:rPr>
        <w:t>减少</w:t>
      </w:r>
      <w:r>
        <w:rPr>
          <w:rFonts w:hint="eastAsia" w:ascii="Times New Roman" w:hAnsi="Times New Roman" w:eastAsia="方正仿宋_GBK"/>
          <w:sz w:val="32"/>
          <w:szCs w:val="32"/>
          <w:u w:val="none"/>
          <w:lang w:val="en-US" w:eastAsia="zh-CN"/>
        </w:rPr>
        <w:t>55.01</w:t>
      </w:r>
      <w:r>
        <w:rPr>
          <w:rFonts w:ascii="Times New Roman" w:hAnsi="Times New Roman" w:eastAsia="方正仿宋_GBK"/>
          <w:sz w:val="32"/>
          <w:szCs w:val="32"/>
          <w:u w:val="none"/>
        </w:rPr>
        <w:t>万元，其中：基本支出</w:t>
      </w:r>
      <w:r>
        <w:rPr>
          <w:rFonts w:hint="eastAsia" w:ascii="Times New Roman" w:hAnsi="Times New Roman" w:eastAsia="方正仿宋_GBK"/>
          <w:sz w:val="32"/>
          <w:szCs w:val="32"/>
          <w:u w:val="none"/>
        </w:rPr>
        <w:t>789.72</w:t>
      </w:r>
      <w:r>
        <w:rPr>
          <w:rFonts w:ascii="Times New Roman" w:hAnsi="Times New Roman" w:eastAsia="方正仿宋_GBK"/>
          <w:sz w:val="32"/>
          <w:szCs w:val="32"/>
          <w:u w:val="none"/>
        </w:rPr>
        <w:t>万元，比上年减少</w:t>
      </w:r>
      <w:r>
        <w:rPr>
          <w:rFonts w:hint="eastAsia" w:ascii="Times New Roman" w:hAnsi="Times New Roman" w:eastAsia="方正仿宋_GBK"/>
          <w:sz w:val="32"/>
          <w:szCs w:val="32"/>
          <w:u w:val="none"/>
          <w:lang w:val="en-US" w:eastAsia="zh-CN"/>
        </w:rPr>
        <w:t>15.17</w:t>
      </w:r>
      <w:r>
        <w:rPr>
          <w:rFonts w:hint="eastAsia" w:ascii="Times New Roman" w:hAnsi="Times New Roman" w:eastAsia="方正仿宋_GBK"/>
          <w:sz w:val="32"/>
          <w:szCs w:val="32"/>
          <w:u w:val="none"/>
        </w:rPr>
        <w:t>万</w:t>
      </w:r>
      <w:r>
        <w:rPr>
          <w:rFonts w:ascii="Times New Roman" w:hAnsi="Times New Roman" w:eastAsia="方正仿宋_GBK"/>
          <w:sz w:val="32"/>
          <w:szCs w:val="32"/>
          <w:u w:val="none"/>
        </w:rPr>
        <w:t>元，主要原因是</w:t>
      </w:r>
      <w:r>
        <w:rPr>
          <w:rFonts w:hint="eastAsia" w:ascii="方正仿宋_GBK" w:eastAsia="方正仿宋_GBK"/>
          <w:sz w:val="32"/>
          <w:szCs w:val="32"/>
          <w:u w:val="none"/>
        </w:rPr>
        <w:t>预算实有人数减少，行政参公单位公用经费综合定额减少，遗嘱人员补助列为基本支出等，预算减少</w:t>
      </w:r>
      <w:r>
        <w:rPr>
          <w:rFonts w:hint="eastAsia" w:ascii="Times New Roman" w:hAnsi="Times New Roman" w:eastAsia="方正仿宋_GBK"/>
          <w:sz w:val="32"/>
          <w:szCs w:val="32"/>
          <w:u w:val="none"/>
        </w:rPr>
        <w:t>；基本支出</w:t>
      </w:r>
      <w:r>
        <w:rPr>
          <w:rFonts w:ascii="Times New Roman" w:hAnsi="Times New Roman" w:eastAsia="方正仿宋_GBK"/>
          <w:sz w:val="32"/>
          <w:szCs w:val="32"/>
          <w:u w:val="none"/>
        </w:rPr>
        <w:t>主要</w:t>
      </w:r>
      <w:r>
        <w:rPr>
          <w:rFonts w:hint="eastAsia" w:ascii="方正仿宋_GBK" w:eastAsia="方正仿宋_GBK"/>
          <w:sz w:val="32"/>
          <w:szCs w:val="32"/>
          <w:u w:val="none"/>
        </w:rPr>
        <w:t>用于在职人员工资福利及社会保险缴费，离休人员离休费，退休人员补助等，保障部门正常运转的各项商品服务支出</w:t>
      </w:r>
      <w:r>
        <w:rPr>
          <w:rFonts w:hint="eastAsia" w:ascii="方正仿宋_GBK" w:eastAsia="方正仿宋_GBK"/>
          <w:sz w:val="32"/>
          <w:szCs w:val="32"/>
          <w:u w:val="none"/>
          <w:lang w:eastAsia="zh-CN"/>
        </w:rPr>
        <w:t>；</w:t>
      </w:r>
      <w:r>
        <w:rPr>
          <w:rFonts w:hint="eastAsia" w:ascii="Times New Roman" w:hAnsi="Times New Roman" w:eastAsia="方正仿宋_GBK"/>
          <w:sz w:val="32"/>
          <w:szCs w:val="32"/>
          <w:u w:val="none"/>
        </w:rPr>
        <w:t>基本支出主要用于人员经费</w:t>
      </w:r>
      <w:r>
        <w:rPr>
          <w:rFonts w:ascii="Times New Roman" w:hAnsi="Times New Roman" w:eastAsia="方正仿宋_GBK"/>
          <w:sz w:val="32"/>
          <w:szCs w:val="32"/>
          <w:u w:val="none"/>
        </w:rPr>
        <w:t>；项目支出</w:t>
      </w:r>
      <w:r>
        <w:rPr>
          <w:rFonts w:hint="eastAsia" w:ascii="Times New Roman" w:hAnsi="Times New Roman" w:eastAsia="方正仿宋_GBK"/>
          <w:sz w:val="32"/>
          <w:szCs w:val="32"/>
          <w:u w:val="none"/>
        </w:rPr>
        <w:t>298.38</w:t>
      </w:r>
      <w:r>
        <w:rPr>
          <w:rFonts w:ascii="Times New Roman" w:hAnsi="Times New Roman" w:eastAsia="方正仿宋_GBK"/>
          <w:sz w:val="32"/>
          <w:szCs w:val="32"/>
          <w:u w:val="none"/>
        </w:rPr>
        <w:t>万元，比上年</w:t>
      </w:r>
      <w:r>
        <w:rPr>
          <w:rFonts w:hint="eastAsia" w:ascii="Times New Roman" w:hAnsi="Times New Roman" w:eastAsia="方正仿宋_GBK"/>
          <w:sz w:val="32"/>
          <w:szCs w:val="32"/>
          <w:u w:val="none"/>
          <w:lang w:eastAsia="zh-CN"/>
        </w:rPr>
        <w:t>减少</w:t>
      </w:r>
      <w:r>
        <w:rPr>
          <w:rFonts w:hint="eastAsia" w:ascii="Times New Roman" w:hAnsi="Times New Roman" w:eastAsia="方正仿宋_GBK"/>
          <w:sz w:val="32"/>
          <w:szCs w:val="32"/>
          <w:u w:val="none"/>
          <w:lang w:val="en-US" w:eastAsia="zh-CN"/>
        </w:rPr>
        <w:t>39.84</w:t>
      </w:r>
      <w:r>
        <w:rPr>
          <w:rFonts w:ascii="Times New Roman" w:hAnsi="Times New Roman" w:eastAsia="方正仿宋_GBK"/>
          <w:sz w:val="32"/>
          <w:szCs w:val="32"/>
          <w:u w:val="none"/>
        </w:rPr>
        <w:t>万元，主要原因是</w:t>
      </w:r>
      <w:r>
        <w:rPr>
          <w:rFonts w:hint="eastAsia" w:ascii="Times New Roman" w:hAnsi="Times New Roman" w:eastAsia="方正仿宋_GBK"/>
          <w:sz w:val="32"/>
          <w:szCs w:val="32"/>
          <w:u w:val="none"/>
          <w:lang w:val="en-US" w:eastAsia="zh-CN"/>
        </w:rPr>
        <w:t>农林水支出减少</w:t>
      </w:r>
      <w:r>
        <w:rPr>
          <w:rFonts w:ascii="Times New Roman" w:hAnsi="Times New Roman" w:eastAsia="方正仿宋_GBK"/>
          <w:sz w:val="32"/>
          <w:szCs w:val="32"/>
          <w:u w:val="none"/>
        </w:rPr>
        <w:t>，</w:t>
      </w:r>
      <w:r>
        <w:rPr>
          <w:rFonts w:hint="eastAsia" w:ascii="Times New Roman" w:hAnsi="Times New Roman" w:eastAsia="方正仿宋_GBK"/>
          <w:sz w:val="32"/>
          <w:szCs w:val="32"/>
          <w:u w:val="none"/>
        </w:rPr>
        <w:t>项目支出</w:t>
      </w:r>
      <w:r>
        <w:rPr>
          <w:rFonts w:ascii="Times New Roman" w:hAnsi="Times New Roman" w:eastAsia="方正仿宋_GBK"/>
          <w:sz w:val="32"/>
          <w:szCs w:val="32"/>
          <w:u w:val="none"/>
        </w:rPr>
        <w:t>主要用于</w:t>
      </w:r>
      <w:r>
        <w:rPr>
          <w:rFonts w:hint="eastAsia" w:ascii="方正仿宋_GBK" w:eastAsia="方正仿宋_GBK"/>
          <w:sz w:val="32"/>
          <w:szCs w:val="32"/>
          <w:u w:val="none"/>
        </w:rPr>
        <w:t>村干部报酬、集镇维护与管理、驻村工作队、离任村干部补助等</w:t>
      </w:r>
      <w:r>
        <w:rPr>
          <w:rFonts w:ascii="Times New Roman" w:hAnsi="Times New Roman" w:eastAsia="方正仿宋_GBK"/>
          <w:sz w:val="32"/>
          <w:szCs w:val="32"/>
          <w:u w:val="none"/>
        </w:rPr>
        <w:t>。</w:t>
      </w:r>
    </w:p>
    <w:p>
      <w:pPr>
        <w:spacing w:line="600" w:lineRule="exact"/>
        <w:ind w:firstLine="640" w:firstLineChars="200"/>
        <w:rPr>
          <w:rFonts w:hint="eastAsia" w:ascii="Times New Roman" w:hAnsi="Times New Roman" w:eastAsia="方正仿宋_GBK" w:cs="仿宋_GB2312"/>
          <w:sz w:val="32"/>
          <w:u w:val="none"/>
          <w:lang w:eastAsia="zh-CN"/>
        </w:rPr>
      </w:pPr>
      <w:r>
        <w:rPr>
          <w:rFonts w:hint="eastAsia" w:ascii="Times New Roman" w:hAnsi="Times New Roman" w:eastAsia="方正仿宋_GBK" w:cs="仿宋_GB2312"/>
          <w:sz w:val="32"/>
          <w:u w:val="none"/>
          <w:lang w:eastAsia="zh-CN"/>
        </w:rPr>
        <w:t>2025</w:t>
      </w:r>
      <w:r>
        <w:rPr>
          <w:rFonts w:hint="eastAsia" w:ascii="Times New Roman" w:hAnsi="Times New Roman" w:eastAsia="方正仿宋_GBK" w:cs="仿宋_GB2312"/>
          <w:sz w:val="32"/>
          <w:u w:val="none"/>
        </w:rPr>
        <w:t>年政府性基金预算收入81.50万元，政府性基金预算支出81.50万元，比</w:t>
      </w:r>
      <w:r>
        <w:rPr>
          <w:rFonts w:hint="eastAsia" w:ascii="Times New Roman" w:hAnsi="Times New Roman" w:eastAsia="方正仿宋_GBK" w:cs="仿宋_GB2312"/>
          <w:sz w:val="32"/>
          <w:u w:val="none"/>
          <w:lang w:eastAsia="zh-CN"/>
        </w:rPr>
        <w:t>2024</w:t>
      </w:r>
      <w:r>
        <w:rPr>
          <w:rFonts w:hint="eastAsia" w:ascii="Times New Roman" w:hAnsi="Times New Roman" w:eastAsia="方正仿宋_GBK" w:cs="仿宋_GB2312"/>
          <w:sz w:val="32"/>
          <w:u w:val="none"/>
        </w:rPr>
        <w:t>年增加</w:t>
      </w:r>
      <w:r>
        <w:rPr>
          <w:rFonts w:hint="eastAsia" w:ascii="Times New Roman" w:hAnsi="Times New Roman" w:eastAsia="方正仿宋_GBK" w:cs="仿宋_GB2312"/>
          <w:sz w:val="32"/>
          <w:u w:val="none"/>
          <w:lang w:val="en-US" w:eastAsia="zh-CN"/>
        </w:rPr>
        <w:t>73.98</w:t>
      </w:r>
      <w:r>
        <w:rPr>
          <w:rFonts w:hint="eastAsia" w:ascii="Times New Roman" w:hAnsi="Times New Roman" w:eastAsia="方正仿宋_GBK" w:cs="仿宋_GB2312"/>
          <w:sz w:val="32"/>
          <w:u w:val="none"/>
        </w:rPr>
        <w:t>万元，主要原因是彩票公益金安排的支出</w:t>
      </w:r>
      <w:r>
        <w:rPr>
          <w:rFonts w:hint="eastAsia" w:ascii="Times New Roman" w:hAnsi="Times New Roman" w:eastAsia="方正仿宋_GBK" w:cs="仿宋_GB2312"/>
          <w:sz w:val="32"/>
          <w:u w:val="none"/>
          <w:lang w:val="en-US" w:eastAsia="zh-CN"/>
        </w:rPr>
        <w:t>有所增加</w:t>
      </w:r>
      <w:r>
        <w:rPr>
          <w:rFonts w:hint="eastAsia" w:ascii="Times New Roman" w:hAnsi="Times New Roman" w:eastAsia="方正仿宋_GBK" w:cs="仿宋_GB2312"/>
          <w:sz w:val="32"/>
          <w:u w:val="none"/>
        </w:rPr>
        <w:t>，主要用于社会福利的彩票公益金支出。</w:t>
      </w:r>
    </w:p>
    <w:p>
      <w:pPr>
        <w:spacing w:line="600" w:lineRule="exact"/>
        <w:ind w:firstLine="640" w:firstLineChars="200"/>
        <w:rPr>
          <w:rFonts w:ascii="方正黑体_GBK" w:hAnsi="Times New Roman" w:eastAsia="方正黑体_GBK"/>
          <w:sz w:val="32"/>
          <w:szCs w:val="32"/>
          <w:u w:val="none"/>
        </w:rPr>
      </w:pPr>
      <w:r>
        <w:rPr>
          <w:rFonts w:ascii="方正黑体_GBK" w:hAnsi="Times New Roman" w:eastAsia="方正黑体_GBK"/>
          <w:sz w:val="32"/>
          <w:szCs w:val="32"/>
          <w:u w:val="none"/>
        </w:rPr>
        <w:t>四、“三公”经费情况说明</w:t>
      </w:r>
    </w:p>
    <w:p>
      <w:pPr>
        <w:spacing w:line="600" w:lineRule="exact"/>
        <w:ind w:firstLine="600"/>
        <w:rPr>
          <w:rFonts w:hint="eastAsia" w:ascii="Times New Roman" w:hAnsi="Times New Roman" w:eastAsia="方正仿宋_GBK"/>
          <w:sz w:val="32"/>
          <w:szCs w:val="32"/>
          <w:u w:val="none"/>
          <w:lang w:eastAsia="zh-CN"/>
        </w:rPr>
      </w:pPr>
      <w:r>
        <w:rPr>
          <w:rFonts w:hint="eastAsia" w:ascii="Times New Roman" w:hAnsi="Times New Roman" w:eastAsia="方正仿宋_GBK"/>
          <w:sz w:val="32"/>
          <w:szCs w:val="32"/>
          <w:u w:val="none"/>
          <w:lang w:eastAsia="zh-CN"/>
        </w:rPr>
        <w:t>2025</w:t>
      </w:r>
      <w:r>
        <w:rPr>
          <w:rFonts w:ascii="Times New Roman" w:hAnsi="Times New Roman" w:eastAsia="方正仿宋_GBK"/>
          <w:sz w:val="32"/>
          <w:szCs w:val="32"/>
          <w:u w:val="none"/>
        </w:rPr>
        <w:t>年</w:t>
      </w:r>
      <w:r>
        <w:rPr>
          <w:rFonts w:hint="eastAsia" w:ascii="Times New Roman" w:hAnsi="Times New Roman" w:eastAsia="方正仿宋_GBK"/>
          <w:sz w:val="32"/>
          <w:szCs w:val="32"/>
          <w:u w:val="none"/>
        </w:rPr>
        <w:t>财政</w:t>
      </w:r>
      <w:r>
        <w:rPr>
          <w:rFonts w:ascii="Times New Roman" w:hAnsi="Times New Roman" w:eastAsia="方正仿宋_GBK"/>
          <w:sz w:val="32"/>
          <w:szCs w:val="32"/>
          <w:u w:val="none"/>
        </w:rPr>
        <w:t>拨款安排的“三公”经费预算</w:t>
      </w:r>
      <w:r>
        <w:rPr>
          <w:rFonts w:hint="eastAsia" w:ascii="Times New Roman" w:hAnsi="Times New Roman" w:eastAsia="方正仿宋_GBK"/>
          <w:sz w:val="32"/>
          <w:szCs w:val="32"/>
          <w:u w:val="none"/>
          <w:lang w:val="en-US" w:eastAsia="zh-CN"/>
        </w:rPr>
        <w:t>7.5</w:t>
      </w:r>
      <w:r>
        <w:rPr>
          <w:rFonts w:ascii="Times New Roman" w:hAnsi="Times New Roman" w:eastAsia="方正仿宋_GBK"/>
          <w:sz w:val="32"/>
          <w:szCs w:val="32"/>
          <w:u w:val="none"/>
        </w:rPr>
        <w:t>万元，比上年</w:t>
      </w:r>
      <w:r>
        <w:rPr>
          <w:rFonts w:hint="eastAsia" w:ascii="Times New Roman" w:hAnsi="Times New Roman" w:eastAsia="方正仿宋_GBK"/>
          <w:sz w:val="32"/>
          <w:szCs w:val="32"/>
          <w:u w:val="none"/>
          <w:lang w:val="en-US" w:eastAsia="zh-CN"/>
        </w:rPr>
        <w:t>增加1.8</w:t>
      </w:r>
      <w:r>
        <w:rPr>
          <w:rFonts w:ascii="Times New Roman" w:hAnsi="Times New Roman" w:eastAsia="方正仿宋_GBK"/>
          <w:sz w:val="32"/>
          <w:szCs w:val="32"/>
          <w:u w:val="none"/>
        </w:rPr>
        <w:t>万元，其中：因公出国（境）费用</w:t>
      </w:r>
      <w:r>
        <w:rPr>
          <w:rFonts w:hint="eastAsia" w:ascii="Times New Roman" w:hAnsi="Times New Roman" w:eastAsia="方正仿宋_GBK"/>
          <w:sz w:val="32"/>
          <w:szCs w:val="32"/>
          <w:u w:val="none"/>
          <w:lang w:val="en-US" w:eastAsia="zh-CN"/>
        </w:rPr>
        <w:t>0</w:t>
      </w:r>
      <w:r>
        <w:rPr>
          <w:rFonts w:ascii="Times New Roman" w:hAnsi="Times New Roman" w:eastAsia="方正仿宋_GBK"/>
          <w:sz w:val="32"/>
          <w:szCs w:val="32"/>
          <w:u w:val="none"/>
        </w:rPr>
        <w:t>万元，</w:t>
      </w:r>
      <w:r>
        <w:rPr>
          <w:rFonts w:hint="eastAsia" w:ascii="Times New Roman" w:hAnsi="Times New Roman" w:eastAsia="方正仿宋_GBK"/>
          <w:sz w:val="32"/>
        </w:rPr>
        <w:t>比</w:t>
      </w:r>
      <w:r>
        <w:rPr>
          <w:rFonts w:hint="eastAsia" w:ascii="Times New Roman" w:hAnsi="Times New Roman" w:eastAsia="方正仿宋_GBK"/>
          <w:sz w:val="32"/>
          <w:lang w:eastAsia="zh-CN"/>
        </w:rPr>
        <w:t>2024</w:t>
      </w:r>
      <w:r>
        <w:rPr>
          <w:rFonts w:hint="eastAsia" w:ascii="Times New Roman" w:hAnsi="Times New Roman" w:eastAsia="方正仿宋_GBK"/>
          <w:sz w:val="32"/>
        </w:rPr>
        <w:t>年增加</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r>
        <w:rPr>
          <w:rFonts w:hint="eastAsia" w:ascii="Times New Roman" w:hAnsi="Times New Roman" w:eastAsia="方正仿宋_GBK"/>
          <w:sz w:val="32"/>
          <w:lang w:eastAsia="zh-CN"/>
        </w:rPr>
        <w:t>，</w:t>
      </w:r>
      <w:r>
        <w:rPr>
          <w:rFonts w:hint="eastAsia" w:ascii="Times New Roman" w:hAnsi="Times New Roman" w:eastAsia="方正仿宋_GBK" w:cs="仿宋_GB2312"/>
          <w:sz w:val="32"/>
        </w:rPr>
        <w:t>主要原因是厉行节俭，压缩</w:t>
      </w:r>
      <w:r>
        <w:rPr>
          <w:rFonts w:ascii="Times New Roman" w:hAnsi="Times New Roman" w:eastAsia="方正仿宋_GBK"/>
          <w:sz w:val="32"/>
          <w:szCs w:val="32"/>
          <w:u w:val="none"/>
        </w:rPr>
        <w:t>“三公”</w:t>
      </w:r>
      <w:r>
        <w:rPr>
          <w:rFonts w:hint="eastAsia" w:ascii="Times New Roman" w:hAnsi="Times New Roman" w:eastAsia="方正仿宋_GBK" w:cs="仿宋_GB2312"/>
          <w:sz w:val="32"/>
        </w:rPr>
        <w:t>经费预算支出</w:t>
      </w:r>
      <w:r>
        <w:rPr>
          <w:rFonts w:hint="eastAsia" w:ascii="Times New Roman" w:hAnsi="Times New Roman" w:eastAsia="方正仿宋_GBK"/>
          <w:sz w:val="32"/>
          <w:szCs w:val="32"/>
          <w:u w:val="none"/>
        </w:rPr>
        <w:t>；</w:t>
      </w:r>
      <w:r>
        <w:rPr>
          <w:rFonts w:ascii="Times New Roman" w:hAnsi="Times New Roman" w:eastAsia="方正仿宋_GBK"/>
          <w:sz w:val="32"/>
          <w:szCs w:val="32"/>
          <w:u w:val="none"/>
        </w:rPr>
        <w:t>公务接待费</w:t>
      </w:r>
      <w:r>
        <w:rPr>
          <w:rFonts w:hint="eastAsia" w:ascii="Times New Roman" w:hAnsi="Times New Roman" w:eastAsia="方正仿宋_GBK"/>
          <w:sz w:val="32"/>
          <w:szCs w:val="32"/>
          <w:u w:val="none"/>
          <w:lang w:val="en-US" w:eastAsia="zh-CN"/>
        </w:rPr>
        <w:t>0</w:t>
      </w:r>
      <w:r>
        <w:rPr>
          <w:rFonts w:ascii="Times New Roman" w:hAnsi="Times New Roman" w:eastAsia="方正仿宋_GBK"/>
          <w:sz w:val="32"/>
          <w:szCs w:val="32"/>
          <w:u w:val="none"/>
        </w:rPr>
        <w:t>万元，比上年减少</w:t>
      </w:r>
      <w:r>
        <w:rPr>
          <w:rFonts w:hint="eastAsia" w:ascii="Times New Roman" w:hAnsi="Times New Roman" w:eastAsia="方正仿宋_GBK"/>
          <w:sz w:val="32"/>
          <w:szCs w:val="32"/>
          <w:u w:val="none"/>
          <w:lang w:val="en-US" w:eastAsia="zh-CN"/>
        </w:rPr>
        <w:t>3.2</w:t>
      </w:r>
      <w:r>
        <w:rPr>
          <w:rFonts w:ascii="Times New Roman" w:hAnsi="Times New Roman" w:eastAsia="方正仿宋_GBK"/>
          <w:sz w:val="32"/>
          <w:szCs w:val="32"/>
          <w:u w:val="none"/>
        </w:rPr>
        <w:t>万元，</w:t>
      </w:r>
      <w:r>
        <w:rPr>
          <w:rFonts w:hint="eastAsia" w:ascii="Times New Roman" w:hAnsi="Times New Roman" w:eastAsia="方正仿宋_GBK"/>
          <w:sz w:val="32"/>
          <w:szCs w:val="32"/>
          <w:u w:val="none"/>
        </w:rPr>
        <w:t>主要原因是严格执行财政过紧日子政策，压缩</w:t>
      </w:r>
      <w:r>
        <w:rPr>
          <w:rFonts w:ascii="Times New Roman" w:hAnsi="Times New Roman" w:eastAsia="方正仿宋_GBK"/>
          <w:sz w:val="32"/>
          <w:szCs w:val="32"/>
          <w:u w:val="none"/>
        </w:rPr>
        <w:t>“三公”</w:t>
      </w:r>
      <w:r>
        <w:rPr>
          <w:rFonts w:hint="eastAsia" w:ascii="Times New Roman" w:hAnsi="Times New Roman" w:eastAsia="方正仿宋_GBK"/>
          <w:sz w:val="32"/>
          <w:szCs w:val="32"/>
          <w:u w:val="none"/>
        </w:rPr>
        <w:t>经费支出；</w:t>
      </w:r>
      <w:r>
        <w:rPr>
          <w:rFonts w:ascii="Times New Roman" w:hAnsi="Times New Roman" w:eastAsia="方正仿宋_GBK"/>
          <w:sz w:val="32"/>
          <w:szCs w:val="32"/>
          <w:u w:val="none"/>
        </w:rPr>
        <w:t>公务用车运行维护费</w:t>
      </w:r>
      <w:r>
        <w:rPr>
          <w:rFonts w:hint="eastAsia" w:ascii="Times New Roman" w:hAnsi="Times New Roman" w:eastAsia="方正仿宋_GBK"/>
          <w:sz w:val="32"/>
          <w:szCs w:val="32"/>
          <w:u w:val="none"/>
          <w:lang w:val="en-US" w:eastAsia="zh-CN"/>
        </w:rPr>
        <w:t>7.5</w:t>
      </w:r>
      <w:r>
        <w:rPr>
          <w:rFonts w:ascii="Times New Roman" w:hAnsi="Times New Roman" w:eastAsia="方正仿宋_GBK"/>
          <w:sz w:val="32"/>
          <w:szCs w:val="32"/>
          <w:u w:val="none"/>
        </w:rPr>
        <w:t>万元，比上年</w:t>
      </w:r>
      <w:r>
        <w:rPr>
          <w:rFonts w:hint="eastAsia" w:ascii="Times New Roman" w:hAnsi="Times New Roman" w:eastAsia="方正仿宋_GBK"/>
          <w:sz w:val="32"/>
          <w:szCs w:val="32"/>
          <w:u w:val="none"/>
          <w:lang w:val="en-US" w:eastAsia="zh-CN"/>
        </w:rPr>
        <w:t>增加5</w:t>
      </w:r>
      <w:r>
        <w:rPr>
          <w:rFonts w:ascii="Times New Roman" w:hAnsi="Times New Roman" w:eastAsia="方正仿宋_GBK"/>
          <w:sz w:val="32"/>
          <w:szCs w:val="32"/>
          <w:u w:val="none"/>
        </w:rPr>
        <w:t>万元</w:t>
      </w:r>
      <w:r>
        <w:rPr>
          <w:rFonts w:hint="eastAsia" w:ascii="Times New Roman" w:hAnsi="Times New Roman" w:eastAsia="方正仿宋_GBK"/>
          <w:sz w:val="32"/>
          <w:szCs w:val="32"/>
          <w:u w:val="none"/>
          <w:lang w:eastAsia="zh-CN"/>
        </w:rPr>
        <w:t>，</w:t>
      </w:r>
      <w:r>
        <w:rPr>
          <w:rFonts w:hint="eastAsia" w:ascii="Times New Roman" w:hAnsi="Times New Roman" w:eastAsia="方正仿宋_GBK" w:cs="仿宋_GB2312"/>
          <w:sz w:val="32"/>
        </w:rPr>
        <w:t>主要原因是</w:t>
      </w:r>
      <w:r>
        <w:rPr>
          <w:rFonts w:hint="eastAsia" w:ascii="Times New Roman" w:hAnsi="Times New Roman" w:eastAsia="方正仿宋_GBK"/>
          <w:sz w:val="32"/>
          <w:szCs w:val="32"/>
          <w:lang w:val="en-US" w:eastAsia="zh-CN"/>
        </w:rPr>
        <w:t>为保障我镇日常工作的正常开展及运转</w:t>
      </w:r>
      <w:r>
        <w:rPr>
          <w:rFonts w:ascii="Times New Roman" w:hAnsi="Times New Roman" w:eastAsia="方正仿宋_GBK"/>
          <w:sz w:val="32"/>
          <w:szCs w:val="32"/>
          <w:u w:val="none"/>
        </w:rPr>
        <w:t>；公务用车购置</w:t>
      </w:r>
      <w:r>
        <w:rPr>
          <w:rFonts w:hint="eastAsia" w:ascii="Times New Roman" w:hAnsi="Times New Roman" w:eastAsia="方正仿宋_GBK"/>
          <w:sz w:val="32"/>
          <w:szCs w:val="32"/>
          <w:u w:val="none"/>
          <w:lang w:val="en-US" w:eastAsia="zh-CN"/>
        </w:rPr>
        <w:t>0</w:t>
      </w:r>
      <w:r>
        <w:rPr>
          <w:rFonts w:ascii="Times New Roman" w:hAnsi="Times New Roman" w:eastAsia="方正仿宋_GBK"/>
          <w:sz w:val="32"/>
          <w:szCs w:val="32"/>
          <w:u w:val="none"/>
        </w:rPr>
        <w:t>万元，</w:t>
      </w:r>
      <w:r>
        <w:rPr>
          <w:rFonts w:hint="eastAsia" w:ascii="Times New Roman" w:hAnsi="Times New Roman" w:eastAsia="方正仿宋_GBK"/>
          <w:sz w:val="32"/>
        </w:rPr>
        <w:t>比</w:t>
      </w:r>
      <w:r>
        <w:rPr>
          <w:rFonts w:hint="eastAsia" w:ascii="Times New Roman" w:hAnsi="Times New Roman" w:eastAsia="方正仿宋_GBK"/>
          <w:sz w:val="32"/>
          <w:lang w:eastAsia="zh-CN"/>
        </w:rPr>
        <w:t>2024</w:t>
      </w:r>
      <w:r>
        <w:rPr>
          <w:rFonts w:hint="eastAsia" w:ascii="Times New Roman" w:hAnsi="Times New Roman" w:eastAsia="方正仿宋_GBK"/>
          <w:sz w:val="32"/>
        </w:rPr>
        <w:t>年增加</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r>
        <w:rPr>
          <w:rFonts w:hint="eastAsia" w:ascii="Times New Roman" w:hAnsi="Times New Roman" w:eastAsia="方正仿宋_GBK"/>
          <w:sz w:val="32"/>
          <w:lang w:eastAsia="zh-CN"/>
        </w:rPr>
        <w:t>，</w:t>
      </w:r>
      <w:r>
        <w:rPr>
          <w:rFonts w:hint="eastAsia" w:ascii="Times New Roman" w:hAnsi="Times New Roman" w:eastAsia="方正仿宋_GBK"/>
          <w:sz w:val="32"/>
          <w:szCs w:val="32"/>
          <w:u w:val="none"/>
        </w:rPr>
        <w:t>主要原因是严格执行财政过紧日子政策，压缩</w:t>
      </w:r>
      <w:r>
        <w:rPr>
          <w:rFonts w:ascii="Times New Roman" w:hAnsi="Times New Roman" w:eastAsia="方正仿宋_GBK"/>
          <w:sz w:val="32"/>
          <w:szCs w:val="32"/>
          <w:u w:val="none"/>
        </w:rPr>
        <w:t>“三公”</w:t>
      </w:r>
      <w:r>
        <w:rPr>
          <w:rFonts w:hint="eastAsia" w:ascii="Times New Roman" w:hAnsi="Times New Roman" w:eastAsia="方正仿宋_GBK"/>
          <w:sz w:val="32"/>
          <w:szCs w:val="32"/>
          <w:u w:val="none"/>
        </w:rPr>
        <w:t>经费支出</w:t>
      </w:r>
      <w:r>
        <w:rPr>
          <w:rFonts w:hint="eastAsia" w:ascii="Times New Roman" w:hAnsi="Times New Roman" w:eastAsia="方正仿宋_GBK"/>
          <w:sz w:val="32"/>
          <w:szCs w:val="32"/>
          <w:u w:val="none"/>
          <w:lang w:eastAsia="zh-CN"/>
        </w:rPr>
        <w:t>。</w:t>
      </w:r>
    </w:p>
    <w:p>
      <w:pPr>
        <w:spacing w:line="600" w:lineRule="exact"/>
        <w:ind w:firstLine="640" w:firstLineChars="200"/>
        <w:rPr>
          <w:rFonts w:ascii="方正黑体_GBK" w:hAnsi="Times New Roman" w:eastAsia="方正黑体_GBK"/>
          <w:sz w:val="32"/>
          <w:szCs w:val="32"/>
          <w:u w:val="none"/>
        </w:rPr>
      </w:pPr>
      <w:r>
        <w:rPr>
          <w:rFonts w:ascii="方正黑体_GBK" w:hAnsi="Times New Roman" w:eastAsia="方正黑体_GBK"/>
          <w:sz w:val="32"/>
          <w:szCs w:val="32"/>
          <w:u w:val="none"/>
        </w:rPr>
        <w:t>五、其他重要事项的情况说明</w:t>
      </w:r>
    </w:p>
    <w:p>
      <w:pPr>
        <w:ind w:firstLine="640" w:firstLineChars="200"/>
        <w:rPr>
          <w:rFonts w:ascii="Times New Roman" w:hAnsi="Times New Roman" w:eastAsia="方正仿宋_GBK"/>
          <w:sz w:val="32"/>
          <w:szCs w:val="32"/>
          <w:u w:val="none"/>
        </w:rPr>
      </w:pPr>
      <w:r>
        <w:rPr>
          <w:rFonts w:hint="eastAsia" w:ascii="方正楷体_GBK" w:hAnsi="方正楷体_GBK" w:eastAsia="方正楷体_GBK" w:cs="方正楷体_GBK"/>
          <w:sz w:val="32"/>
        </w:rPr>
        <w:t>（一）机关运行经费</w:t>
      </w:r>
      <w:r>
        <w:rPr>
          <w:rFonts w:hint="eastAsia" w:ascii="Times New Roman" w:hAnsi="Times New Roman" w:eastAsia="方正仿宋_GBK"/>
          <w:sz w:val="32"/>
        </w:rPr>
        <w:t>。</w:t>
      </w:r>
      <w:r>
        <w:rPr>
          <w:rFonts w:hint="eastAsia" w:ascii="Times New Roman" w:hAnsi="Times New Roman" w:eastAsia="方正仿宋_GBK"/>
          <w:sz w:val="32"/>
          <w:szCs w:val="32"/>
          <w:u w:val="none"/>
          <w:lang w:eastAsia="zh-CN"/>
        </w:rPr>
        <w:t>2025</w:t>
      </w:r>
      <w:r>
        <w:rPr>
          <w:rFonts w:ascii="Times New Roman" w:hAnsi="Times New Roman" w:eastAsia="方正仿宋_GBK"/>
          <w:sz w:val="32"/>
          <w:szCs w:val="32"/>
          <w:u w:val="none"/>
        </w:rPr>
        <w:t>年一般公共预算财政拨款运行经费</w:t>
      </w:r>
      <w:r>
        <w:rPr>
          <w:rFonts w:hint="eastAsia" w:ascii="Times New Roman" w:hAnsi="Times New Roman" w:eastAsia="方正仿宋_GBK"/>
          <w:sz w:val="32"/>
          <w:szCs w:val="32"/>
          <w:u w:val="none"/>
          <w:lang w:val="en-US" w:eastAsia="zh-CN"/>
        </w:rPr>
        <w:t>91.49</w:t>
      </w:r>
      <w:r>
        <w:rPr>
          <w:rFonts w:ascii="Times New Roman" w:hAnsi="Times New Roman" w:eastAsia="方正仿宋_GBK"/>
          <w:sz w:val="32"/>
          <w:szCs w:val="32"/>
          <w:u w:val="none"/>
        </w:rPr>
        <w:t>万元，比上年</w:t>
      </w:r>
      <w:r>
        <w:rPr>
          <w:rFonts w:hint="eastAsia" w:ascii="Times New Roman" w:hAnsi="Times New Roman" w:eastAsia="方正仿宋_GBK"/>
          <w:sz w:val="32"/>
          <w:szCs w:val="32"/>
          <w:u w:val="none"/>
          <w:lang w:val="en-US" w:eastAsia="zh-CN"/>
        </w:rPr>
        <w:t>减少7.16</w:t>
      </w:r>
      <w:r>
        <w:rPr>
          <w:rFonts w:ascii="Times New Roman" w:hAnsi="Times New Roman" w:eastAsia="方正仿宋_GBK"/>
          <w:sz w:val="32"/>
          <w:szCs w:val="32"/>
          <w:u w:val="none"/>
        </w:rPr>
        <w:t>万元，主要原因</w:t>
      </w:r>
      <w:r>
        <w:rPr>
          <w:rFonts w:hint="eastAsia" w:ascii="Times New Roman" w:hAnsi="Times New Roman" w:eastAsia="方正仿宋_GBK"/>
          <w:sz w:val="32"/>
          <w:szCs w:val="32"/>
          <w:u w:val="none"/>
        </w:rPr>
        <w:t>严格执行财政过紧日子政策，压缩</w:t>
      </w:r>
      <w:r>
        <w:rPr>
          <w:rFonts w:ascii="Times New Roman" w:hAnsi="Times New Roman" w:eastAsia="方正仿宋_GBK"/>
          <w:sz w:val="32"/>
          <w:szCs w:val="32"/>
          <w:u w:val="none"/>
        </w:rPr>
        <w:t>“三公”</w:t>
      </w:r>
      <w:bookmarkStart w:id="0" w:name="_GoBack"/>
      <w:bookmarkEnd w:id="0"/>
      <w:r>
        <w:rPr>
          <w:rFonts w:hint="eastAsia" w:ascii="Times New Roman" w:hAnsi="Times New Roman" w:eastAsia="方正仿宋_GBK"/>
          <w:sz w:val="32"/>
          <w:szCs w:val="32"/>
          <w:u w:val="none"/>
        </w:rPr>
        <w:t>经费支出</w:t>
      </w:r>
      <w:r>
        <w:rPr>
          <w:rFonts w:hint="eastAsia" w:ascii="Times New Roman" w:hAnsi="Times New Roman" w:eastAsia="方正仿宋_GBK"/>
          <w:sz w:val="32"/>
          <w:szCs w:val="32"/>
          <w:u w:val="none"/>
          <w:lang w:eastAsia="zh-CN"/>
        </w:rPr>
        <w:t>，</w:t>
      </w:r>
      <w:r>
        <w:rPr>
          <w:rFonts w:hint="eastAsia" w:ascii="Times New Roman" w:hAnsi="Times New Roman" w:eastAsia="方正仿宋_GBK"/>
          <w:sz w:val="32"/>
          <w:szCs w:val="32"/>
          <w:u w:val="none"/>
          <w:lang w:val="en-US" w:eastAsia="zh-CN"/>
        </w:rPr>
        <w:t>预算减少7.16</w:t>
      </w:r>
      <w:r>
        <w:rPr>
          <w:rFonts w:hint="eastAsia" w:ascii="Times New Roman" w:hAnsi="Times New Roman" w:eastAsia="方正仿宋_GBK"/>
          <w:sz w:val="32"/>
          <w:szCs w:val="32"/>
          <w:u w:val="none"/>
        </w:rPr>
        <w:t>万元</w:t>
      </w:r>
      <w:r>
        <w:rPr>
          <w:rFonts w:hint="eastAsia" w:ascii="Times New Roman" w:hAnsi="Times New Roman" w:eastAsia="方正仿宋_GBK"/>
          <w:sz w:val="32"/>
          <w:szCs w:val="32"/>
          <w:u w:val="none"/>
          <w:lang w:eastAsia="zh-CN"/>
        </w:rPr>
        <w:t>，</w:t>
      </w:r>
      <w:r>
        <w:rPr>
          <w:rFonts w:ascii="Times New Roman" w:hAnsi="Times New Roman" w:eastAsia="方正仿宋_GBK"/>
          <w:sz w:val="32"/>
          <w:szCs w:val="32"/>
          <w:u w:val="none"/>
        </w:rPr>
        <w:t>机关运行经费主要用于办公费、印刷费、邮电费、物管费、差旅费、会议费、培训费及其他商品和服务支出等。</w:t>
      </w:r>
    </w:p>
    <w:p>
      <w:pPr>
        <w:spacing w:line="578" w:lineRule="exact"/>
        <w:ind w:firstLine="640" w:firstLineChars="200"/>
        <w:rPr>
          <w:rFonts w:ascii="Times New Roman" w:hAnsi="Times New Roman" w:eastAsia="方正仿宋_GBK"/>
          <w:sz w:val="32"/>
          <w:szCs w:val="32"/>
          <w:u w:val="none"/>
        </w:rPr>
      </w:pPr>
      <w:r>
        <w:rPr>
          <w:rFonts w:hint="eastAsia" w:ascii="方正楷体_GBK" w:hAnsi="方正楷体_GBK" w:eastAsia="方正楷体_GBK" w:cs="方正楷体_GBK"/>
          <w:sz w:val="32"/>
        </w:rPr>
        <w:t>（二）政府采购情况</w:t>
      </w:r>
      <w:r>
        <w:rPr>
          <w:rFonts w:hint="eastAsia" w:ascii="Times New Roman" w:hAnsi="Times New Roman" w:eastAsia="方正仿宋_GBK"/>
          <w:sz w:val="32"/>
        </w:rPr>
        <w:t>。所属各预算单位政府采购预算总额</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万元；其中一般公共预算拨款政府采购</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p>
    <w:p>
      <w:pPr>
        <w:ind w:left="105" w:leftChars="50" w:firstLine="480" w:firstLineChars="150"/>
        <w:rPr>
          <w:rFonts w:ascii="Times New Roman" w:hAnsi="Times New Roman" w:eastAsia="方正仿宋_GBK"/>
          <w:sz w:val="32"/>
          <w:szCs w:val="32"/>
          <w:u w:val="none"/>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sz w:val="32"/>
        </w:rPr>
        <w:t>。</w:t>
      </w:r>
      <w:r>
        <w:rPr>
          <w:rFonts w:hint="eastAsia" w:ascii="Times New Roman" w:hAnsi="Times New Roman" w:eastAsia="方正仿宋_GBK"/>
          <w:sz w:val="32"/>
          <w:szCs w:val="32"/>
          <w:u w:val="none"/>
          <w:lang w:eastAsia="zh-CN"/>
        </w:rPr>
        <w:t>2025</w:t>
      </w:r>
      <w:r>
        <w:rPr>
          <w:rFonts w:ascii="Times New Roman" w:hAnsi="Times New Roman" w:eastAsia="方正仿宋_GBK"/>
          <w:sz w:val="32"/>
          <w:szCs w:val="32"/>
          <w:u w:val="none"/>
        </w:rPr>
        <w:t>年项目支出均实行了绩效目标管理，涉及一般公共预算当年财政拨款</w:t>
      </w:r>
      <w:r>
        <w:rPr>
          <w:rFonts w:hint="eastAsia" w:ascii="Times New Roman" w:hAnsi="Times New Roman" w:eastAsia="方正仿宋_GBK"/>
          <w:sz w:val="32"/>
          <w:szCs w:val="32"/>
          <w:u w:val="none"/>
        </w:rPr>
        <w:t>298.38</w:t>
      </w:r>
      <w:r>
        <w:rPr>
          <w:rFonts w:ascii="Times New Roman" w:hAnsi="Times New Roman" w:eastAsia="方正仿宋_GBK"/>
          <w:sz w:val="32"/>
          <w:szCs w:val="32"/>
          <w:u w:val="none"/>
        </w:rPr>
        <w:t>万元。</w:t>
      </w:r>
    </w:p>
    <w:p>
      <w:pPr>
        <w:ind w:firstLine="640" w:firstLineChars="200"/>
        <w:rPr>
          <w:rFonts w:ascii="Times New Roman" w:hAnsi="Times New Roman" w:eastAsia="方正仿宋_GBK"/>
          <w:sz w:val="32"/>
          <w:szCs w:val="32"/>
          <w:u w:val="none"/>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sz w:val="32"/>
        </w:rPr>
        <w:t>。</w:t>
      </w:r>
      <w:r>
        <w:rPr>
          <w:rFonts w:ascii="Times New Roman" w:hAnsi="Times New Roman" w:eastAsia="方正仿宋_GBK"/>
          <w:sz w:val="32"/>
          <w:szCs w:val="32"/>
          <w:u w:val="none"/>
        </w:rPr>
        <w:t>截</w:t>
      </w:r>
      <w:r>
        <w:rPr>
          <w:rFonts w:hint="eastAsia" w:ascii="Times New Roman" w:hAnsi="Times New Roman" w:eastAsia="方正仿宋_GBK"/>
          <w:sz w:val="32"/>
          <w:szCs w:val="32"/>
          <w:u w:val="none"/>
        </w:rPr>
        <w:t>至</w:t>
      </w:r>
      <w:r>
        <w:rPr>
          <w:rFonts w:hint="eastAsia" w:ascii="Times New Roman" w:hAnsi="Times New Roman" w:eastAsia="方正仿宋_GBK"/>
          <w:sz w:val="32"/>
          <w:szCs w:val="32"/>
          <w:u w:val="none"/>
          <w:lang w:eastAsia="zh-CN"/>
        </w:rPr>
        <w:t>2024</w:t>
      </w:r>
      <w:r>
        <w:rPr>
          <w:rFonts w:ascii="Times New Roman" w:hAnsi="Times New Roman" w:eastAsia="方正仿宋_GBK"/>
          <w:sz w:val="32"/>
          <w:szCs w:val="32"/>
          <w:u w:val="none"/>
        </w:rPr>
        <w:t>年12月，所属各预算单位共有车辆</w:t>
      </w:r>
      <w:r>
        <w:rPr>
          <w:rFonts w:hint="eastAsia" w:ascii="Times New Roman" w:hAnsi="Times New Roman" w:eastAsia="方正仿宋_GBK"/>
          <w:sz w:val="32"/>
          <w:szCs w:val="32"/>
          <w:u w:val="none"/>
          <w:lang w:val="en-US" w:eastAsia="zh-CN"/>
        </w:rPr>
        <w:t>2</w:t>
      </w:r>
      <w:r>
        <w:rPr>
          <w:rFonts w:ascii="Times New Roman" w:hAnsi="Times New Roman" w:eastAsia="方正仿宋_GBK"/>
          <w:sz w:val="32"/>
          <w:szCs w:val="32"/>
          <w:u w:val="none"/>
        </w:rPr>
        <w:t>辆，其中一般公务用车</w:t>
      </w:r>
      <w:r>
        <w:rPr>
          <w:rFonts w:hint="eastAsia" w:ascii="Times New Roman" w:hAnsi="Times New Roman" w:eastAsia="方正仿宋_GBK"/>
          <w:sz w:val="32"/>
          <w:szCs w:val="32"/>
          <w:u w:val="none"/>
          <w:lang w:val="en-US" w:eastAsia="zh-CN"/>
        </w:rPr>
        <w:t>2</w:t>
      </w:r>
      <w:r>
        <w:rPr>
          <w:rFonts w:ascii="Times New Roman" w:hAnsi="Times New Roman" w:eastAsia="方正仿宋_GBK"/>
          <w:sz w:val="32"/>
          <w:szCs w:val="32"/>
          <w:u w:val="none"/>
        </w:rPr>
        <w:t>辆</w:t>
      </w:r>
      <w:r>
        <w:rPr>
          <w:rFonts w:hint="eastAsia" w:ascii="Times New Roman" w:hAnsi="Times New Roman" w:eastAsia="方正仿宋_GBK"/>
          <w:sz w:val="32"/>
        </w:rPr>
        <w:t>、执勤执法用车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w:t>
      </w:r>
      <w:r>
        <w:rPr>
          <w:rFonts w:ascii="Times New Roman" w:hAnsi="Times New Roman" w:eastAsia="方正仿宋_GBK"/>
          <w:sz w:val="32"/>
          <w:szCs w:val="32"/>
          <w:u w:val="none"/>
        </w:rPr>
        <w:t>，</w:t>
      </w:r>
      <w:r>
        <w:rPr>
          <w:rFonts w:hint="eastAsia" w:ascii="Times New Roman" w:hAnsi="Times New Roman" w:eastAsia="方正仿宋_GBK"/>
          <w:sz w:val="32"/>
          <w:szCs w:val="32"/>
          <w:u w:val="none"/>
          <w:lang w:eastAsia="zh-CN"/>
        </w:rPr>
        <w:t>2025</w:t>
      </w:r>
      <w:r>
        <w:rPr>
          <w:rFonts w:ascii="Times New Roman" w:hAnsi="Times New Roman" w:eastAsia="方正仿宋_GBK"/>
          <w:sz w:val="32"/>
          <w:szCs w:val="32"/>
          <w:u w:val="none"/>
        </w:rPr>
        <w:t>年一般公共预算安排购置车辆</w:t>
      </w:r>
      <w:r>
        <w:rPr>
          <w:rFonts w:hint="eastAsia" w:ascii="Times New Roman" w:hAnsi="Times New Roman" w:eastAsia="方正仿宋_GBK"/>
          <w:sz w:val="32"/>
          <w:szCs w:val="32"/>
          <w:u w:val="none"/>
          <w:lang w:val="en-US" w:eastAsia="zh-CN"/>
        </w:rPr>
        <w:t>0</w:t>
      </w:r>
      <w:r>
        <w:rPr>
          <w:rFonts w:ascii="Times New Roman" w:hAnsi="Times New Roman" w:eastAsia="方正仿宋_GBK"/>
          <w:sz w:val="32"/>
          <w:szCs w:val="32"/>
          <w:u w:val="none"/>
        </w:rPr>
        <w:t>辆，其中一般公务用车</w:t>
      </w:r>
      <w:r>
        <w:rPr>
          <w:rFonts w:hint="eastAsia" w:ascii="Times New Roman" w:hAnsi="Times New Roman" w:eastAsia="方正仿宋_GBK"/>
          <w:sz w:val="32"/>
          <w:szCs w:val="32"/>
          <w:u w:val="none"/>
          <w:lang w:val="en-US" w:eastAsia="zh-CN"/>
        </w:rPr>
        <w:t>0</w:t>
      </w:r>
      <w:r>
        <w:rPr>
          <w:rFonts w:ascii="Times New Roman" w:hAnsi="Times New Roman" w:eastAsia="方正仿宋_GBK"/>
          <w:sz w:val="32"/>
          <w:szCs w:val="32"/>
          <w:u w:val="none"/>
        </w:rPr>
        <w:t>辆，执法执勤用车</w:t>
      </w:r>
      <w:r>
        <w:rPr>
          <w:rFonts w:hint="eastAsia" w:ascii="Times New Roman" w:hAnsi="Times New Roman" w:eastAsia="方正仿宋_GBK"/>
          <w:sz w:val="32"/>
          <w:szCs w:val="32"/>
          <w:u w:val="none"/>
          <w:lang w:val="en-US" w:eastAsia="zh-CN"/>
        </w:rPr>
        <w:t>0</w:t>
      </w:r>
      <w:r>
        <w:rPr>
          <w:rFonts w:ascii="Times New Roman" w:hAnsi="Times New Roman" w:eastAsia="方正仿宋_GBK"/>
          <w:sz w:val="32"/>
          <w:szCs w:val="32"/>
          <w:u w:val="none"/>
        </w:rPr>
        <w:t>辆。</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黑体_GBK" w:hAnsi="黑体" w:eastAsia="方正黑体_GBK" w:cs="仿宋_GB2312"/>
          <w:sz w:val="32"/>
        </w:rPr>
        <w:t>六、专业性名词解释</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ascii="Times New Roman" w:hAnsi="Times New Roman" w:eastAsia="方正仿宋_GBK"/>
          <w:sz w:val="32"/>
          <w:szCs w:val="32"/>
          <w:u w:val="none"/>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hint="default" w:ascii="Times New Roman" w:hAnsi="Times New Roman" w:eastAsia="方正仿宋_GBK"/>
          <w:sz w:val="32"/>
          <w:szCs w:val="32"/>
          <w:u w:val="none"/>
          <w:lang w:val="en-US"/>
        </w:rPr>
      </w:pPr>
      <w:r>
        <w:rPr>
          <w:rFonts w:ascii="Times New Roman" w:hAnsi="Times New Roman" w:eastAsia="方正仿宋_GBK"/>
          <w:sz w:val="32"/>
          <w:szCs w:val="32"/>
          <w:u w:val="none"/>
        </w:rPr>
        <w:t>部门预算公开联系人：</w:t>
      </w:r>
      <w:r>
        <w:rPr>
          <w:rFonts w:hint="eastAsia" w:ascii="Times New Roman" w:hAnsi="Times New Roman" w:eastAsia="方正仿宋_GBK"/>
          <w:sz w:val="32"/>
          <w:szCs w:val="32"/>
          <w:u w:val="none"/>
          <w:lang w:val="en-US" w:eastAsia="zh-CN"/>
        </w:rPr>
        <w:t>胡云华</w:t>
      </w:r>
      <w:r>
        <w:rPr>
          <w:rFonts w:ascii="Times New Roman" w:hAnsi="Times New Roman" w:eastAsia="方正仿宋_GBK"/>
          <w:sz w:val="32"/>
          <w:szCs w:val="32"/>
          <w:u w:val="none"/>
        </w:rPr>
        <w:t xml:space="preserve">             联系方式：</w:t>
      </w:r>
      <w:r>
        <w:rPr>
          <w:rFonts w:hint="eastAsia" w:ascii="Times New Roman" w:hAnsi="Times New Roman" w:eastAsia="方正仿宋_GBK"/>
          <w:sz w:val="32"/>
          <w:szCs w:val="32"/>
          <w:u w:val="none"/>
          <w:lang w:val="en-US" w:eastAsia="zh-CN"/>
        </w:rPr>
        <w:t>17353278303</w:t>
      </w: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31587"/>
    <w:multiLevelType w:val="singleLevel"/>
    <w:tmpl w:val="1CC3158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14C38"/>
    <w:rsid w:val="00025D49"/>
    <w:rsid w:val="000706C6"/>
    <w:rsid w:val="000E6986"/>
    <w:rsid w:val="000E7A86"/>
    <w:rsid w:val="00104156"/>
    <w:rsid w:val="00137115"/>
    <w:rsid w:val="001A1836"/>
    <w:rsid w:val="001C295B"/>
    <w:rsid w:val="001F62A7"/>
    <w:rsid w:val="00201E27"/>
    <w:rsid w:val="0022067A"/>
    <w:rsid w:val="00292DFA"/>
    <w:rsid w:val="00295D2E"/>
    <w:rsid w:val="002F0B32"/>
    <w:rsid w:val="00315FF1"/>
    <w:rsid w:val="00326B00"/>
    <w:rsid w:val="0033079F"/>
    <w:rsid w:val="00334925"/>
    <w:rsid w:val="00357D5D"/>
    <w:rsid w:val="00366915"/>
    <w:rsid w:val="003C56C2"/>
    <w:rsid w:val="003F3271"/>
    <w:rsid w:val="00412B49"/>
    <w:rsid w:val="0045794A"/>
    <w:rsid w:val="0048380D"/>
    <w:rsid w:val="004C3EE3"/>
    <w:rsid w:val="005124F3"/>
    <w:rsid w:val="00562209"/>
    <w:rsid w:val="005A5BC6"/>
    <w:rsid w:val="006E66F0"/>
    <w:rsid w:val="00746575"/>
    <w:rsid w:val="0075644E"/>
    <w:rsid w:val="0076031D"/>
    <w:rsid w:val="00766CFB"/>
    <w:rsid w:val="007955E4"/>
    <w:rsid w:val="00825E43"/>
    <w:rsid w:val="00832BDE"/>
    <w:rsid w:val="00892B61"/>
    <w:rsid w:val="0089433F"/>
    <w:rsid w:val="009027F8"/>
    <w:rsid w:val="00916C33"/>
    <w:rsid w:val="009A024E"/>
    <w:rsid w:val="009C0C1E"/>
    <w:rsid w:val="00A27CA6"/>
    <w:rsid w:val="00A47471"/>
    <w:rsid w:val="00A85988"/>
    <w:rsid w:val="00AB4CBD"/>
    <w:rsid w:val="00AF7912"/>
    <w:rsid w:val="00B25CF0"/>
    <w:rsid w:val="00B27FAB"/>
    <w:rsid w:val="00B67C25"/>
    <w:rsid w:val="00B93C1F"/>
    <w:rsid w:val="00BA3D78"/>
    <w:rsid w:val="00BA6131"/>
    <w:rsid w:val="00BB7769"/>
    <w:rsid w:val="00BC5339"/>
    <w:rsid w:val="00BD5DB2"/>
    <w:rsid w:val="00BE47A4"/>
    <w:rsid w:val="00C264FA"/>
    <w:rsid w:val="00C86C64"/>
    <w:rsid w:val="00C94908"/>
    <w:rsid w:val="00C96329"/>
    <w:rsid w:val="00CB5754"/>
    <w:rsid w:val="00CC1EFB"/>
    <w:rsid w:val="00CC6777"/>
    <w:rsid w:val="00D17EA8"/>
    <w:rsid w:val="00DE312C"/>
    <w:rsid w:val="00DE3E98"/>
    <w:rsid w:val="00E10E1B"/>
    <w:rsid w:val="00E165F8"/>
    <w:rsid w:val="00E4250B"/>
    <w:rsid w:val="00E438FD"/>
    <w:rsid w:val="00E65D74"/>
    <w:rsid w:val="00E83EC4"/>
    <w:rsid w:val="00EE1B72"/>
    <w:rsid w:val="00F07238"/>
    <w:rsid w:val="00F35787"/>
    <w:rsid w:val="00F602BE"/>
    <w:rsid w:val="00F63C3A"/>
    <w:rsid w:val="00FE3041"/>
    <w:rsid w:val="032E32C9"/>
    <w:rsid w:val="066E59FA"/>
    <w:rsid w:val="0D17581C"/>
    <w:rsid w:val="0EEF52BD"/>
    <w:rsid w:val="0F111428"/>
    <w:rsid w:val="0F486015"/>
    <w:rsid w:val="11BF1E39"/>
    <w:rsid w:val="12002256"/>
    <w:rsid w:val="14D71A81"/>
    <w:rsid w:val="17D44087"/>
    <w:rsid w:val="183A11E3"/>
    <w:rsid w:val="18EF7DE0"/>
    <w:rsid w:val="1B125078"/>
    <w:rsid w:val="217C5A79"/>
    <w:rsid w:val="25D27542"/>
    <w:rsid w:val="2D481B50"/>
    <w:rsid w:val="30A6509E"/>
    <w:rsid w:val="337A2869"/>
    <w:rsid w:val="34DC3701"/>
    <w:rsid w:val="387523E1"/>
    <w:rsid w:val="395F61C3"/>
    <w:rsid w:val="3ABD3507"/>
    <w:rsid w:val="3ED00A12"/>
    <w:rsid w:val="3EF066B8"/>
    <w:rsid w:val="44362166"/>
    <w:rsid w:val="46500BA5"/>
    <w:rsid w:val="46D147FF"/>
    <w:rsid w:val="4C1D4F5E"/>
    <w:rsid w:val="4F776144"/>
    <w:rsid w:val="52AE0D1F"/>
    <w:rsid w:val="54F213EA"/>
    <w:rsid w:val="552B3E60"/>
    <w:rsid w:val="56C85EB8"/>
    <w:rsid w:val="56E640C1"/>
    <w:rsid w:val="574F4760"/>
    <w:rsid w:val="598A0E42"/>
    <w:rsid w:val="5C097AC0"/>
    <w:rsid w:val="5FB02882"/>
    <w:rsid w:val="63701FE6"/>
    <w:rsid w:val="68774348"/>
    <w:rsid w:val="690E734C"/>
    <w:rsid w:val="691A0C67"/>
    <w:rsid w:val="6A2A70F9"/>
    <w:rsid w:val="6CD3050B"/>
    <w:rsid w:val="6FDC78C2"/>
    <w:rsid w:val="70510FCF"/>
    <w:rsid w:val="7B94735C"/>
    <w:rsid w:val="7F171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1670</Words>
  <Characters>1874</Characters>
  <Lines>9</Lines>
  <Paragraphs>2</Paragraphs>
  <TotalTime>0</TotalTime>
  <ScaleCrop>false</ScaleCrop>
  <LinksUpToDate>false</LinksUpToDate>
  <CharactersWithSpaces>1890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2022-12-12T06:37:00Z</dcterms:created>
  <dc:creator>Administrator</dc:creator>
  <cp:lastModifiedBy> </cp:lastModifiedBy>
  <cp:lastPrinted>2024-01-15T14:36:00Z</cp:lastPrinted>
  <dcterms:modified xsi:type="dcterms:W3CDTF">2025-02-14T02:26:26Z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D9087C27A81F44E2A55D99886F879EEC_13</vt:lpwstr>
  </property>
  <property fmtid="{D5CDD505-2E9C-101B-9397-08002B2CF9AE}" pid="4" name="KSOTemplateDocerSaveRecord">
    <vt:lpwstr>eyJoZGlkIjoiNzNkZDA2YmYzZjc3OWY2MTc1YzA4NTQ3ZjFjM2M2MTIiLCJ1c2VySWQiOiIxNTQ0NzA3MDk4In0=</vt:lpwstr>
  </property>
</Properties>
</file>