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pPr w:leftFromText="180" w:rightFromText="180" w:vertAnchor="page" w:horzAnchor="page" w:tblpX="1219" w:tblpY="2428"/>
        <w:tblOverlap w:val="never"/>
        <w:tblW w:w="9599" w:type="dxa"/>
        <w:tblInd w:w="0" w:type="dxa"/>
        <w:tblLayout w:type="autofit"/>
        <w:tblCellMar>
          <w:top w:w="0" w:type="dxa"/>
          <w:left w:w="108" w:type="dxa"/>
          <w:bottom w:w="0" w:type="dxa"/>
          <w:right w:w="108" w:type="dxa"/>
        </w:tblCellMar>
      </w:tblPr>
      <w:tblGrid>
        <w:gridCol w:w="8520"/>
        <w:gridCol w:w="1079"/>
      </w:tblGrid>
      <w:tr>
        <w:tblPrEx>
          <w:tblCellMar>
            <w:top w:w="0" w:type="dxa"/>
            <w:left w:w="108" w:type="dxa"/>
            <w:bottom w:w="0" w:type="dxa"/>
            <w:right w:w="108" w:type="dxa"/>
          </w:tblCellMar>
        </w:tblPrEx>
        <w:trPr>
          <w:trHeight w:val="283" w:hRule="atLeast"/>
        </w:trPr>
        <w:tc>
          <w:tcPr>
            <w:tcW w:w="8520" w:type="dxa"/>
            <w:vAlign w:val="center"/>
          </w:tcPr>
          <w:p>
            <w:pPr>
              <w:keepNext w:val="0"/>
              <w:keepLines w:val="0"/>
              <w:pageBreakBefore w:val="0"/>
              <w:widowControl w:val="0"/>
              <w:kinsoku/>
              <w:wordWrap/>
              <w:overflowPunct/>
              <w:topLinePunct w:val="0"/>
              <w:autoSpaceDE/>
              <w:autoSpaceDN/>
              <w:bidi w:val="0"/>
              <w:adjustRightInd/>
              <w:snapToGrid w:val="0"/>
              <w:spacing w:line="460" w:lineRule="exact"/>
              <w:ind w:right="0" w:rightChars="0"/>
              <w:jc w:val="distribute"/>
              <w:textAlignment w:val="auto"/>
              <w:rPr>
                <w:rFonts w:hint="eastAsia" w:eastAsia="方正小标宋_GBK" w:asciiTheme="minorAscii" w:hAnsiTheme="minorAscii"/>
                <w:b/>
                <w:color w:val="FF0000"/>
                <w:spacing w:val="-20"/>
                <w:w w:val="42"/>
                <w:sz w:val="40"/>
                <w:szCs w:val="40"/>
                <w:highlight w:val="none"/>
                <w:lang w:val="en-US" w:eastAsia="zh-CN"/>
              </w:rPr>
            </w:pPr>
            <w:bookmarkStart w:id="0" w:name="_GoBack"/>
            <w:bookmarkEnd w:id="0"/>
            <w:r>
              <w:rPr>
                <w:rFonts w:hint="default" w:eastAsia="方正小标宋_GBK" w:asciiTheme="minorAscii" w:hAnsiTheme="minorAscii"/>
                <w:b/>
                <w:bCs w:val="0"/>
                <w:color w:val="FF0000"/>
                <w:spacing w:val="-20"/>
                <w:w w:val="42"/>
                <w:sz w:val="40"/>
                <w:szCs w:val="40"/>
                <w:highlight w:val="none"/>
              </w:rPr>
              <w:t>酉阳土家族苗族自治县卫生健康委员会</w:t>
            </w:r>
          </w:p>
        </w:tc>
        <w:tc>
          <w:tcPr>
            <w:tcW w:w="1079" w:type="dxa"/>
            <w:vMerge w:val="restart"/>
            <w:vAlign w:val="center"/>
          </w:tcPr>
          <w:p>
            <w:pPr>
              <w:keepNext w:val="0"/>
              <w:keepLines w:val="0"/>
              <w:pageBreakBefore w:val="0"/>
              <w:widowControl w:val="0"/>
              <w:kinsoku/>
              <w:wordWrap/>
              <w:overflowPunct/>
              <w:topLinePunct w:val="0"/>
              <w:autoSpaceDE/>
              <w:autoSpaceDN/>
              <w:bidi w:val="0"/>
              <w:adjustRightInd/>
              <w:snapToGrid w:val="0"/>
              <w:spacing w:line="460" w:lineRule="exact"/>
              <w:ind w:right="-86" w:rightChars="-43"/>
              <w:jc w:val="center"/>
              <w:textAlignment w:val="auto"/>
              <w:rPr>
                <w:rFonts w:hint="eastAsia" w:eastAsia="方正小标宋_GBK"/>
                <w:b/>
                <w:color w:val="FF0000"/>
                <w:w w:val="42"/>
                <w:sz w:val="96"/>
                <w:szCs w:val="96"/>
                <w:highlight w:val="none"/>
                <w:lang w:eastAsia="zh-CN"/>
              </w:rPr>
            </w:pPr>
          </w:p>
          <w:p>
            <w:pPr>
              <w:keepNext w:val="0"/>
              <w:keepLines w:val="0"/>
              <w:pageBreakBefore w:val="0"/>
              <w:widowControl w:val="0"/>
              <w:kinsoku/>
              <w:wordWrap/>
              <w:overflowPunct/>
              <w:topLinePunct w:val="0"/>
              <w:autoSpaceDE/>
              <w:autoSpaceDN/>
              <w:bidi w:val="0"/>
              <w:adjustRightInd/>
              <w:snapToGrid w:val="0"/>
              <w:spacing w:line="520" w:lineRule="exact"/>
              <w:ind w:right="-86" w:rightChars="-43"/>
              <w:jc w:val="center"/>
              <w:textAlignment w:val="auto"/>
              <w:rPr>
                <w:rFonts w:hint="eastAsia" w:eastAsia="方正小标宋_GBK"/>
                <w:b/>
                <w:color w:val="FF0000"/>
                <w:w w:val="42"/>
                <w:sz w:val="96"/>
                <w:szCs w:val="96"/>
                <w:highlight w:val="none"/>
                <w:lang w:eastAsia="zh-CN"/>
              </w:rPr>
            </w:pPr>
            <w:r>
              <w:rPr>
                <w:rFonts w:hint="eastAsia" w:eastAsia="方正小标宋_GBK"/>
                <w:b/>
                <w:color w:val="FF0000"/>
                <w:w w:val="42"/>
                <w:sz w:val="56"/>
                <w:szCs w:val="56"/>
                <w:highlight w:val="none"/>
                <w:lang w:eastAsia="zh-CN"/>
              </w:rPr>
              <w:t>文</w:t>
            </w:r>
            <w:r>
              <w:rPr>
                <w:rFonts w:hint="eastAsia" w:eastAsia="方正小标宋_GBK"/>
                <w:b/>
                <w:color w:val="FF0000"/>
                <w:w w:val="42"/>
                <w:sz w:val="56"/>
                <w:szCs w:val="56"/>
                <w:highlight w:val="none"/>
                <w:lang w:val="en-US" w:eastAsia="zh-CN"/>
              </w:rPr>
              <w:t xml:space="preserve">    </w:t>
            </w:r>
            <w:r>
              <w:rPr>
                <w:rFonts w:hint="eastAsia" w:eastAsia="方正小标宋_GBK"/>
                <w:b/>
                <w:color w:val="FF0000"/>
                <w:w w:val="42"/>
                <w:sz w:val="56"/>
                <w:szCs w:val="56"/>
                <w:highlight w:val="none"/>
                <w:lang w:eastAsia="zh-CN"/>
              </w:rPr>
              <w:t>件</w:t>
            </w:r>
          </w:p>
        </w:tc>
      </w:tr>
      <w:tr>
        <w:tblPrEx>
          <w:tblCellMar>
            <w:top w:w="0" w:type="dxa"/>
            <w:left w:w="108" w:type="dxa"/>
            <w:bottom w:w="0" w:type="dxa"/>
            <w:right w:w="108" w:type="dxa"/>
          </w:tblCellMar>
        </w:tblPrEx>
        <w:trPr>
          <w:trHeight w:val="745" w:hRule="atLeast"/>
        </w:trPr>
        <w:tc>
          <w:tcPr>
            <w:tcW w:w="8520" w:type="dxa"/>
            <w:vAlign w:val="center"/>
          </w:tcPr>
          <w:p>
            <w:pPr>
              <w:keepNext w:val="0"/>
              <w:keepLines w:val="0"/>
              <w:pageBreakBefore w:val="0"/>
              <w:widowControl w:val="0"/>
              <w:kinsoku/>
              <w:wordWrap/>
              <w:overflowPunct/>
              <w:topLinePunct w:val="0"/>
              <w:autoSpaceDE/>
              <w:autoSpaceDN/>
              <w:bidi w:val="0"/>
              <w:adjustRightInd/>
              <w:snapToGrid w:val="0"/>
              <w:spacing w:line="460" w:lineRule="exact"/>
              <w:ind w:right="0" w:rightChars="0"/>
              <w:jc w:val="distribute"/>
              <w:textAlignment w:val="auto"/>
              <w:rPr>
                <w:rFonts w:hint="default" w:eastAsia="方正小标宋_GBK" w:asciiTheme="minorAscii" w:hAnsiTheme="minorAscii"/>
                <w:b/>
                <w:bCs w:val="0"/>
                <w:color w:val="FF0000"/>
                <w:spacing w:val="-20"/>
                <w:w w:val="42"/>
                <w:sz w:val="40"/>
                <w:szCs w:val="40"/>
                <w:highlight w:val="none"/>
                <w:lang w:eastAsia="zh-CN"/>
              </w:rPr>
            </w:pPr>
            <w:r>
              <w:rPr>
                <w:rFonts w:hint="eastAsia" w:eastAsia="方正小标宋_GBK" w:asciiTheme="minorAscii" w:hAnsiTheme="minorAscii"/>
                <w:b/>
                <w:bCs w:val="0"/>
                <w:color w:val="FF0000"/>
                <w:spacing w:val="-20"/>
                <w:w w:val="42"/>
                <w:sz w:val="40"/>
                <w:szCs w:val="40"/>
                <w:highlight w:val="none"/>
                <w:lang w:val="en-US" w:eastAsia="zh-CN"/>
              </w:rPr>
              <w:t>酉阳土家族苗族自治县发展和改革委员会</w:t>
            </w:r>
          </w:p>
        </w:tc>
        <w:tc>
          <w:tcPr>
            <w:tcW w:w="1079"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460" w:lineRule="exact"/>
              <w:ind w:right="-86" w:rightChars="-43"/>
              <w:jc w:val="center"/>
              <w:textAlignment w:val="auto"/>
              <w:rPr>
                <w:rFonts w:hint="eastAsia" w:eastAsia="方正小标宋_GBK"/>
                <w:b/>
                <w:color w:val="FF0000"/>
                <w:w w:val="42"/>
                <w:sz w:val="96"/>
                <w:szCs w:val="96"/>
                <w:highlight w:val="none"/>
              </w:rPr>
            </w:pPr>
          </w:p>
        </w:tc>
      </w:tr>
      <w:tr>
        <w:tblPrEx>
          <w:tblCellMar>
            <w:top w:w="0" w:type="dxa"/>
            <w:left w:w="108" w:type="dxa"/>
            <w:bottom w:w="0" w:type="dxa"/>
            <w:right w:w="108" w:type="dxa"/>
          </w:tblCellMar>
        </w:tblPrEx>
        <w:trPr>
          <w:trHeight w:val="283" w:hRule="atLeast"/>
        </w:trPr>
        <w:tc>
          <w:tcPr>
            <w:tcW w:w="8520" w:type="dxa"/>
            <w:vAlign w:val="center"/>
          </w:tcPr>
          <w:p>
            <w:pPr>
              <w:keepNext w:val="0"/>
              <w:keepLines w:val="0"/>
              <w:pageBreakBefore w:val="0"/>
              <w:widowControl w:val="0"/>
              <w:kinsoku/>
              <w:wordWrap/>
              <w:overflowPunct/>
              <w:topLinePunct w:val="0"/>
              <w:autoSpaceDE/>
              <w:autoSpaceDN/>
              <w:bidi w:val="0"/>
              <w:adjustRightInd/>
              <w:snapToGrid w:val="0"/>
              <w:spacing w:line="460" w:lineRule="exact"/>
              <w:ind w:right="0" w:rightChars="0"/>
              <w:jc w:val="distribute"/>
              <w:textAlignment w:val="auto"/>
              <w:rPr>
                <w:rFonts w:hint="default" w:eastAsia="方正小标宋_GBK" w:asciiTheme="minorAscii" w:hAnsiTheme="minorAscii"/>
                <w:b/>
                <w:bCs w:val="0"/>
                <w:color w:val="FF0000"/>
                <w:spacing w:val="-20"/>
                <w:w w:val="42"/>
                <w:sz w:val="40"/>
                <w:szCs w:val="40"/>
                <w:highlight w:val="none"/>
                <w:lang w:val="en-US" w:eastAsia="zh-CN"/>
              </w:rPr>
            </w:pPr>
            <w:r>
              <w:rPr>
                <w:rFonts w:hint="eastAsia" w:eastAsia="方正小标宋_GBK" w:asciiTheme="minorAscii" w:hAnsiTheme="minorAscii"/>
                <w:b/>
                <w:bCs w:val="0"/>
                <w:color w:val="FF0000"/>
                <w:spacing w:val="-20"/>
                <w:w w:val="42"/>
                <w:sz w:val="40"/>
                <w:szCs w:val="40"/>
                <w:highlight w:val="none"/>
                <w:lang w:val="en-US" w:eastAsia="zh-CN"/>
              </w:rPr>
              <w:t>酉阳土家族苗族自治县教育委员会</w:t>
            </w:r>
          </w:p>
        </w:tc>
        <w:tc>
          <w:tcPr>
            <w:tcW w:w="1079"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460" w:lineRule="exact"/>
              <w:ind w:right="-86" w:rightChars="-43"/>
              <w:jc w:val="center"/>
              <w:textAlignment w:val="auto"/>
              <w:rPr>
                <w:rFonts w:hint="eastAsia" w:eastAsia="方正小标宋_GBK"/>
                <w:b/>
                <w:color w:val="FF0000"/>
                <w:spacing w:val="-20"/>
                <w:w w:val="42"/>
                <w:sz w:val="96"/>
                <w:szCs w:val="96"/>
                <w:highlight w:val="none"/>
                <w:lang w:eastAsia="zh-CN"/>
              </w:rPr>
            </w:pPr>
          </w:p>
        </w:tc>
      </w:tr>
      <w:tr>
        <w:tblPrEx>
          <w:tblCellMar>
            <w:top w:w="0" w:type="dxa"/>
            <w:left w:w="108" w:type="dxa"/>
            <w:bottom w:w="0" w:type="dxa"/>
            <w:right w:w="108" w:type="dxa"/>
          </w:tblCellMar>
        </w:tblPrEx>
        <w:trPr>
          <w:trHeight w:val="283" w:hRule="atLeast"/>
        </w:trPr>
        <w:tc>
          <w:tcPr>
            <w:tcW w:w="8520" w:type="dxa"/>
            <w:vAlign w:val="center"/>
          </w:tcPr>
          <w:p>
            <w:pPr>
              <w:keepNext w:val="0"/>
              <w:keepLines w:val="0"/>
              <w:pageBreakBefore w:val="0"/>
              <w:widowControl w:val="0"/>
              <w:kinsoku/>
              <w:wordWrap/>
              <w:overflowPunct/>
              <w:topLinePunct w:val="0"/>
              <w:autoSpaceDE/>
              <w:autoSpaceDN/>
              <w:bidi w:val="0"/>
              <w:adjustRightInd/>
              <w:snapToGrid w:val="0"/>
              <w:spacing w:line="460" w:lineRule="exact"/>
              <w:ind w:right="0" w:rightChars="0"/>
              <w:jc w:val="distribute"/>
              <w:textAlignment w:val="auto"/>
              <w:rPr>
                <w:rFonts w:hint="eastAsia" w:eastAsia="方正小标宋_GBK" w:asciiTheme="minorAscii" w:hAnsiTheme="minorAscii"/>
                <w:b/>
                <w:bCs w:val="0"/>
                <w:color w:val="FF0000"/>
                <w:spacing w:val="-20"/>
                <w:w w:val="42"/>
                <w:sz w:val="40"/>
                <w:szCs w:val="40"/>
                <w:highlight w:val="none"/>
                <w:lang w:val="en-US" w:eastAsia="zh-CN"/>
              </w:rPr>
            </w:pPr>
            <w:r>
              <w:rPr>
                <w:rFonts w:hint="eastAsia" w:eastAsia="方正小标宋_GBK" w:asciiTheme="minorAscii" w:hAnsiTheme="minorAscii"/>
                <w:b/>
                <w:bCs w:val="0"/>
                <w:color w:val="FF0000"/>
                <w:spacing w:val="-20"/>
                <w:w w:val="42"/>
                <w:sz w:val="40"/>
                <w:szCs w:val="40"/>
                <w:highlight w:val="none"/>
                <w:lang w:val="en-US" w:eastAsia="zh-CN"/>
              </w:rPr>
              <w:t>酉阳土家族苗族自治县科学技术协会</w:t>
            </w:r>
          </w:p>
        </w:tc>
        <w:tc>
          <w:tcPr>
            <w:tcW w:w="1079"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460" w:lineRule="exact"/>
              <w:ind w:right="-86" w:rightChars="-43"/>
              <w:jc w:val="center"/>
              <w:textAlignment w:val="auto"/>
              <w:rPr>
                <w:rFonts w:hint="eastAsia" w:eastAsia="方正小标宋_GBK"/>
                <w:b/>
                <w:color w:val="FF0000"/>
                <w:spacing w:val="-20"/>
                <w:w w:val="42"/>
                <w:sz w:val="96"/>
                <w:szCs w:val="96"/>
                <w:highlight w:val="none"/>
                <w:lang w:eastAsia="zh-CN"/>
              </w:rPr>
            </w:pPr>
          </w:p>
        </w:tc>
      </w:tr>
      <w:tr>
        <w:tblPrEx>
          <w:tblCellMar>
            <w:top w:w="0" w:type="dxa"/>
            <w:left w:w="108" w:type="dxa"/>
            <w:bottom w:w="0" w:type="dxa"/>
            <w:right w:w="108" w:type="dxa"/>
          </w:tblCellMar>
        </w:tblPrEx>
        <w:trPr>
          <w:trHeight w:val="283" w:hRule="atLeast"/>
        </w:trPr>
        <w:tc>
          <w:tcPr>
            <w:tcW w:w="8520" w:type="dxa"/>
            <w:vAlign w:val="center"/>
          </w:tcPr>
          <w:p>
            <w:pPr>
              <w:keepNext w:val="0"/>
              <w:keepLines w:val="0"/>
              <w:pageBreakBefore w:val="0"/>
              <w:widowControl w:val="0"/>
              <w:kinsoku/>
              <w:wordWrap/>
              <w:overflowPunct/>
              <w:topLinePunct w:val="0"/>
              <w:autoSpaceDE/>
              <w:autoSpaceDN/>
              <w:bidi w:val="0"/>
              <w:adjustRightInd/>
              <w:snapToGrid w:val="0"/>
              <w:spacing w:line="460" w:lineRule="exact"/>
              <w:ind w:right="0" w:rightChars="0"/>
              <w:jc w:val="distribute"/>
              <w:textAlignment w:val="auto"/>
              <w:rPr>
                <w:rFonts w:hint="default" w:eastAsia="方正小标宋_GBK" w:asciiTheme="minorAscii" w:hAnsiTheme="minorAscii"/>
                <w:b/>
                <w:bCs w:val="0"/>
                <w:color w:val="FF0000"/>
                <w:spacing w:val="-20"/>
                <w:w w:val="42"/>
                <w:sz w:val="40"/>
                <w:szCs w:val="40"/>
                <w:highlight w:val="none"/>
                <w:lang w:val="en-US" w:eastAsia="zh-CN"/>
              </w:rPr>
            </w:pPr>
            <w:r>
              <w:rPr>
                <w:rFonts w:hint="eastAsia" w:eastAsia="方正小标宋_GBK" w:asciiTheme="minorAscii" w:hAnsiTheme="minorAscii"/>
                <w:b/>
                <w:bCs w:val="0"/>
                <w:color w:val="FF0000"/>
                <w:spacing w:val="-20"/>
                <w:w w:val="42"/>
                <w:sz w:val="40"/>
                <w:szCs w:val="40"/>
                <w:highlight w:val="none"/>
                <w:lang w:val="en-US" w:eastAsia="zh-CN"/>
              </w:rPr>
              <w:t>酉阳土家族苗族自治县经济和信息委员会</w:t>
            </w:r>
          </w:p>
        </w:tc>
        <w:tc>
          <w:tcPr>
            <w:tcW w:w="1079"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460" w:lineRule="exact"/>
              <w:ind w:right="-86" w:rightChars="-43"/>
              <w:jc w:val="center"/>
              <w:textAlignment w:val="auto"/>
              <w:rPr>
                <w:rFonts w:hint="eastAsia" w:eastAsia="方正小标宋_GBK"/>
                <w:b/>
                <w:color w:val="FF0000"/>
                <w:spacing w:val="-20"/>
                <w:w w:val="42"/>
                <w:sz w:val="96"/>
                <w:szCs w:val="96"/>
                <w:highlight w:val="none"/>
                <w:lang w:eastAsia="zh-CN"/>
              </w:rPr>
            </w:pPr>
          </w:p>
        </w:tc>
      </w:tr>
      <w:tr>
        <w:tblPrEx>
          <w:tblCellMar>
            <w:top w:w="0" w:type="dxa"/>
            <w:left w:w="108" w:type="dxa"/>
            <w:bottom w:w="0" w:type="dxa"/>
            <w:right w:w="108" w:type="dxa"/>
          </w:tblCellMar>
        </w:tblPrEx>
        <w:trPr>
          <w:trHeight w:val="283" w:hRule="atLeast"/>
        </w:trPr>
        <w:tc>
          <w:tcPr>
            <w:tcW w:w="8520" w:type="dxa"/>
            <w:vAlign w:val="center"/>
          </w:tcPr>
          <w:p>
            <w:pPr>
              <w:keepNext w:val="0"/>
              <w:keepLines w:val="0"/>
              <w:pageBreakBefore w:val="0"/>
              <w:widowControl w:val="0"/>
              <w:kinsoku/>
              <w:wordWrap/>
              <w:overflowPunct/>
              <w:topLinePunct w:val="0"/>
              <w:autoSpaceDE/>
              <w:autoSpaceDN/>
              <w:bidi w:val="0"/>
              <w:adjustRightInd/>
              <w:snapToGrid w:val="0"/>
              <w:spacing w:line="460" w:lineRule="exact"/>
              <w:ind w:right="0" w:rightChars="0"/>
              <w:jc w:val="distribute"/>
              <w:textAlignment w:val="auto"/>
              <w:rPr>
                <w:rFonts w:hint="default" w:eastAsia="方正小标宋_GBK" w:asciiTheme="minorAscii" w:hAnsiTheme="minorAscii"/>
                <w:b/>
                <w:bCs w:val="0"/>
                <w:color w:val="FF0000"/>
                <w:spacing w:val="-20"/>
                <w:w w:val="42"/>
                <w:sz w:val="40"/>
                <w:szCs w:val="40"/>
                <w:highlight w:val="none"/>
                <w:lang w:eastAsia="zh-CN"/>
              </w:rPr>
            </w:pPr>
            <w:r>
              <w:rPr>
                <w:rFonts w:hint="eastAsia" w:eastAsia="方正小标宋_GBK" w:asciiTheme="minorAscii" w:hAnsiTheme="minorAscii"/>
                <w:b/>
                <w:bCs w:val="0"/>
                <w:color w:val="FF0000"/>
                <w:spacing w:val="-20"/>
                <w:w w:val="42"/>
                <w:sz w:val="40"/>
                <w:szCs w:val="40"/>
                <w:highlight w:val="none"/>
                <w:lang w:val="en-US" w:eastAsia="zh-CN"/>
              </w:rPr>
              <w:t>酉阳土家族苗族自治县民政局</w:t>
            </w:r>
          </w:p>
        </w:tc>
        <w:tc>
          <w:tcPr>
            <w:tcW w:w="1079"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460" w:lineRule="exact"/>
              <w:ind w:right="-86" w:rightChars="-43"/>
              <w:jc w:val="center"/>
              <w:textAlignment w:val="auto"/>
              <w:rPr>
                <w:rFonts w:hint="eastAsia" w:eastAsia="方正小标宋_GBK"/>
                <w:b/>
                <w:color w:val="FF0000"/>
                <w:spacing w:val="-20"/>
                <w:w w:val="42"/>
                <w:sz w:val="96"/>
                <w:szCs w:val="96"/>
                <w:highlight w:val="none"/>
                <w:lang w:eastAsia="zh-CN"/>
              </w:rPr>
            </w:pPr>
          </w:p>
        </w:tc>
      </w:tr>
      <w:tr>
        <w:tblPrEx>
          <w:tblCellMar>
            <w:top w:w="0" w:type="dxa"/>
            <w:left w:w="108" w:type="dxa"/>
            <w:bottom w:w="0" w:type="dxa"/>
            <w:right w:w="108" w:type="dxa"/>
          </w:tblCellMar>
        </w:tblPrEx>
        <w:trPr>
          <w:trHeight w:val="283" w:hRule="atLeast"/>
        </w:trPr>
        <w:tc>
          <w:tcPr>
            <w:tcW w:w="8520" w:type="dxa"/>
            <w:vAlign w:val="center"/>
          </w:tcPr>
          <w:p>
            <w:pPr>
              <w:keepNext w:val="0"/>
              <w:keepLines w:val="0"/>
              <w:pageBreakBefore w:val="0"/>
              <w:widowControl w:val="0"/>
              <w:kinsoku/>
              <w:wordWrap/>
              <w:overflowPunct/>
              <w:topLinePunct w:val="0"/>
              <w:autoSpaceDE/>
              <w:autoSpaceDN/>
              <w:bidi w:val="0"/>
              <w:adjustRightInd/>
              <w:snapToGrid w:val="0"/>
              <w:spacing w:line="460" w:lineRule="exact"/>
              <w:ind w:right="0" w:rightChars="0"/>
              <w:jc w:val="distribute"/>
              <w:textAlignment w:val="auto"/>
              <w:rPr>
                <w:rFonts w:hint="eastAsia" w:eastAsia="方正小标宋_GBK" w:asciiTheme="minorAscii" w:hAnsiTheme="minorAscii"/>
                <w:b/>
                <w:bCs w:val="0"/>
                <w:color w:val="FF0000"/>
                <w:spacing w:val="-20"/>
                <w:w w:val="42"/>
                <w:sz w:val="40"/>
                <w:szCs w:val="40"/>
                <w:highlight w:val="none"/>
                <w:lang w:val="en-US" w:eastAsia="zh-CN"/>
              </w:rPr>
            </w:pPr>
            <w:r>
              <w:rPr>
                <w:rFonts w:hint="eastAsia" w:eastAsia="方正小标宋_GBK" w:asciiTheme="minorAscii" w:hAnsiTheme="minorAscii"/>
                <w:b/>
                <w:bCs w:val="0"/>
                <w:color w:val="FF0000"/>
                <w:spacing w:val="-20"/>
                <w:w w:val="42"/>
                <w:sz w:val="40"/>
                <w:szCs w:val="40"/>
                <w:highlight w:val="none"/>
                <w:lang w:val="en-US" w:eastAsia="zh-CN"/>
              </w:rPr>
              <w:t>酉阳土家族苗族自治县财政局</w:t>
            </w:r>
          </w:p>
        </w:tc>
        <w:tc>
          <w:tcPr>
            <w:tcW w:w="1079"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460" w:lineRule="exact"/>
              <w:ind w:right="-86" w:rightChars="-43"/>
              <w:jc w:val="center"/>
              <w:textAlignment w:val="auto"/>
              <w:rPr>
                <w:rFonts w:hint="eastAsia" w:eastAsia="方正小标宋_GBK" w:asciiTheme="minorAscii" w:hAnsiTheme="minorAscii"/>
                <w:b/>
                <w:color w:val="FF0000"/>
                <w:spacing w:val="-20"/>
                <w:w w:val="42"/>
                <w:sz w:val="96"/>
                <w:szCs w:val="96"/>
                <w:highlight w:val="none"/>
                <w:lang w:val="en-US" w:eastAsia="zh-CN"/>
              </w:rPr>
            </w:pPr>
          </w:p>
        </w:tc>
      </w:tr>
      <w:tr>
        <w:tblPrEx>
          <w:tblCellMar>
            <w:top w:w="0" w:type="dxa"/>
            <w:left w:w="108" w:type="dxa"/>
            <w:bottom w:w="0" w:type="dxa"/>
            <w:right w:w="108" w:type="dxa"/>
          </w:tblCellMar>
        </w:tblPrEx>
        <w:trPr>
          <w:trHeight w:val="283" w:hRule="atLeast"/>
        </w:trPr>
        <w:tc>
          <w:tcPr>
            <w:tcW w:w="8520" w:type="dxa"/>
            <w:vAlign w:val="center"/>
          </w:tcPr>
          <w:p>
            <w:pPr>
              <w:keepNext w:val="0"/>
              <w:keepLines w:val="0"/>
              <w:pageBreakBefore w:val="0"/>
              <w:widowControl w:val="0"/>
              <w:kinsoku/>
              <w:wordWrap/>
              <w:overflowPunct/>
              <w:topLinePunct w:val="0"/>
              <w:autoSpaceDE/>
              <w:autoSpaceDN/>
              <w:bidi w:val="0"/>
              <w:adjustRightInd/>
              <w:snapToGrid w:val="0"/>
              <w:spacing w:line="460" w:lineRule="exact"/>
              <w:ind w:right="0" w:rightChars="0"/>
              <w:jc w:val="distribute"/>
              <w:textAlignment w:val="auto"/>
              <w:rPr>
                <w:rFonts w:hint="eastAsia" w:eastAsia="方正小标宋_GBK" w:asciiTheme="minorAscii" w:hAnsiTheme="minorAscii"/>
                <w:b/>
                <w:bCs w:val="0"/>
                <w:color w:val="FF0000"/>
                <w:spacing w:val="-20"/>
                <w:w w:val="42"/>
                <w:sz w:val="40"/>
                <w:szCs w:val="40"/>
                <w:highlight w:val="none"/>
                <w:lang w:val="en-US" w:eastAsia="zh-CN"/>
              </w:rPr>
            </w:pPr>
            <w:r>
              <w:rPr>
                <w:rFonts w:hint="eastAsia" w:eastAsia="方正小标宋_GBK" w:asciiTheme="minorAscii" w:hAnsiTheme="minorAscii"/>
                <w:b/>
                <w:bCs w:val="0"/>
                <w:color w:val="FF0000"/>
                <w:spacing w:val="-20"/>
                <w:w w:val="42"/>
                <w:sz w:val="40"/>
                <w:szCs w:val="40"/>
                <w:highlight w:val="none"/>
                <w:lang w:val="en-US" w:eastAsia="zh-CN"/>
              </w:rPr>
              <w:t>酉阳土家族苗族自治县人力资源和社会保障局</w:t>
            </w:r>
          </w:p>
        </w:tc>
        <w:tc>
          <w:tcPr>
            <w:tcW w:w="1079"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460" w:lineRule="exact"/>
              <w:ind w:right="-86" w:rightChars="-43"/>
              <w:jc w:val="center"/>
              <w:textAlignment w:val="auto"/>
              <w:rPr>
                <w:rFonts w:hint="eastAsia" w:eastAsia="方正小标宋_GBK" w:asciiTheme="minorAscii" w:hAnsiTheme="minorAscii"/>
                <w:b/>
                <w:color w:val="FF0000"/>
                <w:spacing w:val="-20"/>
                <w:w w:val="42"/>
                <w:sz w:val="96"/>
                <w:szCs w:val="96"/>
                <w:highlight w:val="none"/>
                <w:lang w:val="en-US" w:eastAsia="zh-CN"/>
              </w:rPr>
            </w:pPr>
          </w:p>
        </w:tc>
      </w:tr>
      <w:tr>
        <w:tblPrEx>
          <w:tblCellMar>
            <w:top w:w="0" w:type="dxa"/>
            <w:left w:w="108" w:type="dxa"/>
            <w:bottom w:w="0" w:type="dxa"/>
            <w:right w:w="108" w:type="dxa"/>
          </w:tblCellMar>
        </w:tblPrEx>
        <w:trPr>
          <w:trHeight w:val="283" w:hRule="atLeast"/>
        </w:trPr>
        <w:tc>
          <w:tcPr>
            <w:tcW w:w="8520" w:type="dxa"/>
            <w:vAlign w:val="center"/>
          </w:tcPr>
          <w:p>
            <w:pPr>
              <w:keepNext w:val="0"/>
              <w:keepLines w:val="0"/>
              <w:pageBreakBefore w:val="0"/>
              <w:widowControl w:val="0"/>
              <w:kinsoku/>
              <w:wordWrap/>
              <w:overflowPunct/>
              <w:topLinePunct w:val="0"/>
              <w:autoSpaceDE/>
              <w:autoSpaceDN/>
              <w:bidi w:val="0"/>
              <w:adjustRightInd/>
              <w:snapToGrid w:val="0"/>
              <w:spacing w:line="460" w:lineRule="exact"/>
              <w:ind w:right="0" w:rightChars="0"/>
              <w:jc w:val="distribute"/>
              <w:textAlignment w:val="auto"/>
              <w:rPr>
                <w:rFonts w:hint="eastAsia" w:eastAsia="方正小标宋_GBK" w:asciiTheme="minorAscii" w:hAnsiTheme="minorAscii"/>
                <w:b/>
                <w:bCs w:val="0"/>
                <w:color w:val="FF0000"/>
                <w:spacing w:val="-20"/>
                <w:w w:val="42"/>
                <w:sz w:val="40"/>
                <w:szCs w:val="40"/>
                <w:highlight w:val="none"/>
                <w:lang w:val="en-US" w:eastAsia="zh-CN"/>
              </w:rPr>
            </w:pPr>
            <w:r>
              <w:rPr>
                <w:rFonts w:hint="eastAsia" w:eastAsia="方正小标宋_GBK" w:asciiTheme="minorAscii" w:hAnsiTheme="minorAscii"/>
                <w:b/>
                <w:bCs w:val="0"/>
                <w:color w:val="FF0000"/>
                <w:spacing w:val="-20"/>
                <w:w w:val="42"/>
                <w:sz w:val="40"/>
                <w:szCs w:val="40"/>
                <w:highlight w:val="none"/>
                <w:lang w:val="en-US" w:eastAsia="zh-CN"/>
              </w:rPr>
              <w:t>酉阳土家族苗族自治县规划和自然资源局</w:t>
            </w:r>
          </w:p>
        </w:tc>
        <w:tc>
          <w:tcPr>
            <w:tcW w:w="1079"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460" w:lineRule="exact"/>
              <w:ind w:right="-86" w:rightChars="-43"/>
              <w:jc w:val="center"/>
              <w:textAlignment w:val="auto"/>
              <w:rPr>
                <w:rFonts w:hint="eastAsia" w:eastAsia="方正小标宋_GBK" w:asciiTheme="minorAscii" w:hAnsiTheme="minorAscii"/>
                <w:b/>
                <w:color w:val="FF0000"/>
                <w:spacing w:val="-20"/>
                <w:w w:val="42"/>
                <w:sz w:val="96"/>
                <w:szCs w:val="96"/>
                <w:highlight w:val="none"/>
                <w:lang w:val="en-US" w:eastAsia="zh-CN"/>
              </w:rPr>
            </w:pPr>
          </w:p>
        </w:tc>
      </w:tr>
      <w:tr>
        <w:tblPrEx>
          <w:tblCellMar>
            <w:top w:w="0" w:type="dxa"/>
            <w:left w:w="108" w:type="dxa"/>
            <w:bottom w:w="0" w:type="dxa"/>
            <w:right w:w="108" w:type="dxa"/>
          </w:tblCellMar>
        </w:tblPrEx>
        <w:trPr>
          <w:trHeight w:val="283" w:hRule="atLeast"/>
        </w:trPr>
        <w:tc>
          <w:tcPr>
            <w:tcW w:w="8520" w:type="dxa"/>
            <w:vAlign w:val="center"/>
          </w:tcPr>
          <w:p>
            <w:pPr>
              <w:keepNext w:val="0"/>
              <w:keepLines w:val="0"/>
              <w:pageBreakBefore w:val="0"/>
              <w:widowControl w:val="0"/>
              <w:kinsoku/>
              <w:wordWrap/>
              <w:overflowPunct/>
              <w:topLinePunct w:val="0"/>
              <w:autoSpaceDE/>
              <w:autoSpaceDN/>
              <w:bidi w:val="0"/>
              <w:adjustRightInd/>
              <w:snapToGrid w:val="0"/>
              <w:spacing w:line="460" w:lineRule="exact"/>
              <w:ind w:right="0" w:rightChars="0"/>
              <w:jc w:val="distribute"/>
              <w:textAlignment w:val="auto"/>
              <w:rPr>
                <w:rFonts w:hint="eastAsia" w:eastAsia="方正小标宋_GBK" w:asciiTheme="minorAscii" w:hAnsiTheme="minorAscii"/>
                <w:b/>
                <w:bCs w:val="0"/>
                <w:color w:val="FF0000"/>
                <w:spacing w:val="-20"/>
                <w:w w:val="42"/>
                <w:sz w:val="40"/>
                <w:szCs w:val="40"/>
                <w:highlight w:val="none"/>
                <w:lang w:val="en-US" w:eastAsia="zh-CN"/>
              </w:rPr>
            </w:pPr>
            <w:r>
              <w:rPr>
                <w:rFonts w:hint="eastAsia" w:eastAsia="方正小标宋_GBK" w:asciiTheme="minorAscii" w:hAnsiTheme="minorAscii"/>
                <w:b/>
                <w:bCs w:val="0"/>
                <w:color w:val="FF0000"/>
                <w:spacing w:val="-20"/>
                <w:w w:val="42"/>
                <w:sz w:val="40"/>
                <w:szCs w:val="40"/>
                <w:highlight w:val="none"/>
                <w:lang w:val="en-US" w:eastAsia="zh-CN"/>
              </w:rPr>
              <w:t>酉阳土家族苗族自治县生态环境局</w:t>
            </w:r>
          </w:p>
        </w:tc>
        <w:tc>
          <w:tcPr>
            <w:tcW w:w="1079"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460" w:lineRule="exact"/>
              <w:ind w:right="-86" w:rightChars="-43"/>
              <w:jc w:val="center"/>
              <w:textAlignment w:val="auto"/>
              <w:rPr>
                <w:rFonts w:hint="eastAsia" w:eastAsia="方正小标宋_GBK" w:asciiTheme="minorAscii" w:hAnsiTheme="minorAscii"/>
                <w:b/>
                <w:color w:val="FF0000"/>
                <w:spacing w:val="-20"/>
                <w:w w:val="42"/>
                <w:sz w:val="96"/>
                <w:szCs w:val="96"/>
                <w:highlight w:val="none"/>
                <w:lang w:val="en-US" w:eastAsia="zh-CN"/>
              </w:rPr>
            </w:pPr>
          </w:p>
        </w:tc>
      </w:tr>
      <w:tr>
        <w:tblPrEx>
          <w:tblCellMar>
            <w:top w:w="0" w:type="dxa"/>
            <w:left w:w="108" w:type="dxa"/>
            <w:bottom w:w="0" w:type="dxa"/>
            <w:right w:w="108" w:type="dxa"/>
          </w:tblCellMar>
        </w:tblPrEx>
        <w:trPr>
          <w:trHeight w:val="283" w:hRule="atLeast"/>
        </w:trPr>
        <w:tc>
          <w:tcPr>
            <w:tcW w:w="8520" w:type="dxa"/>
            <w:vAlign w:val="center"/>
          </w:tcPr>
          <w:p>
            <w:pPr>
              <w:keepNext w:val="0"/>
              <w:keepLines w:val="0"/>
              <w:pageBreakBefore w:val="0"/>
              <w:widowControl w:val="0"/>
              <w:kinsoku/>
              <w:wordWrap/>
              <w:overflowPunct/>
              <w:topLinePunct w:val="0"/>
              <w:autoSpaceDE/>
              <w:autoSpaceDN/>
              <w:bidi w:val="0"/>
              <w:adjustRightInd/>
              <w:snapToGrid w:val="0"/>
              <w:spacing w:line="460" w:lineRule="exact"/>
              <w:ind w:right="0" w:rightChars="0"/>
              <w:jc w:val="distribute"/>
              <w:textAlignment w:val="auto"/>
              <w:rPr>
                <w:rFonts w:hint="eastAsia" w:eastAsia="方正小标宋_GBK" w:asciiTheme="minorAscii" w:hAnsiTheme="minorAscii"/>
                <w:b/>
                <w:bCs w:val="0"/>
                <w:color w:val="FF0000"/>
                <w:spacing w:val="-20"/>
                <w:w w:val="42"/>
                <w:sz w:val="40"/>
                <w:szCs w:val="40"/>
                <w:highlight w:val="none"/>
                <w:lang w:val="en-US" w:eastAsia="zh-CN"/>
              </w:rPr>
            </w:pPr>
            <w:r>
              <w:rPr>
                <w:rFonts w:hint="eastAsia" w:eastAsia="方正小标宋_GBK" w:asciiTheme="minorAscii" w:hAnsiTheme="minorAscii"/>
                <w:b/>
                <w:bCs w:val="0"/>
                <w:color w:val="FF0000"/>
                <w:spacing w:val="-20"/>
                <w:w w:val="42"/>
                <w:sz w:val="40"/>
                <w:szCs w:val="40"/>
                <w:highlight w:val="none"/>
                <w:lang w:val="en-US" w:eastAsia="zh-CN"/>
              </w:rPr>
              <w:t>酉阳土家族苗族自治县住房和城乡建设委员会</w:t>
            </w:r>
          </w:p>
        </w:tc>
        <w:tc>
          <w:tcPr>
            <w:tcW w:w="1079"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460" w:lineRule="exact"/>
              <w:ind w:right="-86" w:rightChars="-43"/>
              <w:jc w:val="center"/>
              <w:textAlignment w:val="auto"/>
              <w:rPr>
                <w:rFonts w:hint="eastAsia" w:eastAsia="方正小标宋_GBK" w:asciiTheme="minorAscii" w:hAnsiTheme="minorAscii"/>
                <w:b/>
                <w:color w:val="FF0000"/>
                <w:spacing w:val="-20"/>
                <w:w w:val="42"/>
                <w:sz w:val="96"/>
                <w:szCs w:val="96"/>
                <w:highlight w:val="none"/>
                <w:lang w:val="en-US" w:eastAsia="zh-CN"/>
              </w:rPr>
            </w:pPr>
          </w:p>
        </w:tc>
      </w:tr>
      <w:tr>
        <w:tblPrEx>
          <w:tblCellMar>
            <w:top w:w="0" w:type="dxa"/>
            <w:left w:w="108" w:type="dxa"/>
            <w:bottom w:w="0" w:type="dxa"/>
            <w:right w:w="108" w:type="dxa"/>
          </w:tblCellMar>
        </w:tblPrEx>
        <w:trPr>
          <w:trHeight w:val="283" w:hRule="atLeast"/>
        </w:trPr>
        <w:tc>
          <w:tcPr>
            <w:tcW w:w="8520" w:type="dxa"/>
            <w:vAlign w:val="center"/>
          </w:tcPr>
          <w:p>
            <w:pPr>
              <w:keepNext w:val="0"/>
              <w:keepLines w:val="0"/>
              <w:pageBreakBefore w:val="0"/>
              <w:widowControl w:val="0"/>
              <w:kinsoku/>
              <w:wordWrap/>
              <w:overflowPunct/>
              <w:topLinePunct w:val="0"/>
              <w:autoSpaceDE/>
              <w:autoSpaceDN/>
              <w:bidi w:val="0"/>
              <w:adjustRightInd/>
              <w:snapToGrid w:val="0"/>
              <w:spacing w:line="460" w:lineRule="exact"/>
              <w:ind w:right="0" w:rightChars="0"/>
              <w:jc w:val="distribute"/>
              <w:textAlignment w:val="auto"/>
              <w:rPr>
                <w:rFonts w:hint="eastAsia" w:eastAsia="方正小标宋_GBK" w:asciiTheme="minorAscii" w:hAnsiTheme="minorAscii"/>
                <w:b/>
                <w:bCs w:val="0"/>
                <w:color w:val="FF0000"/>
                <w:spacing w:val="-20"/>
                <w:w w:val="42"/>
                <w:sz w:val="40"/>
                <w:szCs w:val="40"/>
                <w:highlight w:val="none"/>
                <w:lang w:val="en-US" w:eastAsia="zh-CN"/>
              </w:rPr>
            </w:pPr>
            <w:r>
              <w:rPr>
                <w:rFonts w:hint="eastAsia" w:eastAsia="方正小标宋_GBK" w:asciiTheme="minorAscii" w:hAnsiTheme="minorAscii"/>
                <w:b/>
                <w:bCs w:val="0"/>
                <w:color w:val="FF0000"/>
                <w:spacing w:val="-20"/>
                <w:w w:val="42"/>
                <w:sz w:val="40"/>
                <w:szCs w:val="40"/>
                <w:highlight w:val="none"/>
                <w:lang w:val="en-US" w:eastAsia="zh-CN"/>
              </w:rPr>
              <w:t>酉阳土家族苗族自治县交通运输委员会</w:t>
            </w:r>
          </w:p>
        </w:tc>
        <w:tc>
          <w:tcPr>
            <w:tcW w:w="1079"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460" w:lineRule="exact"/>
              <w:ind w:right="-86" w:rightChars="-43"/>
              <w:jc w:val="center"/>
              <w:textAlignment w:val="auto"/>
              <w:rPr>
                <w:rFonts w:hint="eastAsia" w:eastAsia="方正小标宋_GBK" w:asciiTheme="minorAscii" w:hAnsiTheme="minorAscii"/>
                <w:b/>
                <w:color w:val="FF0000"/>
                <w:spacing w:val="-20"/>
                <w:w w:val="42"/>
                <w:sz w:val="96"/>
                <w:szCs w:val="96"/>
                <w:highlight w:val="none"/>
                <w:lang w:val="en-US" w:eastAsia="zh-CN"/>
              </w:rPr>
            </w:pPr>
          </w:p>
        </w:tc>
      </w:tr>
      <w:tr>
        <w:tblPrEx>
          <w:tblCellMar>
            <w:top w:w="0" w:type="dxa"/>
            <w:left w:w="108" w:type="dxa"/>
            <w:bottom w:w="0" w:type="dxa"/>
            <w:right w:w="108" w:type="dxa"/>
          </w:tblCellMar>
        </w:tblPrEx>
        <w:trPr>
          <w:trHeight w:val="283" w:hRule="atLeast"/>
        </w:trPr>
        <w:tc>
          <w:tcPr>
            <w:tcW w:w="8520" w:type="dxa"/>
            <w:vAlign w:val="center"/>
          </w:tcPr>
          <w:p>
            <w:pPr>
              <w:keepNext w:val="0"/>
              <w:keepLines w:val="0"/>
              <w:pageBreakBefore w:val="0"/>
              <w:widowControl w:val="0"/>
              <w:kinsoku/>
              <w:wordWrap/>
              <w:overflowPunct/>
              <w:topLinePunct w:val="0"/>
              <w:autoSpaceDE/>
              <w:autoSpaceDN/>
              <w:bidi w:val="0"/>
              <w:adjustRightInd/>
              <w:snapToGrid w:val="0"/>
              <w:spacing w:line="460" w:lineRule="exact"/>
              <w:ind w:right="0" w:rightChars="0"/>
              <w:jc w:val="distribute"/>
              <w:textAlignment w:val="auto"/>
              <w:rPr>
                <w:rFonts w:hint="eastAsia" w:eastAsia="方正小标宋_GBK" w:asciiTheme="minorAscii" w:hAnsiTheme="minorAscii"/>
                <w:b/>
                <w:bCs w:val="0"/>
                <w:color w:val="FF0000"/>
                <w:spacing w:val="-20"/>
                <w:w w:val="42"/>
                <w:sz w:val="40"/>
                <w:szCs w:val="40"/>
                <w:highlight w:val="none"/>
                <w:lang w:val="en-US" w:eastAsia="zh-CN"/>
              </w:rPr>
            </w:pPr>
            <w:r>
              <w:rPr>
                <w:rFonts w:hint="eastAsia" w:eastAsia="方正小标宋_GBK" w:asciiTheme="minorAscii" w:hAnsiTheme="minorAscii"/>
                <w:b/>
                <w:bCs w:val="0"/>
                <w:color w:val="FF0000"/>
                <w:spacing w:val="-20"/>
                <w:w w:val="42"/>
                <w:sz w:val="40"/>
                <w:szCs w:val="40"/>
                <w:highlight w:val="none"/>
                <w:lang w:val="en-US" w:eastAsia="zh-CN"/>
              </w:rPr>
              <w:t>酉阳土家族苗族自治县农业农村委员会</w:t>
            </w:r>
          </w:p>
        </w:tc>
        <w:tc>
          <w:tcPr>
            <w:tcW w:w="1079"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460" w:lineRule="exact"/>
              <w:ind w:right="-86" w:rightChars="-43"/>
              <w:jc w:val="center"/>
              <w:textAlignment w:val="auto"/>
              <w:rPr>
                <w:rFonts w:hint="eastAsia" w:eastAsia="方正小标宋_GBK" w:asciiTheme="minorAscii" w:hAnsiTheme="minorAscii"/>
                <w:b/>
                <w:color w:val="FF0000"/>
                <w:spacing w:val="-20"/>
                <w:w w:val="42"/>
                <w:sz w:val="96"/>
                <w:szCs w:val="96"/>
                <w:highlight w:val="none"/>
                <w:lang w:val="en-US" w:eastAsia="zh-CN"/>
              </w:rPr>
            </w:pPr>
          </w:p>
        </w:tc>
      </w:tr>
      <w:tr>
        <w:tblPrEx>
          <w:tblCellMar>
            <w:top w:w="0" w:type="dxa"/>
            <w:left w:w="108" w:type="dxa"/>
            <w:bottom w:w="0" w:type="dxa"/>
            <w:right w:w="108" w:type="dxa"/>
          </w:tblCellMar>
        </w:tblPrEx>
        <w:trPr>
          <w:trHeight w:val="283" w:hRule="atLeast"/>
        </w:trPr>
        <w:tc>
          <w:tcPr>
            <w:tcW w:w="8520" w:type="dxa"/>
            <w:vAlign w:val="center"/>
          </w:tcPr>
          <w:p>
            <w:pPr>
              <w:keepNext w:val="0"/>
              <w:keepLines w:val="0"/>
              <w:pageBreakBefore w:val="0"/>
              <w:widowControl w:val="0"/>
              <w:kinsoku/>
              <w:wordWrap/>
              <w:overflowPunct/>
              <w:topLinePunct w:val="0"/>
              <w:autoSpaceDE/>
              <w:autoSpaceDN/>
              <w:bidi w:val="0"/>
              <w:adjustRightInd/>
              <w:snapToGrid w:val="0"/>
              <w:spacing w:line="460" w:lineRule="exact"/>
              <w:ind w:right="0" w:rightChars="0"/>
              <w:jc w:val="distribute"/>
              <w:textAlignment w:val="auto"/>
              <w:rPr>
                <w:rFonts w:hint="eastAsia" w:eastAsia="方正小标宋_GBK" w:asciiTheme="minorAscii" w:hAnsiTheme="minorAscii"/>
                <w:b/>
                <w:bCs w:val="0"/>
                <w:color w:val="FF0000"/>
                <w:spacing w:val="-20"/>
                <w:w w:val="42"/>
                <w:sz w:val="40"/>
                <w:szCs w:val="40"/>
                <w:highlight w:val="none"/>
                <w:lang w:val="en-US" w:eastAsia="zh-CN"/>
              </w:rPr>
            </w:pPr>
            <w:r>
              <w:rPr>
                <w:rFonts w:hint="eastAsia" w:eastAsia="方正小标宋_GBK" w:asciiTheme="minorAscii" w:hAnsiTheme="minorAscii"/>
                <w:b/>
                <w:bCs w:val="0"/>
                <w:color w:val="FF0000"/>
                <w:spacing w:val="-20"/>
                <w:w w:val="42"/>
                <w:sz w:val="40"/>
                <w:szCs w:val="40"/>
                <w:highlight w:val="none"/>
                <w:lang w:val="en-US" w:eastAsia="zh-CN"/>
              </w:rPr>
              <w:t>酉阳土家族苗族自治县应急管理局</w:t>
            </w:r>
          </w:p>
        </w:tc>
        <w:tc>
          <w:tcPr>
            <w:tcW w:w="1079"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460" w:lineRule="exact"/>
              <w:ind w:right="-86" w:rightChars="-43"/>
              <w:jc w:val="center"/>
              <w:textAlignment w:val="auto"/>
              <w:rPr>
                <w:rFonts w:hint="eastAsia" w:eastAsia="方正小标宋_GBK" w:asciiTheme="minorAscii" w:hAnsiTheme="minorAscii"/>
                <w:b/>
                <w:color w:val="FF0000"/>
                <w:spacing w:val="-20"/>
                <w:w w:val="42"/>
                <w:sz w:val="96"/>
                <w:szCs w:val="96"/>
                <w:highlight w:val="none"/>
                <w:lang w:val="en-US" w:eastAsia="zh-CN"/>
              </w:rPr>
            </w:pPr>
          </w:p>
        </w:tc>
      </w:tr>
      <w:tr>
        <w:tblPrEx>
          <w:tblCellMar>
            <w:top w:w="0" w:type="dxa"/>
            <w:left w:w="108" w:type="dxa"/>
            <w:bottom w:w="0" w:type="dxa"/>
            <w:right w:w="108" w:type="dxa"/>
          </w:tblCellMar>
        </w:tblPrEx>
        <w:trPr>
          <w:trHeight w:val="283" w:hRule="atLeast"/>
        </w:trPr>
        <w:tc>
          <w:tcPr>
            <w:tcW w:w="8520" w:type="dxa"/>
            <w:vAlign w:val="center"/>
          </w:tcPr>
          <w:p>
            <w:pPr>
              <w:keepNext w:val="0"/>
              <w:keepLines w:val="0"/>
              <w:pageBreakBefore w:val="0"/>
              <w:widowControl w:val="0"/>
              <w:kinsoku/>
              <w:wordWrap/>
              <w:overflowPunct/>
              <w:topLinePunct w:val="0"/>
              <w:autoSpaceDE/>
              <w:autoSpaceDN/>
              <w:bidi w:val="0"/>
              <w:adjustRightInd/>
              <w:snapToGrid w:val="0"/>
              <w:spacing w:line="460" w:lineRule="exact"/>
              <w:ind w:right="0" w:rightChars="0"/>
              <w:jc w:val="distribute"/>
              <w:textAlignment w:val="auto"/>
              <w:rPr>
                <w:rFonts w:hint="eastAsia" w:eastAsia="方正小标宋_GBK" w:asciiTheme="minorAscii" w:hAnsiTheme="minorAscii"/>
                <w:b/>
                <w:bCs w:val="0"/>
                <w:color w:val="FF0000"/>
                <w:spacing w:val="-20"/>
                <w:w w:val="42"/>
                <w:sz w:val="40"/>
                <w:szCs w:val="40"/>
                <w:highlight w:val="none"/>
                <w:lang w:val="en-US" w:eastAsia="zh-CN"/>
              </w:rPr>
            </w:pPr>
            <w:r>
              <w:rPr>
                <w:rFonts w:hint="eastAsia" w:eastAsia="方正小标宋_GBK" w:asciiTheme="minorAscii" w:hAnsiTheme="minorAscii"/>
                <w:b/>
                <w:bCs w:val="0"/>
                <w:color w:val="FF0000"/>
                <w:spacing w:val="-20"/>
                <w:w w:val="42"/>
                <w:sz w:val="40"/>
                <w:szCs w:val="40"/>
                <w:highlight w:val="none"/>
                <w:lang w:val="en-US" w:eastAsia="zh-CN"/>
              </w:rPr>
              <w:t>酉阳土家族苗族自治县医保局</w:t>
            </w:r>
          </w:p>
        </w:tc>
        <w:tc>
          <w:tcPr>
            <w:tcW w:w="1079"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460" w:lineRule="exact"/>
              <w:ind w:right="-86" w:rightChars="-43"/>
              <w:jc w:val="center"/>
              <w:textAlignment w:val="auto"/>
              <w:rPr>
                <w:rFonts w:hint="eastAsia" w:eastAsia="方正小标宋_GBK" w:asciiTheme="minorAscii" w:hAnsiTheme="minorAscii"/>
                <w:b/>
                <w:color w:val="FF0000"/>
                <w:spacing w:val="-20"/>
                <w:w w:val="42"/>
                <w:sz w:val="96"/>
                <w:szCs w:val="96"/>
                <w:highlight w:val="none"/>
                <w:lang w:val="en-US" w:eastAsia="zh-CN"/>
              </w:rPr>
            </w:pPr>
          </w:p>
        </w:tc>
      </w:tr>
      <w:tr>
        <w:tblPrEx>
          <w:tblCellMar>
            <w:top w:w="0" w:type="dxa"/>
            <w:left w:w="108" w:type="dxa"/>
            <w:bottom w:w="0" w:type="dxa"/>
            <w:right w:w="108" w:type="dxa"/>
          </w:tblCellMar>
        </w:tblPrEx>
        <w:trPr>
          <w:trHeight w:val="283" w:hRule="atLeast"/>
        </w:trPr>
        <w:tc>
          <w:tcPr>
            <w:tcW w:w="8520" w:type="dxa"/>
            <w:vAlign w:val="center"/>
          </w:tcPr>
          <w:p>
            <w:pPr>
              <w:keepNext w:val="0"/>
              <w:keepLines w:val="0"/>
              <w:pageBreakBefore w:val="0"/>
              <w:widowControl w:val="0"/>
              <w:kinsoku/>
              <w:wordWrap/>
              <w:overflowPunct/>
              <w:topLinePunct w:val="0"/>
              <w:autoSpaceDE/>
              <w:autoSpaceDN/>
              <w:bidi w:val="0"/>
              <w:adjustRightInd/>
              <w:snapToGrid w:val="0"/>
              <w:spacing w:line="460" w:lineRule="exact"/>
              <w:ind w:right="0" w:rightChars="0"/>
              <w:jc w:val="distribute"/>
              <w:textAlignment w:val="auto"/>
              <w:rPr>
                <w:rFonts w:hint="eastAsia" w:eastAsia="方正小标宋_GBK" w:asciiTheme="minorAscii" w:hAnsiTheme="minorAscii"/>
                <w:b/>
                <w:bCs w:val="0"/>
                <w:color w:val="FF0000"/>
                <w:spacing w:val="-20"/>
                <w:w w:val="42"/>
                <w:sz w:val="40"/>
                <w:szCs w:val="40"/>
                <w:highlight w:val="none"/>
                <w:lang w:val="en-US" w:eastAsia="zh-CN"/>
              </w:rPr>
            </w:pPr>
            <w:r>
              <w:rPr>
                <w:rFonts w:hint="eastAsia" w:eastAsia="方正小标宋_GBK" w:asciiTheme="minorAscii" w:hAnsiTheme="minorAscii"/>
                <w:b/>
                <w:bCs w:val="0"/>
                <w:color w:val="FF0000"/>
                <w:spacing w:val="-20"/>
                <w:w w:val="42"/>
                <w:sz w:val="40"/>
                <w:szCs w:val="40"/>
                <w:highlight w:val="none"/>
                <w:lang w:val="en-US" w:eastAsia="zh-CN"/>
              </w:rPr>
              <w:t>酉阳土家族苗族自治县市场监督管理局</w:t>
            </w:r>
          </w:p>
        </w:tc>
        <w:tc>
          <w:tcPr>
            <w:tcW w:w="1079" w:type="dxa"/>
            <w:vMerge w:val="continue"/>
            <w:vAlign w:val="center"/>
          </w:tcPr>
          <w:p>
            <w:pPr>
              <w:keepNext w:val="0"/>
              <w:keepLines w:val="0"/>
              <w:pageBreakBefore w:val="0"/>
              <w:widowControl w:val="0"/>
              <w:kinsoku/>
              <w:wordWrap/>
              <w:overflowPunct/>
              <w:topLinePunct w:val="0"/>
              <w:autoSpaceDE/>
              <w:autoSpaceDN/>
              <w:bidi w:val="0"/>
              <w:adjustRightInd/>
              <w:snapToGrid w:val="0"/>
              <w:spacing w:line="460" w:lineRule="exact"/>
              <w:ind w:right="-86" w:rightChars="-43"/>
              <w:jc w:val="center"/>
              <w:textAlignment w:val="auto"/>
              <w:rPr>
                <w:rFonts w:hint="eastAsia" w:eastAsia="方正小标宋_GBK" w:asciiTheme="minorAscii" w:hAnsiTheme="minorAscii"/>
                <w:b/>
                <w:color w:val="FF0000"/>
                <w:spacing w:val="-20"/>
                <w:w w:val="42"/>
                <w:sz w:val="96"/>
                <w:szCs w:val="96"/>
                <w:highlight w:val="none"/>
                <w:lang w:val="en-US" w:eastAsia="zh-CN"/>
              </w:rPr>
            </w:pPr>
          </w:p>
        </w:tc>
      </w:tr>
    </w:tbl>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eastAsia="方正小标宋_GBK"/>
          <w:b/>
          <w:color w:val="FF0000"/>
          <w:w w:val="42"/>
          <w:sz w:val="104"/>
          <w:szCs w:val="104"/>
          <w:highlight w:val="none"/>
          <w:lang w:val="en-US" w:eastAsia="zh-CN"/>
        </w:rPr>
      </w:pPr>
      <w:r>
        <w:rPr>
          <w:rFonts w:eastAsia="方正小标宋_GBK"/>
          <w:b/>
          <w:color w:val="FF0000"/>
          <w:w w:val="42"/>
          <w:sz w:val="104"/>
          <w:szCs w:val="104"/>
          <w:highlight w:val="none"/>
        </w:rPr>
        <mc:AlternateContent>
          <mc:Choice Requires="wps">
            <w:drawing>
              <wp:anchor distT="0" distB="0" distL="114300" distR="114300" simplePos="0" relativeHeight="251660288" behindDoc="0" locked="0" layoutInCell="1" allowOverlap="1">
                <wp:simplePos x="0" y="0"/>
                <wp:positionH relativeFrom="column">
                  <wp:posOffset>4530090</wp:posOffset>
                </wp:positionH>
                <wp:positionV relativeFrom="paragraph">
                  <wp:posOffset>3279775</wp:posOffset>
                </wp:positionV>
                <wp:extent cx="922020" cy="102743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922020" cy="1027430"/>
                        </a:xfrm>
                        <a:prstGeom prst="rect">
                          <a:avLst/>
                        </a:prstGeom>
                        <a:noFill/>
                        <a:ln>
                          <a:noFill/>
                        </a:ln>
                        <a:effectLst/>
                      </wps:spPr>
                      <wps:txbx>
                        <w:txbxContent>
                          <w:p/>
                        </w:txbxContent>
                      </wps:txbx>
                      <wps:bodyPr upright="true"/>
                    </wps:wsp>
                  </a:graphicData>
                </a:graphic>
              </wp:anchor>
            </w:drawing>
          </mc:Choice>
          <mc:Fallback>
            <w:pict>
              <v:shape id="_x0000_s1026" o:spid="_x0000_s1026" o:spt="202" type="#_x0000_t202" style="position:absolute;left:0pt;margin-left:356.7pt;margin-top:258.25pt;height:80.9pt;width:72.6pt;z-index:251660288;mso-width-relative:page;mso-height-relative:page;" filled="f" stroked="f" coordsize="21600,21600" o:gfxdata="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FgAAAGRycy9QSwECFAAUAAAACACHTuJAI3G4&#10;/9kAAAALAQAADwAAAAAAAAABACAAAAA4AAAAZHJzL2Rvd25yZXYueG1sUEsBAhQAFAAAAAgAh07i&#10;QBOD5k+ZAQAAFAMAAA4AAAAAAAAAAQAgAAAAPgEAAGRycy9lMm9Eb2MueG1sUEsFBgAAAAAGAAYA&#10;WQEAAEkFAAAAAA==&#10;">
                <v:fill on="f" focussize="0,0"/>
                <v:stroke on="f"/>
                <v:imagedata o:title=""/>
                <o:lock v:ext="edit" aspectratio="f"/>
                <v:textbox>
                  <w:txbxContent>
                    <w:p/>
                  </w:txbxContent>
                </v:textbox>
              </v:shape>
            </w:pict>
          </mc:Fallback>
        </mc:AlternateContent>
      </w:r>
      <w:r>
        <w:rPr>
          <w:rFonts w:hint="eastAsia" w:eastAsia="方正小标宋_GBK"/>
          <w:b/>
          <w:color w:val="FF0000"/>
          <w:w w:val="42"/>
          <w:sz w:val="104"/>
          <w:szCs w:val="10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320" w:firstLineChars="100"/>
        <w:jc w:val="center"/>
        <w:textAlignment w:val="auto"/>
        <w:rPr>
          <w:rFonts w:eastAsia="方正小标宋_GBK"/>
          <w:sz w:val="44"/>
          <w:szCs w:val="44"/>
          <w:highlight w:val="none"/>
        </w:rPr>
      </w:pPr>
      <w:r>
        <w:rPr>
          <w:rFonts w:hint="default" w:ascii="Times New Roman" w:hAnsi="Times New Roman" w:eastAsia="方正仿宋_GBK" w:cs="Times New Roman"/>
          <w:sz w:val="32"/>
          <w:szCs w:val="32"/>
        </w:rPr>
        <w:t>酉卫健委发〔202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hint="eastAsia" w:ascii="方正小标宋_GBK" w:hAnsi="方正小标宋_GBK" w:eastAsia="方正小标宋_GBK" w:cs="方正小标宋_GBK"/>
          <w:sz w:val="44"/>
          <w:szCs w:val="44"/>
          <w:lang w:val="en-US" w:eastAsia="zh-CN"/>
        </w:rPr>
      </w:pPr>
      <w:r>
        <w:rPr>
          <w:rFonts w:eastAsia="方正小标宋_GBK"/>
          <w:sz w:val="44"/>
          <w:szCs w:val="44"/>
          <w:highlight w:val="none"/>
        </w:rPr>
        <mc:AlternateContent>
          <mc:Choice Requires="wps">
            <w:drawing>
              <wp:anchor distT="0" distB="0" distL="114300" distR="114300" simplePos="0" relativeHeight="251659264" behindDoc="0" locked="0" layoutInCell="1" allowOverlap="1">
                <wp:simplePos x="0" y="0"/>
                <wp:positionH relativeFrom="column">
                  <wp:posOffset>-165735</wp:posOffset>
                </wp:positionH>
                <wp:positionV relativeFrom="paragraph">
                  <wp:posOffset>59055</wp:posOffset>
                </wp:positionV>
                <wp:extent cx="5829300" cy="0"/>
                <wp:effectExtent l="0" t="15875" r="0" b="22225"/>
                <wp:wrapNone/>
                <wp:docPr id="4" name="直接连接符 4"/>
                <wp:cNvGraphicFramePr/>
                <a:graphic xmlns:a="http://schemas.openxmlformats.org/drawingml/2006/main">
                  <a:graphicData uri="http://schemas.microsoft.com/office/word/2010/wordprocessingShape">
                    <wps:wsp>
                      <wps:cNvCnPr/>
                      <wps:spPr>
                        <a:xfrm>
                          <a:off x="0" y="0"/>
                          <a:ext cx="5829300" cy="0"/>
                        </a:xfrm>
                        <a:prstGeom prst="line">
                          <a:avLst/>
                        </a:prstGeom>
                        <a:ln w="31750"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3.05pt;margin-top:4.65pt;height:0pt;width:459pt;z-index:251659264;mso-width-relative:page;mso-height-relative:page;" filled="f" stroked="t" coordsize="21600,21600" o:gfxdata="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Dt9nup1gAAAAcBAAAPAAAAAAAAAAEAIAAAADgAAABkcnMvZG93bnJldi54bWxQSwECFAAUAAAA&#10;CACHTuJAsAN6jNoBAACZAwAADgAAAAAAAAABACAAAAA7AQAAZHJzL2Uyb0RvYy54bWxQSwUGAAAA&#10;AAYABgBZAQAAhwUAAAAA&#10;">
                <v:fill on="f" focussize="0,0"/>
                <v:stroke weight="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方正小标宋_GBK" w:hAnsi="方正小标宋_GBK" w:eastAsia="方正小标宋_GBK" w:cs="方正小标宋_GBK"/>
          <w:spacing w:val="0"/>
          <w:w w:val="100"/>
          <w:sz w:val="44"/>
          <w:szCs w:val="44"/>
        </w:rPr>
      </w:pPr>
      <w:r>
        <w:rPr>
          <w:rFonts w:hint="eastAsia" w:ascii="方正小标宋_GBK" w:hAnsi="方正小标宋_GBK" w:eastAsia="方正小标宋_GBK" w:cs="方正小标宋_GBK"/>
          <w:spacing w:val="0"/>
          <w:w w:val="100"/>
          <w:sz w:val="44"/>
          <w:szCs w:val="44"/>
        </w:rPr>
        <w:t>关于</w:t>
      </w:r>
      <w:r>
        <w:rPr>
          <w:rFonts w:hint="eastAsia" w:ascii="方正小标宋_GBK" w:hAnsi="方正小标宋_GBK" w:eastAsia="方正小标宋_GBK" w:cs="方正小标宋_GBK"/>
          <w:spacing w:val="0"/>
          <w:w w:val="100"/>
          <w:sz w:val="44"/>
          <w:szCs w:val="44"/>
          <w:lang w:eastAsia="zh-CN"/>
        </w:rPr>
        <w:t>印发</w:t>
      </w:r>
      <w:r>
        <w:rPr>
          <w:rFonts w:hint="eastAsia" w:ascii="方正小标宋_GBK" w:hAnsi="方正小标宋_GBK" w:eastAsia="方正小标宋_GBK" w:cs="方正小标宋_GBK"/>
          <w:spacing w:val="0"/>
          <w:w w:val="100"/>
          <w:sz w:val="44"/>
          <w:szCs w:val="44"/>
        </w:rPr>
        <w:t>《</w:t>
      </w:r>
      <w:r>
        <w:rPr>
          <w:rFonts w:hint="eastAsia" w:ascii="方正小标宋_GBK" w:hAnsi="方正小标宋_GBK" w:eastAsia="方正小标宋_GBK" w:cs="方正小标宋_GBK"/>
          <w:spacing w:val="0"/>
          <w:w w:val="100"/>
          <w:sz w:val="44"/>
          <w:szCs w:val="44"/>
          <w:lang w:eastAsia="zh-CN"/>
        </w:rPr>
        <w:t>酉阳县</w:t>
      </w:r>
      <w:r>
        <w:rPr>
          <w:rFonts w:hint="eastAsia" w:ascii="方正小标宋_GBK" w:hAnsi="方正小标宋_GBK" w:eastAsia="方正小标宋_GBK" w:cs="方正小标宋_GBK"/>
          <w:spacing w:val="0"/>
          <w:w w:val="100"/>
          <w:sz w:val="44"/>
          <w:szCs w:val="44"/>
        </w:rPr>
        <w:t>健全平急结合医防协同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方正小标宋_GBK" w:hAnsi="方正小标宋_GBK" w:eastAsia="方正小标宋_GBK" w:cs="方正小标宋_GBK"/>
          <w:spacing w:val="0"/>
          <w:w w:val="100"/>
          <w:sz w:val="44"/>
          <w:szCs w:val="44"/>
          <w:lang w:val="en-US" w:eastAsia="zh-CN"/>
        </w:rPr>
      </w:pPr>
      <w:r>
        <w:rPr>
          <w:rFonts w:hint="eastAsia" w:ascii="方正小标宋_GBK" w:hAnsi="方正小标宋_GBK" w:eastAsia="方正小标宋_GBK" w:cs="方正小标宋_GBK"/>
          <w:spacing w:val="0"/>
          <w:w w:val="100"/>
          <w:sz w:val="44"/>
          <w:szCs w:val="44"/>
        </w:rPr>
        <w:t>机制改革实施方案》</w:t>
      </w:r>
      <w:r>
        <w:rPr>
          <w:rFonts w:hint="eastAsia" w:ascii="方正小标宋_GBK" w:hAnsi="方正小标宋_GBK" w:eastAsia="方正小标宋_GBK" w:cs="方正小标宋_GBK"/>
          <w:spacing w:val="0"/>
          <w:w w:val="100"/>
          <w:sz w:val="44"/>
          <w:szCs w:val="44"/>
          <w:lang w:val="en-US" w:eastAsia="zh-CN"/>
        </w:rPr>
        <w:t>的通知</w:t>
      </w:r>
    </w:p>
    <w:p>
      <w:pPr>
        <w:pageBreakBefore w:val="0"/>
        <w:widowControl w:val="0"/>
        <w:kinsoku w:val="0"/>
        <w:wordWrap/>
        <w:overflowPunct/>
        <w:topLinePunct w:val="0"/>
        <w:autoSpaceDE w:val="0"/>
        <w:autoSpaceDN w:val="0"/>
        <w:bidi w:val="0"/>
        <w:adjustRightInd w:val="0"/>
        <w:spacing w:line="540" w:lineRule="exact"/>
        <w:ind w:left="2222" w:right="867" w:hanging="1242"/>
        <w:jc w:val="left"/>
        <w:textAlignment w:val="baseline"/>
        <w:outlineLvl w:val="2"/>
        <w:rPr>
          <w:rFonts w:ascii="方正仿宋_GBK" w:hAnsi="方正仿宋_GBK" w:eastAsia="方正仿宋_GBK" w:cs="方正仿宋_GBK"/>
          <w:color w:val="000000"/>
          <w:sz w:val="44"/>
          <w:szCs w:val="44"/>
        </w:rPr>
      </w:pPr>
    </w:p>
    <w:p>
      <w:pPr>
        <w:keepNext w:val="0"/>
        <w:keepLines w:val="0"/>
        <w:pageBreakBefore w:val="0"/>
        <w:widowControl/>
        <w:kinsoku w:val="0"/>
        <w:wordWrap/>
        <w:overflowPunct/>
        <w:topLinePunct w:val="0"/>
        <w:autoSpaceDE w:val="0"/>
        <w:autoSpaceDN w:val="0"/>
        <w:bidi w:val="0"/>
        <w:adjustRightInd w:val="0"/>
        <w:snapToGrid w:val="0"/>
        <w:spacing w:after="0" w:line="600" w:lineRule="exact"/>
        <w:jc w:val="both"/>
        <w:textAlignment w:val="baseline"/>
        <w:rPr>
          <w:rFonts w:hint="eastAsia" w:ascii="仿宋" w:hAnsi="仿宋" w:eastAsia="仿宋" w:cs="仿宋"/>
          <w:color w:val="000000"/>
          <w:spacing w:val="0"/>
          <w:sz w:val="32"/>
          <w:szCs w:val="32"/>
          <w:lang w:val="en-US" w:eastAsia="zh-CN"/>
        </w:rPr>
      </w:pPr>
      <w:r>
        <w:rPr>
          <w:rFonts w:hint="eastAsia" w:ascii="仿宋" w:hAnsi="仿宋" w:eastAsia="仿宋" w:cs="仿宋"/>
          <w:color w:val="000000"/>
          <w:spacing w:val="0"/>
          <w:sz w:val="32"/>
          <w:szCs w:val="32"/>
          <w:lang w:val="en-US" w:eastAsia="zh-CN"/>
        </w:rPr>
        <w:t>各乡镇人民政府、街道办事处，各级医疗机构：</w:t>
      </w:r>
    </w:p>
    <w:p>
      <w:pPr>
        <w:keepNext w:val="0"/>
        <w:keepLines w:val="0"/>
        <w:pageBreakBefore w:val="0"/>
        <w:widowControl/>
        <w:kinsoku w:val="0"/>
        <w:wordWrap/>
        <w:overflowPunct/>
        <w:topLinePunct w:val="0"/>
        <w:autoSpaceDE w:val="0"/>
        <w:autoSpaceDN w:val="0"/>
        <w:bidi w:val="0"/>
        <w:adjustRightInd w:val="0"/>
        <w:snapToGrid w:val="0"/>
        <w:spacing w:after="0" w:line="600" w:lineRule="exact"/>
        <w:ind w:firstLine="640" w:firstLineChars="200"/>
        <w:jc w:val="both"/>
        <w:textAlignment w:val="baseline"/>
        <w:rPr>
          <w:rFonts w:hint="eastAsia" w:ascii="仿宋" w:hAnsi="仿宋" w:eastAsia="仿宋" w:cs="仿宋"/>
          <w:spacing w:val="0"/>
          <w:sz w:val="32"/>
          <w:szCs w:val="32"/>
          <w:lang w:val="en-US" w:eastAsia="zh-CN"/>
        </w:rPr>
      </w:pPr>
      <w:r>
        <w:rPr>
          <w:rFonts w:hint="eastAsia" w:ascii="仿宋" w:hAnsi="仿宋" w:eastAsia="仿宋" w:cs="仿宋"/>
          <w:color w:val="000000"/>
          <w:spacing w:val="0"/>
          <w:sz w:val="32"/>
          <w:szCs w:val="32"/>
          <w:lang w:eastAsia="zh-CN"/>
        </w:rPr>
        <w:t>为贯彻落实市卫生健康委联合市教委等</w:t>
      </w:r>
      <w:r>
        <w:rPr>
          <w:rFonts w:hint="eastAsia" w:ascii="仿宋" w:hAnsi="仿宋" w:eastAsia="仿宋" w:cs="仿宋"/>
          <w:color w:val="000000"/>
          <w:spacing w:val="0"/>
          <w:sz w:val="32"/>
          <w:szCs w:val="32"/>
          <w:lang w:val="en-US" w:eastAsia="zh-CN"/>
        </w:rPr>
        <w:t>19个</w:t>
      </w:r>
      <w:r>
        <w:rPr>
          <w:rFonts w:hint="eastAsia" w:ascii="仿宋" w:hAnsi="仿宋" w:eastAsia="仿宋" w:cs="仿宋"/>
          <w:color w:val="000000"/>
          <w:spacing w:val="0"/>
          <w:sz w:val="32"/>
          <w:szCs w:val="32"/>
          <w:lang w:eastAsia="zh-CN"/>
        </w:rPr>
        <w:t>部门共同制定《中共重庆市委全面深化改革委员会关于印发</w:t>
      </w:r>
      <w:r>
        <w:rPr>
          <w:rFonts w:hint="eastAsia" w:ascii="仿宋" w:hAnsi="仿宋" w:eastAsia="仿宋" w:cs="仿宋"/>
          <w:spacing w:val="0"/>
          <w:sz w:val="32"/>
          <w:szCs w:val="32"/>
        </w:rPr>
        <w:t>〈2024年重庆市全面深化改革重点任务推进方案〉</w:t>
      </w:r>
      <w:r>
        <w:rPr>
          <w:rFonts w:hint="eastAsia" w:ascii="仿宋" w:hAnsi="仿宋" w:eastAsia="仿宋" w:cs="仿宋"/>
          <w:color w:val="000000"/>
          <w:spacing w:val="0"/>
          <w:sz w:val="32"/>
          <w:szCs w:val="32"/>
          <w:lang w:eastAsia="zh-CN"/>
        </w:rPr>
        <w:t>的通知》</w:t>
      </w:r>
      <w:r>
        <w:rPr>
          <w:rFonts w:hint="eastAsia" w:ascii="仿宋" w:hAnsi="仿宋" w:eastAsia="仿宋" w:cs="仿宋"/>
          <w:color w:val="000000"/>
          <w:spacing w:val="0"/>
          <w:sz w:val="32"/>
          <w:szCs w:val="32"/>
          <w:lang w:val="en-US" w:eastAsia="zh-CN"/>
        </w:rPr>
        <w:t>(</w:t>
      </w:r>
      <w:r>
        <w:rPr>
          <w:rFonts w:hint="eastAsia" w:ascii="仿宋" w:hAnsi="仿宋" w:eastAsia="仿宋" w:cs="仿宋"/>
          <w:color w:val="000000"/>
          <w:spacing w:val="0"/>
          <w:sz w:val="32"/>
          <w:szCs w:val="32"/>
          <w:lang w:eastAsia="zh-CN"/>
        </w:rPr>
        <w:t>渝委改〔2024〕1号</w:t>
      </w:r>
      <w:r>
        <w:rPr>
          <w:rFonts w:hint="eastAsia" w:ascii="仿宋" w:hAnsi="仿宋" w:eastAsia="仿宋" w:cs="仿宋"/>
          <w:color w:val="000000"/>
          <w:spacing w:val="0"/>
          <w:sz w:val="32"/>
          <w:szCs w:val="32"/>
          <w:lang w:val="en-US" w:eastAsia="zh-CN"/>
        </w:rPr>
        <w:t>)</w:t>
      </w:r>
      <w:r>
        <w:rPr>
          <w:rFonts w:hint="eastAsia" w:ascii="仿宋" w:hAnsi="仿宋" w:eastAsia="仿宋" w:cs="仿宋"/>
          <w:color w:val="000000"/>
          <w:spacing w:val="0"/>
          <w:sz w:val="32"/>
          <w:szCs w:val="32"/>
          <w:lang w:eastAsia="zh-CN"/>
        </w:rPr>
        <w:t>要求，进一步完善重大疫情防控机制，落实“四方”责任</w:t>
      </w:r>
      <w:r>
        <w:rPr>
          <w:rFonts w:hint="eastAsia" w:ascii="仿宋" w:hAnsi="仿宋" w:eastAsia="仿宋" w:cs="仿宋"/>
          <w:color w:val="000000"/>
          <w:spacing w:val="0"/>
          <w:sz w:val="32"/>
          <w:szCs w:val="32"/>
          <w:lang w:val="en-US" w:eastAsia="zh-CN"/>
        </w:rPr>
        <w:t>,</w:t>
      </w:r>
      <w:r>
        <w:rPr>
          <w:rFonts w:hint="eastAsia" w:ascii="仿宋" w:hAnsi="仿宋" w:eastAsia="仿宋" w:cs="仿宋"/>
          <w:color w:val="000000"/>
          <w:spacing w:val="0"/>
          <w:sz w:val="32"/>
          <w:szCs w:val="32"/>
          <w:lang w:eastAsia="zh-CN"/>
        </w:rPr>
        <w:t>全面提高重大疫情的医疗应急工作响应速度和救治水平，建立全社会共同防控体系，切实保障人民群众生命安全和身体健康，结合我县实际，联合县发展和改革委等</w:t>
      </w:r>
      <w:r>
        <w:rPr>
          <w:rFonts w:hint="eastAsia" w:ascii="仿宋" w:hAnsi="仿宋" w:eastAsia="仿宋" w:cs="仿宋"/>
          <w:color w:val="000000"/>
          <w:spacing w:val="0"/>
          <w:sz w:val="32"/>
          <w:szCs w:val="32"/>
          <w:lang w:val="en-US" w:eastAsia="zh-CN"/>
        </w:rPr>
        <w:t>16个部门共同制定了</w:t>
      </w:r>
      <w:r>
        <w:rPr>
          <w:rFonts w:hint="eastAsia" w:ascii="仿宋" w:hAnsi="仿宋" w:eastAsia="仿宋" w:cs="仿宋"/>
          <w:color w:val="000000"/>
          <w:spacing w:val="0"/>
          <w:sz w:val="32"/>
          <w:szCs w:val="32"/>
          <w:lang w:eastAsia="zh-CN"/>
        </w:rPr>
        <w:t>《酉阳县健全平急结合医防协同机制改革实施方案》，现将此方案印发给你们</w:t>
      </w:r>
      <w:r>
        <w:rPr>
          <w:rFonts w:hint="eastAsia" w:ascii="仿宋" w:hAnsi="仿宋" w:eastAsia="仿宋" w:cs="仿宋"/>
          <w:color w:val="000000"/>
          <w:spacing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酉阳自治县卫生健康委员会       酉阳自治县市场监督管理局</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 xml:space="preserve">酉阳自治县发展和改革委员会         酉阳自治县财政局        </w:t>
      </w:r>
    </w:p>
    <w:p>
      <w:pPr>
        <w:keepNext w:val="0"/>
        <w:keepLines w:val="0"/>
        <w:pageBreakBefore w:val="0"/>
        <w:widowControl w:val="0"/>
        <w:kinsoku/>
        <w:wordWrap/>
        <w:overflowPunct/>
        <w:topLinePunct w:val="0"/>
        <w:autoSpaceDE/>
        <w:autoSpaceDN/>
        <w:bidi w:val="0"/>
        <w:adjustRightInd/>
        <w:snapToGrid/>
        <w:spacing w:line="600" w:lineRule="exact"/>
        <w:ind w:left="640" w:hanging="640" w:hangingChars="200"/>
        <w:jc w:val="both"/>
        <w:textAlignment w:val="auto"/>
        <w:rPr>
          <w:rFonts w:hint="eastAsia" w:ascii="仿宋" w:hAnsi="仿宋" w:eastAsia="仿宋" w:cs="仿宋"/>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640" w:hanging="640" w:hangingChars="200"/>
        <w:jc w:val="both"/>
        <w:textAlignment w:val="auto"/>
        <w:rPr>
          <w:rFonts w:hint="eastAsia" w:ascii="仿宋" w:hAnsi="仿宋" w:eastAsia="仿宋" w:cs="仿宋"/>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640" w:hanging="640" w:hangingChars="200"/>
        <w:jc w:val="both"/>
        <w:textAlignment w:val="auto"/>
        <w:rPr>
          <w:rFonts w:hint="eastAsia" w:ascii="仿宋" w:hAnsi="仿宋" w:eastAsia="仿宋" w:cs="仿宋"/>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640" w:hanging="640" w:hangingChars="200"/>
        <w:jc w:val="both"/>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酉阳自治县科学技术协会       酉阳自治县经济和信息委员会</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 xml:space="preserve">酉阳自治县住房和城乡建设委员会    酉阳自治县教育委员会  </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酉阳自治县人力资源和社会保障局     酉阳自治县生态环境局</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酉阳自治县规划和自然资源局          酉阳自治县民政局</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酉阳自治县交通运输委员会       酉阳自治县农业农村委员会</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酉阳自治县应急管理局               酉阳自治县医保局</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5760" w:firstLineChars="1800"/>
        <w:jc w:val="both"/>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2025年2月13日</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pacing w:val="0"/>
          <w:sz w:val="32"/>
          <w:szCs w:val="32"/>
          <w:lang w:val="en-US" w:eastAsia="zh-CN"/>
        </w:rPr>
      </w:pPr>
    </w:p>
    <w:p>
      <w:pPr>
        <w:pBdr>
          <w:top w:val="single" w:color="auto" w:sz="4" w:space="0"/>
          <w:bottom w:val="single" w:color="auto" w:sz="4" w:space="1"/>
        </w:pBdr>
        <w:adjustRightInd w:val="0"/>
        <w:snapToGrid w:val="0"/>
        <w:spacing w:line="480" w:lineRule="exact"/>
        <w:rPr>
          <w:rFonts w:hint="eastAsia" w:ascii="仿宋" w:hAnsi="仿宋" w:eastAsia="仿宋" w:cs="仿宋"/>
          <w:kern w:val="0"/>
          <w:sz w:val="28"/>
          <w:szCs w:val="28"/>
        </w:rPr>
      </w:pPr>
      <w:r>
        <w:rPr>
          <w:rFonts w:hint="eastAsia" w:ascii="仿宋" w:hAnsi="仿宋" w:eastAsia="仿宋" w:cs="仿宋"/>
          <w:kern w:val="0"/>
          <w:sz w:val="28"/>
          <w:szCs w:val="28"/>
        </w:rPr>
        <w:t xml:space="preserve">酉阳土家族苗族自治县卫生健康委员会办公室  </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202</w:t>
      </w:r>
      <w:r>
        <w:rPr>
          <w:rFonts w:hint="eastAsia" w:ascii="仿宋" w:hAnsi="仿宋" w:eastAsia="仿宋" w:cs="仿宋"/>
          <w:kern w:val="0"/>
          <w:sz w:val="28"/>
          <w:szCs w:val="28"/>
          <w:lang w:val="en-US" w:eastAsia="zh-CN"/>
        </w:rPr>
        <w:t>5</w:t>
      </w:r>
      <w:r>
        <w:rPr>
          <w:rFonts w:hint="eastAsia" w:ascii="仿宋" w:hAnsi="仿宋" w:eastAsia="仿宋" w:cs="仿宋"/>
          <w:kern w:val="0"/>
          <w:sz w:val="28"/>
          <w:szCs w:val="28"/>
        </w:rPr>
        <w:t>年</w:t>
      </w:r>
      <w:r>
        <w:rPr>
          <w:rFonts w:hint="eastAsia" w:ascii="仿宋" w:hAnsi="仿宋" w:eastAsia="仿宋" w:cs="仿宋"/>
          <w:kern w:val="0"/>
          <w:sz w:val="28"/>
          <w:szCs w:val="28"/>
          <w:lang w:val="en-US" w:eastAsia="zh-CN"/>
        </w:rPr>
        <w:t>2</w:t>
      </w:r>
      <w:r>
        <w:rPr>
          <w:rFonts w:hint="eastAsia" w:ascii="仿宋" w:hAnsi="仿宋" w:eastAsia="仿宋" w:cs="仿宋"/>
          <w:kern w:val="0"/>
          <w:sz w:val="28"/>
          <w:szCs w:val="28"/>
        </w:rPr>
        <w:t>月</w:t>
      </w:r>
      <w:r>
        <w:rPr>
          <w:rFonts w:hint="eastAsia" w:ascii="仿宋" w:hAnsi="仿宋" w:eastAsia="仿宋" w:cs="仿宋"/>
          <w:kern w:val="0"/>
          <w:sz w:val="28"/>
          <w:szCs w:val="28"/>
          <w:lang w:val="en-US" w:eastAsia="zh-CN"/>
        </w:rPr>
        <w:t>13</w:t>
      </w:r>
      <w:r>
        <w:rPr>
          <w:rFonts w:hint="eastAsia" w:ascii="仿宋" w:hAnsi="仿宋" w:eastAsia="仿宋" w:cs="仿宋"/>
          <w:kern w:val="0"/>
          <w:sz w:val="28"/>
          <w:szCs w:val="28"/>
        </w:rPr>
        <w:t>日印发</w:t>
      </w:r>
    </w:p>
    <w:p>
      <w:pPr>
        <w:tabs>
          <w:tab w:val="left" w:pos="1980"/>
        </w:tabs>
        <w:jc w:val="left"/>
        <w:rPr>
          <w:rFonts w:hint="eastAsia" w:ascii="仿宋" w:hAnsi="仿宋" w:eastAsia="仿宋" w:cs="仿宋"/>
          <w:kern w:val="0"/>
          <w:sz w:val="32"/>
          <w:szCs w:val="32"/>
        </w:rPr>
        <w:sectPr>
          <w:footerReference r:id="rId3" w:type="default"/>
          <w:pgSz w:w="11906" w:h="16838"/>
          <w:pgMar w:top="2098" w:right="1474" w:bottom="1984" w:left="1587" w:header="1021" w:footer="1134" w:gutter="0"/>
          <w:cols w:space="720" w:num="1"/>
          <w:docGrid w:type="lines" w:linePitch="449" w:charSpace="0"/>
        </w:sectPr>
      </w:pPr>
    </w:p>
    <w:p>
      <w:pPr>
        <w:pStyle w:val="3"/>
        <w:keepNext w:val="0"/>
        <w:keepLines w:val="0"/>
        <w:pageBreakBefore w:val="0"/>
        <w:widowControl/>
        <w:kinsoku w:val="0"/>
        <w:wordWrap/>
        <w:overflowPunct/>
        <w:topLinePunct w:val="0"/>
        <w:autoSpaceDE w:val="0"/>
        <w:autoSpaceDN w:val="0"/>
        <w:bidi w:val="0"/>
        <w:adjustRightInd w:val="0"/>
        <w:snapToGrid w:val="0"/>
        <w:spacing w:after="0" w:line="640" w:lineRule="exact"/>
        <w:ind w:right="0"/>
        <w:jc w:val="center"/>
        <w:textAlignment w:val="baseline"/>
        <w:rPr>
          <w:rFonts w:hint="eastAsia" w:ascii="方正公文仿宋" w:hAnsi="方正公文仿宋" w:eastAsia="方正公文仿宋" w:cs="方正公文仿宋"/>
          <w:spacing w:val="0"/>
          <w:w w:val="100"/>
          <w:sz w:val="44"/>
          <w:szCs w:val="44"/>
          <w:lang w:val="en-US" w:eastAsia="zh-CN" w:bidi="ar-SA"/>
        </w:rPr>
      </w:pPr>
      <w:r>
        <w:rPr>
          <w:rFonts w:hint="eastAsia" w:ascii="方正公文仿宋" w:hAnsi="方正公文仿宋" w:eastAsia="方正公文仿宋" w:cs="方正公文仿宋"/>
          <w:spacing w:val="0"/>
          <w:w w:val="100"/>
          <w:sz w:val="44"/>
          <w:szCs w:val="44"/>
          <w:lang w:val="en-US" w:eastAsia="zh-CN" w:bidi="ar-SA"/>
        </w:rPr>
        <w:t>酉阳县健全平急结合医防协同机制改革实施</w:t>
      </w:r>
    </w:p>
    <w:p>
      <w:pPr>
        <w:pStyle w:val="3"/>
        <w:keepNext w:val="0"/>
        <w:keepLines w:val="0"/>
        <w:pageBreakBefore w:val="0"/>
        <w:widowControl/>
        <w:kinsoku w:val="0"/>
        <w:wordWrap/>
        <w:overflowPunct/>
        <w:topLinePunct w:val="0"/>
        <w:autoSpaceDE w:val="0"/>
        <w:autoSpaceDN w:val="0"/>
        <w:bidi w:val="0"/>
        <w:adjustRightInd w:val="0"/>
        <w:snapToGrid w:val="0"/>
        <w:spacing w:after="0" w:line="640" w:lineRule="exact"/>
        <w:ind w:right="0"/>
        <w:jc w:val="center"/>
        <w:textAlignment w:val="baseline"/>
        <w:rPr>
          <w:rFonts w:hint="eastAsia" w:ascii="方正公文仿宋" w:hAnsi="方正公文仿宋" w:eastAsia="方正公文仿宋" w:cs="方正公文仿宋"/>
          <w:spacing w:val="0"/>
          <w:w w:val="100"/>
          <w:sz w:val="44"/>
          <w:szCs w:val="44"/>
          <w:lang w:val="en-US" w:eastAsia="zh-CN" w:bidi="ar-SA"/>
        </w:rPr>
      </w:pPr>
      <w:r>
        <w:rPr>
          <w:rFonts w:hint="eastAsia" w:ascii="方正公文仿宋" w:hAnsi="方正公文仿宋" w:eastAsia="方正公文仿宋" w:cs="方正公文仿宋"/>
          <w:spacing w:val="0"/>
          <w:w w:val="100"/>
          <w:sz w:val="44"/>
          <w:szCs w:val="44"/>
          <w:lang w:val="en-US" w:eastAsia="zh-CN" w:bidi="ar-SA"/>
        </w:rPr>
        <w:t>方案</w:t>
      </w:r>
    </w:p>
    <w:p>
      <w:pPr>
        <w:keepNext w:val="0"/>
        <w:keepLines w:val="0"/>
        <w:pageBreakBefore w:val="0"/>
        <w:widowControl/>
        <w:kinsoku w:val="0"/>
        <w:wordWrap/>
        <w:overflowPunct/>
        <w:topLinePunct w:val="0"/>
        <w:autoSpaceDE w:val="0"/>
        <w:autoSpaceDN w:val="0"/>
        <w:bidi w:val="0"/>
        <w:adjustRightInd w:val="0"/>
        <w:snapToGrid w:val="0"/>
        <w:spacing w:after="0" w:line="360" w:lineRule="auto"/>
        <w:ind w:right="1" w:firstLine="640" w:firstLineChars="200"/>
        <w:jc w:val="both"/>
        <w:textAlignment w:val="baseline"/>
        <w:rPr>
          <w:rFonts w:hint="eastAsia" w:ascii="仿宋" w:hAnsi="仿宋" w:eastAsia="仿宋" w:cs="仿宋"/>
          <w:spacing w:val="0"/>
          <w:sz w:val="32"/>
          <w:szCs w:val="32"/>
        </w:rPr>
      </w:pPr>
    </w:p>
    <w:p>
      <w:pPr>
        <w:keepNext w:val="0"/>
        <w:keepLines w:val="0"/>
        <w:pageBreakBefore w:val="0"/>
        <w:widowControl w:val="0"/>
        <w:kinsoku/>
        <w:wordWrap/>
        <w:overflowPunct/>
        <w:topLinePunct w:val="0"/>
        <w:autoSpaceDE/>
        <w:autoSpaceDN/>
        <w:bidi w:val="0"/>
        <w:adjustRightInd/>
        <w:snapToGrid/>
        <w:spacing w:line="640" w:lineRule="exact"/>
        <w:ind w:right="0" w:firstLine="640" w:firstLineChars="200"/>
        <w:jc w:val="both"/>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为贯彻落实《中共重庆市委全面深化改革委员会关于印发〈2024年重庆市全面深化改革重点任务推进方案〉的通知》(渝委改〔2024〕1号)要求，进一步完善重大疫情防控机制,落实属地、部门、单位、个人“四方”责任，全面提高重大疫情的医疗应急工作响应速度和救治水平，建立全社会共同防控体系，切实保障人民群众生命安全和身体健康，结合我县实际，</w:t>
      </w:r>
      <w:r>
        <w:rPr>
          <w:rFonts w:hint="eastAsia" w:ascii="仿宋" w:hAnsi="仿宋" w:eastAsia="仿宋" w:cs="仿宋"/>
          <w:color w:val="000000"/>
          <w:spacing w:val="0"/>
          <w:sz w:val="32"/>
          <w:szCs w:val="32"/>
          <w:lang w:eastAsia="zh-CN"/>
        </w:rPr>
        <w:t>联合县发展和改革委等</w:t>
      </w:r>
      <w:r>
        <w:rPr>
          <w:rFonts w:hint="eastAsia" w:ascii="仿宋" w:hAnsi="仿宋" w:eastAsia="仿宋" w:cs="仿宋"/>
          <w:color w:val="000000"/>
          <w:spacing w:val="0"/>
          <w:sz w:val="32"/>
          <w:szCs w:val="32"/>
          <w:lang w:val="en-US" w:eastAsia="zh-CN"/>
        </w:rPr>
        <w:t>16个部门共同</w:t>
      </w:r>
      <w:r>
        <w:rPr>
          <w:rFonts w:hint="eastAsia" w:ascii="仿宋" w:hAnsi="仿宋" w:eastAsia="仿宋" w:cs="仿宋"/>
          <w:spacing w:val="0"/>
          <w:sz w:val="32"/>
          <w:szCs w:val="32"/>
          <w:lang w:val="en-US" w:eastAsia="zh-CN"/>
        </w:rPr>
        <w:t>制定本实施方案。</w:t>
      </w:r>
    </w:p>
    <w:p>
      <w:pPr>
        <w:keepNext w:val="0"/>
        <w:keepLines w:val="0"/>
        <w:pageBreakBefore w:val="0"/>
        <w:widowControl/>
        <w:kinsoku w:val="0"/>
        <w:wordWrap/>
        <w:overflowPunct/>
        <w:topLinePunct w:val="0"/>
        <w:autoSpaceDE w:val="0"/>
        <w:autoSpaceDN w:val="0"/>
        <w:bidi w:val="0"/>
        <w:adjustRightInd w:val="0"/>
        <w:snapToGrid w:val="0"/>
        <w:spacing w:after="0" w:line="640" w:lineRule="exact"/>
        <w:ind w:right="0" w:firstLine="642" w:firstLineChars="200"/>
        <w:textAlignment w:val="baseline"/>
        <w:outlineLvl w:val="0"/>
        <w:rPr>
          <w:rFonts w:hint="eastAsia" w:ascii="黑体" w:hAnsi="黑体" w:eastAsia="黑体" w:cs="黑体"/>
          <w:spacing w:val="0"/>
          <w:sz w:val="32"/>
          <w:szCs w:val="32"/>
        </w:rPr>
      </w:pPr>
      <w:r>
        <w:rPr>
          <w:rFonts w:hint="eastAsia" w:ascii="黑体" w:hAnsi="黑体" w:eastAsia="黑体" w:cs="黑体"/>
          <w:b/>
          <w:bCs/>
          <w:spacing w:val="0"/>
          <w:sz w:val="32"/>
          <w:szCs w:val="32"/>
        </w:rPr>
        <w:t>一、总体要求</w:t>
      </w:r>
    </w:p>
    <w:p>
      <w:pPr>
        <w:keepNext w:val="0"/>
        <w:keepLines w:val="0"/>
        <w:pageBreakBefore w:val="0"/>
        <w:widowControl/>
        <w:kinsoku w:val="0"/>
        <w:wordWrap/>
        <w:overflowPunct/>
        <w:topLinePunct w:val="0"/>
        <w:autoSpaceDE w:val="0"/>
        <w:autoSpaceDN w:val="0"/>
        <w:bidi w:val="0"/>
        <w:adjustRightInd w:val="0"/>
        <w:snapToGrid w:val="0"/>
        <w:spacing w:after="0" w:line="640" w:lineRule="exact"/>
        <w:ind w:right="0" w:firstLine="640" w:firstLineChars="200"/>
        <w:textAlignment w:val="baseline"/>
        <w:outlineLvl w:val="0"/>
        <w:rPr>
          <w:rFonts w:hint="eastAsia" w:ascii="楷体" w:hAnsi="楷体" w:eastAsia="楷体" w:cs="楷体"/>
          <w:spacing w:val="0"/>
          <w:sz w:val="32"/>
          <w:szCs w:val="32"/>
        </w:rPr>
      </w:pPr>
      <w:r>
        <w:rPr>
          <w:rFonts w:hint="eastAsia" w:ascii="楷体" w:hAnsi="楷体" w:eastAsia="楷体" w:cs="楷体"/>
          <w:spacing w:val="0"/>
          <w:sz w:val="32"/>
          <w:szCs w:val="32"/>
        </w:rPr>
        <w:t>(一)工作思路</w:t>
      </w:r>
    </w:p>
    <w:p>
      <w:pPr>
        <w:keepNext w:val="0"/>
        <w:keepLines w:val="0"/>
        <w:pageBreakBefore w:val="0"/>
        <w:widowControl w:val="0"/>
        <w:kinsoku/>
        <w:wordWrap/>
        <w:overflowPunct/>
        <w:topLinePunct w:val="0"/>
        <w:autoSpaceDE/>
        <w:autoSpaceDN/>
        <w:bidi w:val="0"/>
        <w:adjustRightInd/>
        <w:snapToGrid/>
        <w:spacing w:line="640" w:lineRule="exact"/>
        <w:ind w:right="0" w:firstLine="640" w:firstLineChars="200"/>
        <w:jc w:val="both"/>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坚持以习近平新时代中国特色社会主义思想为指导，全面贯彻党的二十届三中全会及市委六届六次全会精神，落实新时代党的卫生与健康工作方针，逐步健全统一领导、权责匹配、运行高效的重大疫情防控指挥体系，不断完善平急结合、快速反应的医疗应急体系，加强分层、分级、分类医疗救治体系建设，进一步推进医防协同发展，着力提升重大疫情防控应急能力建设，为保护人民健康、保障公共卫生安全、维护经济社会稳定提供重要保障。</w:t>
      </w:r>
    </w:p>
    <w:p>
      <w:pPr>
        <w:keepNext w:val="0"/>
        <w:keepLines w:val="0"/>
        <w:pageBreakBefore w:val="0"/>
        <w:widowControl/>
        <w:kinsoku w:val="0"/>
        <w:wordWrap/>
        <w:overflowPunct/>
        <w:topLinePunct w:val="0"/>
        <w:autoSpaceDE w:val="0"/>
        <w:autoSpaceDN w:val="0"/>
        <w:bidi w:val="0"/>
        <w:adjustRightInd w:val="0"/>
        <w:snapToGrid w:val="0"/>
        <w:spacing w:after="0" w:line="640" w:lineRule="exact"/>
        <w:ind w:right="0" w:firstLine="640" w:firstLineChars="200"/>
        <w:textAlignment w:val="baseline"/>
        <w:outlineLvl w:val="0"/>
        <w:rPr>
          <w:rFonts w:hint="eastAsia" w:ascii="楷体" w:hAnsi="楷体" w:eastAsia="楷体" w:cs="楷体"/>
          <w:spacing w:val="0"/>
          <w:sz w:val="32"/>
          <w:szCs w:val="32"/>
        </w:rPr>
      </w:pPr>
      <w:r>
        <w:rPr>
          <w:rFonts w:hint="eastAsia" w:ascii="楷体" w:hAnsi="楷体" w:eastAsia="楷体" w:cs="楷体"/>
          <w:spacing w:val="0"/>
          <w:sz w:val="32"/>
          <w:szCs w:val="32"/>
        </w:rPr>
        <w:t>(</w:t>
      </w:r>
      <w:r>
        <w:rPr>
          <w:rFonts w:hint="eastAsia" w:ascii="楷体" w:hAnsi="楷体" w:eastAsia="楷体" w:cs="楷体"/>
          <w:spacing w:val="0"/>
          <w:sz w:val="32"/>
          <w:szCs w:val="32"/>
          <w:lang w:eastAsia="zh-CN"/>
        </w:rPr>
        <w:t>二</w:t>
      </w:r>
      <w:r>
        <w:rPr>
          <w:rFonts w:hint="eastAsia" w:ascii="楷体" w:hAnsi="楷体" w:eastAsia="楷体" w:cs="楷体"/>
          <w:spacing w:val="0"/>
          <w:sz w:val="32"/>
          <w:szCs w:val="32"/>
        </w:rPr>
        <w:t>)主要目标</w:t>
      </w:r>
    </w:p>
    <w:p>
      <w:pPr>
        <w:keepNext w:val="0"/>
        <w:keepLines w:val="0"/>
        <w:pageBreakBefore w:val="0"/>
        <w:widowControl w:val="0"/>
        <w:kinsoku/>
        <w:wordWrap/>
        <w:overflowPunct/>
        <w:topLinePunct w:val="0"/>
        <w:autoSpaceDE/>
        <w:autoSpaceDN/>
        <w:bidi w:val="0"/>
        <w:adjustRightInd/>
        <w:snapToGrid/>
        <w:spacing w:line="640" w:lineRule="exact"/>
        <w:ind w:right="0" w:firstLine="640" w:firstLineChars="200"/>
        <w:jc w:val="both"/>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2025年，平急结合医防协同机制健全，使中西医协同的分层分级分类应急救治体系更加完善，应急状态下平急转换机制基本健全，公共卫生与医疗服务高效协同。</w:t>
      </w:r>
    </w:p>
    <w:p>
      <w:pPr>
        <w:keepNext w:val="0"/>
        <w:keepLines w:val="0"/>
        <w:pageBreakBefore w:val="0"/>
        <w:widowControl/>
        <w:kinsoku w:val="0"/>
        <w:wordWrap/>
        <w:overflowPunct/>
        <w:topLinePunct w:val="0"/>
        <w:autoSpaceDE w:val="0"/>
        <w:autoSpaceDN w:val="0"/>
        <w:bidi w:val="0"/>
        <w:adjustRightInd w:val="0"/>
        <w:snapToGrid w:val="0"/>
        <w:spacing w:after="0" w:line="640" w:lineRule="exact"/>
        <w:ind w:right="0" w:firstLine="642" w:firstLineChars="200"/>
        <w:textAlignment w:val="baseline"/>
        <w:outlineLvl w:val="0"/>
        <w:rPr>
          <w:rFonts w:hint="eastAsia" w:ascii="黑体" w:hAnsi="黑体" w:eastAsia="黑体" w:cs="黑体"/>
          <w:b/>
          <w:bCs/>
          <w:spacing w:val="0"/>
          <w:sz w:val="32"/>
          <w:szCs w:val="32"/>
        </w:rPr>
      </w:pPr>
      <w:r>
        <w:rPr>
          <w:rFonts w:hint="eastAsia" w:ascii="黑体" w:hAnsi="黑体" w:eastAsia="黑体" w:cs="黑体"/>
          <w:b/>
          <w:bCs/>
          <w:spacing w:val="0"/>
          <w:sz w:val="32"/>
          <w:szCs w:val="32"/>
        </w:rPr>
        <w:t>二、重点改革任务</w:t>
      </w:r>
    </w:p>
    <w:p>
      <w:pPr>
        <w:keepNext w:val="0"/>
        <w:keepLines w:val="0"/>
        <w:pageBreakBefore w:val="0"/>
        <w:widowControl/>
        <w:kinsoku w:val="0"/>
        <w:wordWrap/>
        <w:overflowPunct/>
        <w:topLinePunct w:val="0"/>
        <w:autoSpaceDE w:val="0"/>
        <w:autoSpaceDN w:val="0"/>
        <w:bidi w:val="0"/>
        <w:adjustRightInd w:val="0"/>
        <w:snapToGrid w:val="0"/>
        <w:spacing w:after="0" w:line="640" w:lineRule="exact"/>
        <w:ind w:right="0" w:firstLine="640" w:firstLineChars="200"/>
        <w:textAlignment w:val="baseline"/>
        <w:outlineLvl w:val="0"/>
        <w:rPr>
          <w:rFonts w:hint="eastAsia" w:ascii="楷体" w:hAnsi="楷体" w:eastAsia="楷体" w:cs="楷体"/>
          <w:spacing w:val="0"/>
          <w:sz w:val="32"/>
          <w:szCs w:val="32"/>
        </w:rPr>
      </w:pPr>
      <w:r>
        <w:rPr>
          <w:rFonts w:hint="eastAsia" w:ascii="楷体" w:hAnsi="楷体" w:eastAsia="楷体" w:cs="楷体"/>
          <w:spacing w:val="0"/>
          <w:sz w:val="32"/>
          <w:szCs w:val="32"/>
        </w:rPr>
        <w:t>(一)健全平急结合的重大疫情应急管理机制</w:t>
      </w:r>
    </w:p>
    <w:p>
      <w:pPr>
        <w:keepNext w:val="0"/>
        <w:keepLines w:val="0"/>
        <w:pageBreakBefore w:val="0"/>
        <w:widowControl w:val="0"/>
        <w:kinsoku/>
        <w:wordWrap/>
        <w:overflowPunct/>
        <w:topLinePunct w:val="0"/>
        <w:autoSpaceDE/>
        <w:autoSpaceDN/>
        <w:bidi w:val="0"/>
        <w:adjustRightInd/>
        <w:snapToGrid/>
        <w:spacing w:line="640" w:lineRule="exact"/>
        <w:ind w:right="0" w:firstLine="640" w:firstLineChars="200"/>
        <w:jc w:val="both"/>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1.健全统一高效的应急指挥机制。充分发挥县疫情防控领导小组作用，形成党委领导、政府负责、部门协同联动、全社会共同参与、属地管理和分类管理相结合的重大疫情应急管理机制。完善平急转换、分级响应机制，明确常态化和应急状态下具体运行模式，完善不同等级应急响应动态调整标准和程序，确保“一触即发、高效运转”。(牵头单位：县卫生健康委，责任单位：县级各部门)</w:t>
      </w:r>
    </w:p>
    <w:p>
      <w:pPr>
        <w:keepNext w:val="0"/>
        <w:keepLines w:val="0"/>
        <w:pageBreakBefore w:val="0"/>
        <w:widowControl w:val="0"/>
        <w:kinsoku/>
        <w:wordWrap/>
        <w:overflowPunct/>
        <w:topLinePunct w:val="0"/>
        <w:autoSpaceDE/>
        <w:autoSpaceDN/>
        <w:bidi w:val="0"/>
        <w:adjustRightInd/>
        <w:snapToGrid/>
        <w:spacing w:line="640" w:lineRule="exact"/>
        <w:ind w:right="0" w:firstLine="640" w:firstLineChars="200"/>
        <w:jc w:val="both"/>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2.建设智能辅助统一调度的应急指挥平台。建设卫生应急资源“一张网”,实时动态掌握，动态调配队伍、装备、物资等各级各类卫生应急资源；实现各部门应急处置数据实时交换共享，实现突发公共卫生事件自动报告、监测预警、资源可视化实时动态展示、辅助智能决策和在线实时指挥调度。(牵头单位：县卫生健康委，县疾控局，责任单位：县经济和信息委)</w:t>
      </w:r>
    </w:p>
    <w:p>
      <w:pPr>
        <w:keepNext w:val="0"/>
        <w:keepLines w:val="0"/>
        <w:pageBreakBefore w:val="0"/>
        <w:widowControl w:val="0"/>
        <w:kinsoku/>
        <w:wordWrap/>
        <w:overflowPunct/>
        <w:topLinePunct w:val="0"/>
        <w:autoSpaceDE/>
        <w:autoSpaceDN/>
        <w:bidi w:val="0"/>
        <w:adjustRightInd/>
        <w:snapToGrid/>
        <w:spacing w:line="640" w:lineRule="exact"/>
        <w:ind w:right="0" w:firstLine="640" w:firstLineChars="200"/>
        <w:jc w:val="both"/>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3.健全快速有力的重大疫情响应机制。建立疫情预警触发响应机制、重大疫情风险评估综合研判机制，以及“分级负责、分级响应、分区响应”的精准施策机制。探索以乡镇卫生院和村医为依托组建基层医疗应急队伍。(牵头单位：县卫生健康委、县疾控局 )</w:t>
      </w:r>
    </w:p>
    <w:p>
      <w:pPr>
        <w:keepNext w:val="0"/>
        <w:keepLines w:val="0"/>
        <w:pageBreakBefore w:val="0"/>
        <w:widowControl w:val="0"/>
        <w:kinsoku/>
        <w:wordWrap/>
        <w:overflowPunct/>
        <w:topLinePunct w:val="0"/>
        <w:autoSpaceDE/>
        <w:autoSpaceDN/>
        <w:bidi w:val="0"/>
        <w:adjustRightInd/>
        <w:snapToGrid/>
        <w:spacing w:line="640" w:lineRule="exact"/>
        <w:ind w:right="0" w:firstLine="640" w:firstLineChars="200"/>
        <w:jc w:val="both"/>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4.健全多点触发的传染病监测预警机制。制定重点传染病疾病监测目录，完善监测哨点布局和协作工作机制，提升监测预警能力。到2025年，全县人民医院主动监测为核心，其他医疗机构就诊患者症状监测、病例报告监测和实验室病原体监测为补充，涵盖动物疫病监测、生态环境监测、病媒生物监测、学校及养老等重点机构健康监测等多方位协同监测内容，兼顾常态与应急、城市与农村、一般人群和重点人群，覆盖县、乡镇、街道、村社等多渠道监测网络。(牵头单位：县卫生健康委，县疾控局，责任单位：县教委、县民政局、县生态环境局、县农业农村委)</w:t>
      </w:r>
    </w:p>
    <w:p>
      <w:pPr>
        <w:keepNext w:val="0"/>
        <w:keepLines w:val="0"/>
        <w:pageBreakBefore w:val="0"/>
        <w:widowControl/>
        <w:kinsoku w:val="0"/>
        <w:wordWrap/>
        <w:overflowPunct/>
        <w:topLinePunct w:val="0"/>
        <w:autoSpaceDE w:val="0"/>
        <w:autoSpaceDN w:val="0"/>
        <w:bidi w:val="0"/>
        <w:adjustRightInd w:val="0"/>
        <w:snapToGrid w:val="0"/>
        <w:spacing w:after="0" w:line="640" w:lineRule="exact"/>
        <w:ind w:right="0" w:firstLine="640" w:firstLineChars="200"/>
        <w:textAlignment w:val="baseline"/>
        <w:outlineLvl w:val="0"/>
        <w:rPr>
          <w:rFonts w:hint="eastAsia" w:ascii="楷体" w:hAnsi="楷体" w:eastAsia="楷体" w:cs="楷体"/>
          <w:spacing w:val="0"/>
          <w:sz w:val="32"/>
          <w:szCs w:val="32"/>
        </w:rPr>
      </w:pPr>
      <w:r>
        <w:rPr>
          <w:rFonts w:hint="eastAsia" w:ascii="楷体" w:hAnsi="楷体" w:eastAsia="楷体" w:cs="楷体"/>
          <w:spacing w:val="0"/>
          <w:sz w:val="32"/>
          <w:szCs w:val="32"/>
        </w:rPr>
        <w:t>(二)健全应急状态下基本医疗服务保障机制</w:t>
      </w:r>
    </w:p>
    <w:p>
      <w:pPr>
        <w:keepNext w:val="0"/>
        <w:keepLines w:val="0"/>
        <w:pageBreakBefore w:val="0"/>
        <w:widowControl w:val="0"/>
        <w:kinsoku/>
        <w:wordWrap/>
        <w:overflowPunct/>
        <w:topLinePunct w:val="0"/>
        <w:autoSpaceDE/>
        <w:autoSpaceDN/>
        <w:bidi w:val="0"/>
        <w:adjustRightInd/>
        <w:snapToGrid/>
        <w:spacing w:line="640" w:lineRule="exact"/>
        <w:ind w:right="0" w:firstLine="640" w:firstLineChars="200"/>
        <w:jc w:val="both"/>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5.健全分层分级分类应急救治机制。制定《分层分级分类应急救治管理工作方案》,完善分级分层分流传染病救治网络和应急救治程序，以及首诊负责、疾控医疗联合会诊等制度。强化分级诊疗与双向诊疗，依托全民健康信息平台建设完善双向转诊服务平台，建立上转患者优先就诊、检查、住院等机制，完善上级医院为患者转诊提供诊治信息和后续治疗方案等上下联动机制。(牵头单位：县卫生健康委、县疾控局)</w:t>
      </w:r>
    </w:p>
    <w:p>
      <w:pPr>
        <w:keepNext w:val="0"/>
        <w:keepLines w:val="0"/>
        <w:pageBreakBefore w:val="0"/>
        <w:widowControl w:val="0"/>
        <w:kinsoku/>
        <w:wordWrap/>
        <w:overflowPunct/>
        <w:topLinePunct w:val="0"/>
        <w:autoSpaceDE/>
        <w:autoSpaceDN/>
        <w:bidi w:val="0"/>
        <w:adjustRightInd/>
        <w:snapToGrid/>
        <w:spacing w:line="640" w:lineRule="exact"/>
        <w:ind w:right="0" w:firstLine="640" w:firstLineChars="200"/>
        <w:jc w:val="both"/>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6.健全重大疫情中脆弱人群应急救治机制。在重大疫情中对脆弱人群，实行网格化健康管理服务，孕产妇、新生儿、精神病患者、血液透析、肿瘤放化疗、慢性病等特殊患者，由乡镇(街道)指定专人对接定点医院开展动态管理。重大传染病患者或疑似患者实施标准防护和闭环诊疗，所有急危重症患者通过“绿色通道”入院治疗，平诊和择期手术患者施行预约和分时段就诊策略，推广“互联网+医疗健康”服务。(牵头单位：县卫生健康委、县疾控局)</w:t>
      </w:r>
    </w:p>
    <w:p>
      <w:pPr>
        <w:keepNext w:val="0"/>
        <w:keepLines w:val="0"/>
        <w:pageBreakBefore w:val="0"/>
        <w:widowControl w:val="0"/>
        <w:kinsoku/>
        <w:wordWrap/>
        <w:overflowPunct/>
        <w:topLinePunct w:val="0"/>
        <w:autoSpaceDE/>
        <w:autoSpaceDN/>
        <w:bidi w:val="0"/>
        <w:adjustRightInd/>
        <w:snapToGrid/>
        <w:spacing w:line="640" w:lineRule="exact"/>
        <w:ind w:right="0" w:firstLine="640" w:firstLineChars="200"/>
        <w:jc w:val="both"/>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7.强化院前院内急救衔接。依托“县—乡镇—村卫生室”三级院前医疗急救服务体系，设置120调度指挥中心。二级以上医院在偏远地区设置急救站点，乡镇卫生院、符合条件的社区卫生服务中心开展24小时院前急救服务。推进院前急救体系信息化建设，推动院前医疗急救网络与院内急诊无缝衔接，加强“120”救护车等院前急救资源统筹，畅通急诊—病区收治流程，提升住院患者收治效率。到2025年，全县“120”电话10秒接听率达到95%,3分钟出车率达到96%,院前急救城区平均反应时间在13分钟以内。(牵头单位：县卫生健康委、县疾控局)</w:t>
      </w:r>
    </w:p>
    <w:p>
      <w:pPr>
        <w:keepNext w:val="0"/>
        <w:keepLines w:val="0"/>
        <w:pageBreakBefore w:val="0"/>
        <w:widowControl/>
        <w:kinsoku w:val="0"/>
        <w:wordWrap/>
        <w:overflowPunct/>
        <w:topLinePunct w:val="0"/>
        <w:autoSpaceDE w:val="0"/>
        <w:autoSpaceDN w:val="0"/>
        <w:bidi w:val="0"/>
        <w:adjustRightInd w:val="0"/>
        <w:snapToGrid w:val="0"/>
        <w:spacing w:after="0" w:line="640" w:lineRule="exact"/>
        <w:ind w:right="0" w:firstLine="640" w:firstLineChars="200"/>
        <w:textAlignment w:val="baseline"/>
        <w:outlineLvl w:val="0"/>
        <w:rPr>
          <w:rFonts w:hint="eastAsia" w:ascii="楷体" w:hAnsi="楷体" w:eastAsia="楷体" w:cs="楷体"/>
          <w:spacing w:val="0"/>
          <w:sz w:val="32"/>
          <w:szCs w:val="32"/>
        </w:rPr>
      </w:pPr>
      <w:r>
        <w:rPr>
          <w:rFonts w:hint="eastAsia" w:ascii="楷体" w:hAnsi="楷体" w:eastAsia="楷体" w:cs="楷体"/>
          <w:spacing w:val="0"/>
          <w:sz w:val="32"/>
          <w:szCs w:val="32"/>
        </w:rPr>
        <w:t>(三)健全应急状态下平急转换动态调整机制</w:t>
      </w:r>
    </w:p>
    <w:p>
      <w:pPr>
        <w:keepNext w:val="0"/>
        <w:keepLines w:val="0"/>
        <w:pageBreakBefore w:val="0"/>
        <w:widowControl w:val="0"/>
        <w:kinsoku/>
        <w:wordWrap/>
        <w:overflowPunct/>
        <w:topLinePunct w:val="0"/>
        <w:autoSpaceDE/>
        <w:autoSpaceDN/>
        <w:bidi w:val="0"/>
        <w:adjustRightInd/>
        <w:snapToGrid/>
        <w:spacing w:line="640" w:lineRule="exact"/>
        <w:ind w:right="0" w:firstLine="640" w:firstLineChars="200"/>
        <w:jc w:val="both"/>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8.提升综合医院传染病救治能力。推进综合医院传染病防治设施标准化建设，加强中医医院感染性疾病科、急诊、重症等科室建设，不断提升中医药防病治病能力。到2025年，三级医院综合ICU按照不少于本院实际开放床位总数的4%设置可用于救治感染重大传染病的各类重症病人床位；按照不少于本院实际开放床位总数的4%储备一批传染病救治“可转换ICU 床位”,确保需要时能够在24小时内转化为重症监护单元。(牵头单位：县卫生健康委、县疾控局，责任单位：县发展和改革委)</w:t>
      </w:r>
    </w:p>
    <w:p>
      <w:pPr>
        <w:keepNext w:val="0"/>
        <w:keepLines w:val="0"/>
        <w:pageBreakBefore w:val="0"/>
        <w:widowControl w:val="0"/>
        <w:kinsoku/>
        <w:wordWrap/>
        <w:overflowPunct/>
        <w:topLinePunct w:val="0"/>
        <w:autoSpaceDE/>
        <w:autoSpaceDN/>
        <w:bidi w:val="0"/>
        <w:adjustRightInd/>
        <w:snapToGrid/>
        <w:spacing w:line="640" w:lineRule="exact"/>
        <w:ind w:right="0" w:firstLine="640" w:firstLineChars="200"/>
        <w:jc w:val="both"/>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9.健全平急结合的医疗机构应急腾空机制。制定《重大疫情应急状态下医疗机构床位应急腾空指导方案》。设置 1家定点医院，制定“固定标识应急床位—快速扩展应急床位—快速腾空床位”的应急床位使用流程和重大疫情腾空流程，县疫情防控指挥部组织后勤、城管、消防、公安、应急、环保等工作力量，统筹协调医院腾空后普通患者有序分流。县乡两级卫生健康行政部门统筹腾空医院医务人员配置，每年至少开展1次应急训练(演练)。(牵头单位：县卫生健康委、县疾控局）</w:t>
      </w:r>
    </w:p>
    <w:p>
      <w:pPr>
        <w:keepNext w:val="0"/>
        <w:keepLines w:val="0"/>
        <w:pageBreakBefore w:val="0"/>
        <w:widowControl w:val="0"/>
        <w:kinsoku/>
        <w:wordWrap/>
        <w:overflowPunct/>
        <w:topLinePunct w:val="0"/>
        <w:autoSpaceDE/>
        <w:autoSpaceDN/>
        <w:bidi w:val="0"/>
        <w:adjustRightInd/>
        <w:snapToGrid/>
        <w:spacing w:line="640" w:lineRule="exact"/>
        <w:ind w:right="0" w:firstLine="640" w:firstLineChars="200"/>
        <w:jc w:val="both"/>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10.优化储备一批医疗应急服务点。坚持填平补齐、保障应急的原则，根据“平急两用”公共基础设施的建设规模和经合理测算的“急时”隔离人员数量，聚焦检验检查、感染防控、基本医疗卫生服务和急危重症患者应急救治需要，对县级医院、县域医疗卫生中心等医疗卫生机构提标扩能，升级一批医疗应急服务点，提升突发疾病和意外伤害救治能力，“平时”满足周边居民日常诊疗服务需求，“急时”转为定点医疗机构。(牵头单位：县卫生健康委、县疾控局、县发展和改革委)</w:t>
      </w:r>
    </w:p>
    <w:p>
      <w:pPr>
        <w:keepNext w:val="0"/>
        <w:keepLines w:val="0"/>
        <w:pageBreakBefore w:val="0"/>
        <w:widowControl/>
        <w:kinsoku w:val="0"/>
        <w:wordWrap/>
        <w:overflowPunct/>
        <w:topLinePunct w:val="0"/>
        <w:autoSpaceDE w:val="0"/>
        <w:autoSpaceDN w:val="0"/>
        <w:bidi w:val="0"/>
        <w:adjustRightInd w:val="0"/>
        <w:snapToGrid w:val="0"/>
        <w:spacing w:after="0" w:line="640" w:lineRule="exact"/>
        <w:ind w:right="0" w:firstLine="640" w:firstLineChars="200"/>
        <w:textAlignment w:val="baseline"/>
        <w:outlineLvl w:val="0"/>
        <w:rPr>
          <w:rFonts w:hint="eastAsia" w:ascii="楷体" w:hAnsi="楷体" w:eastAsia="楷体" w:cs="楷体"/>
          <w:spacing w:val="0"/>
          <w:sz w:val="32"/>
          <w:szCs w:val="32"/>
        </w:rPr>
      </w:pPr>
      <w:r>
        <w:rPr>
          <w:rFonts w:hint="eastAsia" w:ascii="楷体" w:hAnsi="楷体" w:eastAsia="楷体" w:cs="楷体"/>
          <w:spacing w:val="0"/>
          <w:sz w:val="32"/>
          <w:szCs w:val="32"/>
        </w:rPr>
        <w:t>(四)健全平急结合的应急保障机制</w:t>
      </w:r>
    </w:p>
    <w:p>
      <w:pPr>
        <w:keepNext w:val="0"/>
        <w:keepLines w:val="0"/>
        <w:pageBreakBefore w:val="0"/>
        <w:widowControl w:val="0"/>
        <w:kinsoku/>
        <w:wordWrap/>
        <w:overflowPunct/>
        <w:topLinePunct w:val="0"/>
        <w:autoSpaceDE/>
        <w:autoSpaceDN/>
        <w:bidi w:val="0"/>
        <w:adjustRightInd/>
        <w:snapToGrid/>
        <w:spacing w:line="640" w:lineRule="exact"/>
        <w:ind w:right="0" w:firstLine="640" w:firstLineChars="200"/>
        <w:jc w:val="both"/>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11.健全医药物资储备保障制度。健全“县—机构—家庭”三级应急物资储备体系。根据《重庆市应急医疗物资储备管理办法》,规范做好县级应急医疗物资储备管理工作。完善县级应急医疗物资储备日常管理、监督检查机制。(牵头单位：县卫生健康委、县疾控局、县发展和改革委，责任单位：县经济和信息委、县财政局、县交通运输委、县应急局、县市场监督管理局）</w:t>
      </w:r>
    </w:p>
    <w:p>
      <w:pPr>
        <w:keepNext w:val="0"/>
        <w:keepLines w:val="0"/>
        <w:pageBreakBefore w:val="0"/>
        <w:widowControl w:val="0"/>
        <w:kinsoku/>
        <w:wordWrap/>
        <w:overflowPunct/>
        <w:topLinePunct w:val="0"/>
        <w:autoSpaceDE/>
        <w:autoSpaceDN/>
        <w:bidi w:val="0"/>
        <w:adjustRightInd/>
        <w:snapToGrid/>
        <w:spacing w:line="640" w:lineRule="exact"/>
        <w:ind w:right="0" w:firstLine="640" w:firstLineChars="200"/>
        <w:jc w:val="both"/>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12.加强医药物资实物储备能力建设。县级储备采取实物储备、协议储备和生产能力储备相结合的管理模式，县级储备量根据储备目录动态调整。县级建立动态平衡的医疗应急物资储备体系，并适当向辖区重要区域和乡镇延伸。完善应急物资就近调用、合理轮转、互助调拨机制，实现调拨指令发出后应急物资及时内配送到位。按照《重庆市家庭卫生应急物资储备建议清单》,鼓励辖区内企事业单位、家庭等主动储备必要的医药和其他应急物资。(牵头单位：县卫生健康委，责任单位：县经济和信息委、县规划和自然资源局、县疾控局、县市场监督管理局）</w:t>
      </w:r>
    </w:p>
    <w:p>
      <w:pPr>
        <w:keepNext w:val="0"/>
        <w:keepLines w:val="0"/>
        <w:pageBreakBefore w:val="0"/>
        <w:widowControl w:val="0"/>
        <w:kinsoku/>
        <w:wordWrap/>
        <w:overflowPunct/>
        <w:topLinePunct w:val="0"/>
        <w:autoSpaceDE/>
        <w:autoSpaceDN/>
        <w:bidi w:val="0"/>
        <w:adjustRightInd/>
        <w:snapToGrid/>
        <w:spacing w:line="640" w:lineRule="exact"/>
        <w:ind w:right="0" w:firstLine="640" w:firstLineChars="200"/>
        <w:jc w:val="both"/>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13.建立守正创新的应急产能储备机制。依托当地在中药材种植、畜牧养殖等领域资源优势，在工业园区内发展中成药、中药饮片加工、天然产物提取等领域产业化项目。(牵头单位：县卫生健康委、县疾控局、县经济和信息委，责任单位：县发展和改革委、县科学技术协会、县农业农村委、县市场监督管理局）</w:t>
      </w:r>
    </w:p>
    <w:p>
      <w:pPr>
        <w:keepNext w:val="0"/>
        <w:keepLines w:val="0"/>
        <w:pageBreakBefore w:val="0"/>
        <w:widowControl/>
        <w:kinsoku w:val="0"/>
        <w:wordWrap/>
        <w:overflowPunct/>
        <w:topLinePunct w:val="0"/>
        <w:autoSpaceDE w:val="0"/>
        <w:autoSpaceDN w:val="0"/>
        <w:bidi w:val="0"/>
        <w:adjustRightInd w:val="0"/>
        <w:snapToGrid w:val="0"/>
        <w:spacing w:after="0" w:line="640" w:lineRule="exact"/>
        <w:ind w:right="0" w:firstLine="640" w:firstLineChars="200"/>
        <w:textAlignment w:val="baseline"/>
        <w:outlineLvl w:val="0"/>
        <w:rPr>
          <w:rFonts w:hint="eastAsia" w:ascii="楷体" w:hAnsi="楷体" w:eastAsia="楷体" w:cs="楷体"/>
          <w:spacing w:val="0"/>
          <w:sz w:val="32"/>
          <w:szCs w:val="32"/>
        </w:rPr>
      </w:pPr>
      <w:r>
        <w:rPr>
          <w:rFonts w:hint="eastAsia" w:ascii="楷体" w:hAnsi="楷体" w:eastAsia="楷体" w:cs="楷体"/>
          <w:spacing w:val="0"/>
          <w:sz w:val="32"/>
          <w:szCs w:val="32"/>
        </w:rPr>
        <w:t>(五)健全公共卫生与医疗服务高效协同机制</w:t>
      </w:r>
    </w:p>
    <w:p>
      <w:pPr>
        <w:keepNext w:val="0"/>
        <w:keepLines w:val="0"/>
        <w:pageBreakBefore w:val="0"/>
        <w:widowControl w:val="0"/>
        <w:kinsoku/>
        <w:wordWrap/>
        <w:overflowPunct/>
        <w:topLinePunct w:val="0"/>
        <w:autoSpaceDE/>
        <w:autoSpaceDN/>
        <w:bidi w:val="0"/>
        <w:adjustRightInd/>
        <w:snapToGrid/>
        <w:spacing w:line="640" w:lineRule="exact"/>
        <w:ind w:right="0" w:firstLine="640" w:firstLineChars="200"/>
        <w:jc w:val="both"/>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14.建设“疫智防控”数字化应用。贯通“市-县-医疗机构-村卫生室”信息系统，构建病例、病原、症候群、病媒生物和多部门协同五大数字化监测渠道，建立多部门数据共建、共享协作机制。依托三级数字化城市运行和治理中心，实现传染病“监测-预警-处置-调度—评估”全流程闭环管理。对接渝快政、“医检互认”应用医学检验数据中心、县疾控中心LIMS系统，实现全量采集，持续完善系统迭代和功能补充。(牵头单位：县卫生健康委、县疾控局，责任单位：县经济和信息委)</w:t>
      </w:r>
    </w:p>
    <w:p>
      <w:pPr>
        <w:keepNext w:val="0"/>
        <w:keepLines w:val="0"/>
        <w:pageBreakBefore w:val="0"/>
        <w:widowControl w:val="0"/>
        <w:kinsoku/>
        <w:wordWrap/>
        <w:overflowPunct/>
        <w:topLinePunct w:val="0"/>
        <w:autoSpaceDE/>
        <w:autoSpaceDN/>
        <w:bidi w:val="0"/>
        <w:adjustRightInd/>
        <w:snapToGrid/>
        <w:spacing w:line="640" w:lineRule="exact"/>
        <w:ind w:right="0" w:firstLine="640" w:firstLineChars="200"/>
        <w:jc w:val="both"/>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15.强化医疗机构公共卫生职责。医疗机构开展公共卫生科室标准化建设，将公共卫生履职情况纳入酉阳县卫生健康高质量发展评价办法。在市卫健委指导下，逐步探索建立疾控监督员制度，采取“一对一”“多对一”“多对多”等方式向医疗机构派驻专职疾控监督员。到2025年，全县公立医院、基层医疗卫生机构标准化公共卫生科设置率达100%。(牵头单位：县卫生健康委、县疾控局)</w:t>
      </w:r>
    </w:p>
    <w:p>
      <w:pPr>
        <w:keepNext w:val="0"/>
        <w:keepLines w:val="0"/>
        <w:pageBreakBefore w:val="0"/>
        <w:widowControl w:val="0"/>
        <w:kinsoku/>
        <w:wordWrap/>
        <w:overflowPunct/>
        <w:topLinePunct w:val="0"/>
        <w:autoSpaceDE/>
        <w:autoSpaceDN/>
        <w:bidi w:val="0"/>
        <w:adjustRightInd/>
        <w:snapToGrid/>
        <w:spacing w:line="640" w:lineRule="exact"/>
        <w:ind w:right="0" w:firstLine="640" w:firstLineChars="200"/>
        <w:jc w:val="both"/>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16.健全卫生人才队伍建设机制。完善医疗机构公共卫生医师和专业公共卫生机构临床医师配备标准，建立人才双向流动机制，专业公共卫生机构纳入医联体、医共体建设，二、三级医疗机构推行公共卫生技术人员和临床医师交叉培训学习制度。(牵头单位：县卫生健康委、县疾控局，责任单位：县人力社保局、县医保局)</w:t>
      </w:r>
    </w:p>
    <w:p>
      <w:pPr>
        <w:keepNext w:val="0"/>
        <w:keepLines w:val="0"/>
        <w:pageBreakBefore w:val="0"/>
        <w:widowControl w:val="0"/>
        <w:kinsoku/>
        <w:wordWrap/>
        <w:overflowPunct/>
        <w:topLinePunct w:val="0"/>
        <w:autoSpaceDE/>
        <w:autoSpaceDN/>
        <w:bidi w:val="0"/>
        <w:adjustRightInd/>
        <w:snapToGrid/>
        <w:spacing w:line="640" w:lineRule="exact"/>
        <w:ind w:right="0" w:firstLine="640" w:firstLineChars="200"/>
        <w:jc w:val="both"/>
        <w:textAlignment w:val="auto"/>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三、保障措施</w:t>
      </w:r>
    </w:p>
    <w:p>
      <w:pPr>
        <w:keepNext w:val="0"/>
        <w:keepLines w:val="0"/>
        <w:pageBreakBefore w:val="0"/>
        <w:widowControl w:val="0"/>
        <w:kinsoku/>
        <w:wordWrap/>
        <w:overflowPunct/>
        <w:topLinePunct w:val="0"/>
        <w:autoSpaceDE/>
        <w:autoSpaceDN/>
        <w:bidi w:val="0"/>
        <w:adjustRightInd/>
        <w:snapToGrid/>
        <w:spacing w:line="640" w:lineRule="exact"/>
        <w:ind w:right="0" w:firstLine="640" w:firstLineChars="200"/>
        <w:jc w:val="both"/>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 一)加强组织领导。各部门要将健全平急结合医防协同机制，作为健康中国酉阳行动、疾控能力提升的重要内容，纳入本地区经济社会发展规划，有序推进实施。县卫生健康委要牵头完善重点任务责任分工，县级有关部门要强化协调联动，按职责抓好任务落实，确保如期完成建设目标。</w:t>
      </w:r>
    </w:p>
    <w:p>
      <w:pPr>
        <w:keepNext w:val="0"/>
        <w:keepLines w:val="0"/>
        <w:pageBreakBefore w:val="0"/>
        <w:widowControl/>
        <w:kinsoku w:val="0"/>
        <w:wordWrap/>
        <w:overflowPunct/>
        <w:topLinePunct w:val="0"/>
        <w:autoSpaceDE w:val="0"/>
        <w:autoSpaceDN w:val="0"/>
        <w:bidi w:val="0"/>
        <w:adjustRightInd w:val="0"/>
        <w:snapToGrid w:val="0"/>
        <w:spacing w:after="0" w:line="640" w:lineRule="exact"/>
        <w:ind w:right="0" w:firstLine="640" w:firstLineChars="200"/>
        <w:jc w:val="both"/>
        <w:textAlignment w:val="baseline"/>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rPr>
        <w:t>(二)加强支持保障。</w:t>
      </w:r>
      <w:r>
        <w:rPr>
          <w:rFonts w:hint="eastAsia" w:ascii="仿宋" w:hAnsi="仿宋" w:eastAsia="仿宋" w:cs="仿宋"/>
          <w:spacing w:val="0"/>
          <w:sz w:val="32"/>
          <w:szCs w:val="32"/>
          <w:lang w:val="en-US" w:eastAsia="zh-CN"/>
        </w:rPr>
        <w:t>各部门要统筹各级各类资金，健全稳定的投入机制，做好资金保障。要积极开拓公益性服务筹资渠道，整合多方资源，推动健全平急结合医防协同机制建设任务落地落实。</w:t>
      </w:r>
    </w:p>
    <w:p>
      <w:pPr>
        <w:keepNext w:val="0"/>
        <w:keepLines w:val="0"/>
        <w:pageBreakBefore w:val="0"/>
        <w:widowControl/>
        <w:kinsoku w:val="0"/>
        <w:wordWrap/>
        <w:overflowPunct/>
        <w:topLinePunct w:val="0"/>
        <w:autoSpaceDE w:val="0"/>
        <w:autoSpaceDN w:val="0"/>
        <w:bidi w:val="0"/>
        <w:adjustRightInd w:val="0"/>
        <w:snapToGrid w:val="0"/>
        <w:spacing w:after="0" w:line="640" w:lineRule="exact"/>
        <w:ind w:right="0" w:firstLine="640" w:firstLineChars="200"/>
        <w:jc w:val="both"/>
        <w:textAlignment w:val="baseline"/>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rPr>
        <w:t>(三)强化督导评估。</w:t>
      </w:r>
      <w:r>
        <w:rPr>
          <w:rFonts w:hint="eastAsia" w:ascii="仿宋" w:hAnsi="仿宋" w:eastAsia="仿宋" w:cs="仿宋"/>
          <w:spacing w:val="0"/>
          <w:sz w:val="32"/>
          <w:szCs w:val="32"/>
          <w:lang w:val="en-US" w:eastAsia="zh-CN"/>
        </w:rPr>
        <w:t>根据工作实际，将健全平急结合医防协同机制的落实纳入县人民政府及各部门年度工作内容。县卫生健康委要建立工作台账，动态跟踪健全平急结合医防协同机制建设进展，定期评估建设成效，会同县级有关部门及时协调解决建设过程中出现的问题，确保建设工作取得实效。</w:t>
      </w:r>
    </w:p>
    <w:p>
      <w:pPr>
        <w:keepNext w:val="0"/>
        <w:keepLines w:val="0"/>
        <w:pageBreakBefore w:val="0"/>
        <w:widowControl/>
        <w:kinsoku w:val="0"/>
        <w:wordWrap/>
        <w:overflowPunct/>
        <w:topLinePunct w:val="0"/>
        <w:autoSpaceDE w:val="0"/>
        <w:autoSpaceDN w:val="0"/>
        <w:bidi w:val="0"/>
        <w:adjustRightInd w:val="0"/>
        <w:snapToGrid w:val="0"/>
        <w:spacing w:after="0" w:line="640" w:lineRule="exact"/>
        <w:ind w:right="0" w:firstLine="640" w:firstLineChars="200"/>
        <w:jc w:val="both"/>
        <w:textAlignment w:val="baseline"/>
        <w:rPr>
          <w:rFonts w:hint="eastAsia" w:ascii="仿宋" w:hAnsi="仿宋" w:eastAsia="仿宋" w:cs="仿宋"/>
          <w:spacing w:val="0"/>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after="0" w:line="640" w:lineRule="exact"/>
        <w:ind w:right="0" w:firstLine="640" w:firstLineChars="200"/>
        <w:jc w:val="both"/>
        <w:textAlignment w:val="baseline"/>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附件：1.重点任务分工表</w:t>
      </w:r>
    </w:p>
    <w:p>
      <w:pPr>
        <w:keepNext w:val="0"/>
        <w:keepLines w:val="0"/>
        <w:pageBreakBefore w:val="0"/>
        <w:widowControl/>
        <w:kinsoku w:val="0"/>
        <w:wordWrap/>
        <w:overflowPunct/>
        <w:topLinePunct w:val="0"/>
        <w:autoSpaceDE w:val="0"/>
        <w:autoSpaceDN w:val="0"/>
        <w:bidi w:val="0"/>
        <w:adjustRightInd w:val="0"/>
        <w:snapToGrid w:val="0"/>
        <w:spacing w:after="0" w:line="640" w:lineRule="exact"/>
        <w:ind w:right="0" w:firstLine="1600" w:firstLineChars="500"/>
        <w:jc w:val="both"/>
        <w:textAlignment w:val="baseline"/>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2.健全平急结合医防协同机制改革年度核心指标</w:t>
      </w:r>
    </w:p>
    <w:p>
      <w:pPr>
        <w:kinsoku w:val="0"/>
        <w:autoSpaceDE w:val="0"/>
        <w:autoSpaceDN w:val="0"/>
        <w:adjustRightInd w:val="0"/>
        <w:spacing w:line="293" w:lineRule="auto"/>
        <w:ind w:left="519"/>
        <w:textAlignment w:val="baseline"/>
        <w:rPr>
          <w:rFonts w:ascii="Arial" w:hAnsi="Arial" w:eastAsia="Arial" w:cs="Arial"/>
        </w:rPr>
      </w:pPr>
    </w:p>
    <w:p>
      <w:pPr>
        <w:kinsoku w:val="0"/>
        <w:autoSpaceDE w:val="0"/>
        <w:autoSpaceDN w:val="0"/>
        <w:adjustRightInd w:val="0"/>
        <w:spacing w:line="293" w:lineRule="auto"/>
        <w:ind w:left="519"/>
        <w:textAlignment w:val="baseline"/>
        <w:rPr>
          <w:rFonts w:ascii="Arial" w:hAnsi="Arial" w:eastAsia="Arial" w:cs="Arial"/>
        </w:rPr>
      </w:pPr>
    </w:p>
    <w:p>
      <w:pPr>
        <w:kinsoku w:val="0"/>
        <w:autoSpaceDE w:val="0"/>
        <w:autoSpaceDN w:val="0"/>
        <w:adjustRightInd w:val="0"/>
        <w:spacing w:line="293" w:lineRule="auto"/>
        <w:ind w:left="519"/>
        <w:textAlignment w:val="baseline"/>
        <w:rPr>
          <w:rFonts w:ascii="Arial" w:hAnsi="Arial" w:eastAsia="Arial" w:cs="Arial"/>
        </w:rPr>
      </w:pPr>
    </w:p>
    <w:p>
      <w:pPr>
        <w:kinsoku w:val="0"/>
        <w:autoSpaceDE w:val="0"/>
        <w:autoSpaceDN w:val="0"/>
        <w:adjustRightInd w:val="0"/>
        <w:spacing w:line="293" w:lineRule="auto"/>
        <w:ind w:left="519"/>
        <w:textAlignment w:val="baseline"/>
        <w:rPr>
          <w:rFonts w:ascii="Arial" w:hAnsi="Arial" w:eastAsia="Arial" w:cs="Arial"/>
        </w:rPr>
      </w:pPr>
    </w:p>
    <w:p>
      <w:pPr>
        <w:kinsoku w:val="0"/>
        <w:autoSpaceDE w:val="0"/>
        <w:autoSpaceDN w:val="0"/>
        <w:adjustRightInd w:val="0"/>
        <w:spacing w:line="293" w:lineRule="auto"/>
        <w:ind w:left="519"/>
        <w:textAlignment w:val="baseline"/>
        <w:rPr>
          <w:rFonts w:ascii="Arial" w:hAnsi="Arial" w:eastAsia="Arial" w:cs="Arial"/>
        </w:rPr>
      </w:pPr>
    </w:p>
    <w:p>
      <w:pPr>
        <w:kinsoku w:val="0"/>
        <w:autoSpaceDE w:val="0"/>
        <w:autoSpaceDN w:val="0"/>
        <w:adjustRightInd w:val="0"/>
        <w:spacing w:line="293" w:lineRule="auto"/>
        <w:ind w:left="519"/>
        <w:textAlignment w:val="baseline"/>
        <w:rPr>
          <w:rFonts w:ascii="Arial" w:hAnsi="Arial" w:eastAsia="Arial" w:cs="Arial"/>
        </w:rPr>
      </w:pPr>
    </w:p>
    <w:p>
      <w:pPr>
        <w:kinsoku w:val="0"/>
        <w:autoSpaceDE w:val="0"/>
        <w:autoSpaceDN w:val="0"/>
        <w:adjustRightInd w:val="0"/>
        <w:spacing w:line="293" w:lineRule="auto"/>
        <w:ind w:left="519"/>
        <w:textAlignment w:val="baseline"/>
        <w:rPr>
          <w:rFonts w:ascii="Arial" w:hAnsi="Arial" w:eastAsia="Arial" w:cs="Arial"/>
        </w:rPr>
      </w:pPr>
    </w:p>
    <w:p>
      <w:pPr>
        <w:kinsoku w:val="0"/>
        <w:autoSpaceDE w:val="0"/>
        <w:autoSpaceDN w:val="0"/>
        <w:adjustRightInd w:val="0"/>
        <w:spacing w:line="293" w:lineRule="auto"/>
        <w:ind w:left="519"/>
        <w:textAlignment w:val="baseline"/>
        <w:rPr>
          <w:rFonts w:ascii="Arial" w:hAnsi="Arial" w:eastAsia="Arial" w:cs="Arial"/>
        </w:rPr>
      </w:pPr>
    </w:p>
    <w:p>
      <w:pPr>
        <w:kinsoku w:val="0"/>
        <w:autoSpaceDE w:val="0"/>
        <w:autoSpaceDN w:val="0"/>
        <w:adjustRightInd w:val="0"/>
        <w:spacing w:line="293" w:lineRule="auto"/>
        <w:textAlignment w:val="baseline"/>
        <w:rPr>
          <w:rFonts w:ascii="Arial" w:hAnsi="Arial" w:eastAsia="Arial" w:cs="Arial"/>
        </w:rPr>
      </w:pPr>
    </w:p>
    <w:p>
      <w:pPr>
        <w:kinsoku w:val="0"/>
        <w:autoSpaceDE w:val="0"/>
        <w:autoSpaceDN w:val="0"/>
        <w:adjustRightInd w:val="0"/>
        <w:spacing w:line="293" w:lineRule="auto"/>
        <w:textAlignment w:val="baseline"/>
        <w:rPr>
          <w:rFonts w:ascii="Arial" w:hAnsi="Arial" w:eastAsia="Arial" w:cs="Arial"/>
        </w:rPr>
        <w:sectPr>
          <w:footerReference r:id="rId4" w:type="default"/>
          <w:type w:val="continuous"/>
          <w:pgSz w:w="11920" w:h="16840"/>
          <w:pgMar w:top="2098" w:right="1474" w:bottom="1984" w:left="1587" w:header="0" w:footer="0" w:gutter="0"/>
          <w:pgNumType w:fmt="decimal"/>
          <w:cols w:space="425" w:num="1"/>
        </w:sectPr>
      </w:pPr>
    </w:p>
    <w:p>
      <w:pPr>
        <w:keepNext w:val="0"/>
        <w:keepLines w:val="0"/>
        <w:pageBreakBefore w:val="0"/>
        <w:widowControl/>
        <w:kinsoku w:val="0"/>
        <w:wordWrap/>
        <w:overflowPunct/>
        <w:topLinePunct w:val="0"/>
        <w:autoSpaceDE w:val="0"/>
        <w:autoSpaceDN w:val="0"/>
        <w:bidi w:val="0"/>
        <w:adjustRightInd w:val="0"/>
        <w:snapToGrid w:val="0"/>
        <w:spacing w:after="0" w:line="360" w:lineRule="auto"/>
        <w:jc w:val="both"/>
        <w:textAlignment w:val="baseline"/>
        <w:rPr>
          <w:rFonts w:hint="eastAsia" w:ascii="宋体" w:hAnsi="宋体" w:eastAsia="宋体" w:cs="宋体"/>
          <w:spacing w:val="0"/>
          <w:sz w:val="28"/>
          <w:szCs w:val="28"/>
          <w:lang w:val="en-US" w:eastAsia="zh-CN"/>
        </w:rPr>
      </w:pPr>
      <w:r>
        <w:rPr>
          <w:rFonts w:hint="eastAsia" w:ascii="方正仿宋_GBK" w:hAnsi="方正仿宋_GBK" w:eastAsia="方正仿宋_GBK" w:cs="方正仿宋_GBK"/>
          <w:b/>
          <w:bCs/>
          <w:spacing w:val="0"/>
          <w:sz w:val="32"/>
          <w:szCs w:val="32"/>
        </w:rPr>
        <w:t>附件</w:t>
      </w:r>
      <w:r>
        <w:rPr>
          <w:rFonts w:hint="eastAsia" w:ascii="方正仿宋_GBK" w:hAnsi="方正仿宋_GBK" w:eastAsia="方正仿宋_GBK" w:cs="方正仿宋_GBK"/>
          <w:b/>
          <w:bCs/>
          <w:spacing w:val="0"/>
          <w:sz w:val="32"/>
          <w:szCs w:val="32"/>
          <w:lang w:val="en-US" w:eastAsia="zh-CN"/>
        </w:rPr>
        <w:t>1</w:t>
      </w:r>
    </w:p>
    <w:p>
      <w:pPr>
        <w:pStyle w:val="3"/>
        <w:keepNext w:val="0"/>
        <w:keepLines w:val="0"/>
        <w:pageBreakBefore w:val="0"/>
        <w:widowControl/>
        <w:kinsoku w:val="0"/>
        <w:wordWrap/>
        <w:overflowPunct/>
        <w:topLinePunct w:val="0"/>
        <w:autoSpaceDE w:val="0"/>
        <w:autoSpaceDN w:val="0"/>
        <w:bidi w:val="0"/>
        <w:adjustRightInd w:val="0"/>
        <w:snapToGrid w:val="0"/>
        <w:spacing w:after="0" w:line="520" w:lineRule="exact"/>
        <w:ind w:left="4830" w:firstLine="642" w:firstLineChars="200"/>
        <w:jc w:val="both"/>
        <w:textAlignment w:val="baseline"/>
        <w:rPr>
          <w:rFonts w:hint="eastAsia" w:ascii="方正小标宋_GBK" w:hAnsi="方正小标宋_GBK" w:eastAsia="方正小标宋_GBK" w:cs="方正小标宋_GBK"/>
          <w:spacing w:val="0"/>
          <w:sz w:val="44"/>
          <w:szCs w:val="44"/>
        </w:rPr>
      </w:pPr>
      <w:r>
        <w:rPr>
          <w:rFonts w:hint="eastAsia" w:ascii="方正小标宋_GBK" w:hAnsi="方正小标宋_GBK" w:eastAsia="方正小标宋_GBK" w:cs="方正小标宋_GBK"/>
          <w:b/>
          <w:bCs/>
          <w:spacing w:val="0"/>
          <w:sz w:val="32"/>
          <w:szCs w:val="32"/>
        </w:rPr>
        <w:t>重点任务分工表</w:t>
      </w:r>
    </w:p>
    <w:tbl>
      <w:tblPr>
        <w:tblStyle w:val="16"/>
        <w:tblW w:w="1293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4"/>
        <w:gridCol w:w="7546"/>
        <w:gridCol w:w="2180"/>
        <w:gridCol w:w="22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14"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312" w:lineRule="auto"/>
              <w:jc w:val="center"/>
              <w:textAlignment w:val="baseline"/>
              <w:rPr>
                <w:rFonts w:hint="eastAsia" w:ascii="宋体" w:hAnsi="宋体" w:eastAsia="宋体" w:cs="宋体"/>
                <w:spacing w:val="0"/>
                <w:sz w:val="28"/>
                <w:szCs w:val="28"/>
                <w:lang w:eastAsia="zh-CN"/>
              </w:rPr>
            </w:pPr>
            <w:r>
              <w:rPr>
                <w:rFonts w:hint="eastAsia" w:ascii="宋体" w:hAnsi="宋体" w:eastAsia="宋体" w:cs="宋体"/>
                <w:b/>
                <w:bCs/>
                <w:spacing w:val="0"/>
                <w:sz w:val="28"/>
                <w:szCs w:val="28"/>
                <w:lang w:eastAsia="zh-CN"/>
              </w:rPr>
              <w:t>序号</w:t>
            </w:r>
          </w:p>
        </w:tc>
        <w:tc>
          <w:tcPr>
            <w:tcW w:w="7546"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312" w:lineRule="auto"/>
              <w:jc w:val="center"/>
              <w:textAlignment w:val="baseline"/>
              <w:rPr>
                <w:rFonts w:hint="eastAsia" w:ascii="宋体" w:hAnsi="宋体" w:eastAsia="宋体" w:cs="宋体"/>
                <w:spacing w:val="0"/>
                <w:sz w:val="28"/>
                <w:szCs w:val="28"/>
              </w:rPr>
            </w:pPr>
            <w:r>
              <w:rPr>
                <w:rFonts w:hint="eastAsia" w:ascii="宋体" w:hAnsi="宋体" w:eastAsia="宋体" w:cs="宋体"/>
                <w:b/>
                <w:bCs/>
                <w:spacing w:val="0"/>
                <w:sz w:val="28"/>
                <w:szCs w:val="28"/>
              </w:rPr>
              <w:t>重点工作任务</w:t>
            </w:r>
          </w:p>
        </w:tc>
        <w:tc>
          <w:tcPr>
            <w:tcW w:w="2180"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312" w:lineRule="auto"/>
              <w:jc w:val="center"/>
              <w:textAlignment w:val="baseline"/>
              <w:rPr>
                <w:rFonts w:hint="eastAsia" w:ascii="宋体" w:hAnsi="宋体" w:eastAsia="宋体" w:cs="宋体"/>
                <w:spacing w:val="0"/>
                <w:sz w:val="28"/>
                <w:szCs w:val="28"/>
              </w:rPr>
            </w:pPr>
            <w:r>
              <w:rPr>
                <w:rFonts w:hint="eastAsia" w:ascii="宋体" w:hAnsi="宋体" w:eastAsia="宋体" w:cs="宋体"/>
                <w:b/>
                <w:bCs/>
                <w:spacing w:val="0"/>
                <w:sz w:val="28"/>
                <w:szCs w:val="28"/>
              </w:rPr>
              <w:t>牵头单位</w:t>
            </w:r>
          </w:p>
        </w:tc>
        <w:tc>
          <w:tcPr>
            <w:tcW w:w="2296"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312" w:lineRule="auto"/>
              <w:jc w:val="center"/>
              <w:textAlignment w:val="baseline"/>
              <w:rPr>
                <w:rFonts w:hint="eastAsia" w:ascii="宋体" w:hAnsi="宋体" w:eastAsia="宋体" w:cs="宋体"/>
                <w:spacing w:val="0"/>
                <w:sz w:val="28"/>
                <w:szCs w:val="28"/>
              </w:rPr>
            </w:pPr>
            <w:r>
              <w:rPr>
                <w:rFonts w:hint="eastAsia" w:ascii="宋体" w:hAnsi="宋体" w:eastAsia="宋体" w:cs="宋体"/>
                <w:b/>
                <w:bCs/>
                <w:spacing w:val="0"/>
                <w:sz w:val="28"/>
                <w:szCs w:val="28"/>
              </w:rPr>
              <w:t>责任单位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jc w:val="center"/>
        </w:trPr>
        <w:tc>
          <w:tcPr>
            <w:tcW w:w="12936"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after="0" w:line="312" w:lineRule="auto"/>
              <w:ind w:left="58" w:firstLine="562" w:firstLineChars="200"/>
              <w:jc w:val="center"/>
              <w:textAlignment w:val="baseline"/>
              <w:rPr>
                <w:rFonts w:hint="eastAsia" w:ascii="宋体" w:hAnsi="宋体" w:eastAsia="宋体" w:cs="宋体"/>
                <w:spacing w:val="0"/>
                <w:sz w:val="28"/>
                <w:szCs w:val="28"/>
              </w:rPr>
            </w:pPr>
            <w:r>
              <w:rPr>
                <w:rFonts w:hint="eastAsia" w:ascii="宋体" w:hAnsi="宋体" w:eastAsia="宋体" w:cs="宋体"/>
                <w:b/>
                <w:bCs/>
                <w:spacing w:val="0"/>
                <w:sz w:val="28"/>
                <w:szCs w:val="28"/>
              </w:rPr>
              <w:t>一、2025年主要预期目标(共11项)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14"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312" w:lineRule="auto"/>
              <w:jc w:val="center"/>
              <w:textAlignment w:val="baseline"/>
              <w:rPr>
                <w:rFonts w:hint="default" w:ascii="Times New Roman" w:hAnsi="Times New Roman" w:eastAsia="宋体" w:cs="Times New Roman"/>
                <w:spacing w:val="0"/>
                <w:sz w:val="28"/>
                <w:szCs w:val="28"/>
              </w:rPr>
            </w:pPr>
            <w:r>
              <w:rPr>
                <w:rFonts w:hint="default" w:ascii="Times New Roman" w:hAnsi="Times New Roman" w:eastAsia="宋体" w:cs="Times New Roman"/>
                <w:spacing w:val="0"/>
                <w:sz w:val="28"/>
                <w:szCs w:val="28"/>
              </w:rPr>
              <w:t>1</w:t>
            </w:r>
          </w:p>
        </w:tc>
        <w:tc>
          <w:tcPr>
            <w:tcW w:w="7546"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00" w:lineRule="exact"/>
              <w:ind w:right="0"/>
              <w:jc w:val="both"/>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“疫智防控”数字化应用公立医疗机构接入率100%</w:t>
            </w:r>
          </w:p>
        </w:tc>
        <w:tc>
          <w:tcPr>
            <w:tcW w:w="2180"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00" w:lineRule="exact"/>
              <w:ind w:right="0"/>
              <w:jc w:val="center"/>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县卫生健康委</w:t>
            </w:r>
          </w:p>
          <w:p>
            <w:pPr>
              <w:keepNext w:val="0"/>
              <w:keepLines w:val="0"/>
              <w:pageBreakBefore w:val="0"/>
              <w:widowControl/>
              <w:kinsoku w:val="0"/>
              <w:wordWrap/>
              <w:overflowPunct/>
              <w:topLinePunct w:val="0"/>
              <w:autoSpaceDE w:val="0"/>
              <w:autoSpaceDN w:val="0"/>
              <w:bidi w:val="0"/>
              <w:adjustRightInd w:val="0"/>
              <w:snapToGrid w:val="0"/>
              <w:spacing w:after="0" w:line="500" w:lineRule="exact"/>
              <w:ind w:right="0"/>
              <w:jc w:val="center"/>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县疾控局</w:t>
            </w:r>
          </w:p>
        </w:tc>
        <w:tc>
          <w:tcPr>
            <w:tcW w:w="2296"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312" w:lineRule="auto"/>
              <w:ind w:firstLine="560" w:firstLineChars="200"/>
              <w:jc w:val="center"/>
              <w:textAlignment w:val="baseline"/>
              <w:rPr>
                <w:rFonts w:hint="eastAsia" w:ascii="宋体" w:hAnsi="宋体" w:eastAsia="宋体" w:cs="宋体"/>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jc w:val="center"/>
        </w:trPr>
        <w:tc>
          <w:tcPr>
            <w:tcW w:w="914"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312" w:lineRule="auto"/>
              <w:jc w:val="center"/>
              <w:textAlignment w:val="baseline"/>
              <w:rPr>
                <w:rFonts w:hint="default" w:ascii="Times New Roman" w:hAnsi="Times New Roman" w:eastAsia="宋体" w:cs="Times New Roman"/>
                <w:spacing w:val="0"/>
                <w:sz w:val="28"/>
                <w:szCs w:val="28"/>
              </w:rPr>
            </w:pPr>
            <w:r>
              <w:rPr>
                <w:rFonts w:hint="default" w:ascii="Times New Roman" w:hAnsi="Times New Roman" w:eastAsia="宋体" w:cs="Times New Roman"/>
                <w:spacing w:val="0"/>
                <w:sz w:val="28"/>
                <w:szCs w:val="28"/>
              </w:rPr>
              <w:t>2</w:t>
            </w:r>
          </w:p>
        </w:tc>
        <w:tc>
          <w:tcPr>
            <w:tcW w:w="7546"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00" w:lineRule="exact"/>
              <w:ind w:right="0"/>
              <w:jc w:val="both"/>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“疫智防控”数字化应用监测预警信号响应率100%</w:t>
            </w:r>
          </w:p>
        </w:tc>
        <w:tc>
          <w:tcPr>
            <w:tcW w:w="2180"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00" w:lineRule="exact"/>
              <w:ind w:right="0"/>
              <w:jc w:val="center"/>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县疾控局</w:t>
            </w:r>
          </w:p>
        </w:tc>
        <w:tc>
          <w:tcPr>
            <w:tcW w:w="2296"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312" w:lineRule="auto"/>
              <w:ind w:firstLine="560" w:firstLineChars="200"/>
              <w:jc w:val="center"/>
              <w:textAlignment w:val="baseline"/>
              <w:rPr>
                <w:rFonts w:hint="eastAsia" w:ascii="宋体" w:hAnsi="宋体" w:eastAsia="宋体" w:cs="宋体"/>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jc w:val="center"/>
        </w:trPr>
        <w:tc>
          <w:tcPr>
            <w:tcW w:w="914"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312" w:lineRule="auto"/>
              <w:jc w:val="center"/>
              <w:textAlignment w:val="baseline"/>
              <w:rPr>
                <w:rFonts w:hint="default" w:ascii="Times New Roman" w:hAnsi="Times New Roman" w:eastAsia="宋体" w:cs="Times New Roman"/>
                <w:spacing w:val="0"/>
                <w:sz w:val="28"/>
                <w:szCs w:val="28"/>
              </w:rPr>
            </w:pPr>
            <w:r>
              <w:rPr>
                <w:rFonts w:hint="default" w:ascii="Times New Roman" w:hAnsi="Times New Roman" w:eastAsia="宋体" w:cs="Times New Roman"/>
                <w:spacing w:val="0"/>
                <w:sz w:val="28"/>
                <w:szCs w:val="28"/>
              </w:rPr>
              <w:t>3</w:t>
            </w:r>
          </w:p>
        </w:tc>
        <w:tc>
          <w:tcPr>
            <w:tcW w:w="7546"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00" w:lineRule="exact"/>
              <w:ind w:right="0" w:firstLine="560" w:firstLineChars="200"/>
              <w:jc w:val="both"/>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应急队伍培训演练覆盖率达100%</w:t>
            </w:r>
          </w:p>
        </w:tc>
        <w:tc>
          <w:tcPr>
            <w:tcW w:w="2180"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00" w:lineRule="exact"/>
              <w:ind w:right="0"/>
              <w:jc w:val="center"/>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县卫生健康委</w:t>
            </w:r>
          </w:p>
          <w:p>
            <w:pPr>
              <w:keepNext w:val="0"/>
              <w:keepLines w:val="0"/>
              <w:pageBreakBefore w:val="0"/>
              <w:widowControl/>
              <w:kinsoku w:val="0"/>
              <w:wordWrap/>
              <w:overflowPunct/>
              <w:topLinePunct w:val="0"/>
              <w:autoSpaceDE w:val="0"/>
              <w:autoSpaceDN w:val="0"/>
              <w:bidi w:val="0"/>
              <w:adjustRightInd w:val="0"/>
              <w:snapToGrid w:val="0"/>
              <w:spacing w:after="0" w:line="500" w:lineRule="exact"/>
              <w:ind w:right="0"/>
              <w:jc w:val="center"/>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县疾控局</w:t>
            </w:r>
          </w:p>
        </w:tc>
        <w:tc>
          <w:tcPr>
            <w:tcW w:w="2296"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312" w:lineRule="auto"/>
              <w:ind w:firstLine="560" w:firstLineChars="200"/>
              <w:jc w:val="center"/>
              <w:textAlignment w:val="baseline"/>
              <w:rPr>
                <w:rFonts w:hint="eastAsia" w:ascii="宋体" w:hAnsi="宋体" w:eastAsia="宋体" w:cs="宋体"/>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914"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312" w:lineRule="auto"/>
              <w:jc w:val="center"/>
              <w:textAlignment w:val="baseline"/>
              <w:rPr>
                <w:rFonts w:hint="default" w:ascii="Times New Roman" w:hAnsi="Times New Roman" w:eastAsia="宋体" w:cs="Times New Roman"/>
                <w:spacing w:val="0"/>
                <w:sz w:val="28"/>
                <w:szCs w:val="28"/>
                <w:lang w:eastAsia="zh-CN"/>
              </w:rPr>
            </w:pPr>
            <w:r>
              <w:rPr>
                <w:rFonts w:hint="default" w:ascii="Times New Roman" w:hAnsi="Times New Roman" w:cs="Times New Roman"/>
                <w:spacing w:val="0"/>
                <w:sz w:val="28"/>
                <w:szCs w:val="28"/>
                <w:lang w:val="en-US" w:eastAsia="zh-CN"/>
              </w:rPr>
              <w:t>4</w:t>
            </w:r>
          </w:p>
        </w:tc>
        <w:tc>
          <w:tcPr>
            <w:tcW w:w="7546"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00" w:lineRule="exact"/>
              <w:ind w:right="0" w:firstLine="560" w:firstLineChars="200"/>
              <w:jc w:val="both"/>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建成县级突发急性传染病防控应急队伍</w:t>
            </w:r>
          </w:p>
        </w:tc>
        <w:tc>
          <w:tcPr>
            <w:tcW w:w="2180"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00" w:lineRule="exact"/>
              <w:ind w:right="0"/>
              <w:jc w:val="center"/>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县疾控局</w:t>
            </w:r>
          </w:p>
        </w:tc>
        <w:tc>
          <w:tcPr>
            <w:tcW w:w="2296"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312" w:lineRule="auto"/>
              <w:ind w:firstLine="560" w:firstLineChars="200"/>
              <w:jc w:val="center"/>
              <w:textAlignment w:val="baseline"/>
              <w:rPr>
                <w:rFonts w:hint="eastAsia" w:ascii="宋体" w:hAnsi="宋体" w:eastAsia="宋体" w:cs="宋体"/>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7" w:hRule="atLeast"/>
          <w:jc w:val="center"/>
        </w:trPr>
        <w:tc>
          <w:tcPr>
            <w:tcW w:w="914"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312" w:lineRule="auto"/>
              <w:jc w:val="center"/>
              <w:textAlignment w:val="baseline"/>
              <w:rPr>
                <w:rFonts w:hint="default" w:ascii="Times New Roman" w:hAnsi="Times New Roman" w:eastAsia="宋体" w:cs="Times New Roman"/>
                <w:spacing w:val="0"/>
                <w:sz w:val="28"/>
                <w:szCs w:val="28"/>
                <w:lang w:eastAsia="zh-CN"/>
              </w:rPr>
            </w:pPr>
            <w:r>
              <w:rPr>
                <w:rFonts w:hint="default" w:ascii="Times New Roman" w:hAnsi="Times New Roman" w:cs="Times New Roman"/>
                <w:spacing w:val="0"/>
                <w:sz w:val="28"/>
                <w:szCs w:val="28"/>
                <w:lang w:val="en-US" w:eastAsia="zh-CN"/>
              </w:rPr>
              <w:t>5</w:t>
            </w:r>
          </w:p>
        </w:tc>
        <w:tc>
          <w:tcPr>
            <w:tcW w:w="7546"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00" w:lineRule="exact"/>
              <w:ind w:right="0" w:firstLine="560" w:firstLineChars="200"/>
              <w:jc w:val="both"/>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县公共卫生医疗救治中心应急医院</w:t>
            </w:r>
          </w:p>
        </w:tc>
        <w:tc>
          <w:tcPr>
            <w:tcW w:w="2180"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00" w:lineRule="exact"/>
              <w:ind w:right="0"/>
              <w:jc w:val="center"/>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县卫生健康委</w:t>
            </w:r>
          </w:p>
          <w:p>
            <w:pPr>
              <w:keepNext w:val="0"/>
              <w:keepLines w:val="0"/>
              <w:pageBreakBefore w:val="0"/>
              <w:widowControl/>
              <w:kinsoku w:val="0"/>
              <w:wordWrap/>
              <w:overflowPunct/>
              <w:topLinePunct w:val="0"/>
              <w:autoSpaceDE w:val="0"/>
              <w:autoSpaceDN w:val="0"/>
              <w:bidi w:val="0"/>
              <w:adjustRightInd w:val="0"/>
              <w:snapToGrid w:val="0"/>
              <w:spacing w:after="0" w:line="500" w:lineRule="exact"/>
              <w:ind w:right="0"/>
              <w:jc w:val="center"/>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县疾控局</w:t>
            </w:r>
          </w:p>
        </w:tc>
        <w:tc>
          <w:tcPr>
            <w:tcW w:w="2296"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312" w:lineRule="auto"/>
              <w:ind w:firstLine="560" w:firstLineChars="200"/>
              <w:jc w:val="center"/>
              <w:textAlignment w:val="baseline"/>
              <w:rPr>
                <w:rFonts w:hint="eastAsia" w:ascii="宋体" w:hAnsi="宋体" w:eastAsia="宋体" w:cs="宋体"/>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jc w:val="center"/>
        </w:trPr>
        <w:tc>
          <w:tcPr>
            <w:tcW w:w="914"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312" w:lineRule="auto"/>
              <w:jc w:val="center"/>
              <w:textAlignment w:val="baseline"/>
              <w:rPr>
                <w:rFonts w:hint="default" w:ascii="Times New Roman" w:hAnsi="Times New Roman" w:eastAsia="宋体" w:cs="Times New Roman"/>
                <w:spacing w:val="0"/>
                <w:sz w:val="28"/>
                <w:szCs w:val="28"/>
              </w:rPr>
            </w:pPr>
            <w:r>
              <w:rPr>
                <w:rFonts w:hint="default" w:ascii="Times New Roman" w:hAnsi="Times New Roman" w:eastAsia="宋体" w:cs="Times New Roman"/>
                <w:spacing w:val="0"/>
                <w:sz w:val="28"/>
                <w:szCs w:val="28"/>
              </w:rPr>
              <w:t>6</w:t>
            </w:r>
          </w:p>
        </w:tc>
        <w:tc>
          <w:tcPr>
            <w:tcW w:w="7546"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00" w:lineRule="exact"/>
              <w:ind w:right="0" w:firstLine="560" w:firstLineChars="200"/>
              <w:jc w:val="both"/>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“120”电话10秒接听率达到95%</w:t>
            </w:r>
          </w:p>
        </w:tc>
        <w:tc>
          <w:tcPr>
            <w:tcW w:w="2180"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00" w:lineRule="exact"/>
              <w:ind w:right="0"/>
              <w:jc w:val="center"/>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县卫生健康委</w:t>
            </w:r>
          </w:p>
        </w:tc>
        <w:tc>
          <w:tcPr>
            <w:tcW w:w="2296"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312" w:lineRule="auto"/>
              <w:ind w:firstLine="560" w:firstLineChars="200"/>
              <w:jc w:val="center"/>
              <w:textAlignment w:val="baseline"/>
              <w:rPr>
                <w:rFonts w:hint="eastAsia" w:ascii="宋体" w:hAnsi="宋体" w:eastAsia="宋体" w:cs="宋体"/>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914"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312" w:lineRule="auto"/>
              <w:jc w:val="center"/>
              <w:textAlignment w:val="baseline"/>
              <w:rPr>
                <w:rFonts w:hint="default" w:ascii="Times New Roman" w:hAnsi="Times New Roman" w:eastAsia="宋体" w:cs="Times New Roman"/>
                <w:spacing w:val="0"/>
                <w:sz w:val="28"/>
                <w:szCs w:val="28"/>
              </w:rPr>
            </w:pPr>
            <w:r>
              <w:rPr>
                <w:rFonts w:hint="default" w:ascii="Times New Roman" w:hAnsi="Times New Roman" w:eastAsia="宋体" w:cs="Times New Roman"/>
                <w:spacing w:val="0"/>
                <w:sz w:val="28"/>
                <w:szCs w:val="28"/>
              </w:rPr>
              <w:t>7</w:t>
            </w:r>
          </w:p>
        </w:tc>
        <w:tc>
          <w:tcPr>
            <w:tcW w:w="7546"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00" w:lineRule="exact"/>
              <w:ind w:right="0" w:firstLine="560" w:firstLineChars="200"/>
              <w:jc w:val="both"/>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“120”急救车3分钟出车率达到96%</w:t>
            </w:r>
          </w:p>
        </w:tc>
        <w:tc>
          <w:tcPr>
            <w:tcW w:w="2180"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00" w:lineRule="exact"/>
              <w:ind w:right="0"/>
              <w:jc w:val="center"/>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县卫生健康委</w:t>
            </w:r>
          </w:p>
        </w:tc>
        <w:tc>
          <w:tcPr>
            <w:tcW w:w="2296"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312" w:lineRule="auto"/>
              <w:ind w:firstLine="560" w:firstLineChars="200"/>
              <w:jc w:val="center"/>
              <w:textAlignment w:val="baseline"/>
              <w:rPr>
                <w:rFonts w:hint="eastAsia" w:ascii="宋体" w:hAnsi="宋体" w:eastAsia="宋体" w:cs="宋体"/>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914"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312" w:lineRule="auto"/>
              <w:jc w:val="center"/>
              <w:textAlignment w:val="baseline"/>
              <w:rPr>
                <w:rFonts w:hint="default" w:ascii="Times New Roman" w:hAnsi="Times New Roman" w:eastAsia="宋体" w:cs="Times New Roman"/>
                <w:spacing w:val="0"/>
                <w:sz w:val="28"/>
                <w:szCs w:val="28"/>
              </w:rPr>
            </w:pPr>
            <w:r>
              <w:rPr>
                <w:rFonts w:hint="default" w:ascii="Times New Roman" w:hAnsi="Times New Roman" w:eastAsia="宋体" w:cs="Times New Roman"/>
                <w:spacing w:val="0"/>
                <w:sz w:val="28"/>
                <w:szCs w:val="28"/>
              </w:rPr>
              <w:t>8</w:t>
            </w:r>
          </w:p>
        </w:tc>
        <w:tc>
          <w:tcPr>
            <w:tcW w:w="7546"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00" w:lineRule="exact"/>
              <w:ind w:right="0" w:firstLine="560" w:firstLineChars="200"/>
              <w:jc w:val="both"/>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有1家公立医院建设相对独立的传染病病区</w:t>
            </w:r>
          </w:p>
        </w:tc>
        <w:tc>
          <w:tcPr>
            <w:tcW w:w="2180"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00" w:lineRule="exact"/>
              <w:ind w:right="0"/>
              <w:jc w:val="center"/>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县卫生健康委</w:t>
            </w:r>
          </w:p>
        </w:tc>
        <w:tc>
          <w:tcPr>
            <w:tcW w:w="2296"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312" w:lineRule="auto"/>
              <w:ind w:firstLine="560" w:firstLineChars="200"/>
              <w:jc w:val="center"/>
              <w:textAlignment w:val="baseline"/>
              <w:rPr>
                <w:rFonts w:hint="eastAsia" w:ascii="宋体" w:hAnsi="宋体" w:eastAsia="宋体" w:cs="宋体"/>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914"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312" w:lineRule="auto"/>
              <w:jc w:val="center"/>
              <w:textAlignment w:val="baseline"/>
              <w:rPr>
                <w:rFonts w:hint="default" w:ascii="Times New Roman" w:hAnsi="Times New Roman" w:eastAsia="宋体" w:cs="Times New Roman"/>
                <w:spacing w:val="0"/>
                <w:sz w:val="28"/>
                <w:szCs w:val="28"/>
                <w:lang w:val="en-US" w:eastAsia="zh-CN"/>
              </w:rPr>
            </w:pPr>
            <w:r>
              <w:rPr>
                <w:rFonts w:hint="default" w:ascii="Times New Roman" w:hAnsi="Times New Roman" w:eastAsia="宋体" w:cs="Times New Roman"/>
                <w:spacing w:val="0"/>
                <w:sz w:val="28"/>
                <w:szCs w:val="28"/>
              </w:rPr>
              <w:t>9</w:t>
            </w:r>
          </w:p>
        </w:tc>
        <w:tc>
          <w:tcPr>
            <w:tcW w:w="7546"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00" w:lineRule="exact"/>
              <w:ind w:right="0"/>
              <w:jc w:val="both"/>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二级以上公立综合医院(含中医院)感染性疾病科设置实现全覆</w:t>
            </w:r>
          </w:p>
          <w:p>
            <w:pPr>
              <w:keepNext w:val="0"/>
              <w:keepLines w:val="0"/>
              <w:pageBreakBefore w:val="0"/>
              <w:widowControl/>
              <w:kinsoku w:val="0"/>
              <w:wordWrap/>
              <w:overflowPunct/>
              <w:topLinePunct w:val="0"/>
              <w:autoSpaceDE w:val="0"/>
              <w:autoSpaceDN w:val="0"/>
              <w:bidi w:val="0"/>
              <w:adjustRightInd w:val="0"/>
              <w:snapToGrid w:val="0"/>
              <w:spacing w:after="0" w:line="500" w:lineRule="exact"/>
              <w:ind w:right="0"/>
              <w:jc w:val="both"/>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盖</w:t>
            </w:r>
          </w:p>
        </w:tc>
        <w:tc>
          <w:tcPr>
            <w:tcW w:w="2180"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00" w:lineRule="exact"/>
              <w:ind w:right="0"/>
              <w:jc w:val="center"/>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县卫生健康委</w:t>
            </w:r>
          </w:p>
        </w:tc>
        <w:tc>
          <w:tcPr>
            <w:tcW w:w="2296"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312" w:lineRule="auto"/>
              <w:ind w:firstLine="560" w:firstLineChars="200"/>
              <w:jc w:val="center"/>
              <w:textAlignment w:val="baseline"/>
              <w:rPr>
                <w:rFonts w:hint="eastAsia" w:ascii="宋体" w:hAnsi="宋体" w:eastAsia="宋体" w:cs="宋体"/>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914"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312" w:lineRule="auto"/>
              <w:jc w:val="center"/>
              <w:textAlignment w:val="baseline"/>
              <w:rPr>
                <w:rFonts w:hint="default" w:ascii="Times New Roman" w:hAnsi="Times New Roman" w:eastAsia="宋体" w:cs="Times New Roman"/>
                <w:spacing w:val="0"/>
                <w:sz w:val="28"/>
                <w:szCs w:val="28"/>
                <w:lang w:val="en-US" w:eastAsia="zh-CN"/>
              </w:rPr>
            </w:pPr>
            <w:r>
              <w:rPr>
                <w:rFonts w:hint="eastAsia" w:ascii="Times New Roman" w:hAnsi="Times New Roman" w:eastAsia="宋体" w:cs="Times New Roman"/>
                <w:spacing w:val="0"/>
                <w:sz w:val="28"/>
                <w:szCs w:val="28"/>
                <w:lang w:val="en-US" w:eastAsia="zh-CN"/>
              </w:rPr>
              <w:t>10</w:t>
            </w:r>
          </w:p>
        </w:tc>
        <w:tc>
          <w:tcPr>
            <w:tcW w:w="7546"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both"/>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全县二级以上公立医院、基层医疗卫生机构标准化公共卫生科设置率达100%</w:t>
            </w:r>
          </w:p>
        </w:tc>
        <w:tc>
          <w:tcPr>
            <w:tcW w:w="2180"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20" w:lineRule="exact"/>
              <w:ind w:left="320" w:right="0" w:hanging="280" w:hangingChars="100"/>
              <w:jc w:val="center"/>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县卫生健康</w:t>
            </w:r>
          </w:p>
          <w:p>
            <w:pPr>
              <w:keepNext w:val="0"/>
              <w:keepLines w:val="0"/>
              <w:pageBreakBefore w:val="0"/>
              <w:widowControl/>
              <w:kinsoku w:val="0"/>
              <w:wordWrap/>
              <w:overflowPunct/>
              <w:topLinePunct w:val="0"/>
              <w:autoSpaceDE w:val="0"/>
              <w:autoSpaceDN w:val="0"/>
              <w:bidi w:val="0"/>
              <w:adjustRightInd w:val="0"/>
              <w:snapToGrid w:val="0"/>
              <w:spacing w:after="0" w:line="520" w:lineRule="exact"/>
              <w:ind w:left="320" w:right="0" w:hanging="280" w:hangingChars="100"/>
              <w:jc w:val="center"/>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县疾控局</w:t>
            </w:r>
          </w:p>
        </w:tc>
        <w:tc>
          <w:tcPr>
            <w:tcW w:w="2296"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312" w:lineRule="auto"/>
              <w:ind w:firstLine="560" w:firstLineChars="200"/>
              <w:jc w:val="center"/>
              <w:textAlignment w:val="baseline"/>
              <w:rPr>
                <w:rFonts w:hint="eastAsia" w:ascii="宋体" w:hAnsi="宋体" w:eastAsia="宋体" w:cs="宋体"/>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5" w:hRule="atLeast"/>
          <w:jc w:val="center"/>
        </w:trPr>
        <w:tc>
          <w:tcPr>
            <w:tcW w:w="914"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312" w:lineRule="auto"/>
              <w:jc w:val="center"/>
              <w:textAlignment w:val="baseline"/>
              <w:rPr>
                <w:rFonts w:hint="eastAsia" w:ascii="Times New Roman" w:hAnsi="Times New Roman" w:eastAsia="宋体" w:cs="Times New Roman"/>
                <w:spacing w:val="0"/>
                <w:sz w:val="28"/>
                <w:szCs w:val="28"/>
              </w:rPr>
            </w:pPr>
            <w:r>
              <w:rPr>
                <w:rFonts w:hint="eastAsia" w:ascii="Times New Roman" w:hAnsi="Times New Roman" w:eastAsia="宋体" w:cs="Times New Roman"/>
                <w:spacing w:val="0"/>
                <w:sz w:val="28"/>
                <w:szCs w:val="28"/>
                <w:lang w:val="en-US" w:eastAsia="zh-CN"/>
              </w:rPr>
              <w:t>11</w:t>
            </w:r>
          </w:p>
        </w:tc>
        <w:tc>
          <w:tcPr>
            <w:tcW w:w="7546"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both"/>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全县获得处方权的公卫医师达2人以上</w:t>
            </w:r>
          </w:p>
        </w:tc>
        <w:tc>
          <w:tcPr>
            <w:tcW w:w="2180"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center"/>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县卫生健康委</w:t>
            </w:r>
          </w:p>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firstLine="560" w:firstLineChars="200"/>
              <w:jc w:val="both"/>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县疾控局</w:t>
            </w:r>
          </w:p>
        </w:tc>
        <w:tc>
          <w:tcPr>
            <w:tcW w:w="2296"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312" w:lineRule="auto"/>
              <w:ind w:firstLine="560" w:firstLineChars="200"/>
              <w:jc w:val="center"/>
              <w:textAlignment w:val="baseline"/>
              <w:rPr>
                <w:rFonts w:hint="eastAsia" w:ascii="宋体" w:hAnsi="宋体" w:eastAsia="宋体" w:cs="宋体"/>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jc w:val="center"/>
        </w:trPr>
        <w:tc>
          <w:tcPr>
            <w:tcW w:w="12936"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after="0" w:line="312" w:lineRule="auto"/>
              <w:ind w:left="168" w:leftChars="0" w:firstLine="562" w:firstLineChars="200"/>
              <w:jc w:val="center"/>
              <w:textAlignment w:val="baseline"/>
              <w:rPr>
                <w:rFonts w:hint="eastAsia" w:ascii="宋体" w:hAnsi="宋体" w:eastAsia="宋体" w:cs="宋体"/>
                <w:spacing w:val="0"/>
                <w:sz w:val="28"/>
                <w:szCs w:val="28"/>
              </w:rPr>
            </w:pPr>
            <w:r>
              <w:rPr>
                <w:rFonts w:hint="eastAsia" w:ascii="方正仿宋_GBK" w:hAnsi="方正仿宋_GBK" w:eastAsia="方正仿宋_GBK" w:cs="方正仿宋_GBK"/>
                <w:b/>
                <w:bCs/>
                <w:spacing w:val="0"/>
                <w:sz w:val="28"/>
                <w:szCs w:val="28"/>
              </w:rPr>
              <w:t>二、重点改革任务(共</w:t>
            </w:r>
            <w:r>
              <w:rPr>
                <w:rFonts w:hint="eastAsia" w:ascii="方正仿宋_GBK" w:hAnsi="方正仿宋_GBK" w:eastAsia="方正仿宋_GBK" w:cs="方正仿宋_GBK"/>
                <w:b/>
                <w:bCs/>
                <w:spacing w:val="0"/>
                <w:sz w:val="28"/>
                <w:szCs w:val="28"/>
                <w:lang w:val="en-US" w:eastAsia="zh-CN"/>
              </w:rPr>
              <w:t>17</w:t>
            </w:r>
            <w:r>
              <w:rPr>
                <w:rFonts w:hint="eastAsia" w:ascii="方正仿宋_GBK" w:hAnsi="方正仿宋_GBK" w:eastAsia="方正仿宋_GBK" w:cs="方正仿宋_GBK"/>
                <w:b/>
                <w:bCs/>
                <w:spacing w:val="0"/>
                <w:sz w:val="28"/>
                <w:szCs w:val="28"/>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jc w:val="center"/>
        </w:trPr>
        <w:tc>
          <w:tcPr>
            <w:tcW w:w="12936"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after="0" w:line="312" w:lineRule="auto"/>
              <w:ind w:left="168" w:leftChars="0" w:firstLine="562" w:firstLineChars="200"/>
              <w:jc w:val="center"/>
              <w:textAlignment w:val="baseline"/>
              <w:rPr>
                <w:rFonts w:hint="eastAsia" w:ascii="宋体" w:hAnsi="宋体" w:eastAsia="宋体" w:cs="宋体"/>
                <w:spacing w:val="0"/>
                <w:sz w:val="28"/>
                <w:szCs w:val="28"/>
              </w:rPr>
            </w:pPr>
            <w:r>
              <w:rPr>
                <w:rFonts w:hint="eastAsia" w:ascii="方正仿宋_GBK" w:hAnsi="方正仿宋_GBK" w:eastAsia="方正仿宋_GBK" w:cs="方正仿宋_GBK"/>
                <w:b/>
                <w:bCs/>
                <w:spacing w:val="0"/>
                <w:sz w:val="28"/>
                <w:szCs w:val="28"/>
              </w:rPr>
              <w:t>(一)健全平急结合的重大疫情应急管理机制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914"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312" w:lineRule="auto"/>
              <w:jc w:val="center"/>
              <w:textAlignment w:val="baseline"/>
              <w:rPr>
                <w:rFonts w:hint="eastAsia" w:ascii="Times New Roman" w:hAnsi="Times New Roman" w:eastAsia="宋体" w:cs="Times New Roman"/>
                <w:spacing w:val="0"/>
                <w:sz w:val="28"/>
                <w:szCs w:val="28"/>
                <w:lang w:val="en-US" w:eastAsia="zh-CN"/>
              </w:rPr>
            </w:pPr>
            <w:r>
              <w:rPr>
                <w:rFonts w:hint="eastAsia" w:ascii="Times New Roman" w:hAnsi="Times New Roman" w:eastAsia="宋体" w:cs="Times New Roman"/>
                <w:spacing w:val="0"/>
                <w:sz w:val="28"/>
                <w:szCs w:val="28"/>
                <w:lang w:val="en-US" w:eastAsia="zh-CN"/>
              </w:rPr>
              <w:t>12</w:t>
            </w:r>
          </w:p>
        </w:tc>
        <w:tc>
          <w:tcPr>
            <w:tcW w:w="7546"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both"/>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4"/>
                <w:szCs w:val="24"/>
                <w:lang w:val="en-US" w:eastAsia="zh-CN"/>
              </w:rPr>
              <w:t>组建县级疾病防治和疫情防控工作领导小组，形成党委领导、政府负责、部门协同联动、全社会共同参与的疾病防治和疫情防控机制。</w:t>
            </w:r>
          </w:p>
        </w:tc>
        <w:tc>
          <w:tcPr>
            <w:tcW w:w="2180"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center"/>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县卫生健康委</w:t>
            </w:r>
          </w:p>
        </w:tc>
        <w:tc>
          <w:tcPr>
            <w:tcW w:w="2296"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center"/>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县级相关部门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3" w:hRule="atLeast"/>
          <w:jc w:val="center"/>
        </w:trPr>
        <w:tc>
          <w:tcPr>
            <w:tcW w:w="914"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312" w:lineRule="auto"/>
              <w:jc w:val="center"/>
              <w:textAlignment w:val="baseline"/>
              <w:rPr>
                <w:rFonts w:hint="eastAsia" w:ascii="Times New Roman" w:hAnsi="Times New Roman" w:eastAsia="宋体" w:cs="Times New Roman"/>
                <w:spacing w:val="0"/>
                <w:sz w:val="28"/>
                <w:szCs w:val="28"/>
                <w:lang w:val="en-US" w:eastAsia="zh-CN"/>
              </w:rPr>
            </w:pPr>
            <w:r>
              <w:rPr>
                <w:rFonts w:hint="eastAsia" w:ascii="Times New Roman" w:hAnsi="Times New Roman" w:eastAsia="宋体" w:cs="Times New Roman"/>
                <w:spacing w:val="0"/>
                <w:sz w:val="28"/>
                <w:szCs w:val="28"/>
                <w:lang w:val="en-US" w:eastAsia="zh-CN"/>
              </w:rPr>
              <w:t>13</w:t>
            </w:r>
          </w:p>
        </w:tc>
        <w:tc>
          <w:tcPr>
            <w:tcW w:w="7546"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both"/>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建设统一调度、智能辅助的应急指挥平台。</w:t>
            </w:r>
          </w:p>
        </w:tc>
        <w:tc>
          <w:tcPr>
            <w:tcW w:w="2180"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center"/>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县卫生健康委</w:t>
            </w:r>
          </w:p>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center"/>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县疾控局</w:t>
            </w:r>
          </w:p>
        </w:tc>
        <w:tc>
          <w:tcPr>
            <w:tcW w:w="2296"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center"/>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县经济和信息委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914"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312" w:lineRule="auto"/>
              <w:jc w:val="center"/>
              <w:textAlignment w:val="baseline"/>
              <w:rPr>
                <w:rFonts w:hint="eastAsia" w:ascii="Times New Roman" w:hAnsi="Times New Roman" w:eastAsia="宋体" w:cs="Times New Roman"/>
                <w:spacing w:val="0"/>
                <w:sz w:val="28"/>
                <w:szCs w:val="28"/>
                <w:lang w:val="en-US" w:eastAsia="zh-CN"/>
              </w:rPr>
            </w:pPr>
            <w:r>
              <w:rPr>
                <w:rFonts w:hint="eastAsia" w:ascii="Times New Roman" w:hAnsi="Times New Roman" w:eastAsia="宋体" w:cs="Times New Roman"/>
                <w:spacing w:val="0"/>
                <w:sz w:val="28"/>
                <w:szCs w:val="28"/>
                <w:lang w:val="en-US" w:eastAsia="zh-CN"/>
              </w:rPr>
              <w:t>14</w:t>
            </w:r>
          </w:p>
        </w:tc>
        <w:tc>
          <w:tcPr>
            <w:tcW w:w="7546"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both"/>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建设“疫智防控”智慧化多点触发传染病疫情监测预警网络，畅通跨卫生健康、农业农村、教育、等多部门的数据共享和协同响应机制。</w:t>
            </w:r>
          </w:p>
        </w:tc>
        <w:tc>
          <w:tcPr>
            <w:tcW w:w="2180"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center"/>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县卫生健康委</w:t>
            </w:r>
          </w:p>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center"/>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县疾控局</w:t>
            </w:r>
          </w:p>
        </w:tc>
        <w:tc>
          <w:tcPr>
            <w:tcW w:w="2296"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center"/>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县教委、县民政局、县生态环境局、县农业农村委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914"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312" w:lineRule="auto"/>
              <w:jc w:val="center"/>
              <w:textAlignment w:val="baseline"/>
              <w:rPr>
                <w:rFonts w:hint="eastAsia" w:ascii="Times New Roman" w:hAnsi="Times New Roman" w:eastAsia="宋体" w:cs="Times New Roman"/>
                <w:spacing w:val="0"/>
                <w:sz w:val="28"/>
                <w:szCs w:val="28"/>
                <w:lang w:val="en-US" w:eastAsia="zh-CN"/>
              </w:rPr>
            </w:pPr>
            <w:r>
              <w:rPr>
                <w:rFonts w:hint="eastAsia" w:ascii="Times New Roman" w:hAnsi="Times New Roman" w:eastAsia="宋体" w:cs="Times New Roman"/>
                <w:spacing w:val="0"/>
                <w:sz w:val="28"/>
                <w:szCs w:val="28"/>
                <w:lang w:val="en-US" w:eastAsia="zh-CN"/>
              </w:rPr>
              <w:t>15</w:t>
            </w:r>
          </w:p>
        </w:tc>
        <w:tc>
          <w:tcPr>
            <w:tcW w:w="7546"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both"/>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制定《分层分级分类应急救治管理工作方案》,构建分级分层分流传染病救治网络。</w:t>
            </w:r>
          </w:p>
        </w:tc>
        <w:tc>
          <w:tcPr>
            <w:tcW w:w="2180"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center"/>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县卫生健康委</w:t>
            </w:r>
          </w:p>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center"/>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县疾控局</w:t>
            </w:r>
          </w:p>
        </w:tc>
        <w:tc>
          <w:tcPr>
            <w:tcW w:w="2296"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312" w:lineRule="auto"/>
              <w:ind w:firstLine="560" w:firstLineChars="200"/>
              <w:jc w:val="center"/>
              <w:textAlignment w:val="baseline"/>
              <w:rPr>
                <w:rFonts w:hint="eastAsia" w:ascii="宋体" w:hAnsi="宋体" w:eastAsia="宋体" w:cs="宋体"/>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914"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312" w:lineRule="auto"/>
              <w:jc w:val="center"/>
              <w:textAlignment w:val="baseline"/>
              <w:rPr>
                <w:rFonts w:hint="eastAsia" w:ascii="Times New Roman" w:hAnsi="Times New Roman" w:eastAsia="宋体" w:cs="Times New Roman"/>
                <w:spacing w:val="0"/>
                <w:sz w:val="28"/>
                <w:szCs w:val="28"/>
                <w:lang w:val="en-US" w:eastAsia="zh-CN"/>
              </w:rPr>
            </w:pPr>
            <w:r>
              <w:rPr>
                <w:rFonts w:hint="eastAsia" w:ascii="Times New Roman" w:hAnsi="Times New Roman" w:eastAsia="宋体" w:cs="Times New Roman"/>
                <w:spacing w:val="0"/>
                <w:sz w:val="28"/>
                <w:szCs w:val="28"/>
                <w:lang w:val="en-US" w:eastAsia="zh-CN"/>
              </w:rPr>
              <w:t>16</w:t>
            </w:r>
          </w:p>
        </w:tc>
        <w:tc>
          <w:tcPr>
            <w:tcW w:w="7546"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both"/>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健全重大疫情中脆弱人群应急救治机制，在重大疫情中对脆弱人群，实行网格化健康管理服务。</w:t>
            </w:r>
          </w:p>
        </w:tc>
        <w:tc>
          <w:tcPr>
            <w:tcW w:w="2180"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center"/>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县卫生健康委</w:t>
            </w:r>
          </w:p>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center"/>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县疾控局</w:t>
            </w:r>
          </w:p>
        </w:tc>
        <w:tc>
          <w:tcPr>
            <w:tcW w:w="2296"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312" w:lineRule="auto"/>
              <w:ind w:firstLine="560" w:firstLineChars="200"/>
              <w:jc w:val="center"/>
              <w:textAlignment w:val="baseline"/>
              <w:rPr>
                <w:rFonts w:hint="eastAsia" w:ascii="宋体" w:hAnsi="宋体" w:eastAsia="宋体" w:cs="宋体"/>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914"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312" w:lineRule="auto"/>
              <w:jc w:val="center"/>
              <w:textAlignment w:val="baseline"/>
              <w:rPr>
                <w:rFonts w:hint="eastAsia" w:ascii="Times New Roman" w:hAnsi="Times New Roman" w:eastAsia="宋体" w:cs="Times New Roman"/>
                <w:spacing w:val="0"/>
                <w:sz w:val="28"/>
                <w:szCs w:val="28"/>
                <w:lang w:val="en-US" w:eastAsia="zh-CN"/>
              </w:rPr>
            </w:pPr>
            <w:r>
              <w:rPr>
                <w:rFonts w:hint="eastAsia" w:ascii="Times New Roman" w:hAnsi="Times New Roman" w:eastAsia="宋体" w:cs="Times New Roman"/>
                <w:spacing w:val="0"/>
                <w:sz w:val="28"/>
                <w:szCs w:val="28"/>
                <w:lang w:val="en-US" w:eastAsia="zh-CN"/>
              </w:rPr>
              <w:t>17</w:t>
            </w:r>
          </w:p>
        </w:tc>
        <w:tc>
          <w:tcPr>
            <w:tcW w:w="7546"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both"/>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健全中医药参与公共卫生应急事件处置工作机制。</w:t>
            </w:r>
          </w:p>
        </w:tc>
        <w:tc>
          <w:tcPr>
            <w:tcW w:w="2180"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center"/>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县卫生健康委</w:t>
            </w:r>
          </w:p>
        </w:tc>
        <w:tc>
          <w:tcPr>
            <w:tcW w:w="2296"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312" w:lineRule="auto"/>
              <w:ind w:firstLine="560" w:firstLineChars="200"/>
              <w:jc w:val="center"/>
              <w:textAlignment w:val="baseline"/>
              <w:rPr>
                <w:rFonts w:hint="eastAsia" w:ascii="宋体" w:hAnsi="宋体" w:eastAsia="宋体" w:cs="宋体"/>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914"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312" w:lineRule="auto"/>
              <w:jc w:val="center"/>
              <w:textAlignment w:val="baseline"/>
              <w:rPr>
                <w:rFonts w:hint="eastAsia" w:ascii="Times New Roman" w:hAnsi="Times New Roman" w:eastAsia="宋体" w:cs="Times New Roman"/>
                <w:spacing w:val="0"/>
                <w:sz w:val="28"/>
                <w:szCs w:val="28"/>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after="0" w:line="312" w:lineRule="auto"/>
              <w:jc w:val="center"/>
              <w:textAlignment w:val="baseline"/>
              <w:rPr>
                <w:rFonts w:hint="eastAsia" w:ascii="Times New Roman" w:hAnsi="Times New Roman" w:eastAsia="宋体" w:cs="Times New Roman"/>
                <w:spacing w:val="0"/>
                <w:sz w:val="28"/>
                <w:szCs w:val="28"/>
                <w:lang w:val="en-US" w:eastAsia="zh-CN"/>
              </w:rPr>
            </w:pPr>
            <w:r>
              <w:rPr>
                <w:rFonts w:hint="eastAsia" w:ascii="Times New Roman" w:hAnsi="Times New Roman" w:eastAsia="宋体" w:cs="Times New Roman"/>
                <w:spacing w:val="0"/>
                <w:sz w:val="28"/>
                <w:szCs w:val="28"/>
                <w:lang w:val="en-US" w:eastAsia="zh-CN"/>
              </w:rPr>
              <w:t>18</w:t>
            </w:r>
          </w:p>
        </w:tc>
        <w:tc>
          <w:tcPr>
            <w:tcW w:w="7546"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both"/>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推进院前急救体系信息化建设，实现院前医疗急救网络与院内急诊无缝衔接，加强“120”救护车等院前急救资源统筹。</w:t>
            </w:r>
          </w:p>
        </w:tc>
        <w:tc>
          <w:tcPr>
            <w:tcW w:w="2180"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center"/>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县卫生健康委</w:t>
            </w:r>
          </w:p>
        </w:tc>
        <w:tc>
          <w:tcPr>
            <w:tcW w:w="2296"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312" w:lineRule="auto"/>
              <w:ind w:firstLine="560" w:firstLineChars="200"/>
              <w:jc w:val="center"/>
              <w:textAlignment w:val="baseline"/>
              <w:rPr>
                <w:rFonts w:hint="eastAsia" w:ascii="宋体" w:hAnsi="宋体" w:eastAsia="宋体" w:cs="宋体"/>
                <w:spacing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2936"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after="0" w:line="312" w:lineRule="auto"/>
              <w:ind w:firstLine="562" w:firstLineChars="200"/>
              <w:jc w:val="center"/>
              <w:textAlignment w:val="baseline"/>
              <w:rPr>
                <w:rFonts w:hint="eastAsia" w:ascii="宋体" w:hAnsi="宋体" w:eastAsia="宋体" w:cs="宋体"/>
                <w:spacing w:val="0"/>
                <w:sz w:val="28"/>
                <w:szCs w:val="28"/>
              </w:rPr>
            </w:pPr>
            <w:r>
              <w:rPr>
                <w:rFonts w:hint="eastAsia" w:ascii="方正仿宋_GBK" w:hAnsi="方正仿宋_GBK" w:eastAsia="方正仿宋_GBK" w:cs="方正仿宋_GBK"/>
                <w:b/>
                <w:bCs/>
                <w:spacing w:val="0"/>
                <w:sz w:val="28"/>
                <w:szCs w:val="28"/>
              </w:rPr>
              <w:t>(</w:t>
            </w:r>
            <w:r>
              <w:rPr>
                <w:rFonts w:hint="eastAsia" w:ascii="方正仿宋_GBK" w:hAnsi="方正仿宋_GBK" w:eastAsia="方正仿宋_GBK" w:cs="方正仿宋_GBK"/>
                <w:b/>
                <w:bCs/>
                <w:spacing w:val="0"/>
                <w:sz w:val="28"/>
                <w:szCs w:val="28"/>
                <w:lang w:eastAsia="zh-CN"/>
              </w:rPr>
              <w:t>二</w:t>
            </w:r>
            <w:r>
              <w:rPr>
                <w:rFonts w:hint="eastAsia" w:ascii="方正仿宋_GBK" w:hAnsi="方正仿宋_GBK" w:eastAsia="方正仿宋_GBK" w:cs="方正仿宋_GBK"/>
                <w:b/>
                <w:bCs/>
                <w:spacing w:val="0"/>
                <w:sz w:val="28"/>
                <w:szCs w:val="28"/>
              </w:rPr>
              <w:t>)健全应急状态下平急转换动态调整机制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914"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312" w:lineRule="auto"/>
              <w:jc w:val="center"/>
              <w:textAlignment w:val="baseline"/>
              <w:rPr>
                <w:rFonts w:hint="eastAsia" w:ascii="Times New Roman" w:hAnsi="Times New Roman" w:eastAsia="宋体" w:cs="Times New Roman"/>
                <w:spacing w:val="0"/>
                <w:sz w:val="28"/>
                <w:szCs w:val="28"/>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after="0" w:line="312" w:lineRule="auto"/>
              <w:jc w:val="center"/>
              <w:textAlignment w:val="baseline"/>
              <w:rPr>
                <w:rFonts w:hint="eastAsia" w:ascii="Times New Roman" w:hAnsi="Times New Roman" w:eastAsia="宋体" w:cs="Times New Roman"/>
                <w:spacing w:val="0"/>
                <w:sz w:val="28"/>
                <w:szCs w:val="28"/>
                <w:lang w:val="en-US" w:eastAsia="zh-CN"/>
              </w:rPr>
            </w:pPr>
            <w:r>
              <w:rPr>
                <w:rFonts w:hint="eastAsia" w:ascii="Times New Roman" w:hAnsi="Times New Roman" w:eastAsia="宋体" w:cs="Times New Roman"/>
                <w:spacing w:val="0"/>
                <w:sz w:val="28"/>
                <w:szCs w:val="28"/>
                <w:lang w:val="en-US" w:eastAsia="zh-CN"/>
              </w:rPr>
              <w:t>19</w:t>
            </w:r>
          </w:p>
        </w:tc>
        <w:tc>
          <w:tcPr>
            <w:tcW w:w="7546"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both"/>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推进综合医院传染病防治设施标准化建设。</w:t>
            </w:r>
          </w:p>
        </w:tc>
        <w:tc>
          <w:tcPr>
            <w:tcW w:w="2180"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center"/>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县卫生健康委</w:t>
            </w:r>
          </w:p>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center"/>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县疾控局</w:t>
            </w:r>
          </w:p>
        </w:tc>
        <w:tc>
          <w:tcPr>
            <w:tcW w:w="2296"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center"/>
              <w:textAlignment w:val="baseline"/>
              <w:rPr>
                <w:rFonts w:hint="eastAsia" w:ascii="Times New Roman" w:hAnsi="Times New Roman" w:eastAsia="方正仿宋_GBK" w:cs="Times New Roman"/>
                <w:spacing w:val="0"/>
                <w:sz w:val="28"/>
                <w:szCs w:val="2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914"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312" w:lineRule="auto"/>
              <w:jc w:val="center"/>
              <w:textAlignment w:val="baseline"/>
              <w:rPr>
                <w:rFonts w:hint="eastAsia" w:ascii="Times New Roman" w:hAnsi="Times New Roman" w:eastAsia="宋体" w:cs="Times New Roman"/>
                <w:spacing w:val="0"/>
                <w:sz w:val="28"/>
                <w:szCs w:val="28"/>
                <w:lang w:val="en-US" w:eastAsia="zh-CN"/>
              </w:rPr>
            </w:pPr>
            <w:r>
              <w:rPr>
                <w:rFonts w:hint="eastAsia" w:ascii="Times New Roman" w:hAnsi="Times New Roman" w:eastAsia="宋体" w:cs="Times New Roman"/>
                <w:spacing w:val="0"/>
                <w:sz w:val="28"/>
                <w:szCs w:val="28"/>
                <w:lang w:val="en-US" w:eastAsia="zh-CN"/>
              </w:rPr>
              <w:t>20</w:t>
            </w:r>
          </w:p>
        </w:tc>
        <w:tc>
          <w:tcPr>
            <w:tcW w:w="7546"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both"/>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健全定点医院应急腾空机制，制定《重大疫情应急状态下医疗机构床位应急腾空指导方案》</w:t>
            </w:r>
          </w:p>
        </w:tc>
        <w:tc>
          <w:tcPr>
            <w:tcW w:w="2180"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center"/>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县卫生健康委</w:t>
            </w:r>
          </w:p>
        </w:tc>
        <w:tc>
          <w:tcPr>
            <w:tcW w:w="2296"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center"/>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县疾控局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914"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312" w:lineRule="auto"/>
              <w:jc w:val="center"/>
              <w:textAlignment w:val="baseline"/>
              <w:rPr>
                <w:rFonts w:hint="eastAsia" w:ascii="Times New Roman" w:hAnsi="Times New Roman" w:eastAsia="宋体" w:cs="Times New Roman"/>
                <w:spacing w:val="0"/>
                <w:sz w:val="28"/>
                <w:szCs w:val="28"/>
                <w:lang w:val="en-US" w:eastAsia="zh-CN"/>
              </w:rPr>
            </w:pPr>
            <w:r>
              <w:rPr>
                <w:rFonts w:hint="eastAsia" w:ascii="Times New Roman" w:hAnsi="Times New Roman" w:eastAsia="宋体" w:cs="Times New Roman"/>
                <w:spacing w:val="0"/>
                <w:sz w:val="28"/>
                <w:szCs w:val="28"/>
                <w:lang w:val="en-US" w:eastAsia="zh-CN"/>
              </w:rPr>
              <w:t>21</w:t>
            </w:r>
          </w:p>
        </w:tc>
        <w:tc>
          <w:tcPr>
            <w:tcW w:w="7546"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both"/>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“平急两用”公共基础设施的建设规模和经合理测算的“急时”隔离人员数量，升级一批医疗应急服务点，提升突发疾病和意外伤害救治能力。</w:t>
            </w:r>
          </w:p>
        </w:tc>
        <w:tc>
          <w:tcPr>
            <w:tcW w:w="2180"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center"/>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县卫生健康委</w:t>
            </w:r>
          </w:p>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center"/>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县发展和改革委</w:t>
            </w:r>
          </w:p>
        </w:tc>
        <w:tc>
          <w:tcPr>
            <w:tcW w:w="2296"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center"/>
              <w:textAlignment w:val="baseline"/>
              <w:rPr>
                <w:rFonts w:hint="eastAsia" w:ascii="Times New Roman" w:hAnsi="Times New Roman" w:eastAsia="方正仿宋_GBK" w:cs="Times New Roman"/>
                <w:spacing w:val="0"/>
                <w:sz w:val="28"/>
                <w:szCs w:val="2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2936"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after="0" w:line="312" w:lineRule="auto"/>
              <w:ind w:firstLine="562" w:firstLineChars="200"/>
              <w:jc w:val="center"/>
              <w:textAlignment w:val="baseline"/>
              <w:rPr>
                <w:rFonts w:hint="eastAsia" w:ascii="宋体" w:hAnsi="宋体" w:eastAsia="宋体" w:cs="宋体"/>
                <w:spacing w:val="0"/>
                <w:sz w:val="28"/>
                <w:szCs w:val="28"/>
              </w:rPr>
            </w:pPr>
            <w:r>
              <w:rPr>
                <w:rFonts w:hint="eastAsia" w:ascii="方正仿宋_GBK" w:hAnsi="方正仿宋_GBK" w:eastAsia="方正仿宋_GBK" w:cs="方正仿宋_GBK"/>
                <w:b/>
                <w:bCs/>
                <w:spacing w:val="0"/>
                <w:sz w:val="28"/>
                <w:szCs w:val="28"/>
              </w:rPr>
              <w:t>(</w:t>
            </w:r>
            <w:r>
              <w:rPr>
                <w:rFonts w:hint="eastAsia" w:ascii="方正仿宋_GBK" w:hAnsi="方正仿宋_GBK" w:eastAsia="方正仿宋_GBK" w:cs="方正仿宋_GBK"/>
                <w:b/>
                <w:bCs/>
                <w:spacing w:val="0"/>
                <w:sz w:val="28"/>
                <w:szCs w:val="28"/>
                <w:lang w:eastAsia="zh-CN"/>
              </w:rPr>
              <w:t>三</w:t>
            </w:r>
            <w:r>
              <w:rPr>
                <w:rFonts w:hint="eastAsia" w:ascii="方正仿宋_GBK" w:hAnsi="方正仿宋_GBK" w:eastAsia="方正仿宋_GBK" w:cs="方正仿宋_GBK"/>
                <w:b/>
                <w:bCs/>
                <w:spacing w:val="0"/>
                <w:sz w:val="28"/>
                <w:szCs w:val="28"/>
              </w:rPr>
              <w:t>)健全应急保障机制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914"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312" w:lineRule="auto"/>
              <w:jc w:val="center"/>
              <w:textAlignment w:val="baseline"/>
              <w:rPr>
                <w:rFonts w:hint="eastAsia" w:ascii="Times New Roman" w:hAnsi="Times New Roman" w:eastAsia="宋体" w:cs="Times New Roman"/>
                <w:spacing w:val="0"/>
                <w:sz w:val="28"/>
                <w:szCs w:val="28"/>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after="0" w:line="312" w:lineRule="auto"/>
              <w:jc w:val="center"/>
              <w:textAlignment w:val="baseline"/>
              <w:rPr>
                <w:rFonts w:hint="eastAsia" w:ascii="Times New Roman" w:hAnsi="Times New Roman" w:eastAsia="宋体" w:cs="Times New Roman"/>
                <w:spacing w:val="0"/>
                <w:sz w:val="28"/>
                <w:szCs w:val="28"/>
                <w:lang w:val="en-US" w:eastAsia="zh-CN"/>
              </w:rPr>
            </w:pPr>
            <w:r>
              <w:rPr>
                <w:rFonts w:hint="eastAsia" w:ascii="Times New Roman" w:hAnsi="Times New Roman" w:eastAsia="宋体" w:cs="Times New Roman"/>
                <w:spacing w:val="0"/>
                <w:sz w:val="28"/>
                <w:szCs w:val="28"/>
                <w:lang w:val="en-US" w:eastAsia="zh-CN"/>
              </w:rPr>
              <w:t>22</w:t>
            </w:r>
          </w:p>
        </w:tc>
        <w:tc>
          <w:tcPr>
            <w:tcW w:w="7546"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both"/>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健全应急保障机制，健全“县—机构—家庭”三级应急物资储备体系。</w:t>
            </w:r>
          </w:p>
        </w:tc>
        <w:tc>
          <w:tcPr>
            <w:tcW w:w="2180"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center"/>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县卫生健康委</w:t>
            </w:r>
          </w:p>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center"/>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县疾控局</w:t>
            </w:r>
          </w:p>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center"/>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县发展和改革委</w:t>
            </w:r>
          </w:p>
        </w:tc>
        <w:tc>
          <w:tcPr>
            <w:tcW w:w="2296"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center"/>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县经济和信息委</w:t>
            </w:r>
          </w:p>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center"/>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县市场监督管理局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914"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312" w:lineRule="auto"/>
              <w:jc w:val="center"/>
              <w:textAlignment w:val="baseline"/>
              <w:rPr>
                <w:rFonts w:hint="eastAsia" w:ascii="Times New Roman" w:hAnsi="Times New Roman" w:eastAsia="宋体" w:cs="Times New Roman"/>
                <w:spacing w:val="0"/>
                <w:sz w:val="28"/>
                <w:szCs w:val="28"/>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after="0" w:line="312" w:lineRule="auto"/>
              <w:jc w:val="center"/>
              <w:textAlignment w:val="baseline"/>
              <w:rPr>
                <w:rFonts w:hint="eastAsia" w:ascii="Times New Roman" w:hAnsi="Times New Roman" w:eastAsia="宋体" w:cs="Times New Roman"/>
                <w:spacing w:val="0"/>
                <w:sz w:val="28"/>
                <w:szCs w:val="28"/>
                <w:lang w:val="en-US" w:eastAsia="zh-CN"/>
              </w:rPr>
            </w:pPr>
            <w:r>
              <w:rPr>
                <w:rFonts w:hint="eastAsia" w:ascii="Times New Roman" w:hAnsi="Times New Roman" w:eastAsia="宋体" w:cs="Times New Roman"/>
                <w:spacing w:val="0"/>
                <w:sz w:val="28"/>
                <w:szCs w:val="28"/>
                <w:lang w:val="en-US" w:eastAsia="zh-CN"/>
              </w:rPr>
              <w:t>23</w:t>
            </w:r>
          </w:p>
        </w:tc>
        <w:tc>
          <w:tcPr>
            <w:tcW w:w="7546"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both"/>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制定物资储备的品类、规模、结构。建立动态平衡的医疗应急物资储备体系，并适当向辖区重要区域和乡镇延伸。</w:t>
            </w:r>
          </w:p>
        </w:tc>
        <w:tc>
          <w:tcPr>
            <w:tcW w:w="2180"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center"/>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县卫生健康委</w:t>
            </w:r>
          </w:p>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center"/>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县疾控局</w:t>
            </w:r>
          </w:p>
        </w:tc>
        <w:tc>
          <w:tcPr>
            <w:tcW w:w="2296"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center"/>
              <w:textAlignment w:val="baseline"/>
              <w:rPr>
                <w:rFonts w:hint="eastAsia" w:ascii="Times New Roman" w:hAnsi="Times New Roman" w:eastAsia="方正仿宋_GBK" w:cs="Times New Roman"/>
                <w:spacing w:val="0"/>
                <w:sz w:val="28"/>
                <w:szCs w:val="2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914"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312" w:lineRule="auto"/>
              <w:jc w:val="center"/>
              <w:textAlignment w:val="baseline"/>
              <w:rPr>
                <w:rFonts w:hint="eastAsia" w:ascii="Times New Roman" w:hAnsi="Times New Roman" w:eastAsia="宋体" w:cs="Times New Roman"/>
                <w:spacing w:val="0"/>
                <w:sz w:val="28"/>
                <w:szCs w:val="28"/>
                <w:lang w:val="en-US" w:eastAsia="zh-CN"/>
              </w:rPr>
            </w:pPr>
            <w:r>
              <w:rPr>
                <w:rFonts w:hint="eastAsia" w:ascii="Times New Roman" w:hAnsi="Times New Roman" w:eastAsia="宋体" w:cs="Times New Roman"/>
                <w:spacing w:val="0"/>
                <w:sz w:val="28"/>
                <w:szCs w:val="28"/>
                <w:lang w:val="en-US" w:eastAsia="zh-CN"/>
              </w:rPr>
              <w:t>24</w:t>
            </w:r>
          </w:p>
        </w:tc>
        <w:tc>
          <w:tcPr>
            <w:tcW w:w="7546"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both"/>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根据《重庆市家庭卫生应急物资储备建议清单》,鼓励辖区内企事业单位、家庭等主动储备必要的医药和其他应急物资。</w:t>
            </w:r>
          </w:p>
        </w:tc>
        <w:tc>
          <w:tcPr>
            <w:tcW w:w="2180"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center"/>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县卫生健康委</w:t>
            </w:r>
          </w:p>
        </w:tc>
        <w:tc>
          <w:tcPr>
            <w:tcW w:w="2296"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center"/>
              <w:textAlignment w:val="baseline"/>
              <w:rPr>
                <w:rFonts w:hint="eastAsia" w:ascii="Times New Roman" w:hAnsi="Times New Roman" w:eastAsia="方正仿宋_GBK" w:cs="Times New Roman"/>
                <w:spacing w:val="0"/>
                <w:sz w:val="28"/>
                <w:szCs w:val="2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jc w:val="center"/>
        </w:trPr>
        <w:tc>
          <w:tcPr>
            <w:tcW w:w="12936" w:type="dxa"/>
            <w:gridSpan w:val="4"/>
            <w:vAlign w:val="center"/>
          </w:tcPr>
          <w:p>
            <w:pPr>
              <w:keepNext w:val="0"/>
              <w:keepLines w:val="0"/>
              <w:pageBreakBefore w:val="0"/>
              <w:widowControl/>
              <w:kinsoku w:val="0"/>
              <w:wordWrap/>
              <w:overflowPunct/>
              <w:topLinePunct w:val="0"/>
              <w:autoSpaceDE w:val="0"/>
              <w:autoSpaceDN w:val="0"/>
              <w:bidi w:val="0"/>
              <w:adjustRightInd w:val="0"/>
              <w:snapToGrid w:val="0"/>
              <w:spacing w:after="0" w:line="312" w:lineRule="auto"/>
              <w:ind w:firstLine="562" w:firstLineChars="200"/>
              <w:jc w:val="center"/>
              <w:textAlignment w:val="baseline"/>
              <w:rPr>
                <w:rFonts w:hint="eastAsia" w:ascii="宋体" w:hAnsi="宋体" w:cs="宋体"/>
                <w:spacing w:val="0"/>
                <w:sz w:val="28"/>
                <w:szCs w:val="28"/>
                <w:lang w:eastAsia="zh-CN"/>
              </w:rPr>
            </w:pPr>
            <w:r>
              <w:rPr>
                <w:rFonts w:hint="eastAsia" w:ascii="方正仿宋_GBK" w:hAnsi="方正仿宋_GBK" w:eastAsia="方正仿宋_GBK" w:cs="方正仿宋_GBK"/>
                <w:b/>
                <w:bCs/>
                <w:spacing w:val="0"/>
                <w:sz w:val="28"/>
                <w:szCs w:val="28"/>
              </w:rPr>
              <w:t>(</w:t>
            </w:r>
            <w:r>
              <w:rPr>
                <w:rFonts w:hint="eastAsia" w:ascii="方正仿宋_GBK" w:hAnsi="方正仿宋_GBK" w:eastAsia="方正仿宋_GBK" w:cs="方正仿宋_GBK"/>
                <w:b/>
                <w:bCs/>
                <w:spacing w:val="0"/>
                <w:sz w:val="28"/>
                <w:szCs w:val="28"/>
                <w:lang w:eastAsia="zh-CN"/>
              </w:rPr>
              <w:t>四</w:t>
            </w:r>
            <w:r>
              <w:rPr>
                <w:rFonts w:hint="eastAsia" w:ascii="方正仿宋_GBK" w:hAnsi="方正仿宋_GBK" w:eastAsia="方正仿宋_GBK" w:cs="方正仿宋_GBK"/>
                <w:b/>
                <w:bCs/>
                <w:spacing w:val="0"/>
                <w:sz w:val="28"/>
                <w:szCs w:val="28"/>
              </w:rPr>
              <w:t>)健全公共卫生与医疗服务高效协同机制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2" w:hRule="atLeast"/>
          <w:jc w:val="center"/>
        </w:trPr>
        <w:tc>
          <w:tcPr>
            <w:tcW w:w="914"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312" w:lineRule="auto"/>
              <w:jc w:val="center"/>
              <w:textAlignment w:val="baseline"/>
              <w:rPr>
                <w:rFonts w:hint="eastAsia" w:ascii="Times New Roman" w:hAnsi="Times New Roman" w:eastAsia="宋体" w:cs="Times New Roman"/>
                <w:spacing w:val="0"/>
                <w:sz w:val="28"/>
                <w:szCs w:val="28"/>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after="0" w:line="312" w:lineRule="auto"/>
              <w:jc w:val="center"/>
              <w:textAlignment w:val="baseline"/>
              <w:rPr>
                <w:rFonts w:hint="eastAsia" w:ascii="Times New Roman" w:hAnsi="Times New Roman" w:eastAsia="宋体" w:cs="Times New Roman"/>
                <w:spacing w:val="0"/>
                <w:sz w:val="28"/>
                <w:szCs w:val="28"/>
                <w:lang w:val="en-US" w:eastAsia="zh-CN"/>
              </w:rPr>
            </w:pPr>
            <w:r>
              <w:rPr>
                <w:rFonts w:hint="eastAsia" w:ascii="Times New Roman" w:hAnsi="Times New Roman" w:eastAsia="宋体" w:cs="Times New Roman"/>
                <w:spacing w:val="0"/>
                <w:sz w:val="28"/>
                <w:szCs w:val="28"/>
                <w:lang w:val="en-US" w:eastAsia="zh-CN"/>
              </w:rPr>
              <w:t>25</w:t>
            </w:r>
          </w:p>
        </w:tc>
        <w:tc>
          <w:tcPr>
            <w:tcW w:w="7546"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both"/>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建设“疫智防控”数字化应用，贯通“市-区县-医疗机构”信息系统，建立多部门数据共建、共享协作机制，持续完善系统迭代和功能补充。</w:t>
            </w:r>
          </w:p>
        </w:tc>
        <w:tc>
          <w:tcPr>
            <w:tcW w:w="2180"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center"/>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县卫生健康委</w:t>
            </w:r>
          </w:p>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center"/>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县疾控局</w:t>
            </w:r>
          </w:p>
        </w:tc>
        <w:tc>
          <w:tcPr>
            <w:tcW w:w="2296"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center"/>
              <w:textAlignment w:val="baseline"/>
              <w:rPr>
                <w:rFonts w:hint="eastAsia" w:ascii="Times New Roman" w:hAnsi="Times New Roman" w:eastAsia="方正仿宋_GBK" w:cs="Times New Roman"/>
                <w:spacing w:val="0"/>
                <w:sz w:val="28"/>
                <w:szCs w:val="28"/>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center"/>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县经济和信息委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914"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312" w:lineRule="auto"/>
              <w:jc w:val="center"/>
              <w:textAlignment w:val="baseline"/>
              <w:rPr>
                <w:rFonts w:hint="eastAsia" w:ascii="Times New Roman" w:hAnsi="Times New Roman" w:eastAsia="宋体" w:cs="Times New Roman"/>
                <w:spacing w:val="0"/>
                <w:sz w:val="28"/>
                <w:szCs w:val="28"/>
                <w:lang w:val="en-US" w:eastAsia="zh-CN"/>
              </w:rPr>
            </w:pPr>
            <w:r>
              <w:rPr>
                <w:rFonts w:hint="eastAsia" w:ascii="Times New Roman" w:hAnsi="Times New Roman" w:eastAsia="宋体" w:cs="Times New Roman"/>
                <w:spacing w:val="0"/>
                <w:sz w:val="28"/>
                <w:szCs w:val="28"/>
                <w:lang w:val="en-US" w:eastAsia="zh-CN"/>
              </w:rPr>
              <w:t>26</w:t>
            </w:r>
          </w:p>
        </w:tc>
        <w:tc>
          <w:tcPr>
            <w:tcW w:w="7546"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both"/>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制定各级各类医疗卫生机构公共卫生责任清单，将医疗卫生机构公共卫生履职情况纳入年度综合督查评价</w:t>
            </w:r>
          </w:p>
        </w:tc>
        <w:tc>
          <w:tcPr>
            <w:tcW w:w="2180"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center"/>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县卫生健康委</w:t>
            </w:r>
          </w:p>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center"/>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县疾控局</w:t>
            </w:r>
          </w:p>
        </w:tc>
        <w:tc>
          <w:tcPr>
            <w:tcW w:w="2296"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center"/>
              <w:textAlignment w:val="baseline"/>
              <w:rPr>
                <w:rFonts w:hint="eastAsia" w:ascii="Times New Roman" w:hAnsi="Times New Roman" w:eastAsia="方正仿宋_GBK" w:cs="Times New Roman"/>
                <w:spacing w:val="0"/>
                <w:sz w:val="28"/>
                <w:szCs w:val="2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914"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312" w:lineRule="auto"/>
              <w:jc w:val="center"/>
              <w:textAlignment w:val="baseline"/>
              <w:rPr>
                <w:rFonts w:hint="eastAsia" w:ascii="Times New Roman" w:hAnsi="Times New Roman" w:eastAsia="宋体" w:cs="Times New Roman"/>
                <w:spacing w:val="0"/>
                <w:sz w:val="28"/>
                <w:szCs w:val="28"/>
                <w:lang w:val="en-US" w:eastAsia="zh-CN"/>
              </w:rPr>
            </w:pPr>
            <w:r>
              <w:rPr>
                <w:rFonts w:hint="eastAsia" w:ascii="Times New Roman" w:hAnsi="Times New Roman" w:eastAsia="宋体" w:cs="Times New Roman"/>
                <w:spacing w:val="0"/>
                <w:sz w:val="28"/>
                <w:szCs w:val="28"/>
                <w:lang w:val="en-US" w:eastAsia="zh-CN"/>
              </w:rPr>
              <w:t>27</w:t>
            </w:r>
          </w:p>
        </w:tc>
        <w:tc>
          <w:tcPr>
            <w:tcW w:w="7546"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both"/>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加强医疗卫生机构公共卫生科室标准化建设，提高二级以上公立医院、基层医疗卫生机构公共卫生科设置率。</w:t>
            </w:r>
          </w:p>
        </w:tc>
        <w:tc>
          <w:tcPr>
            <w:tcW w:w="2180"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center"/>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县卫生健康委</w:t>
            </w:r>
          </w:p>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center"/>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县疾控局</w:t>
            </w:r>
          </w:p>
        </w:tc>
        <w:tc>
          <w:tcPr>
            <w:tcW w:w="2296"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center"/>
              <w:textAlignment w:val="baseline"/>
              <w:rPr>
                <w:rFonts w:hint="eastAsia" w:ascii="Times New Roman" w:hAnsi="Times New Roman" w:eastAsia="方正仿宋_GBK" w:cs="Times New Roman"/>
                <w:spacing w:val="0"/>
                <w:sz w:val="28"/>
                <w:szCs w:val="2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914"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312" w:lineRule="auto"/>
              <w:jc w:val="center"/>
              <w:textAlignment w:val="baseline"/>
              <w:rPr>
                <w:rFonts w:hint="eastAsia" w:ascii="Times New Roman" w:hAnsi="Times New Roman" w:eastAsia="宋体" w:cs="Times New Roman"/>
                <w:spacing w:val="0"/>
                <w:sz w:val="28"/>
                <w:szCs w:val="28"/>
                <w:lang w:val="en-US" w:eastAsia="zh-CN"/>
              </w:rPr>
            </w:pPr>
            <w:r>
              <w:rPr>
                <w:rFonts w:hint="eastAsia" w:ascii="Times New Roman" w:hAnsi="Times New Roman" w:eastAsia="宋体" w:cs="Times New Roman"/>
                <w:spacing w:val="0"/>
                <w:sz w:val="28"/>
                <w:szCs w:val="28"/>
                <w:lang w:val="en-US" w:eastAsia="zh-CN"/>
              </w:rPr>
              <w:t>28</w:t>
            </w:r>
          </w:p>
        </w:tc>
        <w:tc>
          <w:tcPr>
            <w:tcW w:w="7546"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both"/>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完善医疗机构公共卫生医师和专业公共卫生机构临床医师配备标准，允许临床医生通过考核加注公共卫生执业范围，切实推进医疗机构和公共卫生机构人员流动。</w:t>
            </w:r>
          </w:p>
        </w:tc>
        <w:tc>
          <w:tcPr>
            <w:tcW w:w="2180"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center"/>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县卫生健康委</w:t>
            </w:r>
          </w:p>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center"/>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县疾控局</w:t>
            </w:r>
          </w:p>
        </w:tc>
        <w:tc>
          <w:tcPr>
            <w:tcW w:w="2296"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center"/>
              <w:textAlignment w:val="baseline"/>
              <w:rPr>
                <w:rFonts w:hint="eastAsia" w:ascii="Times New Roman" w:hAnsi="Times New Roman" w:eastAsia="方正仿宋_GBK" w:cs="Times New Roman"/>
                <w:spacing w:val="0"/>
                <w:sz w:val="28"/>
                <w:szCs w:val="28"/>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center"/>
              <w:textAlignment w:val="baseline"/>
              <w:rPr>
                <w:rFonts w:hint="eastAsia" w:ascii="Times New Roman" w:hAnsi="Times New Roman" w:eastAsia="方正仿宋_GBK" w:cs="Times New Roman"/>
                <w:spacing w:val="0"/>
                <w:sz w:val="28"/>
                <w:szCs w:val="28"/>
                <w:lang w:val="en-US" w:eastAsia="zh-CN"/>
              </w:rPr>
            </w:pPr>
            <w:r>
              <w:rPr>
                <w:rFonts w:hint="eastAsia" w:ascii="Times New Roman" w:hAnsi="Times New Roman" w:eastAsia="方正仿宋_GBK" w:cs="Times New Roman"/>
                <w:spacing w:val="0"/>
                <w:sz w:val="28"/>
                <w:szCs w:val="28"/>
                <w:lang w:val="en-US" w:eastAsia="zh-CN"/>
              </w:rPr>
              <w:t>县人力社保局</w:t>
            </w:r>
          </w:p>
        </w:tc>
      </w:tr>
    </w:tbl>
    <w:p>
      <w:pPr>
        <w:keepNext w:val="0"/>
        <w:keepLines w:val="0"/>
        <w:pageBreakBefore w:val="0"/>
        <w:widowControl/>
        <w:kinsoku w:val="0"/>
        <w:wordWrap/>
        <w:overflowPunct/>
        <w:topLinePunct w:val="0"/>
        <w:autoSpaceDE w:val="0"/>
        <w:autoSpaceDN w:val="0"/>
        <w:bidi w:val="0"/>
        <w:adjustRightInd w:val="0"/>
        <w:snapToGrid w:val="0"/>
        <w:spacing w:after="0" w:line="360" w:lineRule="auto"/>
        <w:jc w:val="both"/>
        <w:textAlignment w:val="baseline"/>
        <w:rPr>
          <w:rFonts w:hint="eastAsia" w:ascii="宋体" w:hAnsi="宋体" w:eastAsia="宋体" w:cs="宋体"/>
          <w:spacing w:val="0"/>
          <w:sz w:val="28"/>
          <w:szCs w:val="28"/>
        </w:rPr>
        <w:sectPr>
          <w:footerReference r:id="rId5" w:type="default"/>
          <w:pgSz w:w="16830" w:h="11900"/>
          <w:pgMar w:top="1011" w:right="2165" w:bottom="1841" w:left="1814" w:header="0" w:footer="1542" w:gutter="0"/>
          <w:pgNumType w:fmt="decimal"/>
          <w:cols w:space="720" w:num="1"/>
        </w:sectPr>
      </w:pPr>
    </w:p>
    <w:p>
      <w:pPr>
        <w:keepNext w:val="0"/>
        <w:keepLines w:val="0"/>
        <w:pageBreakBefore w:val="0"/>
        <w:widowControl/>
        <w:kinsoku w:val="0"/>
        <w:wordWrap/>
        <w:overflowPunct/>
        <w:topLinePunct w:val="0"/>
        <w:autoSpaceDE w:val="0"/>
        <w:autoSpaceDN w:val="0"/>
        <w:bidi w:val="0"/>
        <w:adjustRightInd w:val="0"/>
        <w:snapToGrid w:val="0"/>
        <w:spacing w:after="0" w:line="360" w:lineRule="auto"/>
        <w:textAlignment w:val="baseline"/>
        <w:rPr>
          <w:rFonts w:hint="eastAsia" w:ascii="方正仿宋_GBK" w:hAnsi="方正仿宋_GBK" w:eastAsia="方正仿宋_GBK" w:cs="方正仿宋_GBK"/>
          <w:b/>
          <w:bCs/>
          <w:spacing w:val="0"/>
          <w:sz w:val="32"/>
          <w:szCs w:val="32"/>
        </w:rPr>
      </w:pPr>
      <w:r>
        <w:rPr>
          <w:rFonts w:hint="eastAsia" w:ascii="方正仿宋_GBK" w:hAnsi="方正仿宋_GBK" w:eastAsia="方正仿宋_GBK" w:cs="方正仿宋_GBK"/>
          <w:b/>
          <w:bCs/>
          <w:spacing w:val="0"/>
          <w:sz w:val="32"/>
          <w:szCs w:val="32"/>
        </w:rPr>
        <w:t>附件3</w:t>
      </w:r>
    </w:p>
    <w:p>
      <w:pPr>
        <w:pStyle w:val="3"/>
        <w:keepNext w:val="0"/>
        <w:keepLines w:val="0"/>
        <w:pageBreakBefore w:val="0"/>
        <w:widowControl/>
        <w:kinsoku w:val="0"/>
        <w:wordWrap/>
        <w:overflowPunct/>
        <w:topLinePunct w:val="0"/>
        <w:autoSpaceDE w:val="0"/>
        <w:autoSpaceDN w:val="0"/>
        <w:bidi w:val="0"/>
        <w:adjustRightInd w:val="0"/>
        <w:snapToGrid w:val="0"/>
        <w:spacing w:after="0" w:line="520" w:lineRule="exact"/>
        <w:ind w:left="0" w:right="0" w:firstLine="0" w:firstLineChars="0"/>
        <w:jc w:val="center"/>
        <w:textAlignment w:val="baseline"/>
        <w:rPr>
          <w:rFonts w:hint="eastAsia" w:ascii="宋体" w:hAnsi="宋体" w:eastAsia="宋体" w:cs="宋体"/>
          <w:spacing w:val="0"/>
          <w:sz w:val="28"/>
          <w:szCs w:val="28"/>
        </w:rPr>
      </w:pPr>
      <w:r>
        <w:rPr>
          <w:rFonts w:hint="eastAsia" w:ascii="方正小标宋_GBK" w:hAnsi="方正小标宋_GBK" w:eastAsia="方正小标宋_GBK" w:cs="方正小标宋_GBK"/>
          <w:b/>
          <w:bCs/>
          <w:spacing w:val="0"/>
          <w:sz w:val="44"/>
          <w:szCs w:val="44"/>
        </w:rPr>
        <w:t>健全平急结合医防协同机制改革年度核心指标</w:t>
      </w:r>
    </w:p>
    <w:tbl>
      <w:tblPr>
        <w:tblStyle w:val="16"/>
        <w:tblW w:w="869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4"/>
        <w:gridCol w:w="3786"/>
        <w:gridCol w:w="929"/>
        <w:gridCol w:w="1588"/>
        <w:gridCol w:w="14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3" w:hRule="atLeast"/>
        </w:trPr>
        <w:tc>
          <w:tcPr>
            <w:tcW w:w="894"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eastAsia" w:ascii="宋体" w:hAnsi="宋体" w:eastAsia="宋体" w:cs="宋体"/>
                <w:spacing w:val="0"/>
                <w:sz w:val="28"/>
                <w:szCs w:val="28"/>
              </w:rPr>
            </w:pPr>
            <w:r>
              <w:rPr>
                <w:rFonts w:hint="eastAsia" w:ascii="宋体" w:hAnsi="宋体" w:eastAsia="宋体" w:cs="宋体"/>
                <w:b/>
                <w:bCs/>
                <w:spacing w:val="0"/>
                <w:sz w:val="28"/>
                <w:szCs w:val="28"/>
              </w:rPr>
              <w:t>序号</w:t>
            </w:r>
          </w:p>
        </w:tc>
        <w:tc>
          <w:tcPr>
            <w:tcW w:w="3786"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eastAsia" w:ascii="宋体" w:hAnsi="宋体" w:eastAsia="宋体" w:cs="宋体"/>
                <w:spacing w:val="0"/>
                <w:sz w:val="28"/>
                <w:szCs w:val="28"/>
              </w:rPr>
            </w:pPr>
            <w:r>
              <w:rPr>
                <w:rFonts w:hint="eastAsia" w:ascii="宋体" w:hAnsi="宋体" w:eastAsia="宋体" w:cs="宋体"/>
                <w:b/>
                <w:bCs/>
                <w:spacing w:val="0"/>
                <w:sz w:val="28"/>
                <w:szCs w:val="28"/>
              </w:rPr>
              <w:t>指标名称</w:t>
            </w:r>
          </w:p>
        </w:tc>
        <w:tc>
          <w:tcPr>
            <w:tcW w:w="929"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360" w:lineRule="auto"/>
              <w:jc w:val="center"/>
              <w:textAlignment w:val="baseline"/>
              <w:rPr>
                <w:rFonts w:hint="eastAsia" w:ascii="宋体" w:hAnsi="宋体" w:eastAsia="宋体" w:cs="宋体"/>
                <w:spacing w:val="0"/>
                <w:sz w:val="28"/>
                <w:szCs w:val="28"/>
              </w:rPr>
            </w:pPr>
            <w:r>
              <w:rPr>
                <w:rFonts w:hint="eastAsia" w:ascii="宋体" w:hAnsi="宋体" w:eastAsia="宋体" w:cs="宋体"/>
                <w:b/>
                <w:bCs/>
                <w:spacing w:val="0"/>
                <w:sz w:val="28"/>
                <w:szCs w:val="28"/>
              </w:rPr>
              <w:t>单位</w:t>
            </w:r>
          </w:p>
        </w:tc>
        <w:tc>
          <w:tcPr>
            <w:tcW w:w="1588"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360" w:lineRule="auto"/>
              <w:ind w:right="395"/>
              <w:jc w:val="center"/>
              <w:textAlignment w:val="baseline"/>
              <w:rPr>
                <w:rFonts w:hint="eastAsia" w:ascii="宋体" w:hAnsi="宋体" w:eastAsia="宋体" w:cs="宋体"/>
                <w:b/>
                <w:bCs/>
                <w:spacing w:val="0"/>
                <w:sz w:val="28"/>
                <w:szCs w:val="28"/>
              </w:rPr>
            </w:pPr>
            <w:r>
              <w:rPr>
                <w:rFonts w:hint="eastAsia" w:ascii="宋体" w:hAnsi="宋体" w:eastAsia="宋体" w:cs="宋体"/>
                <w:b/>
                <w:bCs/>
                <w:spacing w:val="0"/>
                <w:sz w:val="28"/>
                <w:szCs w:val="28"/>
              </w:rPr>
              <w:t>2024</w:t>
            </w:r>
          </w:p>
          <w:p>
            <w:pPr>
              <w:keepNext w:val="0"/>
              <w:keepLines w:val="0"/>
              <w:pageBreakBefore w:val="0"/>
              <w:widowControl/>
              <w:kinsoku w:val="0"/>
              <w:wordWrap/>
              <w:overflowPunct/>
              <w:topLinePunct w:val="0"/>
              <w:autoSpaceDE w:val="0"/>
              <w:autoSpaceDN w:val="0"/>
              <w:bidi w:val="0"/>
              <w:adjustRightInd w:val="0"/>
              <w:snapToGrid w:val="0"/>
              <w:spacing w:after="0" w:line="360" w:lineRule="auto"/>
              <w:ind w:right="395"/>
              <w:jc w:val="center"/>
              <w:textAlignment w:val="baseline"/>
              <w:rPr>
                <w:rFonts w:hint="eastAsia" w:ascii="宋体" w:hAnsi="宋体" w:eastAsia="宋体" w:cs="宋体"/>
                <w:spacing w:val="0"/>
                <w:sz w:val="28"/>
                <w:szCs w:val="28"/>
              </w:rPr>
            </w:pPr>
            <w:r>
              <w:rPr>
                <w:rFonts w:hint="eastAsia" w:ascii="宋体" w:hAnsi="宋体" w:eastAsia="宋体" w:cs="宋体"/>
                <w:b/>
                <w:bCs/>
                <w:spacing w:val="0"/>
                <w:sz w:val="28"/>
                <w:szCs w:val="28"/>
              </w:rPr>
              <w:t>年当前值</w:t>
            </w:r>
          </w:p>
        </w:tc>
        <w:tc>
          <w:tcPr>
            <w:tcW w:w="1493"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360" w:lineRule="auto"/>
              <w:ind w:right="348"/>
              <w:jc w:val="center"/>
              <w:textAlignment w:val="baseline"/>
              <w:rPr>
                <w:rFonts w:hint="eastAsia" w:ascii="宋体" w:hAnsi="宋体" w:eastAsia="宋体" w:cs="宋体"/>
                <w:b/>
                <w:bCs/>
                <w:spacing w:val="0"/>
                <w:sz w:val="28"/>
                <w:szCs w:val="28"/>
              </w:rPr>
            </w:pPr>
            <w:r>
              <w:rPr>
                <w:rFonts w:hint="eastAsia" w:ascii="宋体" w:hAnsi="宋体" w:eastAsia="宋体" w:cs="宋体"/>
                <w:b/>
                <w:bCs/>
                <w:spacing w:val="0"/>
                <w:sz w:val="28"/>
                <w:szCs w:val="28"/>
              </w:rPr>
              <w:t>2025</w:t>
            </w:r>
          </w:p>
          <w:p>
            <w:pPr>
              <w:keepNext w:val="0"/>
              <w:keepLines w:val="0"/>
              <w:pageBreakBefore w:val="0"/>
              <w:widowControl/>
              <w:kinsoku w:val="0"/>
              <w:wordWrap/>
              <w:overflowPunct/>
              <w:topLinePunct w:val="0"/>
              <w:autoSpaceDE w:val="0"/>
              <w:autoSpaceDN w:val="0"/>
              <w:bidi w:val="0"/>
              <w:adjustRightInd w:val="0"/>
              <w:snapToGrid w:val="0"/>
              <w:spacing w:after="0" w:line="360" w:lineRule="auto"/>
              <w:ind w:right="348"/>
              <w:jc w:val="center"/>
              <w:textAlignment w:val="baseline"/>
              <w:rPr>
                <w:rFonts w:hint="eastAsia" w:ascii="宋体" w:hAnsi="宋体" w:eastAsia="宋体" w:cs="宋体"/>
                <w:spacing w:val="0"/>
                <w:sz w:val="28"/>
                <w:szCs w:val="28"/>
              </w:rPr>
            </w:pPr>
            <w:r>
              <w:rPr>
                <w:rFonts w:hint="eastAsia" w:ascii="宋体" w:hAnsi="宋体" w:eastAsia="宋体" w:cs="宋体"/>
                <w:b/>
                <w:bCs/>
                <w:spacing w:val="0"/>
                <w:sz w:val="28"/>
                <w:szCs w:val="28"/>
              </w:rPr>
              <w:t>年目标值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8" w:hRule="atLeast"/>
        </w:trPr>
        <w:tc>
          <w:tcPr>
            <w:tcW w:w="894"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center"/>
              <w:textAlignment w:val="baseline"/>
              <w:rPr>
                <w:rFonts w:hint="eastAsia" w:ascii="Times New Roman" w:hAnsi="Times New Roman" w:eastAsia="方正仿宋_GBK" w:cs="Times New Roman"/>
                <w:spacing w:val="0"/>
                <w:sz w:val="32"/>
                <w:szCs w:val="32"/>
                <w:lang w:val="en-US" w:eastAsia="zh-CN"/>
              </w:rPr>
            </w:pPr>
            <w:r>
              <w:rPr>
                <w:rFonts w:hint="eastAsia" w:ascii="Times New Roman" w:hAnsi="Times New Roman" w:eastAsia="方正仿宋_GBK" w:cs="Times New Roman"/>
                <w:spacing w:val="0"/>
                <w:sz w:val="32"/>
                <w:szCs w:val="32"/>
                <w:lang w:val="en-US" w:eastAsia="zh-CN"/>
              </w:rPr>
              <w:t>1</w:t>
            </w:r>
          </w:p>
        </w:tc>
        <w:tc>
          <w:tcPr>
            <w:tcW w:w="3786"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center"/>
              <w:textAlignment w:val="baseline"/>
              <w:rPr>
                <w:rFonts w:hint="eastAsia" w:ascii="Times New Roman" w:hAnsi="Times New Roman" w:eastAsia="方正仿宋_GBK" w:cs="Times New Roman"/>
                <w:spacing w:val="0"/>
                <w:sz w:val="32"/>
                <w:szCs w:val="32"/>
                <w:lang w:val="en-US" w:eastAsia="zh-CN"/>
              </w:rPr>
            </w:pPr>
            <w:r>
              <w:rPr>
                <w:rFonts w:hint="eastAsia" w:ascii="Times New Roman" w:hAnsi="Times New Roman" w:eastAsia="方正仿宋_GBK" w:cs="Times New Roman"/>
                <w:spacing w:val="0"/>
                <w:sz w:val="32"/>
                <w:szCs w:val="32"/>
                <w:lang w:val="en-US" w:eastAsia="zh-CN"/>
              </w:rPr>
              <w:t>“疫智防控”数字化应用公立医 疗机构接入率</w:t>
            </w:r>
          </w:p>
        </w:tc>
        <w:tc>
          <w:tcPr>
            <w:tcW w:w="929"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center"/>
              <w:textAlignment w:val="baseline"/>
              <w:rPr>
                <w:rFonts w:hint="eastAsia" w:ascii="Times New Roman" w:hAnsi="Times New Roman" w:eastAsia="方正仿宋_GBK" w:cs="Times New Roman"/>
                <w:spacing w:val="0"/>
                <w:sz w:val="32"/>
                <w:szCs w:val="32"/>
                <w:lang w:val="en-US" w:eastAsia="zh-CN"/>
              </w:rPr>
            </w:pPr>
            <w:r>
              <w:rPr>
                <w:rFonts w:hint="eastAsia" w:ascii="Times New Roman" w:hAnsi="Times New Roman" w:eastAsia="方正仿宋_GBK" w:cs="Times New Roman"/>
                <w:spacing w:val="0"/>
                <w:sz w:val="32"/>
                <w:szCs w:val="32"/>
                <w:lang w:val="en-US" w:eastAsia="zh-CN"/>
              </w:rPr>
              <w:t>%</w:t>
            </w:r>
          </w:p>
        </w:tc>
        <w:tc>
          <w:tcPr>
            <w:tcW w:w="1588"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center"/>
              <w:textAlignment w:val="baseline"/>
              <w:rPr>
                <w:rFonts w:hint="default" w:ascii="Times New Roman" w:hAnsi="Times New Roman" w:eastAsia="方正仿宋_GBK" w:cs="Times New Roman"/>
                <w:spacing w:val="0"/>
                <w:sz w:val="32"/>
                <w:szCs w:val="32"/>
                <w:lang w:val="en-US" w:eastAsia="zh-CN"/>
              </w:rPr>
            </w:pPr>
            <w:r>
              <w:rPr>
                <w:rFonts w:hint="eastAsia" w:ascii="Times New Roman" w:hAnsi="Times New Roman" w:eastAsia="方正仿宋_GBK" w:cs="Times New Roman"/>
                <w:spacing w:val="0"/>
                <w:sz w:val="32"/>
                <w:szCs w:val="32"/>
                <w:lang w:val="en-US" w:eastAsia="zh-CN"/>
              </w:rPr>
              <w:t>100</w:t>
            </w:r>
          </w:p>
        </w:tc>
        <w:tc>
          <w:tcPr>
            <w:tcW w:w="1493"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center"/>
              <w:textAlignment w:val="baseline"/>
              <w:rPr>
                <w:rFonts w:hint="default" w:ascii="Times New Roman" w:hAnsi="Times New Roman" w:eastAsia="方正仿宋_GBK" w:cs="Times New Roman"/>
                <w:spacing w:val="0"/>
                <w:sz w:val="32"/>
                <w:szCs w:val="32"/>
                <w:lang w:val="en-US" w:eastAsia="zh-CN"/>
              </w:rPr>
            </w:pPr>
            <w:r>
              <w:rPr>
                <w:rFonts w:hint="eastAsia" w:ascii="Times New Roman" w:hAnsi="Times New Roman" w:eastAsia="方正仿宋_GBK" w:cs="Times New Roman"/>
                <w:spacing w:val="0"/>
                <w:sz w:val="32"/>
                <w:szCs w:val="32"/>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8" w:hRule="atLeast"/>
        </w:trPr>
        <w:tc>
          <w:tcPr>
            <w:tcW w:w="894"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center"/>
              <w:textAlignment w:val="baseline"/>
              <w:rPr>
                <w:rFonts w:hint="eastAsia" w:ascii="Times New Roman" w:hAnsi="Times New Roman" w:eastAsia="方正仿宋_GBK" w:cs="Times New Roman"/>
                <w:spacing w:val="0"/>
                <w:sz w:val="32"/>
                <w:szCs w:val="32"/>
                <w:lang w:val="en-US" w:eastAsia="zh-CN"/>
              </w:rPr>
            </w:pPr>
            <w:r>
              <w:rPr>
                <w:rFonts w:hint="eastAsia" w:ascii="Times New Roman" w:hAnsi="Times New Roman" w:eastAsia="方正仿宋_GBK" w:cs="Times New Roman"/>
                <w:spacing w:val="0"/>
                <w:sz w:val="32"/>
                <w:szCs w:val="32"/>
                <w:lang w:val="en-US" w:eastAsia="zh-CN"/>
              </w:rPr>
              <w:t>2</w:t>
            </w:r>
          </w:p>
        </w:tc>
        <w:tc>
          <w:tcPr>
            <w:tcW w:w="3786"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center"/>
              <w:textAlignment w:val="baseline"/>
              <w:rPr>
                <w:rFonts w:hint="eastAsia" w:ascii="Times New Roman" w:hAnsi="Times New Roman" w:eastAsia="方正仿宋_GBK" w:cs="Times New Roman"/>
                <w:spacing w:val="0"/>
                <w:sz w:val="32"/>
                <w:szCs w:val="32"/>
                <w:lang w:val="en-US" w:eastAsia="zh-CN"/>
              </w:rPr>
            </w:pPr>
            <w:r>
              <w:rPr>
                <w:rFonts w:hint="eastAsia" w:ascii="Times New Roman" w:hAnsi="Times New Roman" w:eastAsia="方正仿宋_GBK" w:cs="Times New Roman"/>
                <w:spacing w:val="0"/>
                <w:sz w:val="32"/>
                <w:szCs w:val="32"/>
                <w:lang w:val="en-US" w:eastAsia="zh-CN"/>
              </w:rPr>
              <w:t>“疫智防控”数字化应用监测预警信号响应率</w:t>
            </w:r>
          </w:p>
        </w:tc>
        <w:tc>
          <w:tcPr>
            <w:tcW w:w="929"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center"/>
              <w:textAlignment w:val="baseline"/>
              <w:rPr>
                <w:rFonts w:hint="eastAsia" w:ascii="Times New Roman" w:hAnsi="Times New Roman" w:eastAsia="方正仿宋_GBK" w:cs="Times New Roman"/>
                <w:spacing w:val="0"/>
                <w:sz w:val="32"/>
                <w:szCs w:val="32"/>
                <w:lang w:val="en-US" w:eastAsia="zh-CN"/>
              </w:rPr>
            </w:pPr>
            <w:r>
              <w:rPr>
                <w:rFonts w:hint="eastAsia" w:ascii="Times New Roman" w:hAnsi="Times New Roman" w:eastAsia="方正仿宋_GBK" w:cs="Times New Roman"/>
                <w:spacing w:val="0"/>
                <w:sz w:val="32"/>
                <w:szCs w:val="32"/>
                <w:lang w:val="en-US" w:eastAsia="zh-CN"/>
              </w:rPr>
              <w:t>%</w:t>
            </w:r>
          </w:p>
        </w:tc>
        <w:tc>
          <w:tcPr>
            <w:tcW w:w="1588"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center"/>
              <w:textAlignment w:val="baseline"/>
              <w:rPr>
                <w:rFonts w:hint="default" w:ascii="Times New Roman" w:hAnsi="Times New Roman" w:eastAsia="方正仿宋_GBK" w:cs="Times New Roman"/>
                <w:spacing w:val="0"/>
                <w:sz w:val="32"/>
                <w:szCs w:val="32"/>
                <w:lang w:val="en-US" w:eastAsia="zh-CN"/>
              </w:rPr>
            </w:pPr>
            <w:r>
              <w:rPr>
                <w:rFonts w:hint="eastAsia" w:ascii="Times New Roman" w:hAnsi="Times New Roman" w:eastAsia="方正仿宋_GBK" w:cs="Times New Roman"/>
                <w:spacing w:val="0"/>
                <w:sz w:val="32"/>
                <w:szCs w:val="32"/>
                <w:lang w:val="en-US" w:eastAsia="zh-CN"/>
              </w:rPr>
              <w:t>100</w:t>
            </w:r>
          </w:p>
        </w:tc>
        <w:tc>
          <w:tcPr>
            <w:tcW w:w="1493"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center"/>
              <w:textAlignment w:val="baseline"/>
              <w:rPr>
                <w:rFonts w:hint="default" w:ascii="Times New Roman" w:hAnsi="Times New Roman" w:eastAsia="方正仿宋_GBK" w:cs="Times New Roman"/>
                <w:spacing w:val="0"/>
                <w:sz w:val="32"/>
                <w:szCs w:val="32"/>
                <w:lang w:val="en-US" w:eastAsia="zh-CN"/>
              </w:rPr>
            </w:pPr>
            <w:r>
              <w:rPr>
                <w:rFonts w:hint="eastAsia" w:ascii="Times New Roman" w:hAnsi="Times New Roman" w:eastAsia="方正仿宋_GBK" w:cs="Times New Roman"/>
                <w:spacing w:val="0"/>
                <w:sz w:val="32"/>
                <w:szCs w:val="32"/>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trPr>
        <w:tc>
          <w:tcPr>
            <w:tcW w:w="894"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center"/>
              <w:textAlignment w:val="baseline"/>
              <w:rPr>
                <w:rFonts w:hint="eastAsia" w:ascii="Times New Roman" w:hAnsi="Times New Roman" w:eastAsia="方正仿宋_GBK" w:cs="Times New Roman"/>
                <w:spacing w:val="0"/>
                <w:sz w:val="32"/>
                <w:szCs w:val="32"/>
                <w:lang w:val="en-US" w:eastAsia="zh-CN"/>
              </w:rPr>
            </w:pPr>
            <w:r>
              <w:rPr>
                <w:rFonts w:hint="eastAsia" w:ascii="Times New Roman" w:hAnsi="Times New Roman" w:eastAsia="方正仿宋_GBK" w:cs="Times New Roman"/>
                <w:spacing w:val="0"/>
                <w:sz w:val="32"/>
                <w:szCs w:val="32"/>
                <w:lang w:val="en-US" w:eastAsia="zh-CN"/>
              </w:rPr>
              <w:t>3</w:t>
            </w:r>
          </w:p>
        </w:tc>
        <w:tc>
          <w:tcPr>
            <w:tcW w:w="3786"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center"/>
              <w:textAlignment w:val="baseline"/>
              <w:rPr>
                <w:rFonts w:hint="eastAsia" w:ascii="Times New Roman" w:hAnsi="Times New Roman" w:eastAsia="方正仿宋_GBK" w:cs="Times New Roman"/>
                <w:spacing w:val="0"/>
                <w:sz w:val="32"/>
                <w:szCs w:val="32"/>
                <w:lang w:val="en-US" w:eastAsia="zh-CN"/>
              </w:rPr>
            </w:pPr>
            <w:r>
              <w:rPr>
                <w:rFonts w:hint="eastAsia" w:ascii="Times New Roman" w:hAnsi="Times New Roman" w:eastAsia="方正仿宋_GBK" w:cs="Times New Roman"/>
                <w:spacing w:val="0"/>
                <w:sz w:val="32"/>
                <w:szCs w:val="32"/>
                <w:lang w:val="en-US" w:eastAsia="zh-CN"/>
              </w:rPr>
              <w:t>应急队伍培训演练覆盖率</w:t>
            </w:r>
          </w:p>
        </w:tc>
        <w:tc>
          <w:tcPr>
            <w:tcW w:w="929"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center"/>
              <w:textAlignment w:val="baseline"/>
              <w:rPr>
                <w:rFonts w:hint="eastAsia" w:ascii="Times New Roman" w:hAnsi="Times New Roman" w:eastAsia="方正仿宋_GBK" w:cs="Times New Roman"/>
                <w:spacing w:val="0"/>
                <w:sz w:val="32"/>
                <w:szCs w:val="32"/>
                <w:lang w:val="en-US" w:eastAsia="zh-CN"/>
              </w:rPr>
            </w:pPr>
            <w:r>
              <w:rPr>
                <w:rFonts w:hint="eastAsia" w:ascii="Times New Roman" w:hAnsi="Times New Roman" w:eastAsia="方正仿宋_GBK" w:cs="Times New Roman"/>
                <w:spacing w:val="0"/>
                <w:sz w:val="32"/>
                <w:szCs w:val="32"/>
                <w:lang w:val="en-US" w:eastAsia="zh-CN"/>
              </w:rPr>
              <w:t>%</w:t>
            </w:r>
          </w:p>
        </w:tc>
        <w:tc>
          <w:tcPr>
            <w:tcW w:w="1588"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center"/>
              <w:textAlignment w:val="baseline"/>
              <w:rPr>
                <w:rFonts w:hint="default" w:ascii="Times New Roman" w:hAnsi="Times New Roman" w:eastAsia="方正仿宋_GBK" w:cs="Times New Roman"/>
                <w:spacing w:val="0"/>
                <w:sz w:val="32"/>
                <w:szCs w:val="32"/>
                <w:lang w:val="en-US" w:eastAsia="zh-CN"/>
              </w:rPr>
            </w:pPr>
            <w:r>
              <w:rPr>
                <w:rFonts w:hint="eastAsia" w:ascii="Times New Roman" w:hAnsi="Times New Roman" w:eastAsia="方正仿宋_GBK" w:cs="Times New Roman"/>
                <w:spacing w:val="0"/>
                <w:sz w:val="32"/>
                <w:szCs w:val="32"/>
                <w:lang w:val="en-US" w:eastAsia="zh-CN"/>
              </w:rPr>
              <w:t>80</w:t>
            </w:r>
          </w:p>
        </w:tc>
        <w:tc>
          <w:tcPr>
            <w:tcW w:w="1493"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center"/>
              <w:textAlignment w:val="baseline"/>
              <w:rPr>
                <w:rFonts w:hint="default" w:ascii="Times New Roman" w:hAnsi="Times New Roman" w:eastAsia="方正仿宋_GBK" w:cs="Times New Roman"/>
                <w:spacing w:val="0"/>
                <w:sz w:val="32"/>
                <w:szCs w:val="32"/>
                <w:lang w:val="en-US" w:eastAsia="zh-CN"/>
              </w:rPr>
            </w:pPr>
            <w:r>
              <w:rPr>
                <w:rFonts w:hint="eastAsia" w:ascii="Times New Roman" w:hAnsi="Times New Roman" w:eastAsia="方正仿宋_GBK" w:cs="Times New Roman"/>
                <w:spacing w:val="0"/>
                <w:sz w:val="32"/>
                <w:szCs w:val="32"/>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5" w:hRule="atLeast"/>
        </w:trPr>
        <w:tc>
          <w:tcPr>
            <w:tcW w:w="894"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center"/>
              <w:textAlignment w:val="baseline"/>
              <w:rPr>
                <w:rFonts w:hint="eastAsia" w:ascii="Times New Roman" w:hAnsi="Times New Roman" w:eastAsia="方正仿宋_GBK" w:cs="Times New Roman"/>
                <w:spacing w:val="0"/>
                <w:sz w:val="32"/>
                <w:szCs w:val="32"/>
                <w:lang w:val="en-US" w:eastAsia="zh-CN"/>
              </w:rPr>
            </w:pPr>
            <w:r>
              <w:rPr>
                <w:rFonts w:hint="eastAsia" w:ascii="Times New Roman" w:hAnsi="Times New Roman" w:eastAsia="方正仿宋_GBK" w:cs="Times New Roman"/>
                <w:spacing w:val="0"/>
                <w:sz w:val="32"/>
                <w:szCs w:val="32"/>
                <w:lang w:val="en-US" w:eastAsia="zh-CN"/>
              </w:rPr>
              <w:t>4</w:t>
            </w:r>
          </w:p>
        </w:tc>
        <w:tc>
          <w:tcPr>
            <w:tcW w:w="3786"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center"/>
              <w:textAlignment w:val="baseline"/>
              <w:rPr>
                <w:rFonts w:hint="eastAsia" w:ascii="Times New Roman" w:hAnsi="Times New Roman" w:eastAsia="方正仿宋_GBK" w:cs="Times New Roman"/>
                <w:spacing w:val="0"/>
                <w:sz w:val="32"/>
                <w:szCs w:val="32"/>
                <w:lang w:val="en-US" w:eastAsia="zh-CN"/>
              </w:rPr>
            </w:pPr>
            <w:r>
              <w:rPr>
                <w:rFonts w:hint="eastAsia" w:ascii="Times New Roman" w:hAnsi="Times New Roman" w:eastAsia="方正仿宋_GBK" w:cs="Times New Roman"/>
                <w:spacing w:val="0"/>
                <w:sz w:val="32"/>
                <w:szCs w:val="32"/>
                <w:lang w:val="en-US" w:eastAsia="zh-CN"/>
              </w:rPr>
              <w:t>“120”急救车3分钟出车率</w:t>
            </w:r>
          </w:p>
        </w:tc>
        <w:tc>
          <w:tcPr>
            <w:tcW w:w="929"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center"/>
              <w:textAlignment w:val="baseline"/>
              <w:rPr>
                <w:rFonts w:hint="eastAsia" w:ascii="Times New Roman" w:hAnsi="Times New Roman" w:eastAsia="方正仿宋_GBK" w:cs="Times New Roman"/>
                <w:spacing w:val="0"/>
                <w:sz w:val="32"/>
                <w:szCs w:val="32"/>
                <w:lang w:val="en-US" w:eastAsia="zh-CN"/>
              </w:rPr>
            </w:pPr>
            <w:r>
              <w:rPr>
                <w:rFonts w:hint="eastAsia" w:ascii="Times New Roman" w:hAnsi="Times New Roman" w:eastAsia="方正仿宋_GBK" w:cs="Times New Roman"/>
                <w:spacing w:val="0"/>
                <w:sz w:val="32"/>
                <w:szCs w:val="32"/>
                <w:lang w:val="en-US" w:eastAsia="zh-CN"/>
              </w:rPr>
              <w:t>%</w:t>
            </w:r>
          </w:p>
        </w:tc>
        <w:tc>
          <w:tcPr>
            <w:tcW w:w="1588"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center"/>
              <w:textAlignment w:val="baseline"/>
              <w:rPr>
                <w:rFonts w:hint="default" w:ascii="Times New Roman" w:hAnsi="Times New Roman" w:eastAsia="方正仿宋_GBK" w:cs="Times New Roman"/>
                <w:spacing w:val="0"/>
                <w:sz w:val="32"/>
                <w:szCs w:val="32"/>
                <w:lang w:val="en-US" w:eastAsia="zh-CN"/>
              </w:rPr>
            </w:pPr>
            <w:r>
              <w:rPr>
                <w:rFonts w:hint="eastAsia" w:ascii="Times New Roman" w:hAnsi="Times New Roman" w:eastAsia="方正仿宋_GBK" w:cs="Times New Roman"/>
                <w:spacing w:val="0"/>
                <w:sz w:val="32"/>
                <w:szCs w:val="32"/>
                <w:lang w:val="en-US" w:eastAsia="zh-CN"/>
              </w:rPr>
              <w:t>95</w:t>
            </w:r>
          </w:p>
        </w:tc>
        <w:tc>
          <w:tcPr>
            <w:tcW w:w="1493" w:type="dxa"/>
            <w:vAlign w:val="center"/>
          </w:tcPr>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center"/>
              <w:textAlignment w:val="baseline"/>
              <w:rPr>
                <w:rFonts w:hint="default" w:ascii="Times New Roman" w:hAnsi="Times New Roman" w:eastAsia="方正仿宋_GBK" w:cs="Times New Roman"/>
                <w:spacing w:val="0"/>
                <w:sz w:val="32"/>
                <w:szCs w:val="32"/>
                <w:lang w:val="en-US" w:eastAsia="zh-CN"/>
              </w:rPr>
            </w:pPr>
            <w:r>
              <w:rPr>
                <w:rFonts w:hint="eastAsia" w:ascii="Times New Roman" w:hAnsi="Times New Roman" w:eastAsia="方正仿宋_GBK" w:cs="Times New Roman"/>
                <w:spacing w:val="0"/>
                <w:sz w:val="32"/>
                <w:szCs w:val="32"/>
                <w:lang w:val="en-US" w:eastAsia="zh-CN"/>
              </w:rPr>
              <w:t>95</w:t>
            </w:r>
          </w:p>
        </w:tc>
      </w:tr>
    </w:tbl>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jc w:val="both"/>
        <w:textAlignment w:val="baseline"/>
        <w:rPr>
          <w:rFonts w:hint="eastAsia" w:ascii="Times New Roman" w:hAnsi="Times New Roman" w:eastAsia="方正仿宋_GBK" w:cs="Times New Roman"/>
          <w:spacing w:val="0"/>
          <w:sz w:val="32"/>
          <w:szCs w:val="32"/>
          <w:lang w:val="en-US" w:eastAsia="zh-CN"/>
        </w:rPr>
      </w:pPr>
      <w:r>
        <w:rPr>
          <w:rFonts w:hint="eastAsia" w:ascii="Times New Roman" w:hAnsi="Times New Roman" w:eastAsia="方正仿宋_GBK" w:cs="Times New Roman"/>
          <w:spacing w:val="0"/>
          <w:sz w:val="32"/>
          <w:szCs w:val="32"/>
          <w:lang w:val="en-US" w:eastAsia="zh-CN"/>
        </w:rPr>
        <w:t>备注：1.医疗机构监测数据：包括实验室检测数据、门急诊数据和病历首页数据 。</w:t>
      </w:r>
    </w:p>
    <w:p>
      <w:pPr>
        <w:keepNext w:val="0"/>
        <w:keepLines w:val="0"/>
        <w:pageBreakBefore w:val="0"/>
        <w:widowControl/>
        <w:kinsoku w:val="0"/>
        <w:wordWrap/>
        <w:overflowPunct/>
        <w:topLinePunct w:val="0"/>
        <w:autoSpaceDE w:val="0"/>
        <w:autoSpaceDN w:val="0"/>
        <w:bidi w:val="0"/>
        <w:adjustRightInd w:val="0"/>
        <w:snapToGrid w:val="0"/>
        <w:spacing w:after="0" w:line="520" w:lineRule="exact"/>
        <w:ind w:right="0" w:firstLine="960" w:firstLineChars="300"/>
        <w:jc w:val="both"/>
        <w:textAlignment w:val="baseline"/>
        <w:rPr>
          <w:rFonts w:ascii="Arial" w:hAnsi="Arial" w:eastAsia="Arial" w:cs="Arial"/>
        </w:rPr>
      </w:pPr>
      <w:r>
        <w:rPr>
          <w:rFonts w:hint="eastAsia" w:ascii="Times New Roman" w:hAnsi="Times New Roman" w:eastAsia="方正仿宋_GBK" w:cs="Times New Roman"/>
          <w:spacing w:val="0"/>
          <w:sz w:val="32"/>
          <w:szCs w:val="32"/>
          <w:lang w:val="en-US" w:eastAsia="zh-CN"/>
        </w:rPr>
        <w:t>2.监测预警信号及时响应率：包括病例监测、病原监测、症候群监测、病媒生物监测和多部门监测五类场景。</w:t>
      </w:r>
    </w:p>
    <w:sectPr>
      <w:footerReference r:id="rId6" w:type="default"/>
      <w:pgSz w:w="11920" w:h="16840"/>
      <w:pgMar w:top="2098" w:right="1474" w:bottom="1984" w:left="1587" w:header="0" w:footer="0" w:gutter="0"/>
      <w:pgNumType w:fmt="decimal"/>
      <w:cols w:space="425"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0000000000000000000"/>
    <w:charset w:val="86"/>
    <w:family w:val="modern"/>
    <w:pitch w:val="default"/>
    <w:sig w:usb0="00000000" w:usb1="00000000" w:usb2="0000001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公文仿宋">
    <w:altName w:val="方正仿宋_GBK"/>
    <w:panose1 w:val="02000500000000000000"/>
    <w:charset w:val="86"/>
    <w:family w:val="auto"/>
    <w:pitch w:val="default"/>
    <w:sig w:usb0="00000000" w:usb1="00000000" w:usb2="00000016"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hint="eastAsia"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2</w:t>
    </w:r>
    <w:r>
      <w:rPr>
        <w:rFonts w:hint="eastAsia" w:ascii="仿宋_GB2312" w:eastAsia="仿宋_GB2312"/>
        <w:sz w:val="28"/>
        <w:szCs w:val="28"/>
      </w:rPr>
      <w:fldChar w:fldCharType="end"/>
    </w:r>
    <w:r>
      <w:rPr>
        <w:rFonts w:hint="eastAsia" w:ascii="仿宋_GB2312" w:eastAsia="仿宋_GB2312"/>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962" w:beforeLines="401"/>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12700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5</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203200" tIns="0" rIns="20320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1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BqVKztYAAAAGAQAADwAAAAAAAAABACAAAAA4AAAAZHJzL2Rvd25yZXYu&#10;eG1sUEsBAhQAFAAAAAgAh07iQPhWIMAgAgAAMwQAAA4AAAAAAAAAAQAgAAAAOwEAAGRycy9lMm9E&#10;b2MueG1sUEsFBgAAAAAGAAYAWQEAAM0FAAAAAA==&#10;">
              <v:fill on="f" focussize="0,0"/>
              <v:stroke on="f" weight="0.5pt"/>
              <v:imagedata o:title=""/>
              <o:lock v:ext="edit" aspectratio="f"/>
              <v:textbox inset="16pt,0mm,16pt,0mm" style="mso-fit-shape-to-text:t;">
                <w:txbxContent>
                  <w:p>
                    <w:pPr>
                      <w:pStyle w:val="5"/>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5</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1" w:line="177" w:lineRule="auto"/>
      <w:ind w:left="274"/>
      <w:rPr>
        <w:sz w:val="30"/>
        <w:szCs w:val="30"/>
      </w:rPr>
    </w:pPr>
    <w:r>
      <w:rPr>
        <w:sz w:val="30"/>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12700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14</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203200" tIns="0" rIns="20320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1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BYAAABkcnMv&#10;UEsBAhQAFAAAAAgAh07iQAalSs7WAAAABgEAAA8AAAAAAAAAAQAgAAAAOAAAAGRycy9kb3ducmV2&#10;LnhtbFBLAQIUABQAAAAIAIdO4kChaOzCIQIAADMEAAAOAAAAAAAAAAEAIAAAADsBAABkcnMvZTJv&#10;RG9jLnhtbFBLBQYAAAAABgAGAFkBAADOBQAAAAA=&#10;">
              <v:fill on="f" focussize="0,0"/>
              <v:stroke on="f" weight="0.5pt"/>
              <v:imagedata o:title=""/>
              <o:lock v:ext="edit" aspectratio="f"/>
              <v:textbox inset="16pt,0mm,16pt,0mm" style="mso-fit-shape-to-text:t;">
                <w:txbxContent>
                  <w:p>
                    <w:pPr>
                      <w:pStyle w:val="5"/>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14</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77" w:lineRule="auto"/>
      <w:rPr>
        <w:sz w:val="30"/>
        <w:szCs w:val="30"/>
      </w:rPr>
    </w:pPr>
    <w:r>
      <w:rPr>
        <w:sz w:val="30"/>
      </w:rPr>
      <mc:AlternateContent>
        <mc:Choice Requires="wps">
          <w:drawing>
            <wp:anchor distT="0" distB="0" distL="114300" distR="114300" simplePos="0" relativeHeight="251663360" behindDoc="0" locked="0" layoutInCell="1" allowOverlap="1">
              <wp:simplePos x="0" y="0"/>
              <wp:positionH relativeFrom="margin">
                <wp:posOffset>4374515</wp:posOffset>
              </wp:positionH>
              <wp:positionV relativeFrom="paragraph">
                <wp:posOffset>-229235</wp:posOffset>
              </wp:positionV>
              <wp:extent cx="1250950" cy="27178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250950" cy="2717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18</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square" lIns="203200" tIns="0" rIns="20320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left:344.45pt;margin-top:-18.05pt;height:21.4pt;width:98.5pt;mso-position-horizontal-relative:margin;z-index:251663360;mso-width-relative:page;mso-height-relative:page;" filled="f" stroked="f" coordsize="21600,21600" o:gfxdata="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BYA&#10;AABkcnMvUEsBAhQAFAAAAAgAh07iQJOJU7zYAAAACQEAAA8AAAAAAAAAAQAgAAAAOAAAAGRycy9k&#10;b3ducmV2LnhtbFBLAQIUABQAAAAIAIdO4kDkHwM4JQIAADQEAAAOAAAAAAAAAAEAIAAAAD0BAABk&#10;cnMvZTJvRG9jLnhtbFBLBQYAAAAABgAGAFkBAADUBQAAAAA=&#10;">
              <v:fill on="f" focussize="0,0"/>
              <v:stroke on="f" weight="0.5pt"/>
              <v:imagedata o:title=""/>
              <o:lock v:ext="edit" aspectratio="f"/>
              <v:textbox inset="16pt,0mm,16pt,0mm">
                <w:txbxContent>
                  <w:p>
                    <w:pPr>
                      <w:pStyle w:val="5"/>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18</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false"/>
  <w:bordersDoNotSurroundFooter w:val="false"/>
  <w:documentProtection w:enforcement="0"/>
  <w:defaultTabStop w:val="420"/>
  <w:displayHorizontalDrawingGridEvery w:val="1"/>
  <w:displayVerticalDrawingGridEvery w:val="1"/>
  <w:noPunctuationKerning w:val="true"/>
  <w:characterSpacingControl w:val="doNotCompress"/>
  <w:compat>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2I0ZDk0ZDViNWM4NDk3OTliNjNiMmQ5YjdlNDg0ZTQifQ=="/>
  </w:docVars>
  <w:rsids>
    <w:rsidRoot w:val="00E85DE9"/>
    <w:rsid w:val="000225A3"/>
    <w:rsid w:val="001B223C"/>
    <w:rsid w:val="001D7D62"/>
    <w:rsid w:val="00382DEE"/>
    <w:rsid w:val="003D4142"/>
    <w:rsid w:val="00705DB2"/>
    <w:rsid w:val="00771B68"/>
    <w:rsid w:val="00784606"/>
    <w:rsid w:val="00863B59"/>
    <w:rsid w:val="0087015F"/>
    <w:rsid w:val="008E68AF"/>
    <w:rsid w:val="00A2722B"/>
    <w:rsid w:val="00B46858"/>
    <w:rsid w:val="00CA65B3"/>
    <w:rsid w:val="00DA7288"/>
    <w:rsid w:val="00E85DE9"/>
    <w:rsid w:val="01121891"/>
    <w:rsid w:val="012D0479"/>
    <w:rsid w:val="013B4944"/>
    <w:rsid w:val="01A3073B"/>
    <w:rsid w:val="01CC1A40"/>
    <w:rsid w:val="01DF79C5"/>
    <w:rsid w:val="01E20CCA"/>
    <w:rsid w:val="01EF2D21"/>
    <w:rsid w:val="02314A03"/>
    <w:rsid w:val="028D7421"/>
    <w:rsid w:val="029D518A"/>
    <w:rsid w:val="02E4587F"/>
    <w:rsid w:val="02F87992"/>
    <w:rsid w:val="036068E4"/>
    <w:rsid w:val="0385634A"/>
    <w:rsid w:val="03E312C3"/>
    <w:rsid w:val="03F404FE"/>
    <w:rsid w:val="04363AE8"/>
    <w:rsid w:val="045F303F"/>
    <w:rsid w:val="047168CE"/>
    <w:rsid w:val="047D34C5"/>
    <w:rsid w:val="0506793D"/>
    <w:rsid w:val="051200B1"/>
    <w:rsid w:val="05143E2A"/>
    <w:rsid w:val="052D4EEB"/>
    <w:rsid w:val="05665D07"/>
    <w:rsid w:val="05EA7983"/>
    <w:rsid w:val="05F4220E"/>
    <w:rsid w:val="06255BC2"/>
    <w:rsid w:val="06293905"/>
    <w:rsid w:val="06383B48"/>
    <w:rsid w:val="066B5CCB"/>
    <w:rsid w:val="067500F7"/>
    <w:rsid w:val="06C87CAA"/>
    <w:rsid w:val="06CD368B"/>
    <w:rsid w:val="06D575E9"/>
    <w:rsid w:val="06E72E78"/>
    <w:rsid w:val="0717375D"/>
    <w:rsid w:val="07837045"/>
    <w:rsid w:val="07C02047"/>
    <w:rsid w:val="084E579E"/>
    <w:rsid w:val="08803584"/>
    <w:rsid w:val="0893418C"/>
    <w:rsid w:val="089D4136"/>
    <w:rsid w:val="09E55F8E"/>
    <w:rsid w:val="09EC7123"/>
    <w:rsid w:val="0A287A2F"/>
    <w:rsid w:val="0A522CFE"/>
    <w:rsid w:val="0A580D57"/>
    <w:rsid w:val="0A805ABD"/>
    <w:rsid w:val="0A9C56D8"/>
    <w:rsid w:val="0AFF4B52"/>
    <w:rsid w:val="0B470389"/>
    <w:rsid w:val="0B582596"/>
    <w:rsid w:val="0B664CB3"/>
    <w:rsid w:val="0B917E49"/>
    <w:rsid w:val="0BC639A4"/>
    <w:rsid w:val="0BE34556"/>
    <w:rsid w:val="0C8573BB"/>
    <w:rsid w:val="0C871385"/>
    <w:rsid w:val="0CE00A95"/>
    <w:rsid w:val="0D3F57BC"/>
    <w:rsid w:val="0D6A5169"/>
    <w:rsid w:val="0D8E229F"/>
    <w:rsid w:val="0D992F0D"/>
    <w:rsid w:val="0DAE385E"/>
    <w:rsid w:val="0DB104CA"/>
    <w:rsid w:val="0DEA3B74"/>
    <w:rsid w:val="0E0A5DCA"/>
    <w:rsid w:val="0E26072A"/>
    <w:rsid w:val="0E372937"/>
    <w:rsid w:val="0EAF071F"/>
    <w:rsid w:val="0ECC12D1"/>
    <w:rsid w:val="0EE52393"/>
    <w:rsid w:val="0EF16F8A"/>
    <w:rsid w:val="0F0A004B"/>
    <w:rsid w:val="0F955B67"/>
    <w:rsid w:val="0FB81855"/>
    <w:rsid w:val="0FCE2E27"/>
    <w:rsid w:val="108D4A90"/>
    <w:rsid w:val="109554ED"/>
    <w:rsid w:val="109E767F"/>
    <w:rsid w:val="10E2302E"/>
    <w:rsid w:val="11B871AC"/>
    <w:rsid w:val="11FD79F3"/>
    <w:rsid w:val="11FE2376"/>
    <w:rsid w:val="120C624E"/>
    <w:rsid w:val="122B27B2"/>
    <w:rsid w:val="124F64A1"/>
    <w:rsid w:val="12592F32"/>
    <w:rsid w:val="126006AE"/>
    <w:rsid w:val="12691DDE"/>
    <w:rsid w:val="12900868"/>
    <w:rsid w:val="13141499"/>
    <w:rsid w:val="13294F44"/>
    <w:rsid w:val="13BB4E27"/>
    <w:rsid w:val="140130E1"/>
    <w:rsid w:val="14185977"/>
    <w:rsid w:val="142B4CEC"/>
    <w:rsid w:val="145429CC"/>
    <w:rsid w:val="145A112D"/>
    <w:rsid w:val="148E4901"/>
    <w:rsid w:val="149D6F99"/>
    <w:rsid w:val="14A405FA"/>
    <w:rsid w:val="14B4083D"/>
    <w:rsid w:val="14CF6E70"/>
    <w:rsid w:val="15695ACC"/>
    <w:rsid w:val="15761F97"/>
    <w:rsid w:val="15770AE8"/>
    <w:rsid w:val="157E0E4B"/>
    <w:rsid w:val="15F5735F"/>
    <w:rsid w:val="16325D4A"/>
    <w:rsid w:val="163D153F"/>
    <w:rsid w:val="165A4B5B"/>
    <w:rsid w:val="169528F0"/>
    <w:rsid w:val="16A15036"/>
    <w:rsid w:val="16B17A67"/>
    <w:rsid w:val="16DA6555"/>
    <w:rsid w:val="16F21AF1"/>
    <w:rsid w:val="173619DD"/>
    <w:rsid w:val="17647EC8"/>
    <w:rsid w:val="17953331"/>
    <w:rsid w:val="17A83E93"/>
    <w:rsid w:val="17DE0CAA"/>
    <w:rsid w:val="17E4224C"/>
    <w:rsid w:val="1862222C"/>
    <w:rsid w:val="18BC5F12"/>
    <w:rsid w:val="18BF1EA7"/>
    <w:rsid w:val="18CD0120"/>
    <w:rsid w:val="19263CD4"/>
    <w:rsid w:val="192D0700"/>
    <w:rsid w:val="19502AFF"/>
    <w:rsid w:val="19635AE0"/>
    <w:rsid w:val="199926F8"/>
    <w:rsid w:val="19CE23A1"/>
    <w:rsid w:val="1A1F2CAE"/>
    <w:rsid w:val="1A3E68F9"/>
    <w:rsid w:val="1A454397"/>
    <w:rsid w:val="1A562397"/>
    <w:rsid w:val="1A5D02EB"/>
    <w:rsid w:val="1A922EB8"/>
    <w:rsid w:val="1ABC48F0"/>
    <w:rsid w:val="1AD5775F"/>
    <w:rsid w:val="1AE87493"/>
    <w:rsid w:val="1AFF47DC"/>
    <w:rsid w:val="1B79633D"/>
    <w:rsid w:val="1BF260EF"/>
    <w:rsid w:val="1C006A5E"/>
    <w:rsid w:val="1C3B1844"/>
    <w:rsid w:val="1C7F3E27"/>
    <w:rsid w:val="1CA92C52"/>
    <w:rsid w:val="1CAF7AC6"/>
    <w:rsid w:val="1CCE26B8"/>
    <w:rsid w:val="1CF118D4"/>
    <w:rsid w:val="1CF1400B"/>
    <w:rsid w:val="1CFD4D4B"/>
    <w:rsid w:val="1D5232E9"/>
    <w:rsid w:val="1D7414B2"/>
    <w:rsid w:val="1D951428"/>
    <w:rsid w:val="1DFE0D7B"/>
    <w:rsid w:val="1E4470D6"/>
    <w:rsid w:val="1E5D0198"/>
    <w:rsid w:val="1E831280"/>
    <w:rsid w:val="1E982F7E"/>
    <w:rsid w:val="1EB51737"/>
    <w:rsid w:val="1EF74148"/>
    <w:rsid w:val="1F301408"/>
    <w:rsid w:val="1F3709E9"/>
    <w:rsid w:val="1F633882"/>
    <w:rsid w:val="1F751511"/>
    <w:rsid w:val="1F7B6C8B"/>
    <w:rsid w:val="2000527E"/>
    <w:rsid w:val="2019456A"/>
    <w:rsid w:val="201E5705"/>
    <w:rsid w:val="204C04C4"/>
    <w:rsid w:val="20687D12"/>
    <w:rsid w:val="20A976C4"/>
    <w:rsid w:val="20AE40C3"/>
    <w:rsid w:val="20B3409F"/>
    <w:rsid w:val="21166835"/>
    <w:rsid w:val="220D77DF"/>
    <w:rsid w:val="221F7512"/>
    <w:rsid w:val="2265586D"/>
    <w:rsid w:val="226F6C89"/>
    <w:rsid w:val="22715FC0"/>
    <w:rsid w:val="22835CF3"/>
    <w:rsid w:val="22CB5DBA"/>
    <w:rsid w:val="22E27404"/>
    <w:rsid w:val="22FF7A6F"/>
    <w:rsid w:val="2322375E"/>
    <w:rsid w:val="23386ADD"/>
    <w:rsid w:val="23627FFE"/>
    <w:rsid w:val="237F64BA"/>
    <w:rsid w:val="23B73EA6"/>
    <w:rsid w:val="23E52BED"/>
    <w:rsid w:val="242D4168"/>
    <w:rsid w:val="24637B8A"/>
    <w:rsid w:val="248024EA"/>
    <w:rsid w:val="25474EC7"/>
    <w:rsid w:val="25490842"/>
    <w:rsid w:val="25A05CA1"/>
    <w:rsid w:val="25E82A3D"/>
    <w:rsid w:val="262A1F68"/>
    <w:rsid w:val="26584BBF"/>
    <w:rsid w:val="26881B2A"/>
    <w:rsid w:val="26DC0EAD"/>
    <w:rsid w:val="270E64D3"/>
    <w:rsid w:val="27127645"/>
    <w:rsid w:val="272C6EB9"/>
    <w:rsid w:val="272D3C01"/>
    <w:rsid w:val="274F0899"/>
    <w:rsid w:val="2762237B"/>
    <w:rsid w:val="27895B59"/>
    <w:rsid w:val="279B5383"/>
    <w:rsid w:val="27A04C51"/>
    <w:rsid w:val="27BF157B"/>
    <w:rsid w:val="283D5F0F"/>
    <w:rsid w:val="289E3C6C"/>
    <w:rsid w:val="28A47E0D"/>
    <w:rsid w:val="28D9666D"/>
    <w:rsid w:val="28E219C5"/>
    <w:rsid w:val="29056731"/>
    <w:rsid w:val="29150F0F"/>
    <w:rsid w:val="29177195"/>
    <w:rsid w:val="29D60DFE"/>
    <w:rsid w:val="29EF1545"/>
    <w:rsid w:val="29F25B5F"/>
    <w:rsid w:val="2A092F82"/>
    <w:rsid w:val="2A224043"/>
    <w:rsid w:val="2A226172"/>
    <w:rsid w:val="2A7E3970"/>
    <w:rsid w:val="2AF43C32"/>
    <w:rsid w:val="2B146082"/>
    <w:rsid w:val="2B485D2C"/>
    <w:rsid w:val="2B8E1990"/>
    <w:rsid w:val="2B996587"/>
    <w:rsid w:val="2BAA7C95"/>
    <w:rsid w:val="2BF832AE"/>
    <w:rsid w:val="2C0B2E95"/>
    <w:rsid w:val="2C5B48AD"/>
    <w:rsid w:val="2C994A91"/>
    <w:rsid w:val="2C9A6113"/>
    <w:rsid w:val="2CD84C6E"/>
    <w:rsid w:val="2D045C82"/>
    <w:rsid w:val="2D19172E"/>
    <w:rsid w:val="2D3E2F42"/>
    <w:rsid w:val="2D4927FA"/>
    <w:rsid w:val="2D630BFB"/>
    <w:rsid w:val="2D7828F8"/>
    <w:rsid w:val="2D80355B"/>
    <w:rsid w:val="2DDE64D3"/>
    <w:rsid w:val="2E0E51FE"/>
    <w:rsid w:val="2E1B2357"/>
    <w:rsid w:val="2E5642BC"/>
    <w:rsid w:val="2E5C5D76"/>
    <w:rsid w:val="2E6372C7"/>
    <w:rsid w:val="2E712F27"/>
    <w:rsid w:val="2E9144A5"/>
    <w:rsid w:val="2EA339A5"/>
    <w:rsid w:val="2EBF00B3"/>
    <w:rsid w:val="2ECC6E69"/>
    <w:rsid w:val="2EF75A9F"/>
    <w:rsid w:val="2F087CAC"/>
    <w:rsid w:val="2F550842"/>
    <w:rsid w:val="2F792957"/>
    <w:rsid w:val="2F8A0F6E"/>
    <w:rsid w:val="2FBB2F70"/>
    <w:rsid w:val="2FC33BD3"/>
    <w:rsid w:val="2FC511AE"/>
    <w:rsid w:val="2FD63906"/>
    <w:rsid w:val="2FE04785"/>
    <w:rsid w:val="2FF344B8"/>
    <w:rsid w:val="300541EB"/>
    <w:rsid w:val="302723B3"/>
    <w:rsid w:val="302E54F0"/>
    <w:rsid w:val="306E7358"/>
    <w:rsid w:val="30850CFA"/>
    <w:rsid w:val="3088223C"/>
    <w:rsid w:val="30932B8F"/>
    <w:rsid w:val="30AB4D93"/>
    <w:rsid w:val="30B07949"/>
    <w:rsid w:val="30F2476F"/>
    <w:rsid w:val="30FF6E8C"/>
    <w:rsid w:val="312B7C81"/>
    <w:rsid w:val="3135465C"/>
    <w:rsid w:val="31684A32"/>
    <w:rsid w:val="31747780"/>
    <w:rsid w:val="31903F88"/>
    <w:rsid w:val="31E2090F"/>
    <w:rsid w:val="320F4EAD"/>
    <w:rsid w:val="32193F7E"/>
    <w:rsid w:val="32425283"/>
    <w:rsid w:val="32476D3D"/>
    <w:rsid w:val="32673286"/>
    <w:rsid w:val="32E44509"/>
    <w:rsid w:val="330B1C74"/>
    <w:rsid w:val="333C43C8"/>
    <w:rsid w:val="3359251C"/>
    <w:rsid w:val="33802506"/>
    <w:rsid w:val="33843679"/>
    <w:rsid w:val="33857B1D"/>
    <w:rsid w:val="33A917F9"/>
    <w:rsid w:val="33D60378"/>
    <w:rsid w:val="33E10ACB"/>
    <w:rsid w:val="341D726D"/>
    <w:rsid w:val="34403A44"/>
    <w:rsid w:val="345C0152"/>
    <w:rsid w:val="34806536"/>
    <w:rsid w:val="34985071"/>
    <w:rsid w:val="34A258C0"/>
    <w:rsid w:val="34D10B40"/>
    <w:rsid w:val="34E95E89"/>
    <w:rsid w:val="34F34F5A"/>
    <w:rsid w:val="3518031C"/>
    <w:rsid w:val="356229B1"/>
    <w:rsid w:val="35C80195"/>
    <w:rsid w:val="35CC7555"/>
    <w:rsid w:val="35E054DE"/>
    <w:rsid w:val="364C2B74"/>
    <w:rsid w:val="365732C7"/>
    <w:rsid w:val="36B64491"/>
    <w:rsid w:val="36C130C7"/>
    <w:rsid w:val="36CF10AF"/>
    <w:rsid w:val="371D006C"/>
    <w:rsid w:val="372907BF"/>
    <w:rsid w:val="37A83DDA"/>
    <w:rsid w:val="37E961A0"/>
    <w:rsid w:val="383A279F"/>
    <w:rsid w:val="38606463"/>
    <w:rsid w:val="386A5533"/>
    <w:rsid w:val="38995E18"/>
    <w:rsid w:val="38B844F1"/>
    <w:rsid w:val="38C34C43"/>
    <w:rsid w:val="38C56C0D"/>
    <w:rsid w:val="38E452E6"/>
    <w:rsid w:val="391A2AB5"/>
    <w:rsid w:val="39493829"/>
    <w:rsid w:val="394F2D2E"/>
    <w:rsid w:val="39713CBF"/>
    <w:rsid w:val="39795919"/>
    <w:rsid w:val="39B0341A"/>
    <w:rsid w:val="39B90974"/>
    <w:rsid w:val="39D765FD"/>
    <w:rsid w:val="39E11825"/>
    <w:rsid w:val="39F61F6A"/>
    <w:rsid w:val="3A106879"/>
    <w:rsid w:val="3A3C2EFF"/>
    <w:rsid w:val="3A444150"/>
    <w:rsid w:val="3A777A93"/>
    <w:rsid w:val="3A9248CD"/>
    <w:rsid w:val="3ABB3E24"/>
    <w:rsid w:val="3AF4610A"/>
    <w:rsid w:val="3B1B2B15"/>
    <w:rsid w:val="3B714E2B"/>
    <w:rsid w:val="3B7A5A8D"/>
    <w:rsid w:val="3BBB7E54"/>
    <w:rsid w:val="3BBD7F6E"/>
    <w:rsid w:val="3BD14329"/>
    <w:rsid w:val="3BE86E9B"/>
    <w:rsid w:val="3C7C75E3"/>
    <w:rsid w:val="3C9568F7"/>
    <w:rsid w:val="3CBA2232"/>
    <w:rsid w:val="3CE753A4"/>
    <w:rsid w:val="3D2E2245"/>
    <w:rsid w:val="3D7D7AB7"/>
    <w:rsid w:val="3D9B3237"/>
    <w:rsid w:val="3DF31B27"/>
    <w:rsid w:val="3DFC4E7F"/>
    <w:rsid w:val="3DFD4754"/>
    <w:rsid w:val="3DFF04CC"/>
    <w:rsid w:val="3E327052"/>
    <w:rsid w:val="3E367E19"/>
    <w:rsid w:val="3E691DE9"/>
    <w:rsid w:val="3E892E3D"/>
    <w:rsid w:val="3ED74FA5"/>
    <w:rsid w:val="3EE766E7"/>
    <w:rsid w:val="3EED47C8"/>
    <w:rsid w:val="3F6B40DE"/>
    <w:rsid w:val="3F6C7DE3"/>
    <w:rsid w:val="3F744EE9"/>
    <w:rsid w:val="3FEE6A4A"/>
    <w:rsid w:val="402F139F"/>
    <w:rsid w:val="405C7E57"/>
    <w:rsid w:val="408B4299"/>
    <w:rsid w:val="40996605"/>
    <w:rsid w:val="40BE01CA"/>
    <w:rsid w:val="410302D3"/>
    <w:rsid w:val="41D8350E"/>
    <w:rsid w:val="41E53E7C"/>
    <w:rsid w:val="420E7F0F"/>
    <w:rsid w:val="42154762"/>
    <w:rsid w:val="425D23F3"/>
    <w:rsid w:val="42725710"/>
    <w:rsid w:val="42AB7408"/>
    <w:rsid w:val="42C45840"/>
    <w:rsid w:val="4328758C"/>
    <w:rsid w:val="438020AF"/>
    <w:rsid w:val="4383394D"/>
    <w:rsid w:val="4387343D"/>
    <w:rsid w:val="43900783"/>
    <w:rsid w:val="43914D45"/>
    <w:rsid w:val="43C57AC2"/>
    <w:rsid w:val="43EA4167"/>
    <w:rsid w:val="449776B0"/>
    <w:rsid w:val="44B30262"/>
    <w:rsid w:val="44C77869"/>
    <w:rsid w:val="450D7972"/>
    <w:rsid w:val="45114E6C"/>
    <w:rsid w:val="4530540F"/>
    <w:rsid w:val="454A0786"/>
    <w:rsid w:val="45FD79E7"/>
    <w:rsid w:val="460F771A"/>
    <w:rsid w:val="47307948"/>
    <w:rsid w:val="47997260"/>
    <w:rsid w:val="47D7542C"/>
    <w:rsid w:val="47D91D8D"/>
    <w:rsid w:val="47E744AA"/>
    <w:rsid w:val="480B2AB6"/>
    <w:rsid w:val="48337D2C"/>
    <w:rsid w:val="48AA4D31"/>
    <w:rsid w:val="48F350D1"/>
    <w:rsid w:val="494B0A69"/>
    <w:rsid w:val="49A95790"/>
    <w:rsid w:val="4A0D21C2"/>
    <w:rsid w:val="4A4F4589"/>
    <w:rsid w:val="4ACF7478"/>
    <w:rsid w:val="4ADA6548"/>
    <w:rsid w:val="4AE07645"/>
    <w:rsid w:val="4AF5003F"/>
    <w:rsid w:val="4B3F45FD"/>
    <w:rsid w:val="4B4439C2"/>
    <w:rsid w:val="4B9366F7"/>
    <w:rsid w:val="4BBD05CA"/>
    <w:rsid w:val="4BDA60D4"/>
    <w:rsid w:val="4C1710D6"/>
    <w:rsid w:val="4C3A6B73"/>
    <w:rsid w:val="4C5B7215"/>
    <w:rsid w:val="4C972C2F"/>
    <w:rsid w:val="4CA0629E"/>
    <w:rsid w:val="4CEE0089"/>
    <w:rsid w:val="4D477799"/>
    <w:rsid w:val="4D61085B"/>
    <w:rsid w:val="4D7C5695"/>
    <w:rsid w:val="4D926C66"/>
    <w:rsid w:val="4DA30E74"/>
    <w:rsid w:val="4DA90454"/>
    <w:rsid w:val="4DBD7A5B"/>
    <w:rsid w:val="4DC1754C"/>
    <w:rsid w:val="4DCE1C69"/>
    <w:rsid w:val="4DD74FC1"/>
    <w:rsid w:val="4E0E5581"/>
    <w:rsid w:val="4E710F72"/>
    <w:rsid w:val="4E760336"/>
    <w:rsid w:val="4E832A53"/>
    <w:rsid w:val="4EF31987"/>
    <w:rsid w:val="4F327138"/>
    <w:rsid w:val="4F610FE6"/>
    <w:rsid w:val="4F6603AB"/>
    <w:rsid w:val="4FAA2338"/>
    <w:rsid w:val="4FE8736D"/>
    <w:rsid w:val="500B0859"/>
    <w:rsid w:val="501B5221"/>
    <w:rsid w:val="5051105B"/>
    <w:rsid w:val="505E043D"/>
    <w:rsid w:val="50811214"/>
    <w:rsid w:val="50845824"/>
    <w:rsid w:val="51A72C40"/>
    <w:rsid w:val="51F31B58"/>
    <w:rsid w:val="52263E21"/>
    <w:rsid w:val="523522B6"/>
    <w:rsid w:val="523E73BD"/>
    <w:rsid w:val="526A0160"/>
    <w:rsid w:val="526B5CD8"/>
    <w:rsid w:val="526D7CA2"/>
    <w:rsid w:val="52A631B4"/>
    <w:rsid w:val="52C00129"/>
    <w:rsid w:val="52EF4B5B"/>
    <w:rsid w:val="530D4FE1"/>
    <w:rsid w:val="535844AE"/>
    <w:rsid w:val="53690469"/>
    <w:rsid w:val="537F2BBE"/>
    <w:rsid w:val="539A4AC7"/>
    <w:rsid w:val="53A07C03"/>
    <w:rsid w:val="53AA7869"/>
    <w:rsid w:val="53CB1124"/>
    <w:rsid w:val="541008E5"/>
    <w:rsid w:val="542C1497"/>
    <w:rsid w:val="545253A1"/>
    <w:rsid w:val="54AA0D3A"/>
    <w:rsid w:val="54CF07A0"/>
    <w:rsid w:val="54FE4BE1"/>
    <w:rsid w:val="55061CE8"/>
    <w:rsid w:val="5552317F"/>
    <w:rsid w:val="55852E44"/>
    <w:rsid w:val="559E0172"/>
    <w:rsid w:val="55AF7A7F"/>
    <w:rsid w:val="55D42011"/>
    <w:rsid w:val="56026953"/>
    <w:rsid w:val="566D64C3"/>
    <w:rsid w:val="56FB79A8"/>
    <w:rsid w:val="5705494D"/>
    <w:rsid w:val="57AE0B41"/>
    <w:rsid w:val="57E5652D"/>
    <w:rsid w:val="58002C23"/>
    <w:rsid w:val="58240E03"/>
    <w:rsid w:val="587003DF"/>
    <w:rsid w:val="5879640A"/>
    <w:rsid w:val="58F46A27"/>
    <w:rsid w:val="590D7AE9"/>
    <w:rsid w:val="59172716"/>
    <w:rsid w:val="59543023"/>
    <w:rsid w:val="596F05EE"/>
    <w:rsid w:val="59875AED"/>
    <w:rsid w:val="59E06FAB"/>
    <w:rsid w:val="5A4C2893"/>
    <w:rsid w:val="5A5D42B4"/>
    <w:rsid w:val="5A64198B"/>
    <w:rsid w:val="5A6E263F"/>
    <w:rsid w:val="5A7B164E"/>
    <w:rsid w:val="5A9C4221"/>
    <w:rsid w:val="5AE71917"/>
    <w:rsid w:val="5B084A0C"/>
    <w:rsid w:val="5B3752F1"/>
    <w:rsid w:val="5B8F47E5"/>
    <w:rsid w:val="5C2D3FFE"/>
    <w:rsid w:val="5D33610B"/>
    <w:rsid w:val="5D3C6BEF"/>
    <w:rsid w:val="5D521F6E"/>
    <w:rsid w:val="5DCB1D21"/>
    <w:rsid w:val="5DF179D9"/>
    <w:rsid w:val="5DFF0DC2"/>
    <w:rsid w:val="5E2A662E"/>
    <w:rsid w:val="5E343D6A"/>
    <w:rsid w:val="5E82554B"/>
    <w:rsid w:val="5E987E55"/>
    <w:rsid w:val="5EFA0B0F"/>
    <w:rsid w:val="5F5B2511"/>
    <w:rsid w:val="5F6B366F"/>
    <w:rsid w:val="5F7420BA"/>
    <w:rsid w:val="5FED5F7E"/>
    <w:rsid w:val="60C74A21"/>
    <w:rsid w:val="60D42D96"/>
    <w:rsid w:val="60F82E2D"/>
    <w:rsid w:val="61113EEE"/>
    <w:rsid w:val="612400C6"/>
    <w:rsid w:val="61483A87"/>
    <w:rsid w:val="61923281"/>
    <w:rsid w:val="61B03707"/>
    <w:rsid w:val="61B76844"/>
    <w:rsid w:val="62015D11"/>
    <w:rsid w:val="62035F2D"/>
    <w:rsid w:val="624D71A8"/>
    <w:rsid w:val="62683FE2"/>
    <w:rsid w:val="62B45479"/>
    <w:rsid w:val="62C3746A"/>
    <w:rsid w:val="630525D3"/>
    <w:rsid w:val="634C3420"/>
    <w:rsid w:val="637C5F97"/>
    <w:rsid w:val="63E458EA"/>
    <w:rsid w:val="63F91396"/>
    <w:rsid w:val="64030466"/>
    <w:rsid w:val="640349A5"/>
    <w:rsid w:val="64384866"/>
    <w:rsid w:val="643C1282"/>
    <w:rsid w:val="645962D8"/>
    <w:rsid w:val="64F2575D"/>
    <w:rsid w:val="64F55A2C"/>
    <w:rsid w:val="6554084E"/>
    <w:rsid w:val="655C70C7"/>
    <w:rsid w:val="658D448B"/>
    <w:rsid w:val="6626043C"/>
    <w:rsid w:val="66320B8F"/>
    <w:rsid w:val="665705F5"/>
    <w:rsid w:val="66C81752"/>
    <w:rsid w:val="66D659BE"/>
    <w:rsid w:val="67313B0C"/>
    <w:rsid w:val="67395F4D"/>
    <w:rsid w:val="67397CFB"/>
    <w:rsid w:val="6747066A"/>
    <w:rsid w:val="67523851"/>
    <w:rsid w:val="675D7E8D"/>
    <w:rsid w:val="67670D0C"/>
    <w:rsid w:val="678418BE"/>
    <w:rsid w:val="67F00D02"/>
    <w:rsid w:val="67F02AB0"/>
    <w:rsid w:val="686758E6"/>
    <w:rsid w:val="68A90854"/>
    <w:rsid w:val="68BC4A27"/>
    <w:rsid w:val="68EF2D67"/>
    <w:rsid w:val="695D3114"/>
    <w:rsid w:val="69E06F59"/>
    <w:rsid w:val="69E22E74"/>
    <w:rsid w:val="69F753E9"/>
    <w:rsid w:val="6A3D7B02"/>
    <w:rsid w:val="6A6908F7"/>
    <w:rsid w:val="6A902328"/>
    <w:rsid w:val="6A9C7228"/>
    <w:rsid w:val="6ADA17F5"/>
    <w:rsid w:val="6AFE551F"/>
    <w:rsid w:val="6BAC37CE"/>
    <w:rsid w:val="6BFB7C75"/>
    <w:rsid w:val="6C042F6A"/>
    <w:rsid w:val="6C586E75"/>
    <w:rsid w:val="6C661592"/>
    <w:rsid w:val="6C865790"/>
    <w:rsid w:val="6C922387"/>
    <w:rsid w:val="6C9C1458"/>
    <w:rsid w:val="6CF52916"/>
    <w:rsid w:val="6D0A6AB5"/>
    <w:rsid w:val="6D2166EB"/>
    <w:rsid w:val="6D7B106D"/>
    <w:rsid w:val="6D806684"/>
    <w:rsid w:val="6DBE71AC"/>
    <w:rsid w:val="6DEC3D19"/>
    <w:rsid w:val="6E024FA7"/>
    <w:rsid w:val="6E2B2A93"/>
    <w:rsid w:val="6E3D4D64"/>
    <w:rsid w:val="6E421B8B"/>
    <w:rsid w:val="6E7F2DDF"/>
    <w:rsid w:val="6EA463A2"/>
    <w:rsid w:val="6EF015E7"/>
    <w:rsid w:val="6F213E96"/>
    <w:rsid w:val="6F685621"/>
    <w:rsid w:val="6F7915DC"/>
    <w:rsid w:val="6F8F7052"/>
    <w:rsid w:val="6F963F3C"/>
    <w:rsid w:val="6FAB550E"/>
    <w:rsid w:val="6FB82BD9"/>
    <w:rsid w:val="701337DF"/>
    <w:rsid w:val="70357BF9"/>
    <w:rsid w:val="708B5A6B"/>
    <w:rsid w:val="70DC0075"/>
    <w:rsid w:val="71007231"/>
    <w:rsid w:val="710B6BAC"/>
    <w:rsid w:val="71186BD3"/>
    <w:rsid w:val="712A5284"/>
    <w:rsid w:val="712D08D1"/>
    <w:rsid w:val="717007BD"/>
    <w:rsid w:val="718F1599"/>
    <w:rsid w:val="71AB5C99"/>
    <w:rsid w:val="71D84C2B"/>
    <w:rsid w:val="71FE226D"/>
    <w:rsid w:val="72181274"/>
    <w:rsid w:val="722A12B4"/>
    <w:rsid w:val="723B701D"/>
    <w:rsid w:val="724C57BD"/>
    <w:rsid w:val="728E1843"/>
    <w:rsid w:val="72987FCC"/>
    <w:rsid w:val="72BA6672"/>
    <w:rsid w:val="72BF7C4E"/>
    <w:rsid w:val="72CA214F"/>
    <w:rsid w:val="72F773E8"/>
    <w:rsid w:val="73176A34"/>
    <w:rsid w:val="732B1741"/>
    <w:rsid w:val="737A1DC7"/>
    <w:rsid w:val="73814F04"/>
    <w:rsid w:val="73927111"/>
    <w:rsid w:val="739A5FC5"/>
    <w:rsid w:val="73A3131E"/>
    <w:rsid w:val="73DA1BE9"/>
    <w:rsid w:val="73DD0409"/>
    <w:rsid w:val="74147B26"/>
    <w:rsid w:val="741E6BF6"/>
    <w:rsid w:val="746F7452"/>
    <w:rsid w:val="74A0760B"/>
    <w:rsid w:val="74E219D2"/>
    <w:rsid w:val="75225ED7"/>
    <w:rsid w:val="75371D1E"/>
    <w:rsid w:val="75385A96"/>
    <w:rsid w:val="759058D2"/>
    <w:rsid w:val="75A153E9"/>
    <w:rsid w:val="75D4756D"/>
    <w:rsid w:val="75F45E61"/>
    <w:rsid w:val="76D9077B"/>
    <w:rsid w:val="77390E72"/>
    <w:rsid w:val="773D7394"/>
    <w:rsid w:val="77950F7E"/>
    <w:rsid w:val="77FE781B"/>
    <w:rsid w:val="78947487"/>
    <w:rsid w:val="78992CEF"/>
    <w:rsid w:val="78BB70F9"/>
    <w:rsid w:val="78EE6B97"/>
    <w:rsid w:val="792E3438"/>
    <w:rsid w:val="793D1B4C"/>
    <w:rsid w:val="796F0BAE"/>
    <w:rsid w:val="79735997"/>
    <w:rsid w:val="79894B12"/>
    <w:rsid w:val="79B3393D"/>
    <w:rsid w:val="79E306C6"/>
    <w:rsid w:val="79EF26F4"/>
    <w:rsid w:val="7A0423EA"/>
    <w:rsid w:val="7A146AD1"/>
    <w:rsid w:val="7A1E16FE"/>
    <w:rsid w:val="7A2E0F60"/>
    <w:rsid w:val="7A356A48"/>
    <w:rsid w:val="7A9D6AC7"/>
    <w:rsid w:val="7A9E283F"/>
    <w:rsid w:val="7AA26A31"/>
    <w:rsid w:val="7AA26EAA"/>
    <w:rsid w:val="7AB756AF"/>
    <w:rsid w:val="7ACF29F8"/>
    <w:rsid w:val="7BDD2EF3"/>
    <w:rsid w:val="7C06244A"/>
    <w:rsid w:val="7C270A18"/>
    <w:rsid w:val="7C647325"/>
    <w:rsid w:val="7C6D4277"/>
    <w:rsid w:val="7C9A0DE4"/>
    <w:rsid w:val="7CC61BD9"/>
    <w:rsid w:val="7CCF6CE0"/>
    <w:rsid w:val="7D1312C2"/>
    <w:rsid w:val="7D1855B9"/>
    <w:rsid w:val="7D613D1B"/>
    <w:rsid w:val="7D63567A"/>
    <w:rsid w:val="7D791FF7"/>
    <w:rsid w:val="7D8A6617"/>
    <w:rsid w:val="7E021F41"/>
    <w:rsid w:val="7E1D1CCD"/>
    <w:rsid w:val="7E852713"/>
    <w:rsid w:val="7EC42148"/>
    <w:rsid w:val="7F0215EE"/>
    <w:rsid w:val="7F2D7CEE"/>
    <w:rsid w:val="7F473AE0"/>
    <w:rsid w:val="7F4F44E6"/>
    <w:rsid w:val="7F65392B"/>
    <w:rsid w:val="7F7D0C75"/>
    <w:rsid w:val="7F7E679B"/>
    <w:rsid w:val="7FA4233C"/>
    <w:rsid w:val="7FB36445"/>
    <w:rsid w:val="7FE4029C"/>
    <w:rsid w:val="7FFA7585"/>
    <w:rsid w:val="FE544A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qFormat="1"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paragraph" w:styleId="2">
    <w:name w:val="heading 3"/>
    <w:basedOn w:val="1"/>
    <w:next w:val="1"/>
    <w:semiHidden/>
    <w:unhideWhenUsed/>
    <w:qFormat/>
    <w:uiPriority w:val="9"/>
    <w:pPr>
      <w:keepNext/>
      <w:keepLines/>
      <w:spacing w:before="260" w:after="260" w:line="416" w:lineRule="auto"/>
      <w:outlineLvl w:val="2"/>
    </w:pPr>
    <w:rPr>
      <w:b/>
      <w:bCs/>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unhideWhenUsed/>
    <w:qFormat/>
    <w:uiPriority w:val="99"/>
    <w:pPr>
      <w:spacing w:after="120"/>
    </w:pPr>
  </w:style>
  <w:style w:type="paragraph" w:styleId="4">
    <w:name w:val="Balloon Text"/>
    <w:basedOn w:val="1"/>
    <w:link w:val="12"/>
    <w:semiHidden/>
    <w:unhideWhenUsed/>
    <w:qFormat/>
    <w:uiPriority w:val="99"/>
    <w:rPr>
      <w:sz w:val="18"/>
      <w:szCs w:val="18"/>
    </w:rPr>
  </w:style>
  <w:style w:type="paragraph" w:styleId="5">
    <w:name w:val="footer"/>
    <w:basedOn w:val="1"/>
    <w:semiHidden/>
    <w:unhideWhenUsed/>
    <w:qFormat/>
    <w:uiPriority w:val="99"/>
    <w:pPr>
      <w:tabs>
        <w:tab w:val="center" w:pos="4153"/>
        <w:tab w:val="right" w:pos="8306"/>
      </w:tabs>
      <w:snapToGrid w:val="0"/>
      <w:jc w:val="left"/>
    </w:pPr>
    <w:rPr>
      <w:sz w:val="18"/>
      <w:szCs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semiHidden/>
    <w:unhideWhenUsed/>
    <w:qFormat/>
    <w:uiPriority w:val="99"/>
    <w:pPr>
      <w:spacing w:beforeAutospacing="1" w:afterAutospacing="1"/>
      <w:jc w:val="left"/>
    </w:pPr>
    <w:rPr>
      <w:rFonts w:eastAsia="宋体"/>
      <w:sz w:val="24"/>
    </w:rPr>
  </w:style>
  <w:style w:type="table" w:styleId="9">
    <w:name w:val="Table Grid"/>
    <w:basedOn w:val="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索引 51"/>
    <w:basedOn w:val="1"/>
    <w:next w:val="1"/>
    <w:qFormat/>
    <w:uiPriority w:val="0"/>
    <w:pPr>
      <w:ind w:left="1680"/>
    </w:pPr>
  </w:style>
  <w:style w:type="character" w:customStyle="1" w:styleId="12">
    <w:name w:val="批注框文本 Char"/>
    <w:basedOn w:val="10"/>
    <w:link w:val="4"/>
    <w:qFormat/>
    <w:uiPriority w:val="0"/>
    <w:rPr>
      <w:sz w:val="18"/>
      <w:szCs w:val="18"/>
    </w:rPr>
  </w:style>
  <w:style w:type="character" w:customStyle="1" w:styleId="13">
    <w:name w:val="font11"/>
    <w:basedOn w:val="10"/>
    <w:qFormat/>
    <w:uiPriority w:val="0"/>
    <w:rPr>
      <w:rFonts w:hint="eastAsia" w:ascii="方正仿宋_GBK" w:hAnsi="方正仿宋_GBK" w:eastAsia="方正仿宋_GBK" w:cs="方正仿宋_GBK"/>
      <w:b/>
      <w:bCs/>
      <w:color w:val="000000"/>
      <w:sz w:val="21"/>
      <w:szCs w:val="21"/>
      <w:u w:val="none"/>
    </w:rPr>
  </w:style>
  <w:style w:type="character" w:customStyle="1" w:styleId="14">
    <w:name w:val="font31"/>
    <w:basedOn w:val="10"/>
    <w:qFormat/>
    <w:uiPriority w:val="0"/>
    <w:rPr>
      <w:rFonts w:hint="eastAsia" w:ascii="方正仿宋_GBK" w:hAnsi="方正仿宋_GBK" w:eastAsia="方正仿宋_GBK" w:cs="方正仿宋_GBK"/>
      <w:color w:val="000000"/>
      <w:sz w:val="21"/>
      <w:szCs w:val="21"/>
      <w:u w:val="none"/>
    </w:rPr>
  </w:style>
  <w:style w:type="character" w:customStyle="1" w:styleId="15">
    <w:name w:val="font41"/>
    <w:basedOn w:val="10"/>
    <w:qFormat/>
    <w:uiPriority w:val="0"/>
    <w:rPr>
      <w:rFonts w:hint="default" w:ascii="Times New Roman" w:hAnsi="Times New Roman" w:cs="Times New Roman"/>
      <w:color w:val="000000"/>
      <w:sz w:val="21"/>
      <w:szCs w:val="21"/>
      <w:u w:val="none"/>
    </w:rPr>
  </w:style>
  <w:style w:type="table" w:customStyle="1" w:styleId="16">
    <w:name w:val="Table Normal"/>
    <w:semiHidden/>
    <w:unhideWhenUsed/>
    <w:qFormat/>
    <w:uiPriority w:val="0"/>
    <w:tblPr>
      <w:tblCellMar>
        <w:top w:w="0" w:type="dxa"/>
        <w:left w:w="0" w:type="dxa"/>
        <w:bottom w:w="0" w:type="dxa"/>
        <w:right w:w="0" w:type="dxa"/>
      </w:tblCellMar>
    </w:tblPr>
  </w:style>
  <w:style w:type="paragraph" w:customStyle="1" w:styleId="17">
    <w:name w:val="分类号"/>
    <w:basedOn w:val="1"/>
    <w:qFormat/>
    <w:uiPriority w:val="0"/>
    <w:rPr>
      <w:rFonts w:ascii="仿宋_GB2312" w:hAnsi="Times New Roman" w:eastAsia="仿宋_GB2312" w:cs="Times New Roman"/>
      <w:kern w:val="2"/>
      <w:sz w:val="28"/>
      <w:szCs w:val="28"/>
    </w:rPr>
  </w:style>
  <w:style w:type="paragraph" w:customStyle="1" w:styleId="18">
    <w:name w:val="封面日期"/>
    <w:basedOn w:val="1"/>
    <w:qFormat/>
    <w:uiPriority w:val="0"/>
    <w:pPr>
      <w:jc w:val="center"/>
    </w:pPr>
    <w:rPr>
      <w:rFonts w:ascii="黑体" w:hAnsi="Times New Roman" w:eastAsia="黑体" w:cs="Times New Roman"/>
      <w:kern w:val="2"/>
      <w:sz w:val="32"/>
      <w:szCs w:val="32"/>
    </w:rPr>
  </w:style>
  <w:style w:type="paragraph" w:customStyle="1" w:styleId="19">
    <w:name w:val="论文标题"/>
    <w:basedOn w:val="1"/>
    <w:qFormat/>
    <w:uiPriority w:val="0"/>
    <w:pPr>
      <w:jc w:val="center"/>
    </w:pPr>
    <w:rPr>
      <w:rFonts w:ascii="Times New Roman" w:hAnsi="Times New Roman" w:eastAsia="楷体_GB2312" w:cs="Times New Roman"/>
      <w:b/>
      <w:kern w:val="36"/>
      <w:sz w:val="52"/>
      <w:szCs w:val="52"/>
    </w:rPr>
  </w:style>
  <w:style w:type="paragraph" w:customStyle="1" w:styleId="20">
    <w:name w:val="硕士学位论文"/>
    <w:basedOn w:val="1"/>
    <w:qFormat/>
    <w:uiPriority w:val="0"/>
    <w:pPr>
      <w:spacing w:before="240"/>
      <w:jc w:val="center"/>
    </w:pPr>
    <w:rPr>
      <w:rFonts w:ascii="Times New Roman" w:hAnsi="Times New Roman" w:eastAsia="宋体" w:cs="Times New Roman"/>
      <w:kern w:val="2"/>
      <w:sz w:val="44"/>
      <w:szCs w:val="44"/>
    </w:rPr>
  </w:style>
  <w:style w:type="paragraph" w:customStyle="1" w:styleId="21">
    <w:name w:val="研究生姓名"/>
    <w:basedOn w:val="1"/>
    <w:qFormat/>
    <w:uiPriority w:val="0"/>
    <w:pPr>
      <w:ind w:firstLine="700" w:firstLineChars="700"/>
    </w:pPr>
    <w:rPr>
      <w:rFonts w:ascii="Times New Roman" w:hAnsi="Times New Roman" w:eastAsia="宋体" w:cs="Times New Roman"/>
      <w:kern w:val="2"/>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19</Pages>
  <Words>2391</Words>
  <Characters>2429</Characters>
  <Lines>38</Lines>
  <Paragraphs>10</Paragraphs>
  <TotalTime>16</TotalTime>
  <ScaleCrop>false</ScaleCrop>
  <LinksUpToDate>false</LinksUpToDate>
  <CharactersWithSpaces>2568</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2024-12-25T10:35:00Z</dcterms:created>
  <dc:creator>Administrator</dc:creator>
  <cp:lastModifiedBy> </cp:lastModifiedBy>
  <cp:lastPrinted>2025-02-08T15:20:00Z</cp:lastPrinted>
  <dcterms:modified xsi:type="dcterms:W3CDTF">2025-03-12T16:29:55Z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y fmtid="{D5CDD505-2E9C-101B-9397-08002B2CF9AE}" pid="3" name="ICV">
    <vt:lpwstr>DD79F7423C9B46359158CDC1A82E6D1A_13</vt:lpwstr>
  </property>
  <property fmtid="{D5CDD505-2E9C-101B-9397-08002B2CF9AE}" pid="4" name="KSOTemplateDocerSaveRecord">
    <vt:lpwstr>eyJoZGlkIjoiM2I4M2E0NjU0OGI2YmM3ZDI1NjU2MjVjNjU3YjE4YjMiLCJ1c2VySWQiOiIxNjUyNDI0NTc1In0=</vt:lpwstr>
  </property>
</Properties>
</file>