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_GBK"/>
          <w:sz w:val="44"/>
          <w:szCs w:val="44"/>
        </w:rPr>
      </w:pPr>
      <w:bookmarkStart w:id="0" w:name="_GoBack"/>
      <w:bookmarkEnd w:id="0"/>
    </w:p>
    <w:p>
      <w:pPr>
        <w:pStyle w:val="3"/>
        <w:keepNext w:val="0"/>
        <w:keepLines w:val="0"/>
        <w:widowControl/>
        <w:spacing w:line="560" w:lineRule="exact"/>
        <w:ind w:left="-158" w:leftChars="-50" w:right="-158" w:rightChars="-50"/>
        <w:jc w:val="center"/>
        <w:textAlignment w:val="baseline"/>
        <w:rPr>
          <w:rFonts w:eastAsia="方正小标宋_GBK"/>
          <w:b w:val="0"/>
          <w:bCs w:val="0"/>
          <w:color w:val="000000"/>
        </w:rPr>
      </w:pPr>
      <w:r>
        <w:rPr>
          <w:rFonts w:eastAsia="方正小标宋_GBK"/>
          <w:b w:val="0"/>
          <w:bCs w:val="0"/>
          <w:color w:val="000000"/>
        </w:rPr>
        <w:t>酉</w:t>
      </w:r>
      <w:r>
        <w:rPr>
          <w:rFonts w:hint="eastAsia" w:eastAsia="方正小标宋_GBK"/>
          <w:b w:val="0"/>
          <w:bCs w:val="0"/>
          <w:color w:val="000000"/>
        </w:rPr>
        <w:t>阳自治县乡镇（街道）综合行政执法事项清单</w:t>
      </w:r>
      <w:r>
        <w:rPr>
          <w:rFonts w:hint="eastAsia" w:ascii="方正楷体_GBK" w:hAnsi="方正楷体_GBK" w:eastAsia="方正楷体_GBK" w:cs="方正楷体_GBK"/>
          <w:b w:val="0"/>
          <w:bCs w:val="0"/>
          <w:color w:val="000000"/>
          <w:sz w:val="32"/>
          <w:szCs w:val="32"/>
        </w:rPr>
        <w:t>（</w:t>
      </w:r>
      <w:r>
        <w:rPr>
          <w:rFonts w:eastAsia="方正楷体_GBK"/>
          <w:b w:val="0"/>
          <w:bCs w:val="0"/>
          <w:color w:val="000000"/>
          <w:sz w:val="32"/>
          <w:szCs w:val="32"/>
        </w:rPr>
        <w:t>2023</w:t>
      </w:r>
      <w:r>
        <w:rPr>
          <w:rFonts w:hint="eastAsia" w:ascii="方正楷体_GBK" w:hAnsi="方正楷体_GBK" w:eastAsia="方正楷体_GBK" w:cs="方正楷体_GBK"/>
          <w:b w:val="0"/>
          <w:bCs w:val="0"/>
          <w:color w:val="000000"/>
          <w:sz w:val="32"/>
          <w:szCs w:val="32"/>
        </w:rPr>
        <w:t>年）</w:t>
      </w:r>
    </w:p>
    <w:tbl>
      <w:tblPr>
        <w:tblStyle w:val="6"/>
        <w:tblW w:w="977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650"/>
        <w:gridCol w:w="2026"/>
        <w:gridCol w:w="580"/>
        <w:gridCol w:w="221"/>
        <w:gridCol w:w="549"/>
        <w:gridCol w:w="414"/>
        <w:gridCol w:w="200"/>
        <w:gridCol w:w="940"/>
        <w:gridCol w:w="555"/>
        <w:gridCol w:w="548"/>
        <w:gridCol w:w="292"/>
        <w:gridCol w:w="1395"/>
        <w:gridCol w:w="180"/>
        <w:gridCol w:w="122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89" w:hRule="atLeast"/>
          <w:jc w:val="center"/>
        </w:trPr>
        <w:tc>
          <w:tcPr>
            <w:tcW w:w="9770" w:type="dxa"/>
            <w:gridSpan w:val="14"/>
            <w:tcMar>
              <w:left w:w="57" w:type="dxa"/>
              <w:right w:w="57" w:type="dxa"/>
            </w:tcMar>
            <w:vAlign w:val="center"/>
          </w:tcPr>
          <w:p>
            <w:pPr>
              <w:adjustRightInd w:val="0"/>
              <w:snapToGrid w:val="0"/>
              <w:spacing w:line="400" w:lineRule="exact"/>
              <w:rPr>
                <w:rFonts w:eastAsia="方正黑体_GBK" w:cs="方正黑体_GBK"/>
                <w:sz w:val="24"/>
                <w:szCs w:val="24"/>
              </w:rPr>
            </w:pPr>
            <w:r>
              <w:rPr>
                <w:rFonts w:hint="eastAsia" w:eastAsia="方正黑体_GBK" w:cs="方正黑体_GBK"/>
                <w:kern w:val="0"/>
                <w:szCs w:val="32"/>
              </w:rPr>
              <w:t>一、乡镇（街道）法定行政执法事项（27项）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67" w:hRule="atLeast"/>
          <w:jc w:val="center"/>
        </w:trPr>
        <w:tc>
          <w:tcPr>
            <w:tcW w:w="650"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序号</w:t>
            </w:r>
          </w:p>
        </w:tc>
        <w:tc>
          <w:tcPr>
            <w:tcW w:w="2827" w:type="dxa"/>
            <w:gridSpan w:val="3"/>
            <w:tcMar>
              <w:left w:w="57" w:type="dxa"/>
              <w:right w:w="57" w:type="dxa"/>
            </w:tcMar>
            <w:vAlign w:val="center"/>
          </w:tcPr>
          <w:p>
            <w:pPr>
              <w:adjustRightInd w:val="0"/>
              <w:snapToGrid w:val="0"/>
              <w:spacing w:line="400" w:lineRule="exact"/>
              <w:jc w:val="center"/>
              <w:rPr>
                <w:rFonts w:eastAsia="方正黑体_GBK" w:cs="方正黑体_GBK"/>
                <w:spacing w:val="-3"/>
                <w:sz w:val="24"/>
                <w:szCs w:val="24"/>
              </w:rPr>
            </w:pPr>
            <w:r>
              <w:rPr>
                <w:rFonts w:hint="eastAsia" w:eastAsia="方正黑体_GBK" w:cs="方正黑体_GBK"/>
                <w:sz w:val="24"/>
                <w:szCs w:val="24"/>
              </w:rPr>
              <w:t>事项名称</w:t>
            </w:r>
          </w:p>
        </w:tc>
        <w:tc>
          <w:tcPr>
            <w:tcW w:w="1163" w:type="dxa"/>
            <w:gridSpan w:val="3"/>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事项类型</w:t>
            </w:r>
          </w:p>
        </w:tc>
        <w:tc>
          <w:tcPr>
            <w:tcW w:w="2043" w:type="dxa"/>
            <w:gridSpan w:val="3"/>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执法主体</w:t>
            </w:r>
          </w:p>
        </w:tc>
        <w:tc>
          <w:tcPr>
            <w:tcW w:w="3087" w:type="dxa"/>
            <w:gridSpan w:val="4"/>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执法依据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98" w:hRule="atLeast"/>
          <w:jc w:val="center"/>
        </w:trPr>
        <w:tc>
          <w:tcPr>
            <w:tcW w:w="650"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sz w:val="24"/>
                <w:szCs w:val="24"/>
              </w:rPr>
              <w:t>1</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对生产经营单位安全生产状况的监督检查</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《重庆市安全生产条例》（</w:t>
            </w:r>
            <w:r>
              <w:rPr>
                <w:rFonts w:hint="eastAsia"/>
                <w:sz w:val="24"/>
                <w:szCs w:val="24"/>
              </w:rPr>
              <w:t>2016</w:t>
            </w:r>
            <w:r>
              <w:rPr>
                <w:rFonts w:hint="eastAsia" w:ascii="方正仿宋_GBK" w:hAnsi="方正仿宋_GBK" w:cs="方正仿宋_GBK"/>
                <w:sz w:val="24"/>
                <w:szCs w:val="24"/>
              </w:rPr>
              <w:t>年施行）第六条第三款。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50"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2</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消防安全检查</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《中华人民共和国消防法》（</w:t>
            </w:r>
            <w:r>
              <w:rPr>
                <w:rFonts w:hint="eastAsia"/>
                <w:sz w:val="24"/>
                <w:szCs w:val="24"/>
              </w:rPr>
              <w:t>2021</w:t>
            </w:r>
            <w:r>
              <w:rPr>
                <w:rFonts w:hint="eastAsia" w:ascii="方正仿宋_GBK" w:hAnsi="方正仿宋_GBK" w:cs="方正仿宋_GBK"/>
                <w:sz w:val="24"/>
                <w:szCs w:val="24"/>
              </w:rPr>
              <w:t>年修正）第三十一条。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062" w:hRule="atLeast"/>
          <w:jc w:val="center"/>
        </w:trPr>
        <w:tc>
          <w:tcPr>
            <w:tcW w:w="650"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3</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对地质灾害隐患的排查、核查和重点防范期的巡查</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《重庆市地质灾害防治条例》（2020年修订）第二十条第二款。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4</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村镇建设工程安全生产检查</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年修订）第二十四条第二款。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5</w:t>
            </w:r>
          </w:p>
        </w:tc>
        <w:tc>
          <w:tcPr>
            <w:tcW w:w="2827" w:type="dxa"/>
            <w:gridSpan w:val="3"/>
            <w:tcMar>
              <w:left w:w="57" w:type="dxa"/>
              <w:right w:w="57" w:type="dxa"/>
            </w:tcMar>
            <w:vAlign w:val="center"/>
          </w:tcPr>
          <w:p>
            <w:pPr>
              <w:adjustRightInd w:val="0"/>
              <w:snapToGrid w:val="0"/>
              <w:spacing w:line="32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对城乡规划实施情况的监督检查，以及对《重庆市城乡规划条例》第七十四条所列违法建筑的日常巡查</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《重庆市城乡规划条例》（</w:t>
            </w:r>
            <w:r>
              <w:rPr>
                <w:rFonts w:hint="eastAsia"/>
                <w:sz w:val="24"/>
                <w:szCs w:val="24"/>
              </w:rPr>
              <w:t>2019</w:t>
            </w:r>
            <w:r>
              <w:rPr>
                <w:rFonts w:hint="eastAsia" w:ascii="方正仿宋_GBK" w:hAnsi="方正仿宋_GBK" w:cs="方正仿宋_GBK"/>
                <w:sz w:val="24"/>
                <w:szCs w:val="24"/>
              </w:rPr>
              <w:t>年修正）第七十五条、第七十六条。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50" w:type="dxa"/>
            <w:tcMar>
              <w:left w:w="57" w:type="dxa"/>
              <w:right w:w="57" w:type="dxa"/>
            </w:tcMar>
            <w:vAlign w:val="center"/>
          </w:tcPr>
          <w:p>
            <w:pPr>
              <w:adjustRightInd w:val="0"/>
              <w:snapToGrid w:val="0"/>
              <w:spacing w:line="320" w:lineRule="exact"/>
              <w:jc w:val="center"/>
              <w:rPr>
                <w:sz w:val="24"/>
                <w:szCs w:val="24"/>
              </w:rPr>
            </w:pPr>
            <w:r>
              <w:rPr>
                <w:rFonts w:hint="eastAsia"/>
                <w:sz w:val="24"/>
                <w:szCs w:val="24"/>
              </w:rPr>
              <w:t>6</w:t>
            </w:r>
          </w:p>
        </w:tc>
        <w:tc>
          <w:tcPr>
            <w:tcW w:w="2827" w:type="dxa"/>
            <w:gridSpan w:val="3"/>
            <w:tcMar>
              <w:left w:w="57" w:type="dxa"/>
              <w:right w:w="57" w:type="dxa"/>
            </w:tcMar>
            <w:vAlign w:val="center"/>
          </w:tcPr>
          <w:p>
            <w:pPr>
              <w:adjustRightInd w:val="0"/>
              <w:snapToGrid w:val="0"/>
              <w:spacing w:line="32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对本地区小型水库、山塘、堤防、水闸、堰坝和抗旱供水等设施的检查</w:t>
            </w:r>
          </w:p>
        </w:tc>
        <w:tc>
          <w:tcPr>
            <w:tcW w:w="1163" w:type="dxa"/>
            <w:gridSpan w:val="3"/>
            <w:tcMar>
              <w:left w:w="57" w:type="dxa"/>
              <w:right w:w="57" w:type="dxa"/>
            </w:tcMar>
            <w:vAlign w:val="center"/>
          </w:tcPr>
          <w:p>
            <w:pPr>
              <w:adjustRightInd w:val="0"/>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2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《重庆市防汛抗旱条例》（</w:t>
            </w:r>
            <w:r>
              <w:rPr>
                <w:rFonts w:hint="eastAsia"/>
                <w:sz w:val="24"/>
                <w:szCs w:val="24"/>
              </w:rPr>
              <w:t>2018</w:t>
            </w:r>
            <w:r>
              <w:rPr>
                <w:rFonts w:hint="eastAsia" w:ascii="方正仿宋_GBK" w:hAnsi="方正仿宋_GBK" w:cs="方正仿宋_GBK"/>
                <w:sz w:val="24"/>
                <w:szCs w:val="24"/>
              </w:rPr>
              <w:t>年修正）第十条第一款。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19" w:hRule="atLeast"/>
          <w:jc w:val="center"/>
        </w:trPr>
        <w:tc>
          <w:tcPr>
            <w:tcW w:w="650" w:type="dxa"/>
            <w:tcMar>
              <w:left w:w="57" w:type="dxa"/>
              <w:right w:w="57" w:type="dxa"/>
            </w:tcMar>
            <w:vAlign w:val="center"/>
          </w:tcPr>
          <w:p>
            <w:pPr>
              <w:adjustRightInd w:val="0"/>
              <w:snapToGrid w:val="0"/>
              <w:spacing w:line="320" w:lineRule="exact"/>
              <w:jc w:val="center"/>
              <w:rPr>
                <w:sz w:val="24"/>
                <w:szCs w:val="24"/>
              </w:rPr>
            </w:pPr>
            <w:r>
              <w:rPr>
                <w:rFonts w:hint="eastAsia"/>
                <w:sz w:val="24"/>
                <w:szCs w:val="24"/>
              </w:rPr>
              <w:t>7</w:t>
            </w:r>
          </w:p>
        </w:tc>
        <w:tc>
          <w:tcPr>
            <w:tcW w:w="2827" w:type="dxa"/>
            <w:gridSpan w:val="3"/>
            <w:tcMar>
              <w:left w:w="57" w:type="dxa"/>
              <w:right w:w="57" w:type="dxa"/>
            </w:tcMar>
            <w:vAlign w:val="center"/>
          </w:tcPr>
          <w:p>
            <w:pPr>
              <w:adjustRightInd w:val="0"/>
              <w:snapToGrid w:val="0"/>
              <w:spacing w:line="32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对水上交通安全的检查</w:t>
            </w:r>
          </w:p>
        </w:tc>
        <w:tc>
          <w:tcPr>
            <w:tcW w:w="1163" w:type="dxa"/>
            <w:gridSpan w:val="3"/>
            <w:tcMar>
              <w:left w:w="57" w:type="dxa"/>
              <w:right w:w="57" w:type="dxa"/>
            </w:tcMar>
            <w:vAlign w:val="center"/>
          </w:tcPr>
          <w:p>
            <w:pPr>
              <w:adjustRightInd w:val="0"/>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2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《重庆市水上交通安全管理条例》（</w:t>
            </w:r>
            <w:r>
              <w:rPr>
                <w:rFonts w:hint="eastAsia"/>
                <w:sz w:val="24"/>
                <w:szCs w:val="24"/>
              </w:rPr>
              <w:t>2022</w:t>
            </w:r>
            <w:r>
              <w:rPr>
                <w:rFonts w:hint="eastAsia" w:ascii="方正仿宋_GBK" w:hAnsi="方正仿宋_GBK" w:cs="方正仿宋_GBK"/>
                <w:sz w:val="24"/>
                <w:szCs w:val="24"/>
              </w:rPr>
              <w:t>年修正）第四条第二款第五项。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tcMar>
              <w:left w:w="57" w:type="dxa"/>
              <w:right w:w="57" w:type="dxa"/>
            </w:tcMar>
            <w:vAlign w:val="center"/>
          </w:tcPr>
          <w:p>
            <w:pPr>
              <w:adjustRightInd w:val="0"/>
              <w:snapToGrid w:val="0"/>
              <w:spacing w:line="320" w:lineRule="exact"/>
              <w:jc w:val="center"/>
              <w:rPr>
                <w:sz w:val="24"/>
                <w:szCs w:val="24"/>
              </w:rPr>
            </w:pPr>
            <w:r>
              <w:rPr>
                <w:rFonts w:hint="eastAsia"/>
                <w:sz w:val="24"/>
                <w:szCs w:val="24"/>
              </w:rPr>
              <w:t>8</w:t>
            </w:r>
          </w:p>
        </w:tc>
        <w:tc>
          <w:tcPr>
            <w:tcW w:w="2827" w:type="dxa"/>
            <w:gridSpan w:val="3"/>
            <w:tcMar>
              <w:left w:w="57" w:type="dxa"/>
              <w:right w:w="57" w:type="dxa"/>
            </w:tcMar>
            <w:vAlign w:val="center"/>
          </w:tcPr>
          <w:p>
            <w:pPr>
              <w:adjustRightInd w:val="0"/>
              <w:snapToGrid w:val="0"/>
              <w:spacing w:line="32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乡镇渡口渡运安全检查</w:t>
            </w:r>
          </w:p>
        </w:tc>
        <w:tc>
          <w:tcPr>
            <w:tcW w:w="1163" w:type="dxa"/>
            <w:gridSpan w:val="3"/>
            <w:tcMar>
              <w:left w:w="57" w:type="dxa"/>
              <w:right w:w="57" w:type="dxa"/>
            </w:tcMar>
            <w:vAlign w:val="center"/>
          </w:tcPr>
          <w:p>
            <w:pPr>
              <w:adjustRightInd w:val="0"/>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2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w:t>
            </w:r>
          </w:p>
        </w:tc>
        <w:tc>
          <w:tcPr>
            <w:tcW w:w="3087" w:type="dxa"/>
            <w:gridSpan w:val="4"/>
            <w:tcMar>
              <w:left w:w="57" w:type="dxa"/>
              <w:right w:w="57" w:type="dxa"/>
            </w:tcMar>
            <w:vAlign w:val="center"/>
          </w:tcPr>
          <w:p>
            <w:pPr>
              <w:adjustRightInd w:val="0"/>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《内河渡口渡船安全管理规定》（</w:t>
            </w:r>
            <w:r>
              <w:rPr>
                <w:rFonts w:hint="eastAsia"/>
                <w:sz w:val="24"/>
                <w:szCs w:val="24"/>
              </w:rPr>
              <w:t>2014</w:t>
            </w:r>
            <w:r>
              <w:rPr>
                <w:rFonts w:hint="eastAsia" w:ascii="方正仿宋_GBK" w:hAnsi="方正仿宋_GBK" w:cs="方正仿宋_GBK"/>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49"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9</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对签单发航制度实施情况的检查</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《内河渡口渡船安全管理规定》（</w:t>
            </w:r>
            <w:r>
              <w:rPr>
                <w:rFonts w:hint="eastAsia"/>
                <w:sz w:val="24"/>
                <w:szCs w:val="24"/>
              </w:rPr>
              <w:t>2014</w:t>
            </w:r>
            <w:r>
              <w:rPr>
                <w:rFonts w:hint="eastAsia" w:ascii="方正仿宋_GBK" w:hAnsi="方正仿宋_GBK" w:cs="方正仿宋_GBK"/>
                <w:sz w:val="24"/>
                <w:szCs w:val="24"/>
              </w:rPr>
              <w:t>年施行）第三十六条第三款。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191"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10</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对《重庆市水资源管理条例》第十八条所列情形的处罚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《重庆市水资源管理条例》（</w:t>
            </w:r>
            <w:r>
              <w:rPr>
                <w:rFonts w:hint="eastAsia"/>
                <w:sz w:val="24"/>
                <w:szCs w:val="24"/>
              </w:rPr>
              <w:t>2023</w:t>
            </w:r>
            <w:r>
              <w:rPr>
                <w:rFonts w:hint="eastAsia" w:ascii="方正仿宋_GBK" w:hAnsi="方正仿宋_GBK" w:cs="方正仿宋_GBK"/>
                <w:sz w:val="24"/>
                <w:szCs w:val="24"/>
              </w:rPr>
              <w:t>年修正）第三十九条。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66"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11</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对《重庆市村镇供水条例》第四十八条所列情形的处罚（小型集中供水工程）</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年施行）第四十八条、第五十三条。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22"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12</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对《重庆市村镇供水条例》第四十九条所列情形的处罚（小型集中供水工程）</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年施行）第四十九条、第五十三条。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84"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13</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对《重庆市村镇供水条例》第五十条所列情形的处罚（小型集中供水工程）</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9"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14</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对《重庆市村镇供水条例》第五十一条所列情形的处罚（小型集中供水工程）</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年施行）第五十一条、第五十三条。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15</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对《重庆市村镇供水条例》第五十二条所列情形的处罚（小型集中供水工程）</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年施行）第五十二条、第五十三条。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09"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16</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对违反《重庆市长江防护林体系管理条例》第三十三条规定，在规定期限内到林区砍柴、放牧，致使森林、林木受到毁坏的处罚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《重庆市长江防护林体系管理条例》（</w:t>
            </w:r>
            <w:r>
              <w:rPr>
                <w:rFonts w:hint="eastAsia"/>
                <w:sz w:val="24"/>
                <w:szCs w:val="24"/>
              </w:rPr>
              <w:t>2019</w:t>
            </w:r>
            <w:r>
              <w:rPr>
                <w:rFonts w:hint="eastAsia" w:ascii="方正仿宋_GBK" w:hAnsi="方正仿宋_GBK" w:cs="方正仿宋_GBK"/>
                <w:sz w:val="24"/>
                <w:szCs w:val="24"/>
              </w:rPr>
              <w:t>年修正）第四十条第一款、第四十一条。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59"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17</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对违反《重庆市长江防护林体系管理条例》第三十条规定，损坏防护标志和护林碑牌的处罚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《重庆市长江防护林体系管理条例》（</w:t>
            </w:r>
            <w:r>
              <w:rPr>
                <w:rFonts w:hint="eastAsia"/>
                <w:sz w:val="24"/>
                <w:szCs w:val="24"/>
              </w:rPr>
              <w:t>2019</w:t>
            </w:r>
            <w:r>
              <w:rPr>
                <w:rFonts w:hint="eastAsia" w:ascii="方正仿宋_GBK" w:hAnsi="方正仿宋_GBK" w:cs="方正仿宋_GBK"/>
                <w:sz w:val="24"/>
                <w:szCs w:val="24"/>
              </w:rPr>
              <w:t>年修正）第三十八条、第四十一条。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3248" w:hRule="atLeast"/>
          <w:jc w:val="center"/>
        </w:trPr>
        <w:tc>
          <w:tcPr>
            <w:tcW w:w="650"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18</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对损坏村庄和集镇的房屋、公共设施，违反村镇环境卫生和村容镇貌管理规定，乱堆粪便、垃圾、柴草、杂物，或者破坏绿化、损坏古树名木及其他破坏村容镇貌环境卫生行为的处罚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《村庄和集镇规划建设管理条例》（</w:t>
            </w:r>
            <w:r>
              <w:rPr>
                <w:rFonts w:hint="eastAsia"/>
                <w:sz w:val="24"/>
                <w:szCs w:val="24"/>
              </w:rPr>
              <w:t>1993</w:t>
            </w:r>
            <w:r>
              <w:rPr>
                <w:rFonts w:hint="eastAsia" w:ascii="方正仿宋_GBK" w:hAnsi="方正仿宋_GBK" w:cs="方正仿宋_GBK"/>
                <w:sz w:val="24"/>
                <w:szCs w:val="24"/>
              </w:rPr>
              <w:t>年施行）第三十九条；</w:t>
            </w:r>
          </w:p>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25"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19</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对涉及在村道违反《重庆市公路管理条例》规定的处罚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《重庆市公路管理条例》（</w:t>
            </w:r>
            <w:r>
              <w:rPr>
                <w:rFonts w:hint="eastAsia"/>
                <w:sz w:val="24"/>
                <w:szCs w:val="24"/>
              </w:rPr>
              <w:t>2021</w:t>
            </w:r>
            <w:r>
              <w:rPr>
                <w:rFonts w:hint="eastAsia" w:ascii="方正仿宋_GBK" w:hAnsi="方正仿宋_GBK" w:cs="方正仿宋_GBK"/>
                <w:sz w:val="24"/>
                <w:szCs w:val="24"/>
              </w:rPr>
              <w:t>年修正）第七十条。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192"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20</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对单位和个人损坏或者擅自移动有钉螺地带警示标志的处罚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pacing w:val="-3"/>
                <w:sz w:val="24"/>
                <w:szCs w:val="24"/>
              </w:rPr>
              <w:t>《血吸虫病防治条例》（</w:t>
            </w:r>
            <w:r>
              <w:rPr>
                <w:rFonts w:hint="eastAsia"/>
                <w:sz w:val="24"/>
                <w:szCs w:val="24"/>
              </w:rPr>
              <w:t>2019</w:t>
            </w:r>
            <w:r>
              <w:rPr>
                <w:rFonts w:hint="eastAsia" w:ascii="方正仿宋_GBK" w:hAnsi="方正仿宋_GBK" w:cs="方正仿宋_GBK"/>
                <w:sz w:val="24"/>
                <w:szCs w:val="24"/>
              </w:rPr>
              <w:t>年修订）第五十一条。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01"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21</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对经劝导仍拒绝转移的群众实施强制转移</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《重庆市防汛抗旱条例》（</w:t>
            </w:r>
            <w:r>
              <w:rPr>
                <w:rFonts w:hint="eastAsia"/>
                <w:sz w:val="24"/>
                <w:szCs w:val="24"/>
              </w:rPr>
              <w:t>2018</w:t>
            </w:r>
            <w:r>
              <w:rPr>
                <w:rFonts w:hint="eastAsia" w:ascii="方正仿宋_GBK" w:hAnsi="方正仿宋_GBK" w:cs="方正仿宋_GBK"/>
                <w:sz w:val="24"/>
                <w:szCs w:val="24"/>
              </w:rPr>
              <w:t>年修正）第三十条第三款。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62"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22</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强行组织避灾疏散</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pacing w:val="-6"/>
                <w:sz w:val="24"/>
                <w:szCs w:val="24"/>
              </w:rPr>
              <w:t>《地质灾害防治条例》（</w:t>
            </w:r>
            <w:r>
              <w:rPr>
                <w:rFonts w:hint="eastAsia"/>
                <w:sz w:val="24"/>
                <w:szCs w:val="24"/>
              </w:rPr>
              <w:t>2004</w:t>
            </w:r>
            <w:r>
              <w:rPr>
                <w:rFonts w:hint="eastAsia" w:ascii="方正仿宋_GBK" w:hAnsi="方正仿宋_GBK" w:cs="方正仿宋_GBK"/>
                <w:spacing w:val="-6"/>
                <w:sz w:val="24"/>
                <w:szCs w:val="24"/>
              </w:rPr>
              <w:t>年施行）第二十九条；</w:t>
            </w:r>
          </w:p>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《重庆市地质灾害防治条例》（</w:t>
            </w:r>
            <w:r>
              <w:rPr>
                <w:rFonts w:hint="eastAsia"/>
                <w:sz w:val="24"/>
                <w:szCs w:val="24"/>
              </w:rPr>
              <w:t>2020</w:t>
            </w:r>
            <w:r>
              <w:rPr>
                <w:rFonts w:hint="eastAsia" w:ascii="方正仿宋_GBK" w:hAnsi="方正仿宋_GBK" w:cs="方正仿宋_GBK"/>
                <w:sz w:val="24"/>
                <w:szCs w:val="24"/>
              </w:rPr>
              <w:t>年修订）第三十四条第二款。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57"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23</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制止、铲除非法种植毒品原植物</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《重庆市禁毒条例》（</w:t>
            </w:r>
            <w:r>
              <w:rPr>
                <w:rFonts w:hint="eastAsia"/>
                <w:sz w:val="24"/>
                <w:szCs w:val="24"/>
              </w:rPr>
              <w:t>2012</w:t>
            </w:r>
            <w:r>
              <w:rPr>
                <w:rFonts w:hint="eastAsia" w:ascii="方正仿宋_GBK" w:hAnsi="方正仿宋_GBK" w:cs="方正仿宋_GBK"/>
                <w:sz w:val="24"/>
                <w:szCs w:val="24"/>
              </w:rPr>
              <w:t>年修订）第十九条第二款。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99"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24</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对在乡、村庄规划区内未依法取得乡村建设规划许可证或者未按照乡村建设规划许可证的规定进行建设且逾期不改正的予以拆除</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《中华人民共和国城乡规划法》（</w:t>
            </w:r>
            <w:r>
              <w:rPr>
                <w:rFonts w:hint="eastAsia"/>
                <w:sz w:val="24"/>
                <w:szCs w:val="24"/>
              </w:rPr>
              <w:t>2019</w:t>
            </w:r>
            <w:r>
              <w:rPr>
                <w:rFonts w:hint="eastAsia" w:ascii="方正仿宋_GBK" w:hAnsi="方正仿宋_GBK" w:cs="方正仿宋_GBK"/>
                <w:sz w:val="24"/>
                <w:szCs w:val="24"/>
              </w:rPr>
              <w:t>年修正）第六十五条。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25</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对鉴定为危房且危及公共安全情形的村镇建筑作出强制治理决定</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年修订）第二十九条第三款。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26</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对在电力设施保护区内修建的建筑物、构筑物或者种植的植物、堆放的物品责令强制拆除、砍伐或者清除</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《中华人民共和国电力法》（</w:t>
            </w:r>
            <w:r>
              <w:rPr>
                <w:rFonts w:hint="eastAsia"/>
                <w:sz w:val="24"/>
                <w:szCs w:val="24"/>
              </w:rPr>
              <w:t>2018</w:t>
            </w:r>
            <w:r>
              <w:rPr>
                <w:rFonts w:hint="eastAsia" w:ascii="方正仿宋_GBK" w:hAnsi="方正仿宋_GBK" w:cs="方正仿宋_GBK"/>
                <w:sz w:val="24"/>
                <w:szCs w:val="24"/>
              </w:rPr>
              <w:t>年修正）第六十九条。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3512" w:hRule="atLeast"/>
          <w:jc w:val="center"/>
        </w:trPr>
        <w:tc>
          <w:tcPr>
            <w:tcW w:w="650"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27</w:t>
            </w:r>
          </w:p>
        </w:tc>
        <w:tc>
          <w:tcPr>
            <w:tcW w:w="2827" w:type="dxa"/>
            <w:gridSpan w:val="3"/>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对造成村道、村道附属设施损坏，拒不接受现场调查处理的，予以强制扣留车辆、工具；逾期不接受处理，并且经公告三个月仍不来接受处理的，对扣留车辆、工具依法予以拍卖</w:t>
            </w:r>
          </w:p>
        </w:tc>
        <w:tc>
          <w:tcPr>
            <w:tcW w:w="1163" w:type="dxa"/>
            <w:gridSpan w:val="3"/>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gridSpan w:val="3"/>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3087" w:type="dxa"/>
            <w:gridSpan w:val="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《重庆市公路管理条例》（</w:t>
            </w:r>
            <w:r>
              <w:rPr>
                <w:rFonts w:hint="eastAsia"/>
                <w:sz w:val="24"/>
                <w:szCs w:val="24"/>
              </w:rPr>
              <w:t>2021</w:t>
            </w:r>
            <w:r>
              <w:rPr>
                <w:rFonts w:hint="eastAsia" w:ascii="方正仿宋_GBK" w:hAnsi="方正仿宋_GBK" w:cs="方正仿宋_GBK"/>
                <w:sz w:val="24"/>
                <w:szCs w:val="24"/>
              </w:rPr>
              <w:t>年修正）第六十八条第一款、第二款、第三款。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773" w:hRule="atLeast"/>
          <w:jc w:val="center"/>
        </w:trPr>
        <w:tc>
          <w:tcPr>
            <w:tcW w:w="9770" w:type="dxa"/>
            <w:gridSpan w:val="14"/>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eastAsia="方正黑体_GBK" w:cs="方正黑体_GBK"/>
                <w:w w:val="90"/>
                <w:kern w:val="0"/>
                <w:szCs w:val="32"/>
              </w:rPr>
              <w:t>二、赋予乡镇（街道）部分县级权行政执法事项（79项）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w w:val="90"/>
                <w:kern w:val="0"/>
                <w:szCs w:val="32"/>
              </w:rPr>
            </w:pPr>
            <w:r>
              <w:rPr>
                <w:rFonts w:hint="eastAsia" w:eastAsia="方正黑体_GBK" w:cs="方正黑体_GBK"/>
                <w:kern w:val="0"/>
                <w:sz w:val="24"/>
                <w:szCs w:val="24"/>
              </w:rPr>
              <w:t>序号</w:t>
            </w:r>
          </w:p>
        </w:tc>
        <w:tc>
          <w:tcPr>
            <w:tcW w:w="2606" w:type="dxa"/>
            <w:gridSpan w:val="2"/>
            <w:tcMar>
              <w:left w:w="57" w:type="dxa"/>
              <w:right w:w="57" w:type="dxa"/>
            </w:tcMar>
            <w:vAlign w:val="center"/>
          </w:tcPr>
          <w:p>
            <w:pPr>
              <w:widowControl/>
              <w:adjustRightInd w:val="0"/>
              <w:snapToGrid w:val="0"/>
              <w:spacing w:line="440" w:lineRule="exact"/>
              <w:jc w:val="center"/>
              <w:textAlignment w:val="center"/>
              <w:rPr>
                <w:rFonts w:eastAsia="方正黑体_GBK" w:cs="方正黑体_GBK"/>
                <w:w w:val="90"/>
                <w:kern w:val="0"/>
                <w:szCs w:val="32"/>
              </w:rPr>
            </w:pPr>
            <w:r>
              <w:rPr>
                <w:rFonts w:hint="eastAsia" w:eastAsia="方正黑体_GBK" w:cs="方正黑体_GBK"/>
                <w:kern w:val="0"/>
                <w:sz w:val="24"/>
                <w:szCs w:val="24"/>
              </w:rPr>
              <w:t>赋权事项名称</w:t>
            </w:r>
          </w:p>
        </w:tc>
        <w:tc>
          <w:tcPr>
            <w:tcW w:w="1184" w:type="dxa"/>
            <w:gridSpan w:val="3"/>
            <w:tcMar>
              <w:left w:w="57" w:type="dxa"/>
              <w:right w:w="57" w:type="dxa"/>
            </w:tcMar>
            <w:vAlign w:val="center"/>
          </w:tcPr>
          <w:p>
            <w:pPr>
              <w:widowControl/>
              <w:adjustRightInd w:val="0"/>
              <w:snapToGrid w:val="0"/>
              <w:spacing w:line="440" w:lineRule="exact"/>
              <w:jc w:val="center"/>
              <w:textAlignment w:val="center"/>
              <w:rPr>
                <w:rFonts w:eastAsia="方正黑体_GBK" w:cs="方正黑体_GBK"/>
                <w:w w:val="90"/>
                <w:kern w:val="0"/>
                <w:szCs w:val="32"/>
              </w:rPr>
            </w:pPr>
            <w:r>
              <w:rPr>
                <w:rFonts w:hint="eastAsia" w:eastAsia="方正黑体_GBK" w:cs="方正黑体_GBK"/>
                <w:w w:val="80"/>
                <w:kern w:val="0"/>
                <w:sz w:val="24"/>
                <w:szCs w:val="24"/>
              </w:rPr>
              <w:t>原行使部门</w:t>
            </w:r>
          </w:p>
        </w:tc>
        <w:tc>
          <w:tcPr>
            <w:tcW w:w="1695" w:type="dxa"/>
            <w:gridSpan w:val="3"/>
            <w:tcMar>
              <w:left w:w="57" w:type="dxa"/>
              <w:right w:w="57" w:type="dxa"/>
            </w:tcMar>
            <w:vAlign w:val="center"/>
          </w:tcPr>
          <w:p>
            <w:pPr>
              <w:widowControl/>
              <w:adjustRightInd w:val="0"/>
              <w:snapToGrid w:val="0"/>
              <w:spacing w:line="440" w:lineRule="exact"/>
              <w:jc w:val="center"/>
              <w:textAlignment w:val="center"/>
              <w:rPr>
                <w:rFonts w:eastAsia="方正黑体_GBK" w:cs="方正黑体_GBK"/>
                <w:w w:val="90"/>
                <w:kern w:val="0"/>
                <w:szCs w:val="32"/>
              </w:rPr>
            </w:pPr>
            <w:r>
              <w:rPr>
                <w:rFonts w:hint="eastAsia" w:eastAsia="方正黑体_GBK" w:cs="方正黑体_GBK"/>
                <w:kern w:val="0"/>
                <w:sz w:val="24"/>
                <w:szCs w:val="24"/>
              </w:rPr>
              <w:t>赋权范围</w:t>
            </w:r>
          </w:p>
        </w:tc>
        <w:tc>
          <w:tcPr>
            <w:tcW w:w="2415" w:type="dxa"/>
            <w:gridSpan w:val="4"/>
            <w:tcMar>
              <w:left w:w="57" w:type="dxa"/>
              <w:right w:w="57" w:type="dxa"/>
            </w:tcMar>
            <w:vAlign w:val="center"/>
          </w:tcPr>
          <w:p>
            <w:pPr>
              <w:widowControl/>
              <w:adjustRightInd w:val="0"/>
              <w:snapToGrid w:val="0"/>
              <w:spacing w:line="440" w:lineRule="exact"/>
              <w:jc w:val="center"/>
              <w:textAlignment w:val="center"/>
              <w:rPr>
                <w:rFonts w:eastAsia="方正黑体_GBK" w:cs="方正黑体_GBK"/>
                <w:w w:val="90"/>
                <w:kern w:val="0"/>
                <w:szCs w:val="32"/>
              </w:rPr>
            </w:pPr>
            <w:r>
              <w:rPr>
                <w:rFonts w:hint="eastAsia" w:eastAsia="方正黑体_GBK" w:cs="方正黑体_GBK"/>
                <w:kern w:val="0"/>
                <w:sz w:val="24"/>
                <w:szCs w:val="24"/>
              </w:rPr>
              <w:t>赋权事项的执法依据</w:t>
            </w:r>
          </w:p>
        </w:tc>
        <w:tc>
          <w:tcPr>
            <w:tcW w:w="1220"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w w:val="90"/>
                <w:kern w:val="0"/>
                <w:szCs w:val="32"/>
              </w:rPr>
            </w:pPr>
            <w:r>
              <w:rPr>
                <w:rFonts w:hint="eastAsia" w:eastAsia="方正黑体_GBK" w:cs="方正黑体_GBK"/>
                <w:kern w:val="0"/>
                <w:sz w:val="24"/>
                <w:szCs w:val="24"/>
              </w:rPr>
              <w:t>赋权乡镇（街道）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9770" w:type="dxa"/>
            <w:gridSpan w:val="14"/>
            <w:tcMar>
              <w:left w:w="57" w:type="dxa"/>
              <w:right w:w="57" w:type="dxa"/>
            </w:tcMar>
            <w:vAlign w:val="center"/>
          </w:tcPr>
          <w:p>
            <w:pPr>
              <w:widowControl/>
              <w:adjustRightInd w:val="0"/>
              <w:snapToGrid w:val="0"/>
              <w:spacing w:line="440" w:lineRule="exact"/>
              <w:jc w:val="left"/>
              <w:textAlignment w:val="center"/>
              <w:rPr>
                <w:rFonts w:eastAsia="方正黑体_GBK" w:cs="方正黑体_GBK"/>
                <w:kern w:val="0"/>
                <w:sz w:val="24"/>
                <w:szCs w:val="24"/>
              </w:rPr>
            </w:pPr>
            <w:r>
              <w:rPr>
                <w:rFonts w:hint="eastAsia" w:ascii="方正黑体_GBK" w:hAnsi="方正黑体_GBK" w:eastAsia="方正黑体_GBK" w:cs="方正黑体_GBK"/>
                <w:kern w:val="0"/>
                <w:sz w:val="24"/>
                <w:szCs w:val="24"/>
              </w:rPr>
              <w:t>（一）通用赋权事项(15项）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tcMar>
              <w:left w:w="57" w:type="dxa"/>
              <w:right w:w="57" w:type="dxa"/>
            </w:tcMar>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1</w:t>
            </w:r>
          </w:p>
        </w:tc>
        <w:tc>
          <w:tcPr>
            <w:tcW w:w="2606" w:type="dxa"/>
            <w:gridSpan w:val="2"/>
            <w:tcMar>
              <w:left w:w="57" w:type="dxa"/>
              <w:right w:w="57" w:type="dxa"/>
            </w:tcMar>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对在崩塌、滑坡危险区或者泥石流易发区从事取土、挖砂、采石等可能造成水土流失活动的处罚</w:t>
            </w:r>
          </w:p>
        </w:tc>
        <w:tc>
          <w:tcPr>
            <w:tcW w:w="1184" w:type="dxa"/>
            <w:gridSpan w:val="3"/>
            <w:tcMar>
              <w:left w:w="57" w:type="dxa"/>
              <w:right w:w="57" w:type="dxa"/>
            </w:tcMar>
            <w:vAlign w:val="center"/>
          </w:tcPr>
          <w:p>
            <w:pPr>
              <w:widowControl/>
              <w:adjustRightInd w:val="0"/>
              <w:snapToGrid w:val="0"/>
              <w:spacing w:line="340" w:lineRule="exact"/>
              <w:textAlignment w:val="center"/>
              <w:rPr>
                <w:rFonts w:eastAsia="方正黑体_GBK" w:cs="方正黑体_GBK"/>
                <w:w w:val="80"/>
                <w:kern w:val="0"/>
                <w:sz w:val="24"/>
                <w:szCs w:val="24"/>
              </w:rPr>
            </w:pPr>
            <w:r>
              <w:rPr>
                <w:rFonts w:hint="eastAsia" w:ascii="方正仿宋_GBK" w:hAnsi="方正仿宋_GBK" w:cs="方正仿宋_GBK"/>
                <w:w w:val="80"/>
                <w:kern w:val="0"/>
                <w:sz w:val="24"/>
                <w:szCs w:val="24"/>
              </w:rPr>
              <w:t>县水利部门</w:t>
            </w:r>
          </w:p>
        </w:tc>
        <w:tc>
          <w:tcPr>
            <w:tcW w:w="1695" w:type="dxa"/>
            <w:gridSpan w:val="3"/>
            <w:tcMar>
              <w:left w:w="57" w:type="dxa"/>
              <w:right w:w="57" w:type="dxa"/>
            </w:tcMar>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tcMar>
              <w:left w:w="57" w:type="dxa"/>
              <w:right w:w="57" w:type="dxa"/>
            </w:tcMar>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《中华人民共和国水土保持法》（</w:t>
            </w:r>
            <w:r>
              <w:rPr>
                <w:rFonts w:hint="eastAsia"/>
                <w:sz w:val="24"/>
                <w:szCs w:val="24"/>
              </w:rPr>
              <w:t>2010</w:t>
            </w:r>
            <w:r>
              <w:rPr>
                <w:rFonts w:hint="eastAsia" w:ascii="方正仿宋_GBK" w:hAnsi="方正仿宋_GBK" w:cs="方正仿宋_GBK"/>
                <w:kern w:val="0"/>
                <w:sz w:val="24"/>
                <w:szCs w:val="24"/>
              </w:rPr>
              <w:t>年修订）第四十八条。</w:t>
            </w:r>
          </w:p>
        </w:tc>
        <w:tc>
          <w:tcPr>
            <w:tcW w:w="1220" w:type="dxa"/>
            <w:tcMar>
              <w:left w:w="57" w:type="dxa"/>
              <w:right w:w="57" w:type="dxa"/>
            </w:tcMar>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2</w:t>
            </w:r>
          </w:p>
        </w:tc>
        <w:tc>
          <w:tcPr>
            <w:tcW w:w="2606" w:type="dxa"/>
            <w:gridSpan w:val="2"/>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对屠宰、经营、运输的动物未附有检疫证明，经营和运输的动物产品未附有检疫证明、检疫标志的处罚</w:t>
            </w:r>
          </w:p>
        </w:tc>
        <w:tc>
          <w:tcPr>
            <w:tcW w:w="1184" w:type="dxa"/>
            <w:gridSpan w:val="3"/>
            <w:vAlign w:val="center"/>
          </w:tcPr>
          <w:p>
            <w:pPr>
              <w:widowControl/>
              <w:adjustRightInd w:val="0"/>
              <w:snapToGrid w:val="0"/>
              <w:spacing w:line="34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县农业农村部门</w:t>
            </w:r>
          </w:p>
        </w:tc>
        <w:tc>
          <w:tcPr>
            <w:tcW w:w="1695" w:type="dxa"/>
            <w:gridSpan w:val="3"/>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《中华人民共和国动物防疫法》（</w:t>
            </w:r>
            <w:r>
              <w:rPr>
                <w:rFonts w:hint="eastAsia"/>
                <w:sz w:val="24"/>
                <w:szCs w:val="24"/>
              </w:rPr>
              <w:t>2021</w:t>
            </w:r>
            <w:r>
              <w:rPr>
                <w:rFonts w:hint="eastAsia" w:ascii="方正仿宋_GBK" w:hAnsi="方正仿宋_GBK" w:cs="方正仿宋_GBK"/>
                <w:kern w:val="0"/>
                <w:sz w:val="24"/>
                <w:szCs w:val="24"/>
              </w:rPr>
              <w:t>年修订）第一百条第一款。</w:t>
            </w:r>
          </w:p>
        </w:tc>
        <w:tc>
          <w:tcPr>
            <w:tcW w:w="1220" w:type="dxa"/>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3</w:t>
            </w:r>
          </w:p>
        </w:tc>
        <w:tc>
          <w:tcPr>
            <w:tcW w:w="2606" w:type="dxa"/>
            <w:gridSpan w:val="2"/>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对互联网上网服务营业场所经营单位接纳未成年人进入营业场所的处罚</w:t>
            </w:r>
          </w:p>
        </w:tc>
        <w:tc>
          <w:tcPr>
            <w:tcW w:w="1184" w:type="dxa"/>
            <w:gridSpan w:val="3"/>
            <w:vAlign w:val="center"/>
          </w:tcPr>
          <w:p>
            <w:pPr>
              <w:widowControl/>
              <w:adjustRightInd w:val="0"/>
              <w:snapToGrid w:val="0"/>
              <w:spacing w:line="34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行政处罚权（责令停产停业、吊销许可证件除外）以及与其行政处罚权有关的行政检查、行政强制措施</w:t>
            </w:r>
          </w:p>
        </w:tc>
        <w:tc>
          <w:tcPr>
            <w:tcW w:w="2415" w:type="dxa"/>
            <w:gridSpan w:val="4"/>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《互联网上网服务营业场所管理条例》（</w:t>
            </w:r>
            <w:r>
              <w:rPr>
                <w:rFonts w:hint="eastAsia"/>
                <w:sz w:val="24"/>
                <w:szCs w:val="24"/>
              </w:rPr>
              <w:t>2022</w:t>
            </w:r>
            <w:r>
              <w:rPr>
                <w:rFonts w:hint="eastAsia" w:ascii="方正仿宋_GBK" w:hAnsi="方正仿宋_GBK" w:cs="方正仿宋_GBK"/>
                <w:kern w:val="0"/>
                <w:sz w:val="24"/>
                <w:szCs w:val="24"/>
              </w:rPr>
              <w:t>年修订）第三十一条第二项。</w:t>
            </w:r>
          </w:p>
        </w:tc>
        <w:tc>
          <w:tcPr>
            <w:tcW w:w="1220" w:type="dxa"/>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44"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4</w:t>
            </w:r>
          </w:p>
        </w:tc>
        <w:tc>
          <w:tcPr>
            <w:tcW w:w="2606" w:type="dxa"/>
            <w:gridSpan w:val="2"/>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对消防安全重点单位及公安派出所监督检查单位以外其他单位或者个人违反消防安全规定焚烧物品的处罚</w:t>
            </w:r>
          </w:p>
        </w:tc>
        <w:tc>
          <w:tcPr>
            <w:tcW w:w="1184" w:type="dxa"/>
            <w:gridSpan w:val="3"/>
            <w:vAlign w:val="center"/>
          </w:tcPr>
          <w:p>
            <w:pPr>
              <w:widowControl/>
              <w:adjustRightInd w:val="0"/>
              <w:snapToGrid w:val="0"/>
              <w:spacing w:line="34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《重庆市消防条例》（</w:t>
            </w:r>
            <w:r>
              <w:rPr>
                <w:rFonts w:hint="eastAsia"/>
                <w:sz w:val="24"/>
                <w:szCs w:val="24"/>
              </w:rPr>
              <w:t>2013</w:t>
            </w:r>
            <w:r>
              <w:rPr>
                <w:rFonts w:hint="eastAsia" w:ascii="方正仿宋_GBK" w:hAnsi="方正仿宋_GBK" w:cs="方正仿宋_GBK"/>
                <w:kern w:val="0"/>
                <w:sz w:val="24"/>
                <w:szCs w:val="24"/>
              </w:rPr>
              <w:t>年修正）第六十三条第二项。</w:t>
            </w:r>
          </w:p>
        </w:tc>
        <w:tc>
          <w:tcPr>
            <w:tcW w:w="1220" w:type="dxa"/>
            <w:vAlign w:val="center"/>
          </w:tcPr>
          <w:p>
            <w:pPr>
              <w:widowControl/>
              <w:adjustRightInd w:val="0"/>
              <w:snapToGrid w:val="0"/>
              <w:spacing w:line="34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899"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5</w:t>
            </w:r>
          </w:p>
        </w:tc>
        <w:tc>
          <w:tcPr>
            <w:tcW w:w="2606" w:type="dxa"/>
            <w:gridSpan w:val="2"/>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对消防安全重点单位及公安派出所监督检查单位以外其他单位或者个人</w:t>
            </w:r>
            <w:r>
              <w:rPr>
                <w:rStyle w:val="9"/>
                <w:color w:val="auto"/>
                <w:sz w:val="24"/>
                <w:szCs w:val="24"/>
              </w:rPr>
              <w:t>占用、堵塞、封闭疏散通道、安全出口的处罚</w:t>
            </w:r>
          </w:p>
        </w:tc>
        <w:tc>
          <w:tcPr>
            <w:tcW w:w="1184" w:type="dxa"/>
            <w:gridSpan w:val="3"/>
            <w:vAlign w:val="center"/>
          </w:tcPr>
          <w:p>
            <w:pPr>
              <w:widowControl/>
              <w:adjustRightInd w:val="0"/>
              <w:snapToGrid w:val="0"/>
              <w:spacing w:line="38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年修正）第六十条第一款第三项、第二款。</w:t>
            </w:r>
          </w:p>
        </w:tc>
        <w:tc>
          <w:tcPr>
            <w:tcW w:w="1220" w:type="dxa"/>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6</w:t>
            </w:r>
          </w:p>
        </w:tc>
        <w:tc>
          <w:tcPr>
            <w:tcW w:w="2606" w:type="dxa"/>
            <w:gridSpan w:val="2"/>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对消防安全重点单位及公安派出所监督检查单位以外其他单位或者个人埋压、圈占、遮挡消火栓行为的处罚</w:t>
            </w:r>
          </w:p>
        </w:tc>
        <w:tc>
          <w:tcPr>
            <w:tcW w:w="1184" w:type="dxa"/>
            <w:gridSpan w:val="3"/>
            <w:vAlign w:val="center"/>
          </w:tcPr>
          <w:p>
            <w:pPr>
              <w:widowControl/>
              <w:adjustRightInd w:val="0"/>
              <w:snapToGrid w:val="0"/>
              <w:spacing w:line="38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年修正）第六十条第一款第四项、第二款。</w:t>
            </w:r>
          </w:p>
        </w:tc>
        <w:tc>
          <w:tcPr>
            <w:tcW w:w="1220" w:type="dxa"/>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7</w:t>
            </w:r>
          </w:p>
        </w:tc>
        <w:tc>
          <w:tcPr>
            <w:tcW w:w="2606" w:type="dxa"/>
            <w:gridSpan w:val="2"/>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对消防安全重点单位及公安派出所监督检查单位以外其他单位或者个人占用、堵塞、封闭消防车通道，妨碍消防车通行行为的处罚</w:t>
            </w:r>
          </w:p>
        </w:tc>
        <w:tc>
          <w:tcPr>
            <w:tcW w:w="1184" w:type="dxa"/>
            <w:gridSpan w:val="3"/>
            <w:vAlign w:val="center"/>
          </w:tcPr>
          <w:p>
            <w:pPr>
              <w:widowControl/>
              <w:adjustRightInd w:val="0"/>
              <w:snapToGrid w:val="0"/>
              <w:spacing w:line="36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年修正）第六十条第一款第五项、第二款。</w:t>
            </w:r>
          </w:p>
        </w:tc>
        <w:tc>
          <w:tcPr>
            <w:tcW w:w="1220" w:type="dxa"/>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8</w:t>
            </w:r>
          </w:p>
        </w:tc>
        <w:tc>
          <w:tcPr>
            <w:tcW w:w="2606" w:type="dxa"/>
            <w:gridSpan w:val="2"/>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对养犬人和管理人未立即清除宠物在公共场所产生的粪便，影响市容环境卫生的处罚</w:t>
            </w:r>
          </w:p>
        </w:tc>
        <w:tc>
          <w:tcPr>
            <w:tcW w:w="1184" w:type="dxa"/>
            <w:gridSpan w:val="3"/>
            <w:vAlign w:val="center"/>
          </w:tcPr>
          <w:p>
            <w:pPr>
              <w:widowControl/>
              <w:adjustRightInd w:val="0"/>
              <w:snapToGrid w:val="0"/>
              <w:spacing w:line="36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《重庆市养犬管理条例》（</w:t>
            </w:r>
            <w:r>
              <w:rPr>
                <w:rFonts w:hint="eastAsia"/>
                <w:sz w:val="24"/>
                <w:szCs w:val="24"/>
              </w:rPr>
              <w:t>2023</w:t>
            </w:r>
            <w:r>
              <w:rPr>
                <w:rFonts w:hint="eastAsia" w:ascii="方正仿宋_GBK" w:hAnsi="方正仿宋_GBK" w:cs="方正仿宋_GBK"/>
                <w:kern w:val="0"/>
                <w:sz w:val="24"/>
                <w:szCs w:val="24"/>
              </w:rPr>
              <w:t>年施行）第四十二条第四项。</w:t>
            </w:r>
          </w:p>
        </w:tc>
        <w:tc>
          <w:tcPr>
            <w:tcW w:w="1220" w:type="dxa"/>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9</w:t>
            </w:r>
          </w:p>
        </w:tc>
        <w:tc>
          <w:tcPr>
            <w:tcW w:w="2606" w:type="dxa"/>
            <w:gridSpan w:val="2"/>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对个人随意倾倒、抛洒、堆放或者焚烧生活垃圾的处罚</w:t>
            </w:r>
          </w:p>
        </w:tc>
        <w:tc>
          <w:tcPr>
            <w:tcW w:w="1184" w:type="dxa"/>
            <w:gridSpan w:val="3"/>
            <w:vAlign w:val="center"/>
          </w:tcPr>
          <w:p>
            <w:pPr>
              <w:widowControl/>
              <w:adjustRightInd w:val="0"/>
              <w:snapToGrid w:val="0"/>
              <w:spacing w:line="36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《中华人民共和国固体废物污染环境防治法》（</w:t>
            </w:r>
            <w:r>
              <w:rPr>
                <w:rFonts w:hint="eastAsia"/>
                <w:sz w:val="24"/>
                <w:szCs w:val="24"/>
              </w:rPr>
              <w:t>2020</w:t>
            </w:r>
            <w:r>
              <w:rPr>
                <w:rFonts w:hint="eastAsia" w:ascii="方正仿宋_GBK" w:hAnsi="方正仿宋_GBK" w:cs="方正仿宋_GBK"/>
                <w:kern w:val="0"/>
                <w:sz w:val="24"/>
                <w:szCs w:val="24"/>
              </w:rPr>
              <w:t>年修订）第一百一十一条第一款第一项、第二款。</w:t>
            </w:r>
          </w:p>
        </w:tc>
        <w:tc>
          <w:tcPr>
            <w:tcW w:w="1220" w:type="dxa"/>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10</w:t>
            </w:r>
          </w:p>
        </w:tc>
        <w:tc>
          <w:tcPr>
            <w:tcW w:w="2606" w:type="dxa"/>
            <w:gridSpan w:val="2"/>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对《重庆市市容环境卫生管理条例》第十八条</w:t>
            </w:r>
            <w:r>
              <w:rPr>
                <w:rStyle w:val="10"/>
                <w:b w:val="0"/>
                <w:color w:val="auto"/>
                <w:sz w:val="24"/>
                <w:szCs w:val="24"/>
              </w:rPr>
              <w:t>规定情形</w:t>
            </w:r>
            <w:r>
              <w:rPr>
                <w:rStyle w:val="9"/>
                <w:color w:val="auto"/>
                <w:sz w:val="24"/>
                <w:szCs w:val="24"/>
              </w:rPr>
              <w:t>的处罚</w:t>
            </w:r>
          </w:p>
        </w:tc>
        <w:tc>
          <w:tcPr>
            <w:tcW w:w="1184" w:type="dxa"/>
            <w:gridSpan w:val="3"/>
            <w:vAlign w:val="center"/>
          </w:tcPr>
          <w:p>
            <w:pPr>
              <w:widowControl/>
              <w:adjustRightInd w:val="0"/>
              <w:snapToGrid w:val="0"/>
              <w:spacing w:line="36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年修正）第十八条第一款、第二款。</w:t>
            </w:r>
          </w:p>
        </w:tc>
        <w:tc>
          <w:tcPr>
            <w:tcW w:w="1220" w:type="dxa"/>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11</w:t>
            </w:r>
          </w:p>
        </w:tc>
        <w:tc>
          <w:tcPr>
            <w:tcW w:w="2606" w:type="dxa"/>
            <w:gridSpan w:val="2"/>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对霓虹灯、电子显示屏（牌）、灯箱等形式的户外广告未保持完好、有破损、污迹和严重褪色，未显示完好的处罚</w:t>
            </w:r>
          </w:p>
        </w:tc>
        <w:tc>
          <w:tcPr>
            <w:tcW w:w="1184" w:type="dxa"/>
            <w:gridSpan w:val="3"/>
            <w:vAlign w:val="center"/>
          </w:tcPr>
          <w:p>
            <w:pPr>
              <w:widowControl/>
              <w:adjustRightInd w:val="0"/>
              <w:snapToGrid w:val="0"/>
              <w:spacing w:line="36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年修正）第三十六条。</w:t>
            </w:r>
          </w:p>
        </w:tc>
        <w:tc>
          <w:tcPr>
            <w:tcW w:w="1220" w:type="dxa"/>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12</w:t>
            </w:r>
          </w:p>
        </w:tc>
        <w:tc>
          <w:tcPr>
            <w:tcW w:w="2606" w:type="dxa"/>
            <w:gridSpan w:val="2"/>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对在道路上的通讯、邮政、电力、有线电视、公交客运、环境卫生等设施出现污损、残缺未及时清洗或修复的处罚</w:t>
            </w:r>
          </w:p>
        </w:tc>
        <w:tc>
          <w:tcPr>
            <w:tcW w:w="1184" w:type="dxa"/>
            <w:gridSpan w:val="3"/>
            <w:vAlign w:val="center"/>
          </w:tcPr>
          <w:p>
            <w:pPr>
              <w:widowControl/>
              <w:adjustRightInd w:val="0"/>
              <w:snapToGrid w:val="0"/>
              <w:spacing w:line="36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年修正）第十六条。</w:t>
            </w:r>
          </w:p>
        </w:tc>
        <w:tc>
          <w:tcPr>
            <w:tcW w:w="1220" w:type="dxa"/>
            <w:vAlign w:val="center"/>
          </w:tcPr>
          <w:p>
            <w:pPr>
              <w:widowControl/>
              <w:adjustRightInd w:val="0"/>
              <w:snapToGrid w:val="0"/>
              <w:spacing w:line="36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13</w:t>
            </w:r>
          </w:p>
        </w:tc>
        <w:tc>
          <w:tcPr>
            <w:tcW w:w="2606" w:type="dxa"/>
            <w:gridSpan w:val="2"/>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w:t>
            </w:r>
            <w:r>
              <w:rPr>
                <w:rStyle w:val="9"/>
                <w:color w:val="auto"/>
                <w:sz w:val="24"/>
                <w:szCs w:val="24"/>
              </w:rPr>
              <w:t>经批准</w:t>
            </w:r>
            <w:r>
              <w:rPr>
                <w:rStyle w:val="11"/>
                <w:color w:val="auto"/>
              </w:rPr>
              <w:t>临时占用道路堆放建筑材料未放置整齐，散体、流体物料未使用围挡存放的处罚。</w:t>
            </w:r>
          </w:p>
        </w:tc>
        <w:tc>
          <w:tcPr>
            <w:tcW w:w="1184" w:type="dxa"/>
            <w:gridSpan w:val="3"/>
            <w:vAlign w:val="center"/>
          </w:tcPr>
          <w:p>
            <w:pPr>
              <w:widowControl/>
              <w:adjustRightInd w:val="0"/>
              <w:snapToGrid w:val="0"/>
              <w:spacing w:line="38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年修正）第二十八条。</w:t>
            </w:r>
          </w:p>
        </w:tc>
        <w:tc>
          <w:tcPr>
            <w:tcW w:w="1220" w:type="dxa"/>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14</w:t>
            </w:r>
          </w:p>
        </w:tc>
        <w:tc>
          <w:tcPr>
            <w:tcW w:w="2606" w:type="dxa"/>
            <w:gridSpan w:val="2"/>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对集贸摊区市场、临街门店的业主或经营者未按市容环境卫生主管部门要求设置垃圾收集容器，及时清运垃圾，保持环境整洁的处罚</w:t>
            </w:r>
          </w:p>
        </w:tc>
        <w:tc>
          <w:tcPr>
            <w:tcW w:w="1184" w:type="dxa"/>
            <w:gridSpan w:val="3"/>
            <w:vAlign w:val="center"/>
          </w:tcPr>
          <w:p>
            <w:pPr>
              <w:widowControl/>
              <w:adjustRightInd w:val="0"/>
              <w:snapToGrid w:val="0"/>
              <w:spacing w:line="38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年修正）第四十三条。</w:t>
            </w:r>
          </w:p>
        </w:tc>
        <w:tc>
          <w:tcPr>
            <w:tcW w:w="1220" w:type="dxa"/>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15</w:t>
            </w:r>
          </w:p>
        </w:tc>
        <w:tc>
          <w:tcPr>
            <w:tcW w:w="2606" w:type="dxa"/>
            <w:gridSpan w:val="2"/>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对违反《重庆市市容环境卫生管理条例》第四十五条</w:t>
            </w:r>
            <w:r>
              <w:rPr>
                <w:rStyle w:val="10"/>
                <w:b w:val="0"/>
                <w:bCs/>
                <w:color w:val="auto"/>
                <w:sz w:val="24"/>
                <w:szCs w:val="24"/>
              </w:rPr>
              <w:t>规定情形</w:t>
            </w:r>
            <w:r>
              <w:rPr>
                <w:rStyle w:val="9"/>
                <w:color w:val="auto"/>
                <w:sz w:val="24"/>
                <w:szCs w:val="24"/>
              </w:rPr>
              <w:t>的处罚</w:t>
            </w:r>
          </w:p>
        </w:tc>
        <w:tc>
          <w:tcPr>
            <w:tcW w:w="1184" w:type="dxa"/>
            <w:gridSpan w:val="3"/>
            <w:vAlign w:val="center"/>
          </w:tcPr>
          <w:p>
            <w:pPr>
              <w:widowControl/>
              <w:adjustRightInd w:val="0"/>
              <w:snapToGrid w:val="0"/>
              <w:spacing w:line="380" w:lineRule="exact"/>
              <w:textAlignment w:val="center"/>
              <w:rPr>
                <w:rFonts w:eastAsia="方正黑体_GBK" w:cs="方正黑体_GBK"/>
                <w:w w:val="80"/>
                <w:kern w:val="0"/>
                <w:sz w:val="24"/>
                <w:szCs w:val="24"/>
              </w:rP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年修正）第四十五条。</w:t>
            </w:r>
          </w:p>
        </w:tc>
        <w:tc>
          <w:tcPr>
            <w:tcW w:w="1220" w:type="dxa"/>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9770" w:type="dxa"/>
            <w:gridSpan w:val="14"/>
            <w:vAlign w:val="center"/>
          </w:tcPr>
          <w:p>
            <w:pPr>
              <w:widowControl/>
              <w:adjustRightInd w:val="0"/>
              <w:snapToGrid w:val="0"/>
              <w:spacing w:line="380" w:lineRule="exact"/>
              <w:textAlignment w:val="center"/>
              <w:rPr>
                <w:rFonts w:eastAsia="方正黑体_GBK" w:cs="方正黑体_GBK"/>
                <w:kern w:val="0"/>
                <w:sz w:val="24"/>
                <w:szCs w:val="24"/>
              </w:rPr>
            </w:pPr>
            <w:r>
              <w:rPr>
                <w:rFonts w:hint="eastAsia" w:ascii="方正黑体_GBK" w:hAnsi="方正黑体_GBK" w:eastAsia="方正黑体_GBK" w:cs="方正黑体_GBK"/>
                <w:kern w:val="0"/>
                <w:sz w:val="24"/>
                <w:szCs w:val="24"/>
              </w:rPr>
              <w:t>（二）自选赋权事项（64项）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16</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对消防安全重点单位及公安派出所监督检查单位以外其他单位或者个人损坏、挪用或者擅自拆除、停用消防设施、器材的处罚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年修正）第六十条第一款第二项、第二款。</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17</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对消防安全重点单位及公安派出所监督检查单位以外其他单位或者个人在高层建筑内宾馆、餐饮场所的厨房烟道、燃气管道未定期检查、清洗和保养的处罚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《重庆市高层建筑消防安全管理规定》（</w:t>
            </w:r>
            <w:r>
              <w:rPr>
                <w:rFonts w:hint="eastAsia"/>
                <w:sz w:val="24"/>
                <w:szCs w:val="24"/>
              </w:rPr>
              <w:t>2019</w:t>
            </w:r>
            <w:r>
              <w:rPr>
                <w:rFonts w:hint="eastAsia" w:ascii="方正仿宋_GBK" w:hAnsi="方正仿宋_GBK" w:cs="方正仿宋_GBK"/>
                <w:kern w:val="0"/>
                <w:sz w:val="24"/>
                <w:szCs w:val="24"/>
              </w:rPr>
              <w:t>年施行）第六十一条第一项。</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18</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对消防安全重点单位及公安派出所监督检查单位以外其他单位或者个人在人员密集场所的门窗上设置影响逃生和灭火救援的障碍物的处罚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年修正）第六十条第六项；《重庆市消防条例》（</w:t>
            </w:r>
            <w:r>
              <w:rPr>
                <w:rFonts w:hint="eastAsia"/>
                <w:sz w:val="24"/>
                <w:szCs w:val="24"/>
              </w:rPr>
              <w:t>2013</w:t>
            </w:r>
            <w:r>
              <w:rPr>
                <w:rFonts w:hint="eastAsia" w:ascii="方正仿宋_GBK" w:hAnsi="方正仿宋_GBK" w:cs="方正仿宋_GBK"/>
                <w:kern w:val="0"/>
                <w:sz w:val="24"/>
                <w:szCs w:val="24"/>
              </w:rPr>
              <w:t>年修正）第六十二条第二项。</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19</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对消防安全重点单位及公安派出所监督检查单位以外其他单位或者个人在具有火灾、爆炸危险的场所吸烟的处罚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年修正）第六十三条第二项。</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20</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对消防安全重点单位及公安派出所监督检查单位以外其他单位或者个人违反规定使用明火作业的处罚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年修正）第六十三条第二项。</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3709"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21</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对消防安全重点单位及公安派出所监督检查单位以外其他的机关、团体、企业、事业等单位或者个人违反《中华人民共和国消防法》第十八条、第二十一条第二款</w:t>
            </w:r>
            <w:r>
              <w:rPr>
                <w:rStyle w:val="10"/>
                <w:b w:val="0"/>
                <w:bCs/>
                <w:color w:val="auto"/>
                <w:sz w:val="24"/>
                <w:szCs w:val="24"/>
              </w:rPr>
              <w:t>规定情形</w:t>
            </w:r>
            <w:r>
              <w:rPr>
                <w:rStyle w:val="9"/>
                <w:color w:val="auto"/>
                <w:sz w:val="24"/>
                <w:szCs w:val="24"/>
              </w:rPr>
              <w:t>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年修正）第六十七条。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22</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对消防安全重点单位及公安派出所监督检查单位以外其他单位或者个人消防控制室无人值班的处罚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《重庆市消防条例》（</w:t>
            </w:r>
            <w:r>
              <w:rPr>
                <w:rFonts w:hint="eastAsia"/>
                <w:sz w:val="24"/>
                <w:szCs w:val="24"/>
              </w:rPr>
              <w:t>2013</w:t>
            </w:r>
            <w:r>
              <w:rPr>
                <w:rFonts w:hint="eastAsia" w:ascii="方正仿宋_GBK" w:hAnsi="方正仿宋_GBK" w:cs="方正仿宋_GBK"/>
                <w:kern w:val="0"/>
                <w:sz w:val="24"/>
                <w:szCs w:val="24"/>
              </w:rPr>
              <w:t>年修正）第六十四条。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23</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对消防安全重点单位及公安派出所监督检查单位以外其他单位或者个人在高层民用建筑的公共门厅、疏散走道、楼梯间、安全出口停放电动自行车或者为电动自行车充电，拒不改正的处罚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《高层民用建筑消防安全管理规定》（</w:t>
            </w:r>
            <w:r>
              <w:rPr>
                <w:rFonts w:hint="eastAsia"/>
                <w:sz w:val="24"/>
                <w:szCs w:val="24"/>
              </w:rPr>
              <w:t>2021</w:t>
            </w:r>
            <w:r>
              <w:rPr>
                <w:rFonts w:hint="eastAsia" w:ascii="方正仿宋_GBK" w:hAnsi="方正仿宋_GBK" w:cs="方正仿宋_GBK"/>
                <w:kern w:val="0"/>
                <w:sz w:val="24"/>
                <w:szCs w:val="24"/>
              </w:rPr>
              <w:t>年施行）第四十七条第七项。</w:t>
            </w:r>
          </w:p>
        </w:tc>
        <w:tc>
          <w:tcPr>
            <w:tcW w:w="1220" w:type="dxa"/>
            <w:vAlign w:val="center"/>
          </w:tcPr>
          <w:p>
            <w:pPr>
              <w:widowControl/>
              <w:adjustRightInd w:val="0"/>
              <w:snapToGrid w:val="0"/>
              <w:spacing w:line="32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034"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24</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消防安全重点单位及公安派出所监督检查单位以外其他单位或者个人生产、储存、经营易燃易爆危险品的场所与居住场所设置在同一建筑物内，或者未与居住场所保持安全距离的，以及生产、储存、经营其他物品的场所与居住场所设置在同一建筑物内，不符合消防技术标准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县消防救援机构</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w:t>
            </w:r>
            <w:r>
              <w:rPr>
                <w:rStyle w:val="9"/>
                <w:color w:val="auto"/>
                <w:sz w:val="24"/>
                <w:szCs w:val="24"/>
              </w:rPr>
              <w:t>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年修正）第六十一条。</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25</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bCs/>
                <w:kern w:val="0"/>
                <w:sz w:val="24"/>
                <w:szCs w:val="24"/>
              </w:rPr>
              <w:t>对</w:t>
            </w:r>
            <w:r>
              <w:rPr>
                <w:rStyle w:val="12"/>
                <w:bCs/>
                <w:color w:val="auto"/>
                <w:sz w:val="24"/>
                <w:szCs w:val="24"/>
              </w:rPr>
              <w:t>违反《中华人民共和国反食品浪费法》规定，</w:t>
            </w:r>
            <w:r>
              <w:rPr>
                <w:rFonts w:hint="eastAsia" w:ascii="方正仿宋_GBK" w:hAnsi="方正仿宋_GBK" w:cs="方正仿宋_GBK"/>
                <w:kern w:val="0"/>
                <w:sz w:val="24"/>
                <w:szCs w:val="24"/>
              </w:rPr>
              <w:t>餐饮服务经营者未主动对消费者进行防止食品浪费提示提醒的处罚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县市场监管部门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《中华人民共和国反食品浪费法》（</w:t>
            </w:r>
            <w:r>
              <w:rPr>
                <w:rFonts w:hint="eastAsia"/>
                <w:sz w:val="24"/>
                <w:szCs w:val="24"/>
              </w:rPr>
              <w:t>2021</w:t>
            </w:r>
            <w:r>
              <w:rPr>
                <w:rFonts w:hint="eastAsia" w:ascii="方正仿宋_GBK" w:hAnsi="方正仿宋_GBK" w:cs="方正仿宋_GBK"/>
                <w:kern w:val="0"/>
                <w:sz w:val="24"/>
                <w:szCs w:val="24"/>
              </w:rPr>
              <w:t>年施行）第二十八条第一款。</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26</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bCs/>
                <w:w w:val="90"/>
                <w:kern w:val="0"/>
                <w:sz w:val="24"/>
                <w:szCs w:val="24"/>
              </w:rPr>
              <w:t>对</w:t>
            </w:r>
            <w:r>
              <w:rPr>
                <w:rStyle w:val="12"/>
                <w:bCs/>
                <w:color w:val="auto"/>
                <w:w w:val="90"/>
                <w:sz w:val="24"/>
                <w:szCs w:val="24"/>
              </w:rPr>
              <w:t>违反《中华人民共和国反食品浪费法》规定，</w:t>
            </w:r>
            <w:r>
              <w:rPr>
                <w:rStyle w:val="9"/>
                <w:bCs/>
                <w:color w:val="auto"/>
                <w:w w:val="90"/>
                <w:sz w:val="24"/>
                <w:szCs w:val="24"/>
              </w:rPr>
              <w:t>食品生产经营者在食品生产经营过程中造成严重食品浪费的处罚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县市场监管部门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《中华人民共和国反食品浪费法》（</w:t>
            </w:r>
            <w:r>
              <w:rPr>
                <w:rFonts w:hint="eastAsia"/>
                <w:sz w:val="24"/>
                <w:szCs w:val="24"/>
              </w:rPr>
              <w:t>2021</w:t>
            </w:r>
            <w:r>
              <w:rPr>
                <w:rFonts w:hint="eastAsia" w:ascii="方正仿宋_GBK" w:hAnsi="方正仿宋_GBK" w:cs="方正仿宋_GBK"/>
                <w:kern w:val="0"/>
                <w:sz w:val="24"/>
                <w:szCs w:val="24"/>
              </w:rPr>
              <w:t>年施行）第二十八条第三款。</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27</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对制造、销售封建迷信殡葬用品的处罚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县民政部门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《殡葬管理条例》（</w:t>
            </w:r>
            <w:r>
              <w:rPr>
                <w:rFonts w:hint="eastAsia"/>
                <w:sz w:val="24"/>
                <w:szCs w:val="24"/>
              </w:rPr>
              <w:t>2012</w:t>
            </w:r>
            <w:r>
              <w:rPr>
                <w:rFonts w:hint="eastAsia" w:ascii="方正仿宋_GBK" w:hAnsi="方正仿宋_GBK" w:cs="方正仿宋_GBK"/>
                <w:kern w:val="0"/>
                <w:sz w:val="24"/>
                <w:szCs w:val="24"/>
              </w:rPr>
              <w:t>年修订）第二十二条第二款；《重庆市殡葬管理条例》（</w:t>
            </w:r>
            <w:r>
              <w:rPr>
                <w:rFonts w:hint="eastAsia"/>
                <w:sz w:val="24"/>
                <w:szCs w:val="24"/>
              </w:rPr>
              <w:t>2022</w:t>
            </w:r>
            <w:r>
              <w:rPr>
                <w:rFonts w:hint="eastAsia" w:ascii="方正仿宋_GBK" w:hAnsi="方正仿宋_GBK" w:cs="方正仿宋_GBK"/>
                <w:kern w:val="0"/>
                <w:sz w:val="24"/>
                <w:szCs w:val="24"/>
              </w:rPr>
              <w:t>年修正）第二十六条第二款。</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textAlignment w:val="center"/>
              <w:rPr>
                <w:rFonts w:eastAsia="方正黑体_GBK" w:cs="方正黑体_GBK"/>
                <w:kern w:val="0"/>
                <w:sz w:val="24"/>
                <w:szCs w:val="24"/>
              </w:rPr>
            </w:pPr>
            <w:r>
              <w:rPr>
                <w:rFonts w:hint="eastAsia"/>
                <w:sz w:val="24"/>
                <w:szCs w:val="24"/>
              </w:rPr>
              <w:t>28</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对殡仪馆、殡仪服务站以外的单位和个人从事经营性殡葬服务活动的处罚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县民政部门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w w:val="90"/>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《重庆市殡葬管理条例》（</w:t>
            </w:r>
            <w:r>
              <w:rPr>
                <w:rFonts w:hint="eastAsia"/>
                <w:sz w:val="24"/>
                <w:szCs w:val="24"/>
              </w:rPr>
              <w:t>2022</w:t>
            </w:r>
            <w:r>
              <w:rPr>
                <w:rFonts w:hint="eastAsia" w:ascii="方正仿宋_GBK" w:hAnsi="方正仿宋_GBK" w:cs="方正仿宋_GBK"/>
                <w:kern w:val="0"/>
                <w:sz w:val="24"/>
                <w:szCs w:val="24"/>
              </w:rPr>
              <w:t>年修正）第二十五条。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textAlignment w:val="center"/>
              <w:rPr>
                <w:rFonts w:eastAsia="方正黑体_GBK" w:cs="方正黑体_GBK"/>
                <w:kern w:val="0"/>
                <w:sz w:val="24"/>
                <w:szCs w:val="24"/>
              </w:rPr>
            </w:pPr>
            <w:r>
              <w:rPr>
                <w:rFonts w:hint="eastAsia"/>
                <w:sz w:val="24"/>
                <w:szCs w:val="24"/>
              </w:rPr>
              <w:t>29</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对擅自设置、移动、涂改或者损毁历史文化街区、名镇、名村、传统风貌区和历史建筑标志牌的处罚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县规划自然资源部门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《历史文化名城名镇名村保护条例》（2017年修订）第四十五条；《重庆市历史文化名城名镇名村保护条例》（2018年施行）第六十三条。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textAlignment w:val="center"/>
              <w:rPr>
                <w:rFonts w:eastAsia="方正黑体_GBK" w:cs="方正黑体_GBK"/>
                <w:kern w:val="0"/>
                <w:sz w:val="24"/>
                <w:szCs w:val="24"/>
              </w:rPr>
            </w:pPr>
            <w:r>
              <w:rPr>
                <w:rFonts w:hint="eastAsia"/>
                <w:sz w:val="24"/>
                <w:szCs w:val="24"/>
              </w:rPr>
              <w:t>30</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w:t>
            </w:r>
            <w:r>
              <w:rPr>
                <w:rStyle w:val="12"/>
                <w:color w:val="auto"/>
                <w:sz w:val="24"/>
                <w:szCs w:val="24"/>
              </w:rPr>
              <w:t>违反《基本农田保护条例》规定，</w:t>
            </w:r>
            <w:r>
              <w:rPr>
                <w:rStyle w:val="9"/>
                <w:color w:val="auto"/>
                <w:sz w:val="24"/>
                <w:szCs w:val="24"/>
              </w:rPr>
              <w:t>破坏或者擅自改变基本农田保护区标志的处罚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县规划自然资源部门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《基本农田保护条例》（</w:t>
            </w:r>
            <w:r>
              <w:rPr>
                <w:rFonts w:hint="eastAsia"/>
                <w:sz w:val="24"/>
                <w:szCs w:val="24"/>
              </w:rPr>
              <w:t>2011</w:t>
            </w:r>
            <w:r>
              <w:rPr>
                <w:rFonts w:hint="eastAsia" w:ascii="方正仿宋_GBK" w:hAnsi="方正仿宋_GBK" w:cs="方正仿宋_GBK"/>
                <w:kern w:val="0"/>
                <w:sz w:val="24"/>
                <w:szCs w:val="24"/>
              </w:rPr>
              <w:t>年修订）第三十二条。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textAlignment w:val="center"/>
              <w:rPr>
                <w:rFonts w:eastAsia="方正黑体_GBK" w:cs="方正黑体_GBK"/>
                <w:kern w:val="0"/>
                <w:sz w:val="24"/>
                <w:szCs w:val="24"/>
              </w:rPr>
            </w:pPr>
            <w:r>
              <w:rPr>
                <w:rFonts w:hint="eastAsia"/>
                <w:sz w:val="24"/>
                <w:szCs w:val="24"/>
              </w:rPr>
              <w:t>31</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w:t>
            </w:r>
            <w:r>
              <w:rPr>
                <w:rStyle w:val="12"/>
                <w:color w:val="auto"/>
                <w:sz w:val="24"/>
                <w:szCs w:val="24"/>
              </w:rPr>
              <w:t>违反《历史文化名城名镇名村保护条例》规定，</w:t>
            </w:r>
            <w:r>
              <w:rPr>
                <w:rStyle w:val="9"/>
                <w:color w:val="auto"/>
                <w:sz w:val="24"/>
                <w:szCs w:val="24"/>
              </w:rPr>
              <w:t>在历史建筑上刻划、涂污的处罚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县规划自然资源部门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《历史文化名城名镇名村保护条例》（</w:t>
            </w:r>
            <w:r>
              <w:rPr>
                <w:rFonts w:hint="eastAsia"/>
                <w:sz w:val="24"/>
                <w:szCs w:val="24"/>
              </w:rPr>
              <w:t>2017</w:t>
            </w:r>
            <w:r>
              <w:rPr>
                <w:rFonts w:hint="eastAsia" w:ascii="方正仿宋_GBK" w:hAnsi="方正仿宋_GBK" w:cs="方正仿宋_GBK"/>
                <w:kern w:val="0"/>
                <w:sz w:val="24"/>
                <w:szCs w:val="24"/>
              </w:rPr>
              <w:t>年修订）第四十二条。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textAlignment w:val="center"/>
              <w:rPr>
                <w:rFonts w:eastAsia="方正黑体_GBK" w:cs="方正黑体_GBK"/>
                <w:kern w:val="0"/>
                <w:sz w:val="24"/>
                <w:szCs w:val="24"/>
              </w:rPr>
            </w:pPr>
            <w:r>
              <w:rPr>
                <w:rFonts w:hint="eastAsia"/>
                <w:sz w:val="24"/>
                <w:szCs w:val="24"/>
              </w:rPr>
              <w:t>32</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对养殖专业户未实行雨污分流，未建设相应的畜禽粪便、污水贮存设施，未及时对畜禽粪便、污水进行收集、贮存、处理的处罚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县生态环境部门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《重庆市水污染防治条例》（</w:t>
            </w:r>
            <w:r>
              <w:rPr>
                <w:rFonts w:hint="eastAsia"/>
                <w:sz w:val="24"/>
                <w:szCs w:val="24"/>
              </w:rPr>
              <w:t>2020</w:t>
            </w:r>
            <w:r>
              <w:rPr>
                <w:rFonts w:hint="eastAsia" w:ascii="方正仿宋_GBK" w:hAnsi="方正仿宋_GBK" w:cs="方正仿宋_GBK"/>
                <w:kern w:val="0"/>
                <w:sz w:val="24"/>
                <w:szCs w:val="24"/>
              </w:rPr>
              <w:t>年施行）第七十一条。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33</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对《重庆市水污染防治条例》第七十条</w:t>
            </w:r>
            <w:r>
              <w:rPr>
                <w:rStyle w:val="10"/>
                <w:b w:val="0"/>
                <w:bCs/>
                <w:color w:val="auto"/>
                <w:sz w:val="24"/>
                <w:szCs w:val="24"/>
              </w:rPr>
              <w:t>规定情形</w:t>
            </w:r>
            <w:r>
              <w:rPr>
                <w:rStyle w:val="9"/>
                <w:color w:val="auto"/>
                <w:sz w:val="24"/>
                <w:szCs w:val="24"/>
              </w:rPr>
              <w:t>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县生态环境部门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《重庆市水污染防治条例》（</w:t>
            </w:r>
            <w:r>
              <w:rPr>
                <w:rFonts w:hint="eastAsia"/>
                <w:kern w:val="0"/>
                <w:sz w:val="24"/>
                <w:szCs w:val="24"/>
              </w:rPr>
              <w:t>2020</w:t>
            </w:r>
            <w:r>
              <w:rPr>
                <w:rFonts w:hint="eastAsia" w:ascii="方正仿宋_GBK" w:hAnsi="方正仿宋_GBK" w:cs="方正仿宋_GBK"/>
                <w:kern w:val="0"/>
                <w:sz w:val="24"/>
                <w:szCs w:val="24"/>
              </w:rPr>
              <w:t>年施行）第七十条。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718"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34</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对干洗、机动车维修未设置废气污染防治设施并保持正常使用，影响周边环境的处罚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县生态环境部门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年修正）第一百二十条。</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894"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35</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对损毁、涂改或者擅自移动饮用水水源保护区的地理界标或者警示标志，或者损毁、擅自移动视频监控、事故应急防护工程设施行为的处罚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县生态环境部门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《重庆市水污染防治条例》（</w:t>
            </w:r>
            <w:r>
              <w:rPr>
                <w:rFonts w:hint="eastAsia"/>
                <w:kern w:val="0"/>
                <w:sz w:val="24"/>
                <w:szCs w:val="24"/>
              </w:rPr>
              <w:t>2020</w:t>
            </w:r>
            <w:r>
              <w:rPr>
                <w:rFonts w:hint="eastAsia" w:ascii="方正仿宋_GBK" w:hAnsi="方正仿宋_GBK" w:cs="方正仿宋_GBK"/>
                <w:kern w:val="0"/>
                <w:sz w:val="24"/>
                <w:szCs w:val="24"/>
              </w:rPr>
              <w:t>年施行）第六十八条。</w:t>
            </w:r>
          </w:p>
        </w:tc>
        <w:tc>
          <w:tcPr>
            <w:tcW w:w="1220" w:type="dxa"/>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36</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w:t>
            </w:r>
            <w:r>
              <w:rPr>
                <w:rStyle w:val="9"/>
                <w:color w:val="auto"/>
                <w:sz w:val="24"/>
                <w:szCs w:val="24"/>
              </w:rPr>
              <w:t>《中华人民共和国大气污染防治法》第一百一十五条第一款</w:t>
            </w:r>
            <w:r>
              <w:rPr>
                <w:rStyle w:val="10"/>
                <w:b w:val="0"/>
                <w:color w:val="auto"/>
                <w:sz w:val="24"/>
                <w:szCs w:val="24"/>
              </w:rPr>
              <w:t>规定情形</w:t>
            </w:r>
            <w:r>
              <w:rPr>
                <w:rStyle w:val="9"/>
                <w:color w:val="auto"/>
                <w:sz w:val="24"/>
                <w:szCs w:val="24"/>
              </w:rPr>
              <w:t>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县住房城乡建设部门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年修正）第一百一十五条第一款。</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37</w:t>
            </w:r>
          </w:p>
        </w:tc>
        <w:tc>
          <w:tcPr>
            <w:tcW w:w="2606" w:type="dxa"/>
            <w:gridSpan w:val="2"/>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对在主、次干道建筑物顶部、平台堆放影响市容的物品、在建筑物临街面超出建筑物墙体设置防护网或吊挂物品，设置遮阳伞、篷盖的处罚</w:t>
            </w:r>
          </w:p>
        </w:tc>
        <w:tc>
          <w:tcPr>
            <w:tcW w:w="1184" w:type="dxa"/>
            <w:gridSpan w:val="3"/>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县城市管理部门</w:t>
            </w:r>
          </w:p>
        </w:tc>
        <w:tc>
          <w:tcPr>
            <w:tcW w:w="1695" w:type="dxa"/>
            <w:gridSpan w:val="3"/>
            <w:shd w:val="clear" w:color="auto" w:fill="auto"/>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年修正）第三十一条。</w:t>
            </w:r>
          </w:p>
        </w:tc>
        <w:tc>
          <w:tcPr>
            <w:tcW w:w="1220" w:type="dxa"/>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38</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对擅自在路内停车位内设置地桩、地锁等障碍物或者以其他方式侵占路内停车设施影响路内停车设施的正常使用的处罚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《重庆市停车场管理办法》（</w:t>
            </w:r>
            <w:r>
              <w:rPr>
                <w:rFonts w:hint="eastAsia"/>
                <w:kern w:val="0"/>
                <w:sz w:val="24"/>
                <w:szCs w:val="24"/>
              </w:rPr>
              <w:t>2020</w:t>
            </w:r>
            <w:r>
              <w:rPr>
                <w:rFonts w:hint="eastAsia" w:ascii="方正仿宋_GBK" w:hAnsi="方正仿宋_GBK" w:cs="方正仿宋_GBK"/>
                <w:kern w:val="0"/>
                <w:sz w:val="24"/>
                <w:szCs w:val="24"/>
              </w:rPr>
              <w:t>年修正）第二十五条第一项。</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39</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对违反《重庆市市政设施管理条例》第五十二条</w:t>
            </w:r>
            <w:r>
              <w:rPr>
                <w:rStyle w:val="10"/>
                <w:b w:val="0"/>
                <w:bCs/>
                <w:color w:val="auto"/>
                <w:sz w:val="24"/>
                <w:szCs w:val="24"/>
              </w:rPr>
              <w:t>规定情形</w:t>
            </w:r>
            <w:r>
              <w:rPr>
                <w:rStyle w:val="9"/>
                <w:color w:val="auto"/>
                <w:sz w:val="24"/>
                <w:szCs w:val="24"/>
              </w:rPr>
              <w:t>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年修正）第六十七条第二款第五项。</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59"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40</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对在主、次干道上清洗机动车辆的处罚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年修正）第五十七条。</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59"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41</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对在建筑物平街层外墙安装的空调、排气扇，其底部未高于人行道路面二米的处罚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《重庆市市容环境卫生管理条例》（</w:t>
            </w:r>
            <w:r>
              <w:rPr>
                <w:kern w:val="0"/>
                <w:sz w:val="24"/>
                <w:szCs w:val="24"/>
              </w:rPr>
              <w:t>2018</w:t>
            </w:r>
            <w:r>
              <w:rPr>
                <w:rFonts w:hint="eastAsia" w:ascii="方正仿宋_GBK" w:hAnsi="方正仿宋_GBK" w:cs="方正仿宋_GBK"/>
                <w:kern w:val="0"/>
                <w:sz w:val="24"/>
                <w:szCs w:val="24"/>
              </w:rPr>
              <w:t>年修正）第三十条。</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42</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对在主、次干道两侧的建筑物前修建封闭式隔离设施的处罚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年修正）第三十二条。</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60" w:lineRule="exact"/>
              <w:jc w:val="center"/>
              <w:rPr>
                <w:rFonts w:eastAsia="方正黑体_GBK" w:cs="方正黑体_GBK"/>
                <w:kern w:val="0"/>
                <w:sz w:val="24"/>
                <w:szCs w:val="24"/>
              </w:rPr>
            </w:pPr>
            <w:r>
              <w:rPr>
                <w:rFonts w:hint="eastAsia"/>
                <w:sz w:val="24"/>
                <w:szCs w:val="24"/>
              </w:rPr>
              <w:t>43</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对在主、次干道以外的其他地区的建筑物，设置遮阳伞或篷盖违反设置标准，并未保持整洁、美观的处罚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年修正）第三十三条。</w:t>
            </w:r>
          </w:p>
        </w:tc>
        <w:tc>
          <w:tcPr>
            <w:tcW w:w="1220" w:type="dxa"/>
            <w:vAlign w:val="center"/>
          </w:tcPr>
          <w:p>
            <w:pPr>
              <w:widowControl/>
              <w:adjustRightInd w:val="0"/>
              <w:snapToGrid w:val="0"/>
              <w:spacing w:line="34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44</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对机关、团体、部队、院校、企事业单位和其他组织及个体工商户名称、字号、标志等牌匾和标识有污损、残缺的处罚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年修正）第三十七条。</w:t>
            </w:r>
          </w:p>
        </w:tc>
        <w:tc>
          <w:tcPr>
            <w:tcW w:w="1220" w:type="dxa"/>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45</w:t>
            </w:r>
          </w:p>
        </w:tc>
        <w:tc>
          <w:tcPr>
            <w:tcW w:w="2606" w:type="dxa"/>
            <w:gridSpan w:val="2"/>
            <w:shd w:val="clear" w:color="auto" w:fill="FFFFFF"/>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对广告经营者未保持充气式装置整洁美观，出现破损残缺的处罚</w:t>
            </w:r>
          </w:p>
        </w:tc>
        <w:tc>
          <w:tcPr>
            <w:tcW w:w="1184" w:type="dxa"/>
            <w:gridSpan w:val="3"/>
            <w:shd w:val="clear" w:color="auto" w:fill="FFFFFF"/>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县城市管理部门</w:t>
            </w:r>
          </w:p>
        </w:tc>
        <w:tc>
          <w:tcPr>
            <w:tcW w:w="1695" w:type="dxa"/>
            <w:gridSpan w:val="3"/>
            <w:shd w:val="clear" w:color="auto" w:fill="auto"/>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年修正）第三十八条第三款。</w:t>
            </w:r>
          </w:p>
        </w:tc>
        <w:tc>
          <w:tcPr>
            <w:tcW w:w="1220" w:type="dxa"/>
            <w:shd w:val="clear" w:color="auto" w:fill="FFFFFF"/>
            <w:vAlign w:val="center"/>
          </w:tcPr>
          <w:p>
            <w:pPr>
              <w:widowControl/>
              <w:adjustRightInd w:val="0"/>
              <w:snapToGrid w:val="0"/>
              <w:spacing w:line="380" w:lineRule="exact"/>
              <w:textAlignment w:val="center"/>
            </w:pPr>
            <w:r>
              <w:rPr>
                <w:rFonts w:hint="eastAsia" w:ascii="方正仿宋_GBK" w:hAnsi="方正仿宋_GBK" w:cs="方正仿宋_GBK"/>
                <w:sz w:val="24"/>
                <w:szCs w:val="24"/>
              </w:rPr>
              <w:t>各乡镇人民政府、街道办事处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44"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46</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对违反《重庆市停车场管理办法》第二十二条第一项、第五项、第六项的处罚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《重庆市停车场管理办法》（</w:t>
            </w:r>
            <w:r>
              <w:rPr>
                <w:rFonts w:hint="eastAsia"/>
                <w:kern w:val="0"/>
                <w:sz w:val="24"/>
                <w:szCs w:val="24"/>
              </w:rPr>
              <w:t>2020</w:t>
            </w:r>
            <w:r>
              <w:rPr>
                <w:rFonts w:hint="eastAsia" w:ascii="方正仿宋_GBK" w:hAnsi="方正仿宋_GBK" w:cs="方正仿宋_GBK"/>
                <w:kern w:val="0"/>
                <w:sz w:val="24"/>
                <w:szCs w:val="24"/>
              </w:rPr>
              <w:t>年修正）第二十五条第二项。</w:t>
            </w:r>
          </w:p>
        </w:tc>
        <w:tc>
          <w:tcPr>
            <w:tcW w:w="1220" w:type="dxa"/>
            <w:vAlign w:val="center"/>
          </w:tcPr>
          <w:p>
            <w:pPr>
              <w:widowControl/>
              <w:adjustRightInd w:val="0"/>
              <w:snapToGrid w:val="0"/>
              <w:spacing w:line="38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47</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对违反《重庆市市政设施管理条例》第二十一条的处罚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年修正）第六十七条第一款，第二款第一项、第四项、第五项。</w:t>
            </w:r>
          </w:p>
        </w:tc>
        <w:tc>
          <w:tcPr>
            <w:tcW w:w="1220" w:type="dxa"/>
            <w:vAlign w:val="center"/>
          </w:tcPr>
          <w:p>
            <w:pPr>
              <w:widowControl/>
              <w:adjustRightInd w:val="0"/>
              <w:snapToGrid w:val="0"/>
              <w:spacing w:line="38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48</w:t>
            </w:r>
          </w:p>
        </w:tc>
        <w:tc>
          <w:tcPr>
            <w:tcW w:w="2606" w:type="dxa"/>
            <w:gridSpan w:val="2"/>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对违反《重庆市市政设施管理条例》第四十五条第一款的处罚</w:t>
            </w:r>
          </w:p>
        </w:tc>
        <w:tc>
          <w:tcPr>
            <w:tcW w:w="1184"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80" w:lineRule="exact"/>
              <w:textAlignment w:val="cente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年修正）第六十七条第二款第六项。</w:t>
            </w:r>
          </w:p>
        </w:tc>
        <w:tc>
          <w:tcPr>
            <w:tcW w:w="1220" w:type="dxa"/>
            <w:vAlign w:val="center"/>
          </w:tcPr>
          <w:p>
            <w:pPr>
              <w:widowControl/>
              <w:adjustRightInd w:val="0"/>
              <w:snapToGrid w:val="0"/>
              <w:spacing w:line="38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49</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spacing w:val="-17"/>
                <w:kern w:val="0"/>
                <w:sz w:val="24"/>
                <w:szCs w:val="24"/>
              </w:rPr>
              <w:t>对违反《重庆市市政设施管理条例》第四十九条第一款的处罚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年修正）第六十七条第二款第六项。</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50</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对井盖等附属设施出现破损、移位或者丢失，有关产权单位或者其委托的管理单位未及时修复、正位或者补缺的处罚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年修正）第六十八条。</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04"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51</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对废品收购、堆放场所未对废品围挡、遮盖或者在居民社区、公共场所堆放、晾晒、焚烧废品污染周围环境的处罚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《重庆市市容环境卫生管理条例》（</w:t>
            </w:r>
            <w:r>
              <w:rPr>
                <w:kern w:val="0"/>
                <w:sz w:val="24"/>
                <w:szCs w:val="24"/>
              </w:rPr>
              <w:t>2018</w:t>
            </w:r>
            <w:r>
              <w:rPr>
                <w:rFonts w:hint="eastAsia" w:ascii="方正仿宋_GBK" w:hAnsi="方正仿宋_GBK" w:cs="方正仿宋_GBK"/>
                <w:kern w:val="0"/>
                <w:sz w:val="24"/>
                <w:szCs w:val="24"/>
              </w:rPr>
              <w:t>年修正）第六十一条。</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52</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食品摊贩未按照规定办理备案手续、未在经营场所显著位置公示备案卡的处罚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《重庆市食品生产加工小作坊和食品摊贩管理条例》（</w:t>
            </w:r>
            <w:r>
              <w:rPr>
                <w:rFonts w:hint="eastAsia"/>
                <w:sz w:val="24"/>
                <w:szCs w:val="24"/>
              </w:rPr>
              <w:t>2017</w:t>
            </w:r>
            <w:r>
              <w:rPr>
                <w:rFonts w:hint="eastAsia" w:ascii="方正仿宋_GBK" w:hAnsi="方正仿宋_GBK" w:cs="方正仿宋_GBK"/>
                <w:kern w:val="0"/>
                <w:sz w:val="24"/>
                <w:szCs w:val="24"/>
              </w:rPr>
              <w:t>年施行）第五十条第一款、第五十二条。</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79"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53</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对在禁止的时段和区域内露天烧烤食品或者为露天烧烤食品提供场地的处罚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《中华人民共和国大气污染防治法》（</w:t>
            </w:r>
            <w:r>
              <w:rPr>
                <w:rFonts w:hint="eastAsia"/>
                <w:sz w:val="24"/>
                <w:szCs w:val="24"/>
              </w:rPr>
              <w:t>2018</w:t>
            </w:r>
            <w:r>
              <w:rPr>
                <w:rFonts w:hint="eastAsia" w:ascii="方正仿宋_GBK" w:hAnsi="方正仿宋_GBK" w:cs="方正仿宋_GBK"/>
                <w:kern w:val="0"/>
                <w:sz w:val="24"/>
                <w:szCs w:val="24"/>
              </w:rPr>
              <w:t>年修正）第一百一十八条第三款。</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54</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对在城市建成区、人口集中区域露天焚烧树叶、枯草、垃圾的处罚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年修正）第一百一十九条第一款；《重庆市大气污染防治条例》（</w:t>
            </w:r>
            <w:r>
              <w:rPr>
                <w:rFonts w:hint="eastAsia"/>
                <w:kern w:val="0"/>
                <w:sz w:val="24"/>
                <w:szCs w:val="24"/>
              </w:rPr>
              <w:t>2021</w:t>
            </w:r>
            <w:r>
              <w:rPr>
                <w:rFonts w:hint="eastAsia" w:ascii="方正仿宋_GBK" w:hAnsi="方正仿宋_GBK" w:cs="方正仿宋_GBK"/>
                <w:kern w:val="0"/>
                <w:sz w:val="24"/>
                <w:szCs w:val="24"/>
              </w:rPr>
              <w:t>年修正）第九十条第一款。</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55</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对在城市河道弃置、倾倒矿渣、石渣、煤灰、泥土、垃圾等废弃物的处罚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县城市管理部门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《重庆市河道管理条例》（</w:t>
            </w:r>
            <w:r>
              <w:rPr>
                <w:rFonts w:hint="eastAsia"/>
                <w:sz w:val="24"/>
                <w:szCs w:val="24"/>
              </w:rPr>
              <w:t>2022</w:t>
            </w:r>
            <w:r>
              <w:rPr>
                <w:rFonts w:hint="eastAsia" w:ascii="方正仿宋_GBK" w:hAnsi="方正仿宋_GBK" w:cs="方正仿宋_GBK"/>
                <w:kern w:val="0"/>
                <w:sz w:val="24"/>
                <w:szCs w:val="24"/>
              </w:rPr>
              <w:t>年修正）第三十八条。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56</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对违反乡道公路建筑控制区管理规定的处罚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spacing w:val="-6"/>
                <w:w w:val="80"/>
                <w:kern w:val="0"/>
                <w:sz w:val="24"/>
                <w:szCs w:val="24"/>
              </w:rPr>
              <w:t>县交通部门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年修正）第八十一条；《公路安全保护条例》（</w:t>
            </w:r>
            <w:r>
              <w:rPr>
                <w:rFonts w:hint="eastAsia"/>
                <w:sz w:val="24"/>
                <w:szCs w:val="24"/>
              </w:rPr>
              <w:t>2011</w:t>
            </w:r>
            <w:r>
              <w:rPr>
                <w:rFonts w:hint="eastAsia" w:ascii="方正仿宋_GBK" w:hAnsi="方正仿宋_GBK" w:cs="方正仿宋_GBK"/>
                <w:kern w:val="0"/>
                <w:sz w:val="24"/>
                <w:szCs w:val="24"/>
              </w:rPr>
              <w:t>年施行）第五十六条。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57</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对在乡道公路用地范围内设置公路标志以外的其他标志的处罚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spacing w:val="-6"/>
                <w:w w:val="80"/>
                <w:kern w:val="0"/>
                <w:sz w:val="24"/>
                <w:szCs w:val="24"/>
              </w:rPr>
              <w:t>县交通部门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年修正）第七十九条。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58</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对未经批准在乡道上增设平面交叉道口的处罚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spacing w:val="-6"/>
                <w:w w:val="80"/>
                <w:kern w:val="0"/>
                <w:sz w:val="24"/>
                <w:szCs w:val="24"/>
              </w:rPr>
              <w:t>县交通部门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年修正）第八十条。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59</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对未经许可在乡道上进行涉路施工活动的处罚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spacing w:val="-6"/>
                <w:w w:val="80"/>
                <w:kern w:val="0"/>
                <w:sz w:val="24"/>
                <w:szCs w:val="24"/>
              </w:rPr>
              <w:t>县交通部门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《公路安全保护条例》（</w:t>
            </w:r>
            <w:r>
              <w:rPr>
                <w:rFonts w:hint="eastAsia"/>
                <w:sz w:val="24"/>
                <w:szCs w:val="24"/>
              </w:rPr>
              <w:t>2011</w:t>
            </w:r>
            <w:r>
              <w:rPr>
                <w:rFonts w:hint="eastAsia" w:ascii="方正仿宋_GBK" w:hAnsi="方正仿宋_GBK" w:cs="方正仿宋_GBK"/>
                <w:kern w:val="0"/>
                <w:sz w:val="24"/>
                <w:szCs w:val="24"/>
              </w:rPr>
              <w:t>年施行）第六十二条。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39"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60</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对未经批准更新采伐乡道护路林的处罚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spacing w:val="-6"/>
                <w:w w:val="80"/>
                <w:kern w:val="0"/>
                <w:sz w:val="24"/>
                <w:szCs w:val="24"/>
              </w:rPr>
              <w:t>县交通部门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《公路安全保护条例》（</w:t>
            </w:r>
            <w:r>
              <w:rPr>
                <w:rFonts w:hint="eastAsia"/>
                <w:sz w:val="24"/>
                <w:szCs w:val="24"/>
              </w:rPr>
              <w:t>2011</w:t>
            </w:r>
            <w:r>
              <w:rPr>
                <w:rFonts w:hint="eastAsia" w:ascii="方正仿宋_GBK" w:hAnsi="方正仿宋_GBK" w:cs="方正仿宋_GBK"/>
                <w:kern w:val="0"/>
                <w:sz w:val="24"/>
                <w:szCs w:val="24"/>
              </w:rPr>
              <w:t>年施行）第六十一条。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61</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对在林区采伐林木不依法采取防止水土流失措施的处罚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w w:val="80"/>
                <w:kern w:val="0"/>
                <w:sz w:val="24"/>
                <w:szCs w:val="24"/>
              </w:rPr>
              <w:t>县水利部门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《中华人民共和国水土保持法》（</w:t>
            </w:r>
            <w:r>
              <w:rPr>
                <w:rFonts w:hint="eastAsia"/>
                <w:sz w:val="24"/>
                <w:szCs w:val="24"/>
              </w:rPr>
              <w:t>2010</w:t>
            </w:r>
            <w:r>
              <w:rPr>
                <w:rFonts w:hint="eastAsia" w:ascii="方正仿宋_GBK" w:hAnsi="方正仿宋_GBK" w:cs="方正仿宋_GBK"/>
                <w:kern w:val="0"/>
                <w:sz w:val="24"/>
                <w:szCs w:val="24"/>
              </w:rPr>
              <w:t>年修订）第五十二条。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62</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对使用拖拉机、联合收割机违反规定载人的处罚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县农业农村部门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年修订）第五十四条。</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63</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184" w:type="dxa"/>
            <w:gridSpan w:val="3"/>
            <w:vAlign w:val="center"/>
          </w:tcPr>
          <w:p>
            <w:pPr>
              <w:widowControl/>
              <w:adjustRightInd w:val="0"/>
              <w:snapToGrid w:val="0"/>
              <w:spacing w:line="340" w:lineRule="atLeast"/>
              <w:textAlignment w:val="center"/>
            </w:pPr>
            <w:r>
              <w:rPr>
                <w:rFonts w:hint="eastAsia" w:ascii="方正仿宋_GBK" w:hAnsi="方正仿宋_GBK" w:cs="方正仿宋_GBK"/>
                <w:kern w:val="0"/>
                <w:sz w:val="24"/>
                <w:szCs w:val="24"/>
              </w:rPr>
              <w:t>县农业农村部门</w:t>
            </w:r>
          </w:p>
        </w:tc>
        <w:tc>
          <w:tcPr>
            <w:tcW w:w="1695" w:type="dxa"/>
            <w:gridSpan w:val="3"/>
            <w:vAlign w:val="center"/>
          </w:tcPr>
          <w:p>
            <w:pPr>
              <w:widowControl/>
              <w:adjustRightInd w:val="0"/>
              <w:snapToGrid w:val="0"/>
              <w:spacing w:line="340" w:lineRule="atLeast"/>
              <w:textAlignment w:val="center"/>
            </w:pPr>
            <w:r>
              <w:rPr>
                <w:rFonts w:hint="eastAsia" w:ascii="方正仿宋_GBK" w:hAnsi="方正仿宋_GBK" w:cs="方正仿宋_GBK"/>
                <w:kern w:val="0"/>
                <w:sz w:val="24"/>
                <w:szCs w:val="24"/>
              </w:rPr>
              <w:t>行政处罚权（吊销许可证件除外）以及与其行政处罚权有关的行政检查、行政强制措施</w:t>
            </w:r>
          </w:p>
        </w:tc>
        <w:tc>
          <w:tcPr>
            <w:tcW w:w="2415" w:type="dxa"/>
            <w:gridSpan w:val="4"/>
            <w:vAlign w:val="center"/>
          </w:tcPr>
          <w:p>
            <w:pPr>
              <w:widowControl/>
              <w:adjustRightInd w:val="0"/>
              <w:snapToGrid w:val="0"/>
              <w:spacing w:line="340" w:lineRule="atLeast"/>
              <w:textAlignment w:val="cente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年修订）第五十三条。</w:t>
            </w:r>
          </w:p>
        </w:tc>
        <w:tc>
          <w:tcPr>
            <w:tcW w:w="1220" w:type="dxa"/>
            <w:vAlign w:val="center"/>
          </w:tcPr>
          <w:p>
            <w:pPr>
              <w:widowControl/>
              <w:adjustRightInd w:val="0"/>
              <w:snapToGrid w:val="0"/>
              <w:spacing w:line="340" w:lineRule="atLeas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64</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对未取得拖拉机、联合收割机操作证件而操作拖拉机、联合收割机的处罚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县农业农村部门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年修订）第五十二条。</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44"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65</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对在人口集中地区、机场周围、交通干线附近以及市人民政府划定的其他禁止区域内露天焚烧秸秆的处罚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县农业农村部门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《重庆市大气污染防治条例》（</w:t>
            </w:r>
            <w:r>
              <w:rPr>
                <w:rFonts w:hint="eastAsia"/>
                <w:sz w:val="24"/>
                <w:szCs w:val="24"/>
              </w:rPr>
              <w:t>2021</w:t>
            </w:r>
            <w:r>
              <w:rPr>
                <w:rFonts w:hint="eastAsia" w:ascii="方正仿宋_GBK" w:hAnsi="方正仿宋_GBK" w:cs="方正仿宋_GBK"/>
                <w:kern w:val="0"/>
                <w:sz w:val="24"/>
                <w:szCs w:val="24"/>
              </w:rPr>
              <w:t>年修正）第九十条第二款。</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jc w:val="center"/>
              <w:rPr>
                <w:rFonts w:eastAsia="方正黑体_GBK" w:cs="方正黑体_GBK"/>
                <w:kern w:val="0"/>
                <w:sz w:val="24"/>
                <w:szCs w:val="24"/>
              </w:rPr>
            </w:pPr>
            <w:r>
              <w:rPr>
                <w:rFonts w:hint="eastAsia"/>
                <w:sz w:val="24"/>
                <w:szCs w:val="24"/>
              </w:rPr>
              <w:t>66</w:t>
            </w:r>
          </w:p>
        </w:tc>
        <w:tc>
          <w:tcPr>
            <w:tcW w:w="2606" w:type="dxa"/>
            <w:gridSpan w:val="2"/>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对歌舞娱乐场所</w:t>
            </w:r>
            <w:r>
              <w:rPr>
                <w:rStyle w:val="10"/>
                <w:b w:val="0"/>
                <w:color w:val="auto"/>
                <w:sz w:val="24"/>
                <w:szCs w:val="24"/>
              </w:rPr>
              <w:t>违反《娱乐场所管理条例》规定</w:t>
            </w:r>
            <w:r>
              <w:rPr>
                <w:rStyle w:val="9"/>
                <w:color w:val="auto"/>
                <w:sz w:val="24"/>
                <w:szCs w:val="24"/>
              </w:rPr>
              <w:t>接纳未成年人的处罚</w:t>
            </w:r>
          </w:p>
        </w:tc>
        <w:tc>
          <w:tcPr>
            <w:tcW w:w="1184"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415" w:type="dxa"/>
            <w:gridSpan w:val="4"/>
            <w:vAlign w:val="center"/>
          </w:tcPr>
          <w:p>
            <w:pPr>
              <w:widowControl/>
              <w:adjustRightInd w:val="0"/>
              <w:snapToGrid w:val="0"/>
              <w:spacing w:line="320" w:lineRule="exact"/>
              <w:textAlignment w:val="center"/>
            </w:pPr>
            <w:r>
              <w:rPr>
                <w:rFonts w:hint="eastAsia" w:ascii="方正仿宋_GBK" w:hAnsi="方正仿宋_GBK" w:cs="方正仿宋_GBK"/>
                <w:kern w:val="0"/>
                <w:sz w:val="24"/>
                <w:szCs w:val="24"/>
              </w:rPr>
              <w:t>《娱乐场所管理条例》（</w:t>
            </w:r>
            <w:r>
              <w:rPr>
                <w:rFonts w:hint="eastAsia"/>
                <w:sz w:val="24"/>
                <w:szCs w:val="24"/>
              </w:rPr>
              <w:t>2020</w:t>
            </w:r>
            <w:r>
              <w:rPr>
                <w:rFonts w:hint="eastAsia" w:ascii="方正仿宋_GBK" w:hAnsi="方正仿宋_GBK" w:cs="方正仿宋_GBK"/>
                <w:kern w:val="0"/>
                <w:sz w:val="24"/>
                <w:szCs w:val="24"/>
              </w:rPr>
              <w:t>年修订）第四十八条第三项。</w:t>
            </w:r>
          </w:p>
        </w:tc>
        <w:tc>
          <w:tcPr>
            <w:tcW w:w="1220" w:type="dxa"/>
            <w:vAlign w:val="center"/>
          </w:tcPr>
          <w:p>
            <w:pPr>
              <w:widowControl/>
              <w:adjustRightInd w:val="0"/>
              <w:snapToGrid w:val="0"/>
              <w:spacing w:line="32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67</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对娱乐场所未在显著位置悬挂娱乐经营许可证、未成年人禁入或者限入标志以及标志未注明举报电话的处罚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《娱乐场所管理办法》（</w:t>
            </w:r>
            <w:r>
              <w:rPr>
                <w:rFonts w:hint="eastAsia"/>
                <w:sz w:val="24"/>
                <w:szCs w:val="24"/>
              </w:rPr>
              <w:t>2022</w:t>
            </w:r>
            <w:r>
              <w:rPr>
                <w:rFonts w:hint="eastAsia" w:ascii="方正仿宋_GBK" w:hAnsi="方正仿宋_GBK" w:cs="方正仿宋_GBK"/>
                <w:kern w:val="0"/>
                <w:sz w:val="24"/>
                <w:szCs w:val="24"/>
              </w:rPr>
              <w:t>年修订）第三十三条。</w:t>
            </w:r>
          </w:p>
        </w:tc>
        <w:tc>
          <w:tcPr>
            <w:tcW w:w="1220" w:type="dxa"/>
            <w:vAlign w:val="center"/>
          </w:tcPr>
          <w:p>
            <w:pPr>
              <w:widowControl/>
              <w:adjustRightInd w:val="0"/>
              <w:snapToGrid w:val="0"/>
              <w:spacing w:line="36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68</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对个人或单位有《广播电视设施保护条例》第二十三条所列违法行为的处罚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年施行）第二十三条。</w:t>
            </w:r>
          </w:p>
        </w:tc>
        <w:tc>
          <w:tcPr>
            <w:tcW w:w="1220" w:type="dxa"/>
            <w:vAlign w:val="center"/>
          </w:tcPr>
          <w:p>
            <w:pPr>
              <w:widowControl/>
              <w:adjustRightInd w:val="0"/>
              <w:snapToGrid w:val="0"/>
              <w:spacing w:line="36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80" w:lineRule="exact"/>
              <w:jc w:val="center"/>
              <w:rPr>
                <w:rFonts w:eastAsia="方正黑体_GBK" w:cs="方正黑体_GBK"/>
                <w:kern w:val="0"/>
                <w:sz w:val="24"/>
                <w:szCs w:val="24"/>
              </w:rPr>
            </w:pPr>
            <w:r>
              <w:rPr>
                <w:rFonts w:hint="eastAsia"/>
                <w:sz w:val="24"/>
                <w:szCs w:val="24"/>
              </w:rPr>
              <w:t>69</w:t>
            </w:r>
          </w:p>
        </w:tc>
        <w:tc>
          <w:tcPr>
            <w:tcW w:w="2606" w:type="dxa"/>
            <w:gridSpan w:val="2"/>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对个人或单位有《广播电视设施保护条例》第二十二条所列违法行为的处罚</w:t>
            </w:r>
          </w:p>
        </w:tc>
        <w:tc>
          <w:tcPr>
            <w:tcW w:w="1184"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年施行）第二十二条。</w:t>
            </w:r>
          </w:p>
        </w:tc>
        <w:tc>
          <w:tcPr>
            <w:tcW w:w="1220" w:type="dxa"/>
            <w:vAlign w:val="center"/>
          </w:tcPr>
          <w:p>
            <w:pPr>
              <w:widowControl/>
              <w:adjustRightInd w:val="0"/>
              <w:snapToGrid w:val="0"/>
              <w:spacing w:line="36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70</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对在广播电视设施保护范围内进行建筑施工、兴建设施或者爆破作业、烧荒等活动以及损坏广播电视设施的处罚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年施行）第二十条、第二十一条。</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71</w:t>
            </w:r>
          </w:p>
        </w:tc>
        <w:tc>
          <w:tcPr>
            <w:tcW w:w="2606" w:type="dxa"/>
            <w:gridSpan w:val="2"/>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对擅自安装和使用卫星地面接收设施的处罚</w:t>
            </w:r>
          </w:p>
        </w:tc>
        <w:tc>
          <w:tcPr>
            <w:tcW w:w="1184"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县文化旅游部门</w:t>
            </w:r>
          </w:p>
        </w:tc>
        <w:tc>
          <w:tcPr>
            <w:tcW w:w="1695" w:type="dxa"/>
            <w:gridSpan w:val="3"/>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《卫星电视广播地面接收设施管理规定》（</w:t>
            </w:r>
            <w:r>
              <w:rPr>
                <w:rFonts w:hint="eastAsia"/>
                <w:sz w:val="24"/>
                <w:szCs w:val="24"/>
              </w:rPr>
              <w:t>2018</w:t>
            </w:r>
            <w:r>
              <w:rPr>
                <w:rFonts w:hint="eastAsia" w:ascii="方正仿宋_GBK" w:hAnsi="方正仿宋_GBK" w:cs="方正仿宋_GBK"/>
                <w:kern w:val="0"/>
                <w:sz w:val="24"/>
                <w:szCs w:val="24"/>
              </w:rPr>
              <w:t>年修订）第十条第三款。</w:t>
            </w:r>
          </w:p>
        </w:tc>
        <w:tc>
          <w:tcPr>
            <w:tcW w:w="1220" w:type="dxa"/>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72</w:t>
            </w:r>
          </w:p>
        </w:tc>
        <w:tc>
          <w:tcPr>
            <w:tcW w:w="2606" w:type="dxa"/>
            <w:gridSpan w:val="2"/>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对《重庆市公共场所控制吸烟条例》第二十条、第二十一条规定情形的处罚</w:t>
            </w:r>
          </w:p>
        </w:tc>
        <w:tc>
          <w:tcPr>
            <w:tcW w:w="1184" w:type="dxa"/>
            <w:gridSpan w:val="3"/>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县卫生健康部门</w:t>
            </w:r>
          </w:p>
        </w:tc>
        <w:tc>
          <w:tcPr>
            <w:tcW w:w="1695" w:type="dxa"/>
            <w:gridSpan w:val="3"/>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《重庆市公共场所控制吸烟条例》（</w:t>
            </w:r>
            <w:r>
              <w:rPr>
                <w:rFonts w:hint="eastAsia"/>
                <w:sz w:val="24"/>
                <w:szCs w:val="24"/>
              </w:rPr>
              <w:t>2021</w:t>
            </w:r>
            <w:r>
              <w:rPr>
                <w:rFonts w:hint="eastAsia" w:ascii="方正仿宋_GBK" w:hAnsi="方正仿宋_GBK" w:cs="方正仿宋_GBK"/>
                <w:kern w:val="0"/>
                <w:sz w:val="24"/>
                <w:szCs w:val="24"/>
              </w:rPr>
              <w:t>年施行）第二十条、第二十一条。</w:t>
            </w:r>
          </w:p>
        </w:tc>
        <w:tc>
          <w:tcPr>
            <w:tcW w:w="1220" w:type="dxa"/>
            <w:shd w:val="clear" w:color="auto" w:fill="FFFFFF"/>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73</w:t>
            </w:r>
          </w:p>
        </w:tc>
        <w:tc>
          <w:tcPr>
            <w:tcW w:w="2606" w:type="dxa"/>
            <w:gridSpan w:val="2"/>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对《重庆市公共场所控制吸烟条例》第十九条第一款规定情形的处罚</w:t>
            </w:r>
          </w:p>
        </w:tc>
        <w:tc>
          <w:tcPr>
            <w:tcW w:w="1184" w:type="dxa"/>
            <w:gridSpan w:val="3"/>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县卫生健康部门</w:t>
            </w:r>
          </w:p>
        </w:tc>
        <w:tc>
          <w:tcPr>
            <w:tcW w:w="1695" w:type="dxa"/>
            <w:gridSpan w:val="3"/>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415" w:type="dxa"/>
            <w:gridSpan w:val="4"/>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《重庆市公共场所控制吸烟条例》（</w:t>
            </w:r>
            <w:r>
              <w:rPr>
                <w:rFonts w:hint="eastAsia"/>
                <w:sz w:val="24"/>
                <w:szCs w:val="24"/>
              </w:rPr>
              <w:t>2021</w:t>
            </w:r>
            <w:r>
              <w:rPr>
                <w:rFonts w:hint="eastAsia" w:ascii="方正仿宋_GBK" w:hAnsi="方正仿宋_GBK" w:cs="方正仿宋_GBK"/>
                <w:kern w:val="0"/>
                <w:sz w:val="24"/>
                <w:szCs w:val="24"/>
              </w:rPr>
              <w:t>年施行）第十九条第一款。</w:t>
            </w:r>
          </w:p>
        </w:tc>
        <w:tc>
          <w:tcPr>
            <w:tcW w:w="1220" w:type="dxa"/>
            <w:shd w:val="clear" w:color="auto" w:fill="FFFFFF"/>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74</w:t>
            </w:r>
          </w:p>
        </w:tc>
        <w:tc>
          <w:tcPr>
            <w:tcW w:w="2606" w:type="dxa"/>
            <w:gridSpan w:val="2"/>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对销售无卫生许可批准文件的涉及饮用水卫生安全的产品的处罚</w:t>
            </w:r>
          </w:p>
        </w:tc>
        <w:tc>
          <w:tcPr>
            <w:tcW w:w="1184" w:type="dxa"/>
            <w:gridSpan w:val="3"/>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县卫生健康部门</w:t>
            </w:r>
          </w:p>
        </w:tc>
        <w:tc>
          <w:tcPr>
            <w:tcW w:w="1695" w:type="dxa"/>
            <w:gridSpan w:val="3"/>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《生活饮用水卫生监督管理办法》（</w:t>
            </w:r>
            <w:r>
              <w:rPr>
                <w:rFonts w:hint="eastAsia"/>
                <w:sz w:val="24"/>
                <w:szCs w:val="24"/>
              </w:rPr>
              <w:t>2016</w:t>
            </w:r>
            <w:r>
              <w:rPr>
                <w:rFonts w:hint="eastAsia" w:ascii="方正仿宋_GBK" w:hAnsi="方正仿宋_GBK" w:cs="方正仿宋_GBK"/>
                <w:kern w:val="0"/>
                <w:sz w:val="24"/>
                <w:szCs w:val="24"/>
              </w:rPr>
              <w:t>年修改）第二十七条。</w:t>
            </w:r>
          </w:p>
        </w:tc>
        <w:tc>
          <w:tcPr>
            <w:tcW w:w="1220" w:type="dxa"/>
            <w:shd w:val="clear" w:color="auto" w:fill="FFFFFF"/>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75</w:t>
            </w:r>
          </w:p>
        </w:tc>
        <w:tc>
          <w:tcPr>
            <w:tcW w:w="2606" w:type="dxa"/>
            <w:gridSpan w:val="2"/>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对零售经营者变更零售点名称等信息并未重新办理零售许可证</w:t>
            </w:r>
            <w:r>
              <w:rPr>
                <w:rStyle w:val="13"/>
                <w:b w:val="0"/>
                <w:color w:val="auto"/>
                <w:sz w:val="24"/>
                <w:szCs w:val="24"/>
              </w:rPr>
              <w:t>或者</w:t>
            </w:r>
            <w:r>
              <w:rPr>
                <w:rStyle w:val="14"/>
                <w:color w:val="auto"/>
              </w:rPr>
              <w:t>存放的烟花爆竹数量超过零售许可证载明范围的处罚</w:t>
            </w:r>
          </w:p>
        </w:tc>
        <w:tc>
          <w:tcPr>
            <w:tcW w:w="1184" w:type="dxa"/>
            <w:gridSpan w:val="3"/>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县应急管理部门</w:t>
            </w:r>
          </w:p>
        </w:tc>
        <w:tc>
          <w:tcPr>
            <w:tcW w:w="1695" w:type="dxa"/>
            <w:gridSpan w:val="3"/>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《烟花爆竹经营许可实施办法》（</w:t>
            </w:r>
            <w:r>
              <w:rPr>
                <w:rFonts w:hint="eastAsia"/>
                <w:sz w:val="24"/>
                <w:szCs w:val="24"/>
              </w:rPr>
              <w:t>2013</w:t>
            </w:r>
            <w:r>
              <w:rPr>
                <w:rFonts w:hint="eastAsia" w:ascii="方正仿宋_GBK" w:hAnsi="方正仿宋_GBK" w:cs="方正仿宋_GBK"/>
                <w:kern w:val="0"/>
                <w:sz w:val="24"/>
                <w:szCs w:val="24"/>
              </w:rPr>
              <w:t>年施行）第三十五条。</w:t>
            </w:r>
          </w:p>
        </w:tc>
        <w:tc>
          <w:tcPr>
            <w:tcW w:w="1220" w:type="dxa"/>
            <w:shd w:val="clear" w:color="auto" w:fill="FFFFFF"/>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76</w:t>
            </w:r>
          </w:p>
        </w:tc>
        <w:tc>
          <w:tcPr>
            <w:tcW w:w="2606" w:type="dxa"/>
            <w:gridSpan w:val="2"/>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对损坏或者擅自拆除、移动森林防火标志的处罚</w:t>
            </w:r>
          </w:p>
        </w:tc>
        <w:tc>
          <w:tcPr>
            <w:tcW w:w="1184" w:type="dxa"/>
            <w:gridSpan w:val="3"/>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w w:val="80"/>
                <w:kern w:val="0"/>
                <w:sz w:val="24"/>
                <w:szCs w:val="24"/>
              </w:rPr>
              <w:t>县林业部门</w:t>
            </w:r>
          </w:p>
        </w:tc>
        <w:tc>
          <w:tcPr>
            <w:tcW w:w="1695" w:type="dxa"/>
            <w:gridSpan w:val="3"/>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《重庆市森林防火条例》（</w:t>
            </w:r>
            <w:r>
              <w:rPr>
                <w:rFonts w:hint="eastAsia"/>
                <w:sz w:val="24"/>
                <w:szCs w:val="24"/>
              </w:rPr>
              <w:t>2018</w:t>
            </w:r>
            <w:r>
              <w:rPr>
                <w:rFonts w:hint="eastAsia" w:ascii="方正仿宋_GBK" w:hAnsi="方正仿宋_GBK" w:cs="方正仿宋_GBK"/>
                <w:kern w:val="0"/>
                <w:sz w:val="24"/>
                <w:szCs w:val="24"/>
              </w:rPr>
              <w:t>年修正）第四十五条。</w:t>
            </w:r>
          </w:p>
        </w:tc>
        <w:tc>
          <w:tcPr>
            <w:tcW w:w="1220" w:type="dxa"/>
            <w:shd w:val="clear" w:color="auto" w:fill="FFFFFF"/>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40" w:lineRule="exact"/>
              <w:jc w:val="center"/>
              <w:rPr>
                <w:rFonts w:eastAsia="方正黑体_GBK" w:cs="方正黑体_GBK"/>
                <w:kern w:val="0"/>
                <w:sz w:val="24"/>
                <w:szCs w:val="24"/>
              </w:rPr>
            </w:pPr>
            <w:r>
              <w:rPr>
                <w:rFonts w:hint="eastAsia"/>
                <w:sz w:val="24"/>
                <w:szCs w:val="24"/>
              </w:rPr>
              <w:t>77</w:t>
            </w:r>
          </w:p>
        </w:tc>
        <w:tc>
          <w:tcPr>
            <w:tcW w:w="2606" w:type="dxa"/>
            <w:gridSpan w:val="2"/>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对森林防火期内，森林、林木、林地的经营单位未设置森林防火警示宣传标志的处罚</w:t>
            </w:r>
          </w:p>
        </w:tc>
        <w:tc>
          <w:tcPr>
            <w:tcW w:w="1184" w:type="dxa"/>
            <w:gridSpan w:val="3"/>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w w:val="80"/>
                <w:kern w:val="0"/>
                <w:sz w:val="24"/>
                <w:szCs w:val="24"/>
              </w:rPr>
              <w:t>县林业部门</w:t>
            </w:r>
          </w:p>
        </w:tc>
        <w:tc>
          <w:tcPr>
            <w:tcW w:w="1695" w:type="dxa"/>
            <w:gridSpan w:val="3"/>
            <w:shd w:val="clear" w:color="auto" w:fill="auto"/>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40" w:lineRule="exact"/>
              <w:textAlignment w:val="center"/>
            </w:pPr>
            <w:r>
              <w:rPr>
                <w:rFonts w:hint="eastAsia" w:ascii="方正仿宋_GBK" w:hAnsi="方正仿宋_GBK" w:cs="方正仿宋_GBK"/>
                <w:kern w:val="0"/>
                <w:sz w:val="24"/>
                <w:szCs w:val="24"/>
              </w:rPr>
              <w:t>《森林防火条例》（</w:t>
            </w:r>
            <w:r>
              <w:rPr>
                <w:rFonts w:hint="eastAsia"/>
                <w:sz w:val="24"/>
                <w:szCs w:val="24"/>
              </w:rPr>
              <w:t>2008</w:t>
            </w:r>
            <w:r>
              <w:rPr>
                <w:rFonts w:hint="eastAsia" w:ascii="方正仿宋_GBK" w:hAnsi="方正仿宋_GBK" w:cs="方正仿宋_GBK"/>
                <w:kern w:val="0"/>
                <w:sz w:val="24"/>
                <w:szCs w:val="24"/>
              </w:rPr>
              <w:t>年修订）第五十二条第一项。</w:t>
            </w:r>
          </w:p>
        </w:tc>
        <w:tc>
          <w:tcPr>
            <w:tcW w:w="1220" w:type="dxa"/>
            <w:shd w:val="clear" w:color="auto" w:fill="FFFFFF"/>
            <w:vAlign w:val="center"/>
          </w:tcPr>
          <w:p>
            <w:pPr>
              <w:widowControl/>
              <w:adjustRightInd w:val="0"/>
              <w:snapToGrid w:val="0"/>
              <w:spacing w:line="34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78</w:t>
            </w:r>
          </w:p>
        </w:tc>
        <w:tc>
          <w:tcPr>
            <w:tcW w:w="2606" w:type="dxa"/>
            <w:gridSpan w:val="2"/>
            <w:shd w:val="clear" w:color="auto" w:fill="auto"/>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对擅自移动或破坏界桩、界标的处罚</w:t>
            </w:r>
          </w:p>
        </w:tc>
        <w:tc>
          <w:tcPr>
            <w:tcW w:w="1184" w:type="dxa"/>
            <w:gridSpan w:val="3"/>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w w:val="80"/>
                <w:kern w:val="0"/>
                <w:sz w:val="24"/>
                <w:szCs w:val="24"/>
              </w:rPr>
              <w:t>县林业部门</w:t>
            </w:r>
          </w:p>
        </w:tc>
        <w:tc>
          <w:tcPr>
            <w:tcW w:w="1695" w:type="dxa"/>
            <w:gridSpan w:val="3"/>
            <w:shd w:val="clear" w:color="auto" w:fill="auto"/>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《重庆市林地保护管理条例》（</w:t>
            </w:r>
            <w:r>
              <w:rPr>
                <w:rFonts w:hint="eastAsia"/>
                <w:sz w:val="24"/>
                <w:szCs w:val="24"/>
              </w:rPr>
              <w:t>2018</w:t>
            </w:r>
            <w:r>
              <w:rPr>
                <w:rFonts w:hint="eastAsia" w:ascii="方正仿宋_GBK" w:hAnsi="方正仿宋_GBK" w:cs="方正仿宋_GBK"/>
                <w:kern w:val="0"/>
                <w:sz w:val="24"/>
                <w:szCs w:val="24"/>
              </w:rPr>
              <w:t>年修正）第三十条第四项。</w:t>
            </w:r>
          </w:p>
        </w:tc>
        <w:tc>
          <w:tcPr>
            <w:tcW w:w="1220" w:type="dxa"/>
            <w:shd w:val="clear" w:color="auto" w:fill="FFFFFF"/>
            <w:vAlign w:val="center"/>
          </w:tcPr>
          <w:p>
            <w:pPr>
              <w:widowControl/>
              <w:adjustRightInd w:val="0"/>
              <w:snapToGrid w:val="0"/>
              <w:spacing w:line="36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spacing w:line="380" w:lineRule="exact"/>
              <w:jc w:val="center"/>
              <w:textAlignment w:val="center"/>
              <w:rPr>
                <w:rFonts w:eastAsia="方正黑体_GBK" w:cs="方正黑体_GBK"/>
                <w:kern w:val="0"/>
                <w:sz w:val="24"/>
                <w:szCs w:val="24"/>
              </w:rPr>
            </w:pPr>
            <w:r>
              <w:rPr>
                <w:rFonts w:hint="eastAsia"/>
                <w:sz w:val="24"/>
                <w:szCs w:val="24"/>
              </w:rPr>
              <w:t>79</w:t>
            </w:r>
          </w:p>
        </w:tc>
        <w:tc>
          <w:tcPr>
            <w:tcW w:w="2606" w:type="dxa"/>
            <w:gridSpan w:val="2"/>
            <w:shd w:val="clear" w:color="auto" w:fill="auto"/>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对森林防火期内未经批准在森林防火区内进行实弹演习、爆破等活动的处罚</w:t>
            </w:r>
          </w:p>
        </w:tc>
        <w:tc>
          <w:tcPr>
            <w:tcW w:w="1184" w:type="dxa"/>
            <w:gridSpan w:val="3"/>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w w:val="80"/>
                <w:kern w:val="0"/>
                <w:sz w:val="24"/>
                <w:szCs w:val="24"/>
              </w:rPr>
              <w:t>县林业部门</w:t>
            </w:r>
          </w:p>
        </w:tc>
        <w:tc>
          <w:tcPr>
            <w:tcW w:w="1695" w:type="dxa"/>
            <w:gridSpan w:val="3"/>
            <w:shd w:val="clear" w:color="auto" w:fill="auto"/>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行政处罚权以及与其行政处罚权有关的行政检查、行政强制措施</w:t>
            </w:r>
          </w:p>
        </w:tc>
        <w:tc>
          <w:tcPr>
            <w:tcW w:w="2415" w:type="dxa"/>
            <w:gridSpan w:val="4"/>
            <w:shd w:val="clear" w:color="auto" w:fill="FFFFFF"/>
            <w:vAlign w:val="center"/>
          </w:tcPr>
          <w:p>
            <w:pPr>
              <w:widowControl/>
              <w:adjustRightInd w:val="0"/>
              <w:snapToGrid w:val="0"/>
              <w:spacing w:line="360" w:lineRule="exact"/>
              <w:textAlignment w:val="center"/>
            </w:pPr>
            <w:r>
              <w:rPr>
                <w:rFonts w:hint="eastAsia" w:ascii="方正仿宋_GBK" w:hAnsi="方正仿宋_GBK" w:cs="方正仿宋_GBK"/>
                <w:kern w:val="0"/>
                <w:sz w:val="24"/>
                <w:szCs w:val="24"/>
              </w:rPr>
              <w:t>《森林防火条例》（</w:t>
            </w:r>
            <w:r>
              <w:rPr>
                <w:rFonts w:hint="eastAsia"/>
                <w:sz w:val="24"/>
                <w:szCs w:val="24"/>
              </w:rPr>
              <w:t>2008</w:t>
            </w:r>
            <w:r>
              <w:rPr>
                <w:rFonts w:hint="eastAsia" w:ascii="方正仿宋_GBK" w:hAnsi="方正仿宋_GBK" w:cs="方正仿宋_GBK"/>
                <w:kern w:val="0"/>
                <w:sz w:val="24"/>
                <w:szCs w:val="24"/>
              </w:rPr>
              <w:t>年修订）第五十一条。</w:t>
            </w:r>
          </w:p>
        </w:tc>
        <w:tc>
          <w:tcPr>
            <w:tcW w:w="1220" w:type="dxa"/>
            <w:shd w:val="clear" w:color="auto" w:fill="FFFFFF"/>
            <w:vAlign w:val="center"/>
          </w:tcPr>
          <w:p>
            <w:pPr>
              <w:widowControl/>
              <w:adjustRightInd w:val="0"/>
              <w:snapToGrid w:val="0"/>
              <w:spacing w:line="360" w:lineRule="exact"/>
              <w:textAlignment w:val="center"/>
            </w:pPr>
            <w:r>
              <w:rPr>
                <w:kern w:val="0"/>
                <w:sz w:val="24"/>
                <w:szCs w:val="24"/>
              </w:rPr>
              <w:t>各</w:t>
            </w:r>
            <w:r>
              <w:rPr>
                <w:rFonts w:hint="eastAsia"/>
                <w:kern w:val="0"/>
                <w:sz w:val="24"/>
                <w:szCs w:val="24"/>
              </w:rPr>
              <w:t>乡</w:t>
            </w:r>
            <w:r>
              <w:rPr>
                <w:kern w:val="0"/>
                <w:sz w:val="24"/>
                <w:szCs w:val="24"/>
              </w:rPr>
              <w:t>镇人民政府、街道办事处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9770" w:type="dxa"/>
            <w:gridSpan w:val="14"/>
            <w:shd w:val="clear" w:color="auto" w:fill="auto"/>
            <w:vAlign w:val="center"/>
          </w:tcPr>
          <w:p>
            <w:pPr>
              <w:widowControl/>
              <w:adjustRightInd w:val="0"/>
              <w:snapToGrid w:val="0"/>
              <w:spacing w:line="360" w:lineRule="exact"/>
              <w:textAlignment w:val="center"/>
              <w:rPr>
                <w:kern w:val="0"/>
                <w:sz w:val="24"/>
                <w:szCs w:val="24"/>
              </w:rPr>
            </w:pPr>
            <w:r>
              <w:rPr>
                <w:rFonts w:hint="eastAsia" w:eastAsia="方正黑体_GBK" w:cs="方正黑体_GBK"/>
                <w:kern w:val="0"/>
                <w:szCs w:val="32"/>
              </w:rPr>
              <w:t>三、委托乡镇（街道）部分县级行政执法事项（14项）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序号</w:t>
            </w:r>
          </w:p>
        </w:tc>
        <w:tc>
          <w:tcPr>
            <w:tcW w:w="2026" w:type="dxa"/>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委托事项名称</w:t>
            </w:r>
          </w:p>
        </w:tc>
        <w:tc>
          <w:tcPr>
            <w:tcW w:w="1350" w:type="dxa"/>
            <w:gridSpan w:val="3"/>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委托部门</w:t>
            </w:r>
          </w:p>
        </w:tc>
        <w:tc>
          <w:tcPr>
            <w:tcW w:w="1554" w:type="dxa"/>
            <w:gridSpan w:val="3"/>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受委托乡镇（街道）</w:t>
            </w:r>
          </w:p>
        </w:tc>
        <w:tc>
          <w:tcPr>
            <w:tcW w:w="1395" w:type="dxa"/>
            <w:gridSpan w:val="3"/>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委托范围</w:t>
            </w:r>
          </w:p>
        </w:tc>
        <w:tc>
          <w:tcPr>
            <w:tcW w:w="1395" w:type="dxa"/>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执法依据</w:t>
            </w:r>
          </w:p>
        </w:tc>
        <w:tc>
          <w:tcPr>
            <w:tcW w:w="1400" w:type="dxa"/>
            <w:gridSpan w:val="2"/>
            <w:shd w:val="clear" w:color="auto" w:fill="auto"/>
            <w:vAlign w:val="center"/>
          </w:tcPr>
          <w:p>
            <w:pPr>
              <w:widowControl/>
              <w:adjustRightInd w:val="0"/>
              <w:snapToGrid w:val="0"/>
              <w:ind w:left="47" w:leftChars="15" w:right="47" w:rightChars="15"/>
              <w:jc w:val="center"/>
              <w:textAlignment w:val="center"/>
              <w:rPr>
                <w:rFonts w:eastAsia="方正黑体_GBK" w:cs="方正黑体_GBK"/>
                <w:kern w:val="0"/>
                <w:szCs w:val="32"/>
              </w:rPr>
            </w:pPr>
            <w:r>
              <w:rPr>
                <w:rFonts w:hint="eastAsia" w:ascii="方正黑体_GBK" w:hAnsi="方正黑体_GBK" w:eastAsia="方正黑体_GBK" w:cs="方正黑体_GBK"/>
                <w:kern w:val="0"/>
                <w:sz w:val="24"/>
                <w:szCs w:val="24"/>
              </w:rPr>
              <w:t>委托依据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shd w:val="clear" w:color="auto" w:fill="auto"/>
            <w:vAlign w:val="center"/>
          </w:tcPr>
          <w:p>
            <w:pPr>
              <w:widowControl/>
              <w:adjustRightInd w:val="0"/>
              <w:snapToGrid w:val="0"/>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1</w:t>
            </w:r>
          </w:p>
        </w:tc>
        <w:tc>
          <w:tcPr>
            <w:tcW w:w="2026" w:type="dxa"/>
            <w:shd w:val="clear" w:color="auto" w:fill="auto"/>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对驾驶摩托车时，驾驶人或者乘坐人未按规定戴安全头盔的处罚</w:t>
            </w:r>
          </w:p>
        </w:tc>
        <w:tc>
          <w:tcPr>
            <w:tcW w:w="1350" w:type="dxa"/>
            <w:gridSpan w:val="3"/>
            <w:shd w:val="clear" w:color="auto" w:fill="auto"/>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shd w:val="clear" w:color="auto" w:fill="auto"/>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shd w:val="clear" w:color="auto" w:fill="auto"/>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shd w:val="clear" w:color="auto" w:fill="auto"/>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《中华人民共和国道路交通安全法》第五十一条、第八十九条、第九十条。</w:t>
            </w:r>
          </w:p>
        </w:tc>
        <w:tc>
          <w:tcPr>
            <w:tcW w:w="1400" w:type="dxa"/>
            <w:gridSpan w:val="2"/>
            <w:shd w:val="clear" w:color="auto" w:fill="auto"/>
            <w:vAlign w:val="center"/>
          </w:tcPr>
          <w:p>
            <w:pPr>
              <w:widowControl/>
              <w:adjustRightInd w:val="0"/>
              <w:snapToGrid w:val="0"/>
              <w:ind w:left="47" w:leftChars="15" w:right="47" w:rightChars="15"/>
              <w:textAlignment w:val="center"/>
              <w:rPr>
                <w:rFonts w:ascii="方正黑体_GBK" w:hAnsi="方正黑体_GBK" w:cs="方正黑体_GBK"/>
                <w:kern w:val="0"/>
                <w:sz w:val="24"/>
                <w:szCs w:val="24"/>
              </w:rPr>
            </w:pPr>
            <w:r>
              <w:rPr>
                <w:kern w:val="0"/>
                <w:sz w:val="24"/>
                <w:szCs w:val="24"/>
              </w:rPr>
              <w:t>《重庆市道路交通安全</w:t>
            </w:r>
            <w:r>
              <w:rPr>
                <w:rFonts w:hint="eastAsia"/>
                <w:kern w:val="0"/>
                <w:sz w:val="24"/>
                <w:szCs w:val="24"/>
              </w:rPr>
              <w:t>条</w:t>
            </w:r>
            <w:r>
              <w:rPr>
                <w:kern w:val="0"/>
                <w:sz w:val="24"/>
                <w:szCs w:val="24"/>
              </w:rPr>
              <w:t>例》第七十六条</w:t>
            </w:r>
            <w:r>
              <w:rPr>
                <w:rFonts w:hint="eastAsia"/>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2</w:t>
            </w:r>
          </w:p>
        </w:tc>
        <w:tc>
          <w:tcPr>
            <w:tcW w:w="2026" w:type="dxa"/>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对乘坐两轮摩托车未正向骑坐的处罚</w:t>
            </w:r>
          </w:p>
        </w:tc>
        <w:tc>
          <w:tcPr>
            <w:tcW w:w="1350"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《中华人民共和国道路交通安全法实施条例》第七十七条第（五）项；《中华人民共和国道路交通安全法》第八十九条。</w:t>
            </w:r>
          </w:p>
        </w:tc>
        <w:tc>
          <w:tcPr>
            <w:tcW w:w="1400" w:type="dxa"/>
            <w:gridSpan w:val="2"/>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kern w:val="0"/>
                <w:sz w:val="24"/>
                <w:szCs w:val="24"/>
              </w:rPr>
              <w:t>《重庆市道路交通安全</w:t>
            </w:r>
            <w:r>
              <w:rPr>
                <w:rFonts w:hint="eastAsia"/>
                <w:kern w:val="0"/>
                <w:sz w:val="24"/>
                <w:szCs w:val="24"/>
              </w:rPr>
              <w:t>条</w:t>
            </w:r>
            <w:r>
              <w:rPr>
                <w:kern w:val="0"/>
                <w:sz w:val="24"/>
                <w:szCs w:val="24"/>
              </w:rPr>
              <w:t>例》第七十六条</w:t>
            </w:r>
            <w:r>
              <w:rPr>
                <w:rFonts w:hint="eastAsia"/>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3</w:t>
            </w:r>
          </w:p>
        </w:tc>
        <w:tc>
          <w:tcPr>
            <w:tcW w:w="2026" w:type="dxa"/>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对摩托车后座乘坐不满十二周岁未成年人的处罚</w:t>
            </w:r>
          </w:p>
        </w:tc>
        <w:tc>
          <w:tcPr>
            <w:tcW w:w="1350"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《中华人民共和国道路交通安全法实施条例》第五十五条。</w:t>
            </w:r>
          </w:p>
        </w:tc>
        <w:tc>
          <w:tcPr>
            <w:tcW w:w="1400" w:type="dxa"/>
            <w:gridSpan w:val="2"/>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kern w:val="0"/>
                <w:sz w:val="24"/>
                <w:szCs w:val="24"/>
              </w:rPr>
              <w:t>《重庆市道路交通安全</w:t>
            </w:r>
            <w:r>
              <w:rPr>
                <w:rFonts w:hint="eastAsia"/>
                <w:kern w:val="0"/>
                <w:sz w:val="24"/>
                <w:szCs w:val="24"/>
              </w:rPr>
              <w:t>条</w:t>
            </w:r>
            <w:r>
              <w:rPr>
                <w:kern w:val="0"/>
                <w:sz w:val="24"/>
                <w:szCs w:val="24"/>
              </w:rPr>
              <w:t>例》第七十六条</w:t>
            </w:r>
            <w:r>
              <w:rPr>
                <w:rFonts w:hint="eastAsia"/>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4</w:t>
            </w:r>
          </w:p>
        </w:tc>
        <w:tc>
          <w:tcPr>
            <w:tcW w:w="2026" w:type="dxa"/>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对机动车违反警告标志标线、禁令标志、禁止标线、指示标线、指路标志指示的处罚</w:t>
            </w:r>
          </w:p>
        </w:tc>
        <w:tc>
          <w:tcPr>
            <w:tcW w:w="1350"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《中华人民共和国道路交通安全法》第九十条。</w:t>
            </w:r>
          </w:p>
        </w:tc>
        <w:tc>
          <w:tcPr>
            <w:tcW w:w="1400" w:type="dxa"/>
            <w:gridSpan w:val="2"/>
            <w:vAlign w:val="center"/>
          </w:tcPr>
          <w:p>
            <w:pPr>
              <w:widowControl/>
              <w:adjustRightInd w:val="0"/>
              <w:snapToGrid w:val="0"/>
              <w:ind w:left="47" w:leftChars="15" w:right="47" w:rightChars="15"/>
              <w:textAlignment w:val="center"/>
              <w:rPr>
                <w:rFonts w:ascii="方正黑体_GBK" w:hAnsi="方正黑体_GBK" w:eastAsia="方正黑体_GBK" w:cs="方正黑体_GBK"/>
                <w:kern w:val="0"/>
                <w:sz w:val="24"/>
                <w:szCs w:val="24"/>
              </w:rPr>
            </w:pPr>
            <w:r>
              <w:rPr>
                <w:kern w:val="0"/>
                <w:sz w:val="24"/>
                <w:szCs w:val="24"/>
              </w:rPr>
              <w:t>《重庆市道路交通安全</w:t>
            </w:r>
            <w:r>
              <w:rPr>
                <w:rFonts w:hint="eastAsia"/>
                <w:kern w:val="0"/>
                <w:sz w:val="24"/>
                <w:szCs w:val="24"/>
              </w:rPr>
              <w:t>条</w:t>
            </w:r>
            <w:r>
              <w:rPr>
                <w:kern w:val="0"/>
                <w:sz w:val="24"/>
                <w:szCs w:val="24"/>
              </w:rPr>
              <w:t>例》第七十六条</w:t>
            </w:r>
            <w:r>
              <w:rPr>
                <w:rFonts w:hint="eastAsia"/>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5</w:t>
            </w:r>
          </w:p>
        </w:tc>
        <w:tc>
          <w:tcPr>
            <w:tcW w:w="2026" w:type="dxa"/>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对机动车未按规定停放或者临时停车的处罚</w:t>
            </w:r>
          </w:p>
        </w:tc>
        <w:tc>
          <w:tcPr>
            <w:tcW w:w="1350" w:type="dxa"/>
            <w:gridSpan w:val="3"/>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《中华人民共和国道路交通安全法实施条例》第六十三条；《中华人民共和国道路交通安全法》第五十六条。</w:t>
            </w:r>
          </w:p>
        </w:tc>
        <w:tc>
          <w:tcPr>
            <w:tcW w:w="1400" w:type="dxa"/>
            <w:gridSpan w:val="2"/>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kern w:val="0"/>
                <w:sz w:val="24"/>
                <w:szCs w:val="24"/>
              </w:rPr>
              <w:t>《重庆市道路交通安全</w:t>
            </w:r>
            <w:r>
              <w:rPr>
                <w:rFonts w:hint="eastAsia"/>
                <w:kern w:val="0"/>
                <w:sz w:val="24"/>
                <w:szCs w:val="24"/>
              </w:rPr>
              <w:t>条</w:t>
            </w:r>
            <w:r>
              <w:rPr>
                <w:kern w:val="0"/>
                <w:sz w:val="24"/>
                <w:szCs w:val="24"/>
              </w:rPr>
              <w:t>例》第七十六条</w:t>
            </w:r>
            <w:r>
              <w:rPr>
                <w:rFonts w:hint="eastAsia"/>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2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6</w:t>
            </w:r>
          </w:p>
        </w:tc>
        <w:tc>
          <w:tcPr>
            <w:tcW w:w="2026" w:type="dxa"/>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对上道路行驶的机动车未悬挂机动车号牌的处罚</w:t>
            </w:r>
          </w:p>
        </w:tc>
        <w:tc>
          <w:tcPr>
            <w:tcW w:w="1350" w:type="dxa"/>
            <w:gridSpan w:val="3"/>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《中华人民共和国道路交通安全法》第十一条、第九十条、第九十五条；《机动车登记规定》第五十六条；《中华人民共和国道路交通安全法实施条例》第十三条；《重庆市道路交通安全条例》第八十一条。</w:t>
            </w:r>
          </w:p>
        </w:tc>
        <w:tc>
          <w:tcPr>
            <w:tcW w:w="1400" w:type="dxa"/>
            <w:gridSpan w:val="2"/>
            <w:vAlign w:val="center"/>
          </w:tcPr>
          <w:p>
            <w:pPr>
              <w:widowControl/>
              <w:adjustRightInd w:val="0"/>
              <w:snapToGrid w:val="0"/>
              <w:spacing w:line="320" w:lineRule="exact"/>
              <w:ind w:left="47" w:leftChars="15" w:right="47" w:rightChars="15"/>
              <w:textAlignment w:val="center"/>
              <w:rPr>
                <w:rFonts w:ascii="方正黑体_GBK" w:hAnsi="方正黑体_GBK" w:eastAsia="方正黑体_GBK" w:cs="方正黑体_GBK"/>
                <w:kern w:val="0"/>
                <w:sz w:val="24"/>
                <w:szCs w:val="24"/>
              </w:rPr>
            </w:pPr>
            <w:r>
              <w:rPr>
                <w:kern w:val="0"/>
                <w:sz w:val="24"/>
                <w:szCs w:val="24"/>
              </w:rPr>
              <w:t>《重庆市道路交通安全</w:t>
            </w:r>
            <w:r>
              <w:rPr>
                <w:rFonts w:hint="eastAsia"/>
                <w:kern w:val="0"/>
                <w:sz w:val="24"/>
                <w:szCs w:val="24"/>
              </w:rPr>
              <w:t>条</w:t>
            </w:r>
            <w:r>
              <w:rPr>
                <w:kern w:val="0"/>
                <w:sz w:val="24"/>
                <w:szCs w:val="24"/>
              </w:rPr>
              <w:t>例》第七十六条</w:t>
            </w:r>
            <w:r>
              <w:rPr>
                <w:rFonts w:hint="eastAsia"/>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4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7</w:t>
            </w:r>
          </w:p>
        </w:tc>
        <w:tc>
          <w:tcPr>
            <w:tcW w:w="2026" w:type="dxa"/>
            <w:vAlign w:val="center"/>
          </w:tcPr>
          <w:p>
            <w:pPr>
              <w:widowControl/>
              <w:adjustRightInd w:val="0"/>
              <w:snapToGrid w:val="0"/>
              <w:spacing w:line="34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对未随车携带行驶证、驾驶证的处罚</w:t>
            </w:r>
          </w:p>
        </w:tc>
        <w:tc>
          <w:tcPr>
            <w:tcW w:w="1350" w:type="dxa"/>
            <w:gridSpan w:val="3"/>
            <w:vAlign w:val="center"/>
          </w:tcPr>
          <w:p>
            <w:pPr>
              <w:widowControl/>
              <w:adjustRightInd w:val="0"/>
              <w:snapToGrid w:val="0"/>
              <w:spacing w:line="34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spacing w:line="34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340" w:lineRule="exact"/>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spacing w:line="34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《中华人民共和国道路交通安全法》第十一条、第九十条、第九十五条</w:t>
            </w:r>
            <w:r>
              <w:rPr>
                <w:rFonts w:hint="eastAsia" w:eastAsia="方正书宋_GBK" w:cs="方正书宋_GBK"/>
                <w:sz w:val="24"/>
                <w:szCs w:val="24"/>
              </w:rPr>
              <w:t>。</w:t>
            </w:r>
          </w:p>
        </w:tc>
        <w:tc>
          <w:tcPr>
            <w:tcW w:w="1400" w:type="dxa"/>
            <w:gridSpan w:val="2"/>
            <w:vAlign w:val="center"/>
          </w:tcPr>
          <w:p>
            <w:pPr>
              <w:widowControl/>
              <w:adjustRightInd w:val="0"/>
              <w:snapToGrid w:val="0"/>
              <w:spacing w:line="34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《中华人民共和国行政处罚法》第二十条。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30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8</w:t>
            </w:r>
          </w:p>
        </w:tc>
        <w:tc>
          <w:tcPr>
            <w:tcW w:w="2026" w:type="dxa"/>
            <w:vAlign w:val="center"/>
          </w:tcPr>
          <w:p>
            <w:pPr>
              <w:widowControl/>
              <w:adjustRightInd w:val="0"/>
              <w:snapToGrid w:val="0"/>
              <w:spacing w:line="30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对驾驶机动车载人超过核定人数的处罚</w:t>
            </w:r>
          </w:p>
        </w:tc>
        <w:tc>
          <w:tcPr>
            <w:tcW w:w="1350" w:type="dxa"/>
            <w:gridSpan w:val="3"/>
            <w:vAlign w:val="center"/>
          </w:tcPr>
          <w:p>
            <w:pPr>
              <w:widowControl/>
              <w:adjustRightInd w:val="0"/>
              <w:snapToGrid w:val="0"/>
              <w:spacing w:line="30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县公安局</w:t>
            </w:r>
          </w:p>
        </w:tc>
        <w:tc>
          <w:tcPr>
            <w:tcW w:w="1554" w:type="dxa"/>
            <w:gridSpan w:val="3"/>
            <w:vAlign w:val="center"/>
          </w:tcPr>
          <w:p>
            <w:pPr>
              <w:widowControl/>
              <w:adjustRightInd w:val="0"/>
              <w:snapToGrid w:val="0"/>
              <w:spacing w:line="30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300" w:lineRule="exact"/>
              <w:ind w:left="47" w:leftChars="15" w:right="47" w:rightChars="15"/>
              <w:textAlignment w:val="center"/>
              <w:rPr>
                <w:rFonts w:ascii="方正黑体_GBK" w:hAnsi="方正黑体_GBK" w:eastAsia="方正黑体_GBK" w:cs="方正黑体_GBK"/>
                <w:kern w:val="0"/>
                <w:sz w:val="24"/>
                <w:szCs w:val="24"/>
              </w:rPr>
            </w:pPr>
            <w:r>
              <w:rPr>
                <w:rFonts w:hint="eastAsia"/>
                <w:w w:val="90"/>
                <w:kern w:val="0"/>
                <w:sz w:val="24"/>
                <w:szCs w:val="24"/>
              </w:rPr>
              <w:t>警告；罚款。</w:t>
            </w:r>
          </w:p>
        </w:tc>
        <w:tc>
          <w:tcPr>
            <w:tcW w:w="1395" w:type="dxa"/>
            <w:vAlign w:val="center"/>
          </w:tcPr>
          <w:p>
            <w:pPr>
              <w:widowControl/>
              <w:adjustRightInd w:val="0"/>
              <w:snapToGrid w:val="0"/>
              <w:spacing w:line="30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《中华人民共和国道路交通安全法》第四十九条、第九十条、第九十二条。</w:t>
            </w:r>
          </w:p>
        </w:tc>
        <w:tc>
          <w:tcPr>
            <w:tcW w:w="1400" w:type="dxa"/>
            <w:gridSpan w:val="2"/>
            <w:vAlign w:val="center"/>
          </w:tcPr>
          <w:p>
            <w:pPr>
              <w:widowControl/>
              <w:adjustRightInd w:val="0"/>
              <w:snapToGrid w:val="0"/>
              <w:spacing w:line="30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《中华人民共和国行政处罚法》第二十条。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28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9</w:t>
            </w:r>
          </w:p>
        </w:tc>
        <w:tc>
          <w:tcPr>
            <w:tcW w:w="2026" w:type="dxa"/>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对在河道管理范围内从事禁止性行为的处罚</w:t>
            </w:r>
          </w:p>
        </w:tc>
        <w:tc>
          <w:tcPr>
            <w:tcW w:w="1350"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县水利局</w:t>
            </w:r>
          </w:p>
        </w:tc>
        <w:tc>
          <w:tcPr>
            <w:tcW w:w="1554"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责令停止违法行为，限期清除、恢复原状或者采取其他补救措施；罚款。</w:t>
            </w:r>
          </w:p>
        </w:tc>
        <w:tc>
          <w:tcPr>
            <w:tcW w:w="1395" w:type="dxa"/>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《中华人民共和国河道管理条例》第四十四条；《重庆市河道管理条例》第三十八条。</w:t>
            </w:r>
          </w:p>
        </w:tc>
        <w:tc>
          <w:tcPr>
            <w:tcW w:w="1400" w:type="dxa"/>
            <w:gridSpan w:val="2"/>
            <w:vAlign w:val="center"/>
          </w:tcPr>
          <w:p>
            <w:pPr>
              <w:widowControl/>
              <w:adjustRightInd w:val="0"/>
              <w:snapToGrid w:val="0"/>
              <w:spacing w:line="280" w:lineRule="exact"/>
              <w:ind w:left="47" w:leftChars="15" w:right="47" w:rightChars="15"/>
              <w:textAlignment w:val="center"/>
              <w:rPr>
                <w:rFonts w:ascii="方正黑体_GBK" w:hAnsi="方正黑体_GBK" w:cs="方正黑体_GBK"/>
                <w:kern w:val="0"/>
                <w:sz w:val="24"/>
                <w:szCs w:val="24"/>
              </w:rPr>
            </w:pPr>
            <w:r>
              <w:rPr>
                <w:rFonts w:hint="eastAsia"/>
                <w:kern w:val="0"/>
                <w:sz w:val="24"/>
                <w:szCs w:val="24"/>
              </w:rPr>
              <w:t>《中华人民共和国行政处罚法》第二十条。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28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10</w:t>
            </w:r>
          </w:p>
        </w:tc>
        <w:tc>
          <w:tcPr>
            <w:tcW w:w="2026" w:type="dxa"/>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对涉河建设项目的施工、除渣、物资堆放未符合防洪要求的处罚</w:t>
            </w:r>
          </w:p>
        </w:tc>
        <w:tc>
          <w:tcPr>
            <w:tcW w:w="1350"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县水利局</w:t>
            </w:r>
          </w:p>
        </w:tc>
        <w:tc>
          <w:tcPr>
            <w:tcW w:w="1554"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责令停止违法行为，限期清除、恢复原状或者采取其他补救措施；罚款。</w:t>
            </w:r>
          </w:p>
        </w:tc>
        <w:tc>
          <w:tcPr>
            <w:tcW w:w="1395" w:type="dxa"/>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《重庆市河道管理条例》第二十五条第二款、第三十八条。</w:t>
            </w:r>
          </w:p>
        </w:tc>
        <w:tc>
          <w:tcPr>
            <w:tcW w:w="1400" w:type="dxa"/>
            <w:gridSpan w:val="2"/>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《中华人民共和国行政处罚法》第二十条。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50" w:type="dxa"/>
            <w:vAlign w:val="center"/>
          </w:tcPr>
          <w:p>
            <w:pPr>
              <w:widowControl/>
              <w:adjustRightInd w:val="0"/>
              <w:snapToGrid w:val="0"/>
              <w:spacing w:line="28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11</w:t>
            </w:r>
          </w:p>
        </w:tc>
        <w:tc>
          <w:tcPr>
            <w:tcW w:w="2026" w:type="dxa"/>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对零售经营者变更零售店名称等信息并未重新办理零售许可证以及存放的烟花爆竹数量超过零售许可证载明范围的处罚</w:t>
            </w:r>
          </w:p>
        </w:tc>
        <w:tc>
          <w:tcPr>
            <w:tcW w:w="1350"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县应急局</w:t>
            </w:r>
          </w:p>
        </w:tc>
        <w:tc>
          <w:tcPr>
            <w:tcW w:w="1554"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w w:val="110"/>
                <w:kern w:val="0"/>
                <w:sz w:val="24"/>
                <w:szCs w:val="24"/>
              </w:rPr>
              <w:t>责令限期改正；罚款。</w:t>
            </w:r>
          </w:p>
        </w:tc>
        <w:tc>
          <w:tcPr>
            <w:tcW w:w="1395" w:type="dxa"/>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《烟花爆竹经营许可实施办法》第三十五条。</w:t>
            </w:r>
          </w:p>
        </w:tc>
        <w:tc>
          <w:tcPr>
            <w:tcW w:w="1400" w:type="dxa"/>
            <w:gridSpan w:val="2"/>
            <w:vAlign w:val="center"/>
          </w:tcPr>
          <w:p>
            <w:pPr>
              <w:widowControl/>
              <w:adjustRightInd w:val="0"/>
              <w:snapToGrid w:val="0"/>
              <w:spacing w:line="28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《安全生产违法行为行政处罚办法》第十二条。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7542" w:hRule="atLeast"/>
          <w:jc w:val="center"/>
        </w:trPr>
        <w:tc>
          <w:tcPr>
            <w:tcW w:w="650" w:type="dxa"/>
            <w:vAlign w:val="center"/>
          </w:tcPr>
          <w:p>
            <w:pPr>
              <w:widowControl/>
              <w:adjustRightInd w:val="0"/>
              <w:snapToGrid w:val="0"/>
              <w:spacing w:line="36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12</w:t>
            </w:r>
          </w:p>
        </w:tc>
        <w:tc>
          <w:tcPr>
            <w:tcW w:w="2026" w:type="dxa"/>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从事烟花爆竹批发的企业向从事烟花爆竹零售的经营者供应非法生产、经营的烟花爆竹，或者供应按照国家标准规定应由专业燃放人员燃放的烟花爆竹的，从事烟花爆竹零售的经营者销售非法生产、经营的烟花爆竹，或者销售按照国家标准规定应由专业燃放人员燃放的烟花爆竹的处罚</w:t>
            </w:r>
          </w:p>
        </w:tc>
        <w:tc>
          <w:tcPr>
            <w:tcW w:w="1350" w:type="dxa"/>
            <w:gridSpan w:val="3"/>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县应急局</w:t>
            </w:r>
          </w:p>
        </w:tc>
        <w:tc>
          <w:tcPr>
            <w:tcW w:w="1554" w:type="dxa"/>
            <w:gridSpan w:val="3"/>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责令停止违法行为；罚款，并没收非法经营的物品及违法所得。</w:t>
            </w:r>
          </w:p>
        </w:tc>
        <w:tc>
          <w:tcPr>
            <w:tcW w:w="1395" w:type="dxa"/>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《烟花爆竹安全管理条例》第三十八条。</w:t>
            </w:r>
          </w:p>
        </w:tc>
        <w:tc>
          <w:tcPr>
            <w:tcW w:w="1400" w:type="dxa"/>
            <w:gridSpan w:val="2"/>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《安全生产违法行为行政处罚办法》第十二条。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887" w:hRule="atLeast"/>
          <w:jc w:val="center"/>
        </w:trPr>
        <w:tc>
          <w:tcPr>
            <w:tcW w:w="650" w:type="dxa"/>
            <w:shd w:val="clear" w:color="auto" w:fill="auto"/>
            <w:vAlign w:val="center"/>
          </w:tcPr>
          <w:p>
            <w:pPr>
              <w:widowControl/>
              <w:adjustRightInd w:val="0"/>
              <w:snapToGrid w:val="0"/>
              <w:spacing w:line="36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13</w:t>
            </w:r>
          </w:p>
        </w:tc>
        <w:tc>
          <w:tcPr>
            <w:tcW w:w="2026" w:type="dxa"/>
            <w:shd w:val="clear" w:color="auto" w:fill="auto"/>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对擅自举办民办学校及民办教育培训机构行为的处罚</w:t>
            </w:r>
          </w:p>
        </w:tc>
        <w:tc>
          <w:tcPr>
            <w:tcW w:w="1350" w:type="dxa"/>
            <w:gridSpan w:val="3"/>
            <w:shd w:val="clear" w:color="auto" w:fill="FFFFFF"/>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县教委</w:t>
            </w:r>
          </w:p>
        </w:tc>
        <w:tc>
          <w:tcPr>
            <w:tcW w:w="1554" w:type="dxa"/>
            <w:gridSpan w:val="3"/>
            <w:shd w:val="clear" w:color="auto" w:fill="auto"/>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shd w:val="clear" w:color="auto" w:fill="auto"/>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责令停止办学、退还所收费用；罚款。</w:t>
            </w:r>
          </w:p>
        </w:tc>
        <w:tc>
          <w:tcPr>
            <w:tcW w:w="1395" w:type="dxa"/>
            <w:shd w:val="clear" w:color="auto" w:fill="FFFFFF"/>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《中华人民共和国教育法》第七十五条；《中华人民共和国民办教育促进法》第六十四条。</w:t>
            </w:r>
          </w:p>
        </w:tc>
        <w:tc>
          <w:tcPr>
            <w:tcW w:w="1400" w:type="dxa"/>
            <w:gridSpan w:val="2"/>
            <w:shd w:val="clear" w:color="auto" w:fill="FFFFFF"/>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《中华人民共和国行政处罚法》第二十条。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8076" w:hRule="atLeast"/>
          <w:jc w:val="center"/>
        </w:trPr>
        <w:tc>
          <w:tcPr>
            <w:tcW w:w="650" w:type="dxa"/>
            <w:shd w:val="clear" w:color="auto" w:fill="auto"/>
            <w:vAlign w:val="center"/>
          </w:tcPr>
          <w:p>
            <w:pPr>
              <w:widowControl/>
              <w:adjustRightInd w:val="0"/>
              <w:snapToGrid w:val="0"/>
              <w:spacing w:line="360" w:lineRule="exact"/>
              <w:ind w:left="47" w:leftChars="15" w:right="47" w:rightChars="15"/>
              <w:jc w:val="center"/>
              <w:textAlignment w:val="center"/>
              <w:rPr>
                <w:rFonts w:ascii="方正黑体_GBK" w:hAnsi="方正黑体_GBK" w:eastAsia="方正黑体_GBK" w:cs="方正黑体_GBK"/>
                <w:kern w:val="0"/>
                <w:sz w:val="24"/>
                <w:szCs w:val="24"/>
              </w:rPr>
            </w:pPr>
            <w:r>
              <w:rPr>
                <w:rFonts w:hint="eastAsia"/>
                <w:kern w:val="0"/>
                <w:sz w:val="24"/>
                <w:szCs w:val="24"/>
              </w:rPr>
              <w:t>14</w:t>
            </w:r>
          </w:p>
        </w:tc>
        <w:tc>
          <w:tcPr>
            <w:tcW w:w="2026" w:type="dxa"/>
            <w:shd w:val="clear" w:color="auto" w:fill="auto"/>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对民办学校及民办教育培训机构违规办学行为的处罚</w:t>
            </w:r>
          </w:p>
        </w:tc>
        <w:tc>
          <w:tcPr>
            <w:tcW w:w="1350" w:type="dxa"/>
            <w:gridSpan w:val="3"/>
            <w:shd w:val="clear" w:color="auto" w:fill="FFFFFF"/>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县教委</w:t>
            </w:r>
          </w:p>
        </w:tc>
        <w:tc>
          <w:tcPr>
            <w:tcW w:w="1554" w:type="dxa"/>
            <w:gridSpan w:val="3"/>
            <w:shd w:val="clear" w:color="auto" w:fill="auto"/>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乡（</w:t>
            </w:r>
            <w:r>
              <w:rPr>
                <w:kern w:val="0"/>
                <w:sz w:val="24"/>
                <w:szCs w:val="24"/>
              </w:rPr>
              <w:t>镇</w:t>
            </w:r>
            <w:r>
              <w:rPr>
                <w:rFonts w:hint="eastAsia"/>
                <w:kern w:val="0"/>
                <w:sz w:val="24"/>
                <w:szCs w:val="24"/>
              </w:rPr>
              <w:t>）</w:t>
            </w:r>
            <w:r>
              <w:rPr>
                <w:kern w:val="0"/>
                <w:sz w:val="24"/>
                <w:szCs w:val="24"/>
              </w:rPr>
              <w:t>人民政府、街道办事处</w:t>
            </w:r>
          </w:p>
        </w:tc>
        <w:tc>
          <w:tcPr>
            <w:tcW w:w="1395" w:type="dxa"/>
            <w:gridSpan w:val="3"/>
            <w:shd w:val="clear" w:color="auto" w:fill="auto"/>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w w:val="95"/>
                <w:kern w:val="0"/>
                <w:sz w:val="24"/>
                <w:szCs w:val="24"/>
              </w:rPr>
              <w:t>责令限期改正、停止招生；退还所收费用，没收违法所得。</w:t>
            </w:r>
          </w:p>
        </w:tc>
        <w:tc>
          <w:tcPr>
            <w:tcW w:w="1395" w:type="dxa"/>
            <w:shd w:val="clear" w:color="auto" w:fill="FFFFFF"/>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独立学院设置与管理办法》第五十六条；《中华人民共和国民办教育促进法》第六十二条、第六十五条第一款；《民办高等学校办学管理若干规定》第三十条；《中华人民共和国民办教育促进法实施条例》第六十三条。</w:t>
            </w:r>
          </w:p>
        </w:tc>
        <w:tc>
          <w:tcPr>
            <w:tcW w:w="1400" w:type="dxa"/>
            <w:gridSpan w:val="2"/>
            <w:shd w:val="clear" w:color="auto" w:fill="FFFFFF"/>
            <w:vAlign w:val="center"/>
          </w:tcPr>
          <w:p>
            <w:pPr>
              <w:widowControl/>
              <w:adjustRightInd w:val="0"/>
              <w:snapToGrid w:val="0"/>
              <w:spacing w:line="360" w:lineRule="exact"/>
              <w:ind w:left="47" w:leftChars="15" w:right="47" w:rightChars="15"/>
              <w:textAlignment w:val="center"/>
              <w:rPr>
                <w:rFonts w:ascii="方正黑体_GBK" w:hAnsi="方正黑体_GBK" w:eastAsia="方正黑体_GBK" w:cs="方正黑体_GBK"/>
                <w:kern w:val="0"/>
                <w:sz w:val="24"/>
                <w:szCs w:val="24"/>
              </w:rPr>
            </w:pPr>
            <w:r>
              <w:rPr>
                <w:rFonts w:hint="eastAsia"/>
                <w:kern w:val="0"/>
                <w:sz w:val="24"/>
                <w:szCs w:val="24"/>
              </w:rPr>
              <w:t>《中华人民共和国行政处罚法》第二十条、《校外培训行政处罚暂行办法》第六条、第七条。</w:t>
            </w:r>
          </w:p>
        </w:tc>
      </w:tr>
    </w:tbl>
    <w:p/>
    <w:p>
      <w:pPr>
        <w:pStyle w:val="2"/>
      </w:pPr>
    </w:p>
    <w:p/>
    <w:p>
      <w:pPr>
        <w:pStyle w:val="2"/>
      </w:pPr>
    </w:p>
    <w:p/>
    <w:p/>
    <w:p/>
    <w:p/>
    <w:p/>
    <w:p/>
    <w:p/>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
    <w:p>
      <w:pPr>
        <w:pBdr>
          <w:top w:val="single" w:color="auto" w:sz="8" w:space="1"/>
        </w:pBdr>
        <w:shd w:val="clear" w:color="auto" w:fill="FFFFFF"/>
        <w:ind w:firstLine="276" w:firstLineChars="100"/>
        <w:rPr>
          <w:color w:val="000000"/>
          <w:sz w:val="28"/>
          <w:szCs w:val="28"/>
          <w:shd w:val="clear" w:color="auto" w:fill="FFFFFF"/>
        </w:rPr>
      </w:pPr>
      <w:r>
        <w:rPr>
          <w:color w:val="000000"/>
          <w:sz w:val="28"/>
          <w:szCs w:val="28"/>
          <w:shd w:val="clear" w:color="auto" w:fill="FFFFFF"/>
        </w:rPr>
        <w:t>抄送：</w:t>
      </w:r>
      <w:r>
        <w:rPr>
          <w:color w:val="000000"/>
          <w:spacing w:val="-4"/>
          <w:sz w:val="28"/>
          <w:szCs w:val="28"/>
          <w:shd w:val="clear" w:color="auto" w:fill="FFFFFF"/>
        </w:rPr>
        <w:t>县委各部委，县人大办，县政协办，县监委，县法院，县检察院</w:t>
      </w:r>
      <w:r>
        <w:rPr>
          <w:color w:val="000000"/>
          <w:sz w:val="28"/>
          <w:szCs w:val="28"/>
          <w:shd w:val="clear" w:color="auto" w:fill="FFFFFF"/>
        </w:rPr>
        <w:t>，</w:t>
      </w:r>
    </w:p>
    <w:p>
      <w:pPr>
        <w:shd w:val="clear" w:color="auto" w:fill="FFFFFF"/>
        <w:rPr>
          <w:color w:val="000000"/>
          <w:sz w:val="28"/>
          <w:szCs w:val="28"/>
          <w:shd w:val="clear" w:color="auto" w:fill="FFFFFF"/>
        </w:rPr>
      </w:pPr>
      <w:r>
        <w:rPr>
          <w:color w:val="000000"/>
          <w:sz w:val="28"/>
          <w:szCs w:val="28"/>
          <w:shd w:val="clear" w:color="auto" w:fill="FFFFFF"/>
        </w:rPr>
        <w:t xml:space="preserve">        县人武部，各人民团体。</w:t>
      </w:r>
    </w:p>
    <w:p>
      <w:pPr>
        <w:pBdr>
          <w:top w:val="single" w:color="auto" w:sz="4" w:space="1"/>
          <w:bottom w:val="single" w:color="auto" w:sz="8" w:space="1"/>
        </w:pBdr>
        <w:shd w:val="clear" w:color="auto" w:fill="FFFFFF"/>
      </w:pPr>
      <w:r>
        <w:rPr>
          <w:color w:val="000000"/>
          <w:sz w:val="28"/>
          <w:szCs w:val="28"/>
          <w:shd w:val="clear" w:color="auto" w:fill="FFFFFF"/>
        </w:rPr>
        <w:t xml:space="preserve">   酉阳土家族苗族自治县人民政府办公室     2023年1</w:t>
      </w:r>
      <w:r>
        <w:rPr>
          <w:rFonts w:hint="eastAsia"/>
          <w:color w:val="000000"/>
          <w:sz w:val="28"/>
          <w:szCs w:val="28"/>
          <w:shd w:val="clear" w:color="auto" w:fill="FFFFFF"/>
        </w:rPr>
        <w:t>1</w:t>
      </w:r>
      <w:r>
        <w:rPr>
          <w:color w:val="000000"/>
          <w:sz w:val="28"/>
          <w:szCs w:val="28"/>
          <w:shd w:val="clear" w:color="auto" w:fill="FFFFFF"/>
        </w:rPr>
        <w:t>月</w:t>
      </w:r>
      <w:r>
        <w:rPr>
          <w:rFonts w:hint="eastAsia"/>
          <w:color w:val="000000"/>
          <w:sz w:val="28"/>
          <w:szCs w:val="28"/>
          <w:shd w:val="clear" w:color="auto" w:fill="FFFFFF"/>
        </w:rPr>
        <w:t>30</w:t>
      </w:r>
      <w:r>
        <w:rPr>
          <w:color w:val="000000"/>
          <w:sz w:val="28"/>
          <w:szCs w:val="28"/>
          <w:shd w:val="clear" w:color="auto" w:fill="FFFFFF"/>
        </w:rPr>
        <w:t>日印发</w:t>
      </w:r>
      <w:r>
        <w:rPr>
          <w:szCs w:val="32"/>
        </w:rPr>
        <w:t xml:space="preserve">   </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563050"/>
      <w:docPartObj>
        <w:docPartGallery w:val="AutoText"/>
      </w:docPartObj>
    </w:sdtPr>
    <w:sdtEndPr>
      <w:rPr>
        <w:rFonts w:asciiTheme="minorEastAsia" w:hAnsiTheme="minorEastAsia" w:eastAsiaTheme="minorEastAsia"/>
        <w:sz w:val="28"/>
        <w:szCs w:val="28"/>
      </w:rPr>
    </w:sdtEndPr>
    <w:sdtContent>
      <w:p>
        <w:pPr>
          <w:pStyle w:val="4"/>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57"/>
      <w:rPr>
        <w:rFonts w:ascii="宋体" w:hAnsi="宋体" w:eastAsia="宋体"/>
        <w:sz w:val="28"/>
        <w:szCs w:val="28"/>
      </w:rPr>
    </w:pPr>
    <w:r>
      <w:rPr>
        <w:sz w:val="2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path/>
          <v:fill on="f" focussize="0,0"/>
          <v:stroke on="f" joinstyle="miter"/>
          <v:imagedata o:title=""/>
          <o:lock v:ext="edit"/>
          <v:textbox inset="0mm,0mm,0mm,0mm" style="mso-fit-shape-to-text:t;">
            <w:txbxContent>
              <w:p>
                <w:pPr>
                  <w:pStyle w:val="4"/>
                </w:pPr>
                <w:r>
                  <w:t xml:space="preserve">— </w:t>
                </w:r>
                <w:r>
                  <w:fldChar w:fldCharType="begin"/>
                </w:r>
                <w:r>
                  <w:instrText xml:space="preserve"> PAGE  \* MERGEFORMAT </w:instrText>
                </w:r>
                <w:r>
                  <w:fldChar w:fldCharType="separate"/>
                </w:r>
                <w:r>
                  <w:t>28</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true"/>
  <w:embedSystemFont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U3ZGUyYzJhYjVlODJiZjNhZDljYmFiN2JlODRmZjIifQ=="/>
  </w:docVars>
  <w:rsids>
    <w:rsidRoot w:val="55716970"/>
    <w:rsid w:val="00433762"/>
    <w:rsid w:val="007E35B4"/>
    <w:rsid w:val="008E455C"/>
    <w:rsid w:val="009D22E5"/>
    <w:rsid w:val="026C6D7F"/>
    <w:rsid w:val="042342F2"/>
    <w:rsid w:val="08082EA7"/>
    <w:rsid w:val="09616B3D"/>
    <w:rsid w:val="10456445"/>
    <w:rsid w:val="11627CCB"/>
    <w:rsid w:val="130D3C66"/>
    <w:rsid w:val="183B5489"/>
    <w:rsid w:val="19C516A8"/>
    <w:rsid w:val="19D84114"/>
    <w:rsid w:val="1A277D03"/>
    <w:rsid w:val="1DC96050"/>
    <w:rsid w:val="21745B1D"/>
    <w:rsid w:val="21FE134A"/>
    <w:rsid w:val="371A03FA"/>
    <w:rsid w:val="3F392CE3"/>
    <w:rsid w:val="462821CE"/>
    <w:rsid w:val="4BEF1B80"/>
    <w:rsid w:val="4C9C5B62"/>
    <w:rsid w:val="52135808"/>
    <w:rsid w:val="55716970"/>
    <w:rsid w:val="61BC3E5A"/>
    <w:rsid w:val="68410B12"/>
    <w:rsid w:val="6EA70149"/>
    <w:rsid w:val="71C70595"/>
    <w:rsid w:val="72DB610A"/>
    <w:rsid w:val="76C44D76"/>
    <w:rsid w:val="77FF228D"/>
    <w:rsid w:val="78A94DBA"/>
    <w:rsid w:val="7E9E3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keepNext/>
      <w:keepLines/>
      <w:spacing w:line="576" w:lineRule="auto"/>
      <w:jc w:val="left"/>
      <w:outlineLvl w:val="0"/>
    </w:pPr>
    <w:rPr>
      <w:rFonts w:eastAsia="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引文目录标题1"/>
    <w:basedOn w:val="1"/>
    <w:next w:val="1"/>
    <w:qFormat/>
    <w:uiPriority w:val="0"/>
    <w:rPr>
      <w:rFonts w:ascii="Arial" w:hAnsi="Arial" w:cs="Arial"/>
      <w:sz w:val="24"/>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Heading1"/>
    <w:next w:val="1"/>
    <w:qFormat/>
    <w:uiPriority w:val="0"/>
    <w:pPr>
      <w:keepNext/>
      <w:keepLines/>
      <w:widowControl w:val="0"/>
      <w:spacing w:line="576" w:lineRule="auto"/>
      <w:textAlignment w:val="baseline"/>
    </w:pPr>
    <w:rPr>
      <w:rFonts w:ascii="Times New Roman" w:hAnsi="Times New Roman" w:eastAsia="Times New Roman" w:cs="Times New Roman"/>
      <w:b/>
      <w:bCs/>
      <w:kern w:val="44"/>
      <w:sz w:val="44"/>
      <w:szCs w:val="44"/>
      <w:lang w:val="en-US" w:eastAsia="zh-CN" w:bidi="ar-SA"/>
    </w:rPr>
  </w:style>
  <w:style w:type="character" w:customStyle="1" w:styleId="9">
    <w:name w:val="font71"/>
    <w:basedOn w:val="7"/>
    <w:qFormat/>
    <w:uiPriority w:val="0"/>
    <w:rPr>
      <w:rFonts w:hint="eastAsia" w:ascii="方正仿宋_GBK" w:hAnsi="方正仿宋_GBK" w:eastAsia="方正仿宋_GBK" w:cs="方正仿宋_GBK"/>
      <w:color w:val="000000"/>
      <w:kern w:val="0"/>
      <w:sz w:val="21"/>
      <w:szCs w:val="21"/>
      <w:u w:val="none"/>
    </w:rPr>
  </w:style>
  <w:style w:type="character" w:customStyle="1" w:styleId="10">
    <w:name w:val="font21"/>
    <w:basedOn w:val="7"/>
    <w:qFormat/>
    <w:uiPriority w:val="0"/>
    <w:rPr>
      <w:rFonts w:hint="eastAsia" w:ascii="方正仿宋_GBK" w:hAnsi="方正仿宋_GBK" w:eastAsia="方正仿宋_GBK" w:cs="方正仿宋_GBK"/>
      <w:b/>
      <w:color w:val="FF0000"/>
      <w:kern w:val="0"/>
      <w:sz w:val="21"/>
      <w:szCs w:val="21"/>
      <w:u w:val="none"/>
    </w:rPr>
  </w:style>
  <w:style w:type="character" w:customStyle="1" w:styleId="11">
    <w:name w:val="font41"/>
    <w:basedOn w:val="7"/>
    <w:qFormat/>
    <w:uiPriority w:val="0"/>
    <w:rPr>
      <w:rFonts w:hint="eastAsia" w:ascii="方正仿宋_GBK" w:hAnsi="方正仿宋_GBK" w:eastAsia="方正仿宋_GBK" w:cs="方正仿宋_GBK"/>
      <w:color w:val="000000"/>
      <w:sz w:val="24"/>
      <w:szCs w:val="24"/>
      <w:u w:val="none"/>
    </w:rPr>
  </w:style>
  <w:style w:type="character" w:customStyle="1" w:styleId="12">
    <w:name w:val="font81"/>
    <w:basedOn w:val="7"/>
    <w:qFormat/>
    <w:uiPriority w:val="0"/>
    <w:rPr>
      <w:rFonts w:hint="eastAsia" w:ascii="方正仿宋_GBK" w:hAnsi="方正仿宋_GBK" w:eastAsia="方正仿宋_GBK" w:cs="方正仿宋_GBK"/>
      <w:color w:val="FF0000"/>
      <w:kern w:val="0"/>
      <w:sz w:val="21"/>
      <w:szCs w:val="21"/>
      <w:u w:val="none"/>
    </w:rPr>
  </w:style>
  <w:style w:type="character" w:customStyle="1" w:styleId="13">
    <w:name w:val="font01"/>
    <w:basedOn w:val="7"/>
    <w:qFormat/>
    <w:uiPriority w:val="0"/>
    <w:rPr>
      <w:rFonts w:hint="eastAsia" w:ascii="方正仿宋_GBK" w:hAnsi="方正仿宋_GBK" w:eastAsia="方正仿宋_GBK" w:cs="方正仿宋_GBK"/>
      <w:b/>
      <w:color w:val="FF0000"/>
      <w:kern w:val="0"/>
      <w:sz w:val="21"/>
      <w:szCs w:val="21"/>
      <w:u w:val="none"/>
    </w:rPr>
  </w:style>
  <w:style w:type="character" w:customStyle="1" w:styleId="14">
    <w:name w:val="font11"/>
    <w:basedOn w:val="7"/>
    <w:qFormat/>
    <w:uiPriority w:val="0"/>
    <w:rPr>
      <w:rFonts w:hint="eastAsia" w:ascii="方正仿宋_GBK" w:hAnsi="方正仿宋_GBK" w:eastAsia="方正仿宋_GBK" w:cs="方正仿宋_GBK"/>
      <w:color w:val="000000"/>
      <w:sz w:val="24"/>
      <w:szCs w:val="24"/>
      <w:u w:val="none"/>
    </w:rPr>
  </w:style>
  <w:style w:type="character" w:customStyle="1" w:styleId="15">
    <w:name w:val="页脚 Char"/>
    <w:basedOn w:val="7"/>
    <w:link w:val="4"/>
    <w:qFormat/>
    <w:uiPriority w:val="99"/>
    <w:rPr>
      <w:rFonts w:eastAsia="方正仿宋_GBK"/>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14273</Words>
  <Characters>1411</Characters>
  <Lines>11</Lines>
  <Paragraphs>31</Paragraphs>
  <TotalTime>3</TotalTime>
  <ScaleCrop>false</ScaleCrop>
  <LinksUpToDate>false</LinksUpToDate>
  <CharactersWithSpaces>15653</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2023-11-30T14:33:00Z</dcterms:created>
  <dc:creator>徐秋艳</dc:creator>
  <cp:lastModifiedBy> </cp:lastModifiedBy>
  <cp:lastPrinted>2023-11-29T15:36:00Z</cp:lastPrinted>
  <dcterms:modified xsi:type="dcterms:W3CDTF">2023-12-11T11:48:14Z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F557ECA48F694D6EAA8FA1E678B254BB_12</vt:lpwstr>
  </property>
</Properties>
</file>