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Cs w:val="32"/>
        </w:rPr>
      </w:pPr>
      <w:r>
        <w:rPr>
          <w:szCs w:val="32"/>
        </w:rPr>
        <w:pict>
          <v:group id="组合 21" o:spid="_x0000_s2050" o:spt="203" style="position:absolute;left:0pt;margin-left:-24.45pt;margin-top:9.55pt;height:221.9pt;width:488pt;z-index:251659264;mso-width-relative:page;mso-height-relative:page;" coordorigin="1223,2388" coordsize="9760,4438">
            <o:lock v:ext="edit"/>
            <v:shape id="文本框 5" o:spid="_x0000_s2051" o:spt="202" alt="文本框: 酉阳土家族苗族自治县人民政府办公室文件&#10;&#10;" type="#_x0000_t202" style="position:absolute;left:1223;top:2388;height:3555;width:9760;" stroked="t" coordsize="21600,21600">
              <v:path/>
              <v:fill focussize="0,0"/>
              <v:stroke weight="1pt" color="#FFFFFF" dashstyle="dash"/>
              <v:imagedata o:title=""/>
              <o:lock v:ext="edit"/>
              <v:textbox>
                <w:txbxContent>
                  <w:p>
                    <w:pPr>
                      <w:snapToGrid w:val="0"/>
                      <w:ind w:firstLine="198"/>
                      <w:jc w:val="center"/>
                      <w:rPr>
                        <w:rFonts w:ascii="方正小标宋_GBK" w:eastAsia="方正小标宋_GBK" w:cs="方正小标宋_GBK"/>
                        <w:b/>
                        <w:color w:val="000000"/>
                        <w:w w:val="50"/>
                        <w:sz w:val="104"/>
                        <w:szCs w:val="104"/>
                      </w:rPr>
                    </w:pPr>
                  </w:p>
                  <w:p>
                    <w:pPr>
                      <w:snapToGrid w:val="0"/>
                      <w:jc w:val="center"/>
                      <w:rPr>
                        <w:rFonts w:ascii="方正小标宋_GBK" w:eastAsia="方正小标宋_GBK" w:cs="方正小标宋_GBK"/>
                        <w:b/>
                        <w:color w:val="FF0000"/>
                        <w:spacing w:val="-12"/>
                        <w:w w:val="50"/>
                        <w:sz w:val="101"/>
                        <w:szCs w:val="101"/>
                      </w:rPr>
                    </w:pPr>
                    <w:r>
                      <w:rPr>
                        <w:rFonts w:hint="eastAsia" w:ascii="方正小标宋_GBK" w:eastAsia="方正小标宋_GBK" w:cs="方正小标宋_GBK"/>
                        <w:b/>
                        <w:color w:val="FF0000"/>
                        <w:spacing w:val="-12"/>
                        <w:w w:val="50"/>
                        <w:sz w:val="101"/>
                        <w:szCs w:val="101"/>
                      </w:rPr>
                      <w:t>酉阳土家族苗族自治县人民政府办公室文件</w:t>
                    </w:r>
                  </w:p>
                  <w:p>
                    <w:pPr>
                      <w:jc w:val="center"/>
                    </w:pPr>
                  </w:p>
                </w:txbxContent>
              </v:textbox>
            </v:shape>
            <v:shape id="自选图形 6" o:spid="_x0000_s2052" o:spt="32" type="#_x0000_t32" style="position:absolute;left:1413;top:6826;height:0;width:9312;" o:connectortype="straight" filled="f" stroked="t" coordsize="21600,21600">
              <v:path arrowok="t"/>
              <v:fill on="f" focussize="0,0"/>
              <v:stroke weight="1.75pt" color="#FF0000"/>
              <v:imagedata o:title=""/>
              <o:lock v:ext="edit"/>
            </v:shape>
          </v:group>
        </w:pict>
      </w:r>
    </w:p>
    <w:p>
      <w:pPr>
        <w:pStyle w:val="32"/>
      </w:pPr>
    </w:p>
    <w:p>
      <w:pPr>
        <w:pStyle w:val="32"/>
        <w:rPr>
          <w:szCs w:val="32"/>
        </w:rPr>
      </w:pPr>
    </w:p>
    <w:p>
      <w:pPr>
        <w:rPr>
          <w:szCs w:val="32"/>
        </w:rPr>
      </w:pPr>
    </w:p>
    <w:p>
      <w:pPr>
        <w:pStyle w:val="2"/>
      </w:pPr>
    </w:p>
    <w:p/>
    <w:p>
      <w:pPr>
        <w:jc w:val="center"/>
        <w:rPr>
          <w:szCs w:val="32"/>
        </w:rPr>
      </w:pPr>
    </w:p>
    <w:p>
      <w:pPr>
        <w:jc w:val="center"/>
        <w:rPr>
          <w:szCs w:val="32"/>
        </w:rPr>
      </w:pPr>
      <w:r>
        <w:rPr>
          <w:szCs w:val="32"/>
        </w:rPr>
        <w:t>酉阳府办发〔2023〕</w:t>
      </w:r>
      <w:r>
        <w:rPr>
          <w:rFonts w:hint="eastAsia"/>
          <w:szCs w:val="32"/>
        </w:rPr>
        <w:t>2</w:t>
      </w:r>
      <w:r>
        <w:rPr>
          <w:rFonts w:hint="eastAsia"/>
          <w:szCs w:val="32"/>
          <w:lang w:val="en-US" w:eastAsia="zh-CN"/>
        </w:rPr>
        <w:t>8</w:t>
      </w:r>
      <w:r>
        <w:rPr>
          <w:szCs w:val="32"/>
        </w:rPr>
        <w:t>号</w:t>
      </w:r>
    </w:p>
    <w:p>
      <w:pPr>
        <w:rPr>
          <w:szCs w:val="32"/>
        </w:rPr>
      </w:pPr>
    </w:p>
    <w:p>
      <w:pPr>
        <w:pStyle w:val="2"/>
        <w:rPr>
          <w:rFonts w:ascii="Times New Roman" w:hAnsi="Times New Roman" w:eastAsia="方正小标宋_GBK" w:cs="Times New Roman"/>
          <w:kern w:val="36"/>
          <w:sz w:val="44"/>
          <w:szCs w:val="44"/>
        </w:rPr>
      </w:pPr>
    </w:p>
    <w:p>
      <w:pPr>
        <w:pStyle w:val="12"/>
        <w:widowControl/>
        <w:adjustRightInd w:val="0"/>
        <w:snapToGrid w:val="0"/>
        <w:spacing w:beforeAutospacing="0" w:afterAutospacing="0" w:line="560" w:lineRule="exact"/>
        <w:jc w:val="center"/>
        <w:textAlignment w:val="baseline"/>
        <w:rPr>
          <w:rFonts w:ascii="方正小标宋_GBK" w:eastAsia="方正小标宋_GBK"/>
          <w:sz w:val="44"/>
          <w:szCs w:val="44"/>
        </w:rPr>
      </w:pPr>
      <w:r>
        <w:rPr>
          <w:rFonts w:hint="eastAsia" w:ascii="方正小标宋_GBK" w:eastAsia="方正小标宋_GBK"/>
          <w:sz w:val="44"/>
          <w:szCs w:val="44"/>
        </w:rPr>
        <w:t>酉阳土家族苗族自治县人民政府办公室</w:t>
      </w:r>
    </w:p>
    <w:p>
      <w:pPr>
        <w:pStyle w:val="12"/>
        <w:widowControl/>
        <w:adjustRightInd w:val="0"/>
        <w:snapToGrid w:val="0"/>
        <w:spacing w:beforeAutospacing="0" w:afterAutospacing="0" w:line="560" w:lineRule="exact"/>
        <w:jc w:val="center"/>
        <w:textAlignment w:val="baseline"/>
        <w:rPr>
          <w:rFonts w:ascii="方正小标宋_GBK" w:eastAsia="方正小标宋_GBK"/>
          <w:sz w:val="44"/>
          <w:szCs w:val="44"/>
        </w:rPr>
      </w:pPr>
      <w:r>
        <w:rPr>
          <w:rFonts w:hint="eastAsia" w:ascii="方正小标宋_GBK" w:eastAsia="方正小标宋_GBK"/>
          <w:sz w:val="44"/>
          <w:szCs w:val="44"/>
        </w:rPr>
        <w:t>关于印发酉阳自治县深化乡镇（街道）综合</w:t>
      </w:r>
    </w:p>
    <w:p>
      <w:pPr>
        <w:pStyle w:val="12"/>
        <w:widowControl/>
        <w:adjustRightInd w:val="0"/>
        <w:snapToGrid w:val="0"/>
        <w:spacing w:beforeAutospacing="0" w:afterAutospacing="0" w:line="560" w:lineRule="exact"/>
        <w:jc w:val="center"/>
        <w:textAlignment w:val="baseline"/>
        <w:rPr>
          <w:rFonts w:ascii="方正小标宋_GBK" w:eastAsia="方正小标宋_GBK"/>
          <w:sz w:val="44"/>
          <w:szCs w:val="44"/>
        </w:rPr>
      </w:pPr>
      <w:r>
        <w:rPr>
          <w:rFonts w:hint="eastAsia" w:ascii="方正小标宋_GBK" w:eastAsia="方正小标宋_GBK"/>
          <w:sz w:val="44"/>
          <w:szCs w:val="44"/>
        </w:rPr>
        <w:t>行政执法改革实施方案的通知</w:t>
      </w:r>
    </w:p>
    <w:p>
      <w:pPr>
        <w:spacing w:line="560" w:lineRule="exact"/>
        <w:rPr>
          <w:color w:val="000000"/>
          <w:szCs w:val="32"/>
        </w:rPr>
      </w:pPr>
    </w:p>
    <w:p>
      <w:pPr>
        <w:spacing w:line="560" w:lineRule="exact"/>
        <w:rPr>
          <w:rFonts w:hAnsi="方正仿宋_GBK"/>
          <w:color w:val="000000"/>
          <w:kern w:val="0"/>
          <w:szCs w:val="32"/>
        </w:rPr>
      </w:pPr>
      <w:r>
        <w:rPr>
          <w:rFonts w:hint="eastAsia" w:hAnsi="方正仿宋_GBK"/>
          <w:color w:val="000000"/>
          <w:kern w:val="0"/>
          <w:szCs w:val="32"/>
        </w:rPr>
        <w:t>各乡镇人民政府，各街道办事处，县府各部门，有关单位：</w:t>
      </w:r>
    </w:p>
    <w:p>
      <w:pPr>
        <w:spacing w:line="560" w:lineRule="exact"/>
        <w:ind w:firstLine="632" w:firstLineChars="200"/>
        <w:rPr>
          <w:rFonts w:hAnsi="方正仿宋_GBK"/>
          <w:color w:val="000000"/>
          <w:kern w:val="0"/>
          <w:szCs w:val="32"/>
        </w:rPr>
      </w:pPr>
      <w:r>
        <w:rPr>
          <w:rFonts w:hint="eastAsia" w:hAnsi="方正仿宋_GBK"/>
          <w:color w:val="000000"/>
          <w:kern w:val="0"/>
          <w:szCs w:val="32"/>
        </w:rPr>
        <w:t>《酉阳自治县深化乡镇（街道）综合行政执法改革实施方案》已经</w:t>
      </w:r>
      <w:r>
        <w:rPr>
          <w:rFonts w:hint="eastAsia"/>
          <w:szCs w:val="32"/>
        </w:rPr>
        <w:t>十五届县委第80次常委会和</w:t>
      </w:r>
      <w:r>
        <w:rPr>
          <w:szCs w:val="32"/>
        </w:rPr>
        <w:t>县十八届人民政府第</w:t>
      </w:r>
      <w:r>
        <w:rPr>
          <w:rFonts w:hint="eastAsia"/>
          <w:szCs w:val="32"/>
        </w:rPr>
        <w:t>46</w:t>
      </w:r>
      <w:r>
        <w:rPr>
          <w:szCs w:val="32"/>
        </w:rPr>
        <w:t>次常务会议审定，</w:t>
      </w:r>
      <w:r>
        <w:rPr>
          <w:rFonts w:hint="eastAsia" w:hAnsi="方正仿宋_GBK"/>
          <w:color w:val="000000"/>
          <w:kern w:val="0"/>
          <w:szCs w:val="32"/>
        </w:rPr>
        <w:t>现印发给你们，请认真贯彻执行。</w:t>
      </w:r>
    </w:p>
    <w:p>
      <w:pPr>
        <w:spacing w:line="560" w:lineRule="exact"/>
      </w:pPr>
    </w:p>
    <w:p>
      <w:pPr>
        <w:spacing w:line="560" w:lineRule="exact"/>
        <w:ind w:firstLine="632" w:firstLineChars="200"/>
      </w:pPr>
      <w:r>
        <w:rPr>
          <w:rFonts w:hint="eastAsia" w:ascii="方正仿宋_GBK" w:hAnsi="方正仿宋_GBK" w:cs="方正仿宋_GBK"/>
          <w:szCs w:val="32"/>
        </w:rPr>
        <w:t xml:space="preserve">          </w:t>
      </w:r>
      <w:r>
        <w:rPr>
          <w:rFonts w:hint="eastAsia"/>
        </w:rPr>
        <w:t xml:space="preserve">      酉阳土家族苗族自治县人民政府办公室</w:t>
      </w:r>
    </w:p>
    <w:p>
      <w:pPr>
        <w:spacing w:line="560" w:lineRule="exact"/>
        <w:ind w:firstLine="632" w:firstLineChars="200"/>
      </w:pPr>
      <w:r>
        <w:rPr>
          <w:rFonts w:hint="eastAsia"/>
        </w:rPr>
        <w:t xml:space="preserve">                        2023年11月29日</w:t>
      </w:r>
    </w:p>
    <w:p>
      <w:pPr>
        <w:pStyle w:val="2"/>
      </w:pPr>
      <w:r>
        <w:rPr>
          <w:rFonts w:hint="eastAsia"/>
        </w:rPr>
        <w:t xml:space="preserve">     </w:t>
      </w:r>
      <w:r>
        <w:rPr>
          <w:rFonts w:hint="eastAsia" w:ascii="Times New Roman" w:hAnsi="方正仿宋_GBK" w:eastAsia="方正仿宋_GBK" w:cs="Times New Roman"/>
          <w:sz w:val="32"/>
          <w:szCs w:val="32"/>
        </w:rPr>
        <w:t>（此件公开发布）</w:t>
      </w:r>
    </w:p>
    <w:p>
      <w:pPr>
        <w:snapToGrid w:val="0"/>
        <w:spacing w:line="560" w:lineRule="exact"/>
        <w:jc w:val="center"/>
        <w:rPr>
          <w:rFonts w:eastAsia="方正小标宋_GBK"/>
          <w:sz w:val="44"/>
          <w:szCs w:val="44"/>
        </w:rPr>
      </w:pPr>
      <w:r>
        <w:rPr>
          <w:rFonts w:hint="eastAsia" w:eastAsia="方正小标宋_GBK" w:cs="方正小标宋_GBK"/>
          <w:kern w:val="0"/>
          <w:sz w:val="44"/>
          <w:szCs w:val="44"/>
        </w:rPr>
        <w:br w:type="page"/>
      </w:r>
      <w:r>
        <w:rPr>
          <w:rFonts w:hint="eastAsia" w:eastAsia="方正小标宋_GBK"/>
          <w:sz w:val="44"/>
          <w:szCs w:val="44"/>
        </w:rPr>
        <w:t>酉阳自治县深化乡镇（街道）综合行政</w:t>
      </w:r>
    </w:p>
    <w:p>
      <w:pPr>
        <w:snapToGrid w:val="0"/>
        <w:spacing w:line="560" w:lineRule="exact"/>
        <w:jc w:val="center"/>
        <w:rPr>
          <w:rFonts w:eastAsia="方正小标宋_GBK"/>
          <w:sz w:val="44"/>
          <w:szCs w:val="44"/>
        </w:rPr>
      </w:pPr>
      <w:r>
        <w:rPr>
          <w:rFonts w:hint="eastAsia" w:eastAsia="方正小标宋_GBK"/>
          <w:sz w:val="44"/>
          <w:szCs w:val="44"/>
        </w:rPr>
        <w:t>执法改革实施方案</w:t>
      </w:r>
    </w:p>
    <w:p>
      <w:pPr>
        <w:widowControl/>
        <w:spacing w:line="560" w:lineRule="exact"/>
        <w:jc w:val="left"/>
        <w:rPr>
          <w:rFonts w:eastAsia="仿宋_GB2312" w:cs="仿宋_GB2312"/>
          <w:kern w:val="0"/>
          <w:szCs w:val="32"/>
        </w:rPr>
      </w:pPr>
    </w:p>
    <w:p>
      <w:pPr>
        <w:widowControl/>
        <w:spacing w:line="560" w:lineRule="exact"/>
        <w:ind w:firstLine="632" w:firstLineChars="200"/>
        <w:rPr>
          <w:rFonts w:cs="方正仿宋_GBK"/>
          <w:szCs w:val="32"/>
        </w:rPr>
      </w:pPr>
      <w:r>
        <w:rPr>
          <w:rFonts w:hint="eastAsia" w:cs="方正仿宋_GBK"/>
          <w:szCs w:val="32"/>
        </w:rPr>
        <w:t>为全面深入贯彻《中共中央国务院关于加强基层治理体系和治理能力现代化建设的意见》（中发</w:t>
      </w:r>
      <w:r>
        <w:rPr>
          <w:rFonts w:hint="eastAsia" w:cs="方正仿宋_GBK"/>
          <w:kern w:val="0"/>
          <w:szCs w:val="32"/>
        </w:rPr>
        <w:t>〔2021〕16号</w:t>
      </w:r>
      <w:r>
        <w:rPr>
          <w:rFonts w:hint="eastAsia" w:cs="方正仿宋_GBK"/>
          <w:szCs w:val="32"/>
        </w:rPr>
        <w:t>）</w:t>
      </w:r>
      <w:r>
        <w:rPr>
          <w:rFonts w:hint="eastAsia"/>
        </w:rPr>
        <w:t>《中共中央办公厅国务院办公厅关于推进基层整合审批服务执法力量的实施意见》（中办发</w:t>
      </w:r>
      <w:r>
        <w:rPr>
          <w:rFonts w:hint="eastAsia" w:cs="方正仿宋_GBK"/>
          <w:kern w:val="0"/>
          <w:szCs w:val="32"/>
        </w:rPr>
        <w:t>〔2019〕5号</w:t>
      </w:r>
      <w:r>
        <w:rPr>
          <w:rFonts w:hint="eastAsia"/>
        </w:rPr>
        <w:t>）</w:t>
      </w:r>
      <w:r>
        <w:rPr>
          <w:rFonts w:hint="eastAsia" w:cs="方正仿宋_GBK"/>
          <w:szCs w:val="32"/>
        </w:rPr>
        <w:t>精神，认真落实重庆市委关于加强党建统领基层治理和深化行政执法体制改革工作要求，创</w:t>
      </w:r>
      <w:r>
        <w:rPr>
          <w:rFonts w:hint="eastAsia" w:cs="方正仿宋_GBK"/>
          <w:kern w:val="0"/>
          <w:szCs w:val="32"/>
        </w:rPr>
        <w:t>新和完善综合行政执法体制机制，高效推动乡镇（街道）综合行政执法改革落地见效，根据《重庆市人民政府办公厅关于深化乡镇（街道）综合行政执法改革的实施意见》（渝府办发〔2023〕74号），结合我县实际，制定本实施方案。</w:t>
      </w:r>
    </w:p>
    <w:p>
      <w:pPr>
        <w:widowControl/>
        <w:spacing w:line="560" w:lineRule="exact"/>
        <w:ind w:firstLine="632" w:firstLineChars="200"/>
        <w:rPr>
          <w:rFonts w:eastAsia="方正黑体_GBK" w:cs="方正黑体_GBK"/>
          <w:kern w:val="0"/>
          <w:szCs w:val="32"/>
        </w:rPr>
      </w:pPr>
      <w:r>
        <w:rPr>
          <w:rFonts w:hint="eastAsia" w:eastAsia="方正黑体_GBK" w:cs="方正黑体_GBK"/>
          <w:kern w:val="0"/>
          <w:szCs w:val="32"/>
        </w:rPr>
        <w:t>一、总体要求</w:t>
      </w:r>
    </w:p>
    <w:p>
      <w:pPr>
        <w:adjustRightInd w:val="0"/>
        <w:snapToGrid w:val="0"/>
        <w:spacing w:line="560" w:lineRule="exact"/>
        <w:ind w:firstLine="632" w:firstLineChars="200"/>
        <w:rPr>
          <w:rFonts w:eastAsia="楷体" w:cs="楷体"/>
          <w:szCs w:val="32"/>
        </w:rPr>
      </w:pPr>
      <w:r>
        <w:rPr>
          <w:rFonts w:hint="eastAsia" w:ascii="方正楷体_GBK" w:hAnsi="方正楷体_GBK" w:eastAsia="方正楷体_GBK" w:cs="方正楷体_GBK"/>
          <w:szCs w:val="32"/>
        </w:rPr>
        <w:t>（一）指导思想</w:t>
      </w:r>
    </w:p>
    <w:p>
      <w:pPr>
        <w:adjustRightInd w:val="0"/>
        <w:snapToGrid w:val="0"/>
        <w:spacing w:line="560" w:lineRule="exact"/>
        <w:ind w:firstLine="632" w:firstLineChars="200"/>
        <w:rPr>
          <w:rFonts w:cs="宋体"/>
          <w:szCs w:val="32"/>
        </w:rPr>
      </w:pPr>
      <w:r>
        <w:rPr>
          <w:rFonts w:hint="eastAsia" w:cs="方正仿宋_GBK"/>
          <w:szCs w:val="32"/>
        </w:rPr>
        <w:t>坚持以习近平新时代中国特色社会主义思想为指导，全面贯彻党的二十大精神，深入学习贯彻习近平法治思想，</w:t>
      </w:r>
      <w:r>
        <w:rPr>
          <w:rFonts w:hint="eastAsia" w:cs="宋体"/>
          <w:szCs w:val="32"/>
        </w:rPr>
        <w:t>认真落实市委六届二次、三次全</w:t>
      </w:r>
      <w:r>
        <w:rPr>
          <w:rFonts w:hint="eastAsia" w:cs="方正仿宋_GBK"/>
          <w:szCs w:val="32"/>
        </w:rPr>
        <w:t>会和县委十五届四次、五次全会精神</w:t>
      </w:r>
      <w:r>
        <w:rPr>
          <w:rFonts w:hint="eastAsia" w:cs="宋体"/>
          <w:szCs w:val="32"/>
        </w:rPr>
        <w:t>，坚持党建统领、便民利民、综合集成、数字赋能，推动乡镇（街道）执法事项综合、执法力量综合、执法方式综合，加快形成职责清晰、协同高效、机制健全、行为规范、监督有力的乡镇（街道）行政执法新格局。</w:t>
      </w:r>
    </w:p>
    <w:p>
      <w:pPr>
        <w:adjustRightInd w:val="0"/>
        <w:snapToGrid w:val="0"/>
        <w:spacing w:line="560" w:lineRule="exact"/>
        <w:ind w:firstLine="632" w:firstLineChars="200"/>
        <w:rPr>
          <w:rFonts w:ascii="方正楷体_GBK" w:hAnsi="方正楷体_GBK" w:eastAsia="方正楷体_GBK" w:cs="方正楷体_GBK"/>
          <w:szCs w:val="32"/>
        </w:rPr>
      </w:pPr>
      <w:r>
        <w:rPr>
          <w:rFonts w:hint="eastAsia" w:ascii="方正楷体_GBK" w:hAnsi="方正楷体_GBK" w:eastAsia="方正楷体_GBK" w:cs="方正楷体_GBK"/>
          <w:szCs w:val="32"/>
        </w:rPr>
        <w:t>（二）基本原则</w:t>
      </w:r>
    </w:p>
    <w:p>
      <w:pPr>
        <w:spacing w:line="560" w:lineRule="exact"/>
        <w:ind w:firstLine="632" w:firstLineChars="200"/>
        <w:rPr>
          <w:rFonts w:cs="方正仿宋_GBK"/>
          <w:szCs w:val="32"/>
        </w:rPr>
      </w:pPr>
      <w:r>
        <w:rPr>
          <w:rFonts w:hint="eastAsia" w:cs="方正仿宋_GBK"/>
          <w:szCs w:val="32"/>
        </w:rPr>
        <w:t>——坚持以人民为中心。把群众是否受益、是否满意作为推进乡镇（街道）综合行政执法改革的出发点和落脚点，着力解决群众关切、反映强烈的行政执法领域突出问题，建立健全基层综合行政执法管理体制、运行机制、工作制度。</w:t>
      </w:r>
    </w:p>
    <w:p>
      <w:pPr>
        <w:spacing w:line="560" w:lineRule="exact"/>
        <w:ind w:firstLine="632" w:firstLineChars="200"/>
        <w:rPr>
          <w:rFonts w:cs="方正仿宋_GBK"/>
          <w:szCs w:val="32"/>
        </w:rPr>
      </w:pPr>
      <w:r>
        <w:rPr>
          <w:rFonts w:hint="eastAsia" w:cs="方正仿宋_GBK"/>
          <w:szCs w:val="32"/>
        </w:rPr>
        <w:t>——坚持严格依法行政。运用法治思维和法治方式履行执法职能，进一步完善执法体系和执法程序，促进严格规范公正文明执法。完善执法运行监督机制，推进乡镇（街道）依法履行职责。</w:t>
      </w:r>
    </w:p>
    <w:p>
      <w:pPr>
        <w:spacing w:line="560" w:lineRule="exact"/>
        <w:ind w:firstLine="632" w:firstLineChars="200"/>
        <w:rPr>
          <w:rFonts w:cs="方正仿宋_GBK"/>
          <w:szCs w:val="32"/>
        </w:rPr>
      </w:pPr>
      <w:r>
        <w:rPr>
          <w:rFonts w:hint="eastAsia" w:cs="方正仿宋_GBK"/>
          <w:szCs w:val="32"/>
        </w:rPr>
        <w:t>——坚持优化协同高效。强化乡镇（街道）在基层治理中的主体地位，推动执法资源向基层下沉，厘清层级权责，理顺条块关系，打破信息壁垒，统筹配置资源，提升基层执法的法治化、智能化和专业化水平。</w:t>
      </w:r>
    </w:p>
    <w:p>
      <w:pPr>
        <w:spacing w:line="560" w:lineRule="exact"/>
        <w:ind w:firstLine="632" w:firstLineChars="200"/>
        <w:rPr>
          <w:rFonts w:cs="方正仿宋_GBK"/>
          <w:szCs w:val="32"/>
        </w:rPr>
      </w:pPr>
      <w:r>
        <w:rPr>
          <w:rFonts w:hint="eastAsia" w:cs="方正仿宋_GBK"/>
          <w:szCs w:val="32"/>
        </w:rPr>
        <w:t>——坚持改革创新实践。坚持问题导向和目标导向相统一，着眼解决与群众生产生活密切相关、执法频率高、多头执法、执法扰民等突出问题，创新监管方式，加大监管力度，强化执法信息共享，提升监管执法效能。</w:t>
      </w:r>
    </w:p>
    <w:p>
      <w:pPr>
        <w:adjustRightInd w:val="0"/>
        <w:snapToGrid w:val="0"/>
        <w:spacing w:line="560" w:lineRule="exact"/>
        <w:ind w:firstLine="632" w:firstLineChars="200"/>
        <w:rPr>
          <w:rFonts w:ascii="方正楷体_GBK" w:hAnsi="方正楷体_GBK" w:eastAsia="方正楷体_GBK" w:cs="方正楷体_GBK"/>
          <w:szCs w:val="32"/>
        </w:rPr>
      </w:pPr>
      <w:r>
        <w:rPr>
          <w:rFonts w:hint="eastAsia" w:ascii="方正楷体_GBK" w:hAnsi="方正楷体_GBK" w:eastAsia="方正楷体_GBK" w:cs="方正楷体_GBK"/>
          <w:szCs w:val="32"/>
        </w:rPr>
        <w:t>（三）主要目标</w:t>
      </w:r>
    </w:p>
    <w:p>
      <w:pPr>
        <w:widowControl/>
        <w:spacing w:line="560" w:lineRule="exact"/>
        <w:ind w:firstLine="632" w:firstLineChars="200"/>
        <w:rPr>
          <w:rFonts w:cs="方正仿宋_GBK"/>
          <w:szCs w:val="32"/>
        </w:rPr>
      </w:pPr>
      <w:r>
        <w:rPr>
          <w:rFonts w:hint="eastAsia" w:cs="方正仿宋_GBK"/>
          <w:szCs w:val="32"/>
        </w:rPr>
        <w:t>对标市委改革工作要求，以数字化变革为引领，优化完善乡镇（街道）综合行政执法范围，整合行政执法力量，创新行政执法方式，健全指挥调度体系，整体提升行政执法效能。</w:t>
      </w:r>
    </w:p>
    <w:p>
      <w:pPr>
        <w:adjustRightInd w:val="0"/>
        <w:snapToGrid w:val="0"/>
        <w:spacing w:line="560" w:lineRule="exact"/>
        <w:ind w:firstLine="632" w:firstLineChars="200"/>
        <w:outlineLvl w:val="1"/>
        <w:rPr>
          <w:rFonts w:cs="方正仿宋_GBK"/>
          <w:szCs w:val="32"/>
        </w:rPr>
      </w:pPr>
      <w:r>
        <w:rPr>
          <w:rFonts w:hint="eastAsia" w:cs="方正仿宋_GBK"/>
          <w:szCs w:val="32"/>
        </w:rPr>
        <w:t>——到2023年年底，乡镇（街道）</w:t>
      </w:r>
      <w:r>
        <w:rPr>
          <w:rFonts w:hint="eastAsia" w:ascii="方正仿宋_GBK" w:hAnsi="方正仿宋_GBK" w:cs="方正仿宋_GBK"/>
          <w:color w:val="000000"/>
          <w:szCs w:val="32"/>
        </w:rPr>
        <w:t>综合行政执法基本融入“一中心四板块一网格”基层智治体系，</w:t>
      </w:r>
      <w:r>
        <w:rPr>
          <w:rFonts w:hint="eastAsia" w:cs="方正仿宋_GBK"/>
          <w:szCs w:val="32"/>
        </w:rPr>
        <w:t>高频率、高综合、高需求、易发现、易处置的执法事项纳入乡镇（街道）综合行政执法范围，综合行政执法事项拓展到40%以上的执法领域，全面运行“执法+监督”一体化数字集成应用，执法监管“一件事”场景应用推广到10件以上，实现“一支队伍管执法”。</w:t>
      </w:r>
    </w:p>
    <w:p>
      <w:pPr>
        <w:adjustRightInd w:val="0"/>
        <w:snapToGrid w:val="0"/>
        <w:spacing w:line="560" w:lineRule="exact"/>
        <w:ind w:firstLine="632" w:firstLineChars="200"/>
        <w:outlineLvl w:val="1"/>
        <w:rPr>
          <w:rFonts w:cs="方正仿宋_GBK"/>
          <w:szCs w:val="32"/>
        </w:rPr>
      </w:pPr>
      <w:r>
        <w:rPr>
          <w:rFonts w:hint="eastAsia" w:cs="方正仿宋_GBK"/>
          <w:szCs w:val="32"/>
        </w:rPr>
        <w:t>——到2025年年底，</w:t>
      </w:r>
      <w:r>
        <w:rPr>
          <w:rFonts w:hint="eastAsia" w:ascii="方正仿宋_GBK" w:hAnsi="方正仿宋_GBK" w:cs="方正仿宋_GBK"/>
          <w:color w:val="000000"/>
          <w:szCs w:val="32"/>
        </w:rPr>
        <w:t>乡镇（街道）综合行政执法全面融入“一中心四板块一网格”基层智治体系，</w:t>
      </w:r>
      <w:r>
        <w:rPr>
          <w:rFonts w:hint="eastAsia" w:cs="方正仿宋_GBK"/>
          <w:szCs w:val="32"/>
        </w:rPr>
        <w:t>乡镇（街道）综合行政执法体制机制更加完善，综合行政执法事项拓展到70%以上的执法领域，“执法+监督”一体化数字集成应用迭代升级，执法监管“一件事”场景应用推广到30件以上，综合行政执法能力达到西部领先水平。</w:t>
      </w:r>
    </w:p>
    <w:p>
      <w:pPr>
        <w:adjustRightInd w:val="0"/>
        <w:snapToGrid w:val="0"/>
        <w:spacing w:line="560" w:lineRule="exact"/>
        <w:ind w:firstLine="632" w:firstLineChars="200"/>
        <w:outlineLvl w:val="1"/>
        <w:rPr>
          <w:rFonts w:cs="方正仿宋_GBK"/>
          <w:szCs w:val="32"/>
        </w:rPr>
      </w:pPr>
      <w:r>
        <w:rPr>
          <w:rFonts w:hint="eastAsia" w:cs="方正仿宋_GBK"/>
          <w:szCs w:val="32"/>
        </w:rPr>
        <w:t>——到2027年年底，乡镇（街道）“多跨协同、整体高效”行政执法体制机制基本健全，“执法+监督”一体化数字集成应用迭代升级实现常态化，执法监管“一件事”场景应用推广到50件以上，乡镇（街道）综合行政执法能力水平跻身全国前列。</w:t>
      </w:r>
    </w:p>
    <w:p>
      <w:pPr>
        <w:pStyle w:val="2"/>
        <w:spacing w:line="560" w:lineRule="exact"/>
        <w:ind w:firstLine="632" w:firstLineChars="200"/>
        <w:rPr>
          <w:rFonts w:ascii="Times New Roman" w:hAnsi="Times New Roman" w:eastAsia="方正黑体_GBK" w:cs="方正黑体_GBK"/>
          <w:color w:val="auto"/>
          <w:sz w:val="32"/>
          <w:szCs w:val="32"/>
        </w:rPr>
      </w:pPr>
      <w:r>
        <w:rPr>
          <w:rFonts w:hint="eastAsia" w:ascii="Times New Roman" w:hAnsi="Times New Roman" w:eastAsia="方正黑体_GBK" w:cs="方正黑体_GBK"/>
          <w:color w:val="auto"/>
          <w:sz w:val="32"/>
          <w:szCs w:val="32"/>
        </w:rPr>
        <w:t>二、主要任务</w:t>
      </w:r>
    </w:p>
    <w:p>
      <w:pPr>
        <w:adjustRightInd w:val="0"/>
        <w:snapToGrid w:val="0"/>
        <w:spacing w:line="560" w:lineRule="exact"/>
        <w:ind w:firstLine="632" w:firstLineChars="200"/>
        <w:rPr>
          <w:rFonts w:cs="方正仿宋_GBK"/>
          <w:szCs w:val="32"/>
        </w:rPr>
      </w:pPr>
      <w:r>
        <w:rPr>
          <w:rFonts w:hint="eastAsia" w:ascii="方正楷体_GBK" w:hAnsi="方正楷体_GBK" w:eastAsia="方正楷体_GBK" w:cs="方正楷体_GBK"/>
          <w:szCs w:val="32"/>
        </w:rPr>
        <w:t>（一）明晰执法事项。</w:t>
      </w:r>
      <w:r>
        <w:rPr>
          <w:rFonts w:hint="eastAsia" w:cs="方正仿宋_GBK"/>
          <w:szCs w:val="32"/>
        </w:rPr>
        <w:t>构建“法定执法+赋权执法+委托执法”的乡镇（街道）综合行政执法新模式</w:t>
      </w:r>
      <w:r>
        <w:rPr>
          <w:rFonts w:hint="eastAsia"/>
        </w:rPr>
        <w:t>，进一步明晰执法事项</w:t>
      </w:r>
      <w:r>
        <w:rPr>
          <w:rFonts w:hint="eastAsia" w:cs="方正仿宋_GBK"/>
          <w:szCs w:val="32"/>
        </w:rPr>
        <w:t>。根据《重庆市乡镇（街道）法定行政执法事项清单》《重庆市赋予乡镇（街道）部分区县级行政执法事项指导清单（2023年）》，结合我县实际，按照法定执法事项、通用赋权事项全面承接、自选赋权事项承接不低于15%的标准，结合乡镇（街道）委托执法事项，组织梳理乡镇（街道）综合行政执法事项清单，</w:t>
      </w:r>
      <w:r>
        <w:rPr>
          <w:rFonts w:hint="eastAsia"/>
        </w:rPr>
        <w:t>同类型乡镇（街道）选取的自选赋权事项保持基</w:t>
      </w:r>
      <w:r>
        <w:rPr>
          <w:rFonts w:hint="eastAsia"/>
          <w:spacing w:val="-3"/>
        </w:rPr>
        <w:t>本一致。乡镇（街道）依法接受委托的执法事项一并纳入抓好落实。</w:t>
      </w:r>
    </w:p>
    <w:p>
      <w:pPr>
        <w:adjustRightInd w:val="0"/>
        <w:spacing w:line="560" w:lineRule="exact"/>
        <w:ind w:firstLine="632" w:firstLineChars="200"/>
        <w:rPr>
          <w:rFonts w:cs="方正仿宋_GBK"/>
          <w:szCs w:val="32"/>
        </w:rPr>
      </w:pPr>
      <w:r>
        <w:rPr>
          <w:rFonts w:hint="eastAsia"/>
        </w:rPr>
        <w:t>乡镇（街道）承接执法事项后，原业务主管部门继续做好行政许可、行业管理等监管工作，原则上不再承担有关行政处罚、行政强制职能。县司法局负责统筹组织梳理并动态调整乡镇（街道）的法定执法事项和委托执法事项，审核乡镇（街道）承接的赋权执法事项，形成乡镇（街道）综合行政执法事项清单统一向社会公布并报市司法局备案；每年对综合行政执法事项运行情况进行评估，并将评估结果报送市司法局。</w:t>
      </w:r>
    </w:p>
    <w:p>
      <w:pPr>
        <w:spacing w:line="560" w:lineRule="exact"/>
        <w:ind w:firstLine="632" w:firstLineChars="200"/>
      </w:pPr>
      <w:r>
        <w:rPr>
          <w:rFonts w:hint="eastAsia" w:eastAsia="方正楷体_GBK" w:cs="方正楷体_GBK"/>
          <w:snapToGrid w:val="0"/>
          <w:szCs w:val="32"/>
        </w:rPr>
        <w:t>（二）统筹执法力量。</w:t>
      </w:r>
      <w:r>
        <w:rPr>
          <w:rFonts w:hint="eastAsia"/>
        </w:rPr>
        <w:t>按照“一支队伍管执法”工作要求，由乡镇（街道）综合行政执法大队行使乡镇（街道）权限范围内的行政处罚及与之有关的行政检查和行政强制措施。探索乡镇（街道）“综合执法+专业执法”新路径，县级专业行政执法部门以派驻、包片等方式下沉</w:t>
      </w:r>
      <w:r>
        <w:rPr>
          <w:rFonts w:hint="eastAsia"/>
          <w:spacing w:val="-3"/>
        </w:rPr>
        <w:t>执法力量与乡镇（街道）综合行政执法大队统筹运行，实行“县</w:t>
      </w:r>
      <w:r>
        <w:rPr>
          <w:rFonts w:hint="eastAsia"/>
        </w:rPr>
        <w:t>属乡用共管”，以乡镇（街道）管理为主。</w:t>
      </w:r>
    </w:p>
    <w:p>
      <w:pPr>
        <w:spacing w:line="560" w:lineRule="exact"/>
        <w:ind w:firstLine="632" w:firstLineChars="200"/>
      </w:pPr>
      <w:r>
        <w:rPr>
          <w:rFonts w:hint="eastAsia"/>
        </w:rPr>
        <w:t>将乡镇（街道）综合行政执法纳入“一中心四板块一网格”基层智治体系“平安法治板块”统筹管理，推动乡镇（街道）综合执法人员下沉到网格，构建第一时间发现、第一时间反馈、第一时间处置的闭环监管体系。</w:t>
      </w:r>
    </w:p>
    <w:p>
      <w:pPr>
        <w:spacing w:line="560" w:lineRule="exact"/>
        <w:ind w:firstLine="632" w:firstLineChars="200"/>
      </w:pPr>
      <w:r>
        <w:rPr>
          <w:rFonts w:hint="eastAsia" w:eastAsia="方正楷体_GBK" w:cs="方正楷体_GBK"/>
          <w:szCs w:val="32"/>
        </w:rPr>
        <w:t>（三）创新制度机制。</w:t>
      </w:r>
      <w:r>
        <w:rPr>
          <w:rFonts w:hint="eastAsia"/>
        </w:rPr>
        <w:t>以乡镇（街道）行政执法事项为牵引，聚焦社会关注、群众关切的重点领域，打造多跨协同的执法监管“一件事”场景应用，实施“综合查一次”，实现“进一次门、查多项事、一次到位”。</w:t>
      </w:r>
    </w:p>
    <w:p>
      <w:pPr>
        <w:adjustRightInd w:val="0"/>
        <w:spacing w:line="560" w:lineRule="exact"/>
        <w:ind w:firstLine="632" w:firstLineChars="200"/>
        <w:rPr>
          <w:rFonts w:cs="方正仿宋_GBK"/>
          <w:bCs/>
          <w:szCs w:val="32"/>
        </w:rPr>
      </w:pPr>
      <w:r>
        <w:rPr>
          <w:rFonts w:hint="eastAsia"/>
        </w:rPr>
        <w:t>推广服务型执法和柔性执法，对执法过程中发现的企业、群众合理需求主动协调处理，对监管风险及时提醒防范，对违法行为及时制止纠正。推广普法式执法和说理式执法，加强监管对象的常态化指导，最大程度提高市场主体守法意识、守法能力，实现违规违法行为源头治理。</w:t>
      </w:r>
    </w:p>
    <w:p>
      <w:pPr>
        <w:adjustRightInd w:val="0"/>
        <w:snapToGrid w:val="0"/>
        <w:spacing w:line="560" w:lineRule="exact"/>
        <w:ind w:firstLine="632" w:firstLineChars="200"/>
      </w:pPr>
      <w:r>
        <w:rPr>
          <w:rFonts w:hint="eastAsia" w:eastAsia="方正楷体_GBK" w:cs="方正楷体_GBK"/>
          <w:szCs w:val="32"/>
        </w:rPr>
        <w:t>（四）强化数智引领。</w:t>
      </w:r>
      <w:r>
        <w:rPr>
          <w:rFonts w:hint="eastAsia"/>
        </w:rPr>
        <w:t>运行全市统一的“执法+监督”一体化数字集成应用，使用乡镇（街道）执法办案核心模块，智能匹配执法主体、执法事项、执法依据、执法程序和裁量基准，实现统一执法指挥调度、执法要素智能关联、执法文书自动生成。全口径、全要素汇集乡镇（街道）执法全过程数据信息，推进执法数据跨层级、跨地域、跨系统、跨部门、跨业务全面共享。</w:t>
      </w:r>
    </w:p>
    <w:p>
      <w:pPr>
        <w:adjustRightInd w:val="0"/>
        <w:spacing w:line="560" w:lineRule="exact"/>
        <w:ind w:firstLine="632" w:firstLineChars="200"/>
      </w:pPr>
      <w:r>
        <w:rPr>
          <w:rFonts w:hint="eastAsia"/>
        </w:rPr>
        <w:t>创新智慧执法监管方式，强化数字赋能增效，挖掘数据价值，动态评估行政执法效能。探索推广非现场执法、“无感执法”和企业合规“无感体检”方式，为执法提供支持，为监督提供依据，为企业群众提供便利，为决策提供参考。</w:t>
      </w:r>
    </w:p>
    <w:p>
      <w:pPr>
        <w:spacing w:line="560" w:lineRule="exact"/>
        <w:ind w:firstLine="632" w:firstLineChars="200"/>
        <w:outlineLvl w:val="1"/>
      </w:pPr>
      <w:r>
        <w:rPr>
          <w:rFonts w:hint="eastAsia" w:eastAsia="方正楷体_GBK" w:cs="方正楷体_GBK"/>
          <w:szCs w:val="32"/>
        </w:rPr>
        <w:t>（五）加强协调监督。</w:t>
      </w:r>
      <w:r>
        <w:rPr>
          <w:rFonts w:hint="eastAsia"/>
        </w:rPr>
        <w:t>县司法局负责督促指导乡镇（街道）严格落实行政执法责任制，全面落实行政执法“三项制度”，明确专门力量强化重大执法决定法制审核。乡镇（街道）对行政执法中涉及的复杂、疑难事项，需向县级有关部门提出协助请求，县级有关部门应当给予协助。乡镇（街道）、乡镇（街道）与县级部门之间的执法职责争议，应当协商解决。若经协商未达成一致意见，则由县司法局牵头组织协调；若经县司法局协调仍未达成一致意见，责按程序报请县政府研究决定。</w:t>
      </w:r>
    </w:p>
    <w:p>
      <w:pPr>
        <w:spacing w:line="560" w:lineRule="exact"/>
        <w:ind w:firstLine="632" w:firstLineChars="200"/>
        <w:outlineLvl w:val="1"/>
        <w:rPr>
          <w:color w:val="0000FF"/>
        </w:rPr>
      </w:pPr>
      <w:r>
        <w:rPr>
          <w:rFonts w:hint="eastAsia"/>
        </w:rPr>
        <w:t>县司法局负责加强对乡镇（街道）综合行政执法工作的指导、协调，组织有关行政执法部门通过案卷评查、专项检查、案件督办等方式，强化对乡镇（街道）综合行政执法工作的监督，构建制度完备、机制健全、职责明确、监督有力、运转高效的行政执法协调监督工作体系。</w:t>
      </w:r>
    </w:p>
    <w:p>
      <w:pPr>
        <w:spacing w:line="560" w:lineRule="exact"/>
        <w:ind w:left="632" w:leftChars="200"/>
        <w:rPr>
          <w:rFonts w:eastAsia="方正黑体_GBK" w:cs="方正小标宋_GBK"/>
          <w:szCs w:val="32"/>
        </w:rPr>
      </w:pPr>
      <w:r>
        <w:rPr>
          <w:rFonts w:hint="eastAsia" w:eastAsia="方正黑体_GBK" w:cs="方正小标宋_GBK"/>
          <w:szCs w:val="32"/>
        </w:rPr>
        <w:t>三、组织实施</w:t>
      </w:r>
    </w:p>
    <w:p>
      <w:pPr>
        <w:spacing w:line="560" w:lineRule="exact"/>
        <w:ind w:firstLine="632" w:firstLineChars="200"/>
        <w:outlineLvl w:val="1"/>
        <w:rPr>
          <w:rFonts w:ascii="方正楷体_GBK" w:hAnsi="方正楷体_GBK" w:eastAsia="方正楷体_GBK" w:cs="方正楷体_GBK"/>
          <w:szCs w:val="32"/>
        </w:rPr>
      </w:pPr>
      <w:r>
        <w:rPr>
          <w:rFonts w:hint="eastAsia" w:ascii="方正楷体_GBK" w:hAnsi="方正楷体_GBK" w:eastAsia="方正楷体_GBK" w:cs="方正楷体_GBK"/>
          <w:szCs w:val="32"/>
        </w:rPr>
        <w:t>（一）强化组织领导。</w:t>
      </w:r>
      <w:r>
        <w:rPr>
          <w:rFonts w:hint="eastAsia"/>
        </w:rPr>
        <w:t>组建成立酉阳自治县深化乡镇（街道）综合行政执法改革工作领导小组（以下简称领导小组），由县委副书记吴彪任组长，县委常委、县委政法委书记陈勇，县人民政府副县长、县公安局局长旷陈任副组长，县委编办、县司法局、县经济信息委、县民政局、县生态环境局、县住房城乡建委、县城市管理局、县交通局、县水利局、县农业农村委、县文化旅游委、县卫生健康委、县应急局、县林业局、县规划自然资源局、县市场监管局、县人力社保局、县消防救援大队等部门和单位主要负责人，县委组织部、县公安局常务工作分管负责人为领导小组成员。领导小组办公室设在县司法局，由县司法局局长任办公室主任，县委组织部、县司法局分管负责人任办公室副主任，具体负责统筹协调、督促检查和指挥调度等日常工作。领导小组办公室组建改革工作专班，县委组织部、县委政法委、县委编办、县司法局及黑水镇相关科室（办所）负责人为成员，具体负责文件起草、会议筹备有关工作，并完成领导小组办公室交办的其他工作以及涉及乡镇（街道）综合行政执法改革统筹协调、指挥调度、督促检查等工作。领导小组不纳入县级议事协调机构管理，改革工作完成后自动撤销。</w:t>
      </w:r>
    </w:p>
    <w:p>
      <w:pPr>
        <w:adjustRightInd w:val="0"/>
        <w:snapToGrid w:val="0"/>
        <w:spacing w:line="560" w:lineRule="exact"/>
        <w:ind w:firstLine="632" w:firstLineChars="200"/>
        <w:outlineLvl w:val="1"/>
        <w:rPr>
          <w:rFonts w:eastAsia="方正楷体_GBK" w:cs="宋体"/>
          <w:szCs w:val="32"/>
        </w:rPr>
      </w:pPr>
      <w:r>
        <w:rPr>
          <w:rFonts w:hint="eastAsia" w:ascii="方正楷体_GBK" w:hAnsi="方正楷体_GBK" w:eastAsia="方正楷体_GBK" w:cs="方正楷体_GBK"/>
          <w:szCs w:val="32"/>
        </w:rPr>
        <w:t>（二）</w:t>
      </w:r>
      <w:r>
        <w:rPr>
          <w:rFonts w:hint="eastAsia" w:eastAsia="方正楷体_GBK" w:cs="宋体"/>
          <w:szCs w:val="32"/>
        </w:rPr>
        <w:t>压实工作责任。</w:t>
      </w:r>
      <w:r>
        <w:rPr>
          <w:rFonts w:hint="eastAsia" w:cs="宋体"/>
          <w:szCs w:val="32"/>
        </w:rPr>
        <w:t>各乡镇（街道）承担统筹推进综合行政执法改革工作主体责任，要细化工作措施，严格落实各项工作要求。县级行政执法部门要严格落实综合行政执法改革各项工作要求，推动执法力量下沉，加强业务指导，常态化、实战化培训乡镇（街道）执法人员，主动帮助乡镇（街道）解决执法过程中遇到的具体问题。县委编办、县司法局要及时协调解决乡镇（街道）综合行政执法改革工作中存在的问题和困难。</w:t>
      </w:r>
    </w:p>
    <w:p>
      <w:pPr>
        <w:adjustRightInd w:val="0"/>
        <w:snapToGrid w:val="0"/>
        <w:spacing w:line="560" w:lineRule="exact"/>
        <w:ind w:firstLine="632" w:firstLineChars="200"/>
        <w:outlineLvl w:val="1"/>
      </w:pPr>
      <w:r>
        <w:rPr>
          <w:rFonts w:hint="eastAsia" w:eastAsia="方正楷体_GBK" w:cs="宋体"/>
          <w:szCs w:val="32"/>
        </w:rPr>
        <w:t>（三）强化工作保障。</w:t>
      </w:r>
      <w:r>
        <w:rPr>
          <w:rFonts w:hint="eastAsia"/>
        </w:rPr>
        <w:t>充实优化乡镇（街道）综合行政执法队伍，严格管控执法人员招录、培训、管理等环节工作，不得随意抽调、借调乡镇（街道）执法人员，保持乡镇（街道）综合行政执法队伍稳定，确保人员岗位配备与执法任务相匹配。健全激励机制，在评先评优、考核奖励等方面向乡镇（街道）执法人员倾斜。县财政局要对乡镇（街道）执法队伍装备、技术和能力建设等方面的加大投入，将其经费列入财政预算。</w:t>
      </w:r>
    </w:p>
    <w:p>
      <w:pPr>
        <w:pStyle w:val="5"/>
        <w:spacing w:line="560" w:lineRule="exact"/>
        <w:rPr>
          <w:rFonts w:eastAsia="方正仿宋_GBK"/>
        </w:rPr>
      </w:pPr>
      <w:r>
        <w:rPr>
          <w:rFonts w:hint="eastAsia"/>
        </w:rPr>
        <w:t>（四）分步推进实施。</w:t>
      </w:r>
      <w:r>
        <w:rPr>
          <w:rFonts w:hint="eastAsia" w:eastAsia="方正仿宋_GBK"/>
        </w:rPr>
        <w:t>根据我县实际，确定黑水镇为深化乡镇（街道）综合行政执法改革试点乡镇，黑水镇要严格按照工作要求有序组织实施综合行政执法改革，同步试运行“执法+监督”一体化数字集成应用，县司法局要认真按照全市统一安排部署督促其他乡镇（街道）分批次实施，确保2023年年底前全县39个乡镇（街道）综合行政执法改革工作全面展开。</w:t>
      </w:r>
    </w:p>
    <w:p>
      <w:pPr>
        <w:adjustRightInd w:val="0"/>
        <w:spacing w:line="560" w:lineRule="exact"/>
        <w:ind w:firstLine="632" w:firstLineChars="200"/>
        <w:rPr>
          <w:rFonts w:hint="eastAsia" w:eastAsia="方正仿宋_GBK" w:cs="方正仿宋_GBK"/>
          <w:szCs w:val="32"/>
          <w:lang w:eastAsia="zh-CN"/>
        </w:rPr>
      </w:pPr>
      <w:r>
        <w:rPr>
          <w:rFonts w:hint="eastAsia" w:eastAsia="方正楷体_GBK" w:cs="宋体"/>
          <w:szCs w:val="32"/>
        </w:rPr>
        <w:t>（五）做好总结提升。</w:t>
      </w:r>
      <w:r>
        <w:rPr>
          <w:rFonts w:hint="eastAsia"/>
        </w:rPr>
        <w:t>各乡镇（街道）、县级有关部门和单位要积极探索创新，孵化培育执法领域创新实践，建立健全行政执法工作交流、典型案例复盘等工作机制，强化信息报送和成果转化，并于每年12月20日前将该项工作年度总结经本单位主要负责人审核用印后报送至县司法局，形成一批可复制可推广的改革经验，切实推动综合行政执法改革取得更大实效</w:t>
      </w:r>
      <w:r>
        <w:rPr>
          <w:rFonts w:hint="eastAsia"/>
          <w:lang w:eastAsia="zh-CN"/>
        </w:rPr>
        <w:t>。</w:t>
      </w:r>
      <w:bookmarkStart w:id="0" w:name="_GoBack"/>
      <w:bookmarkEnd w:id="0"/>
    </w:p>
    <w:p>
      <w:pPr>
        <w:adjustRightInd w:val="0"/>
        <w:spacing w:line="560" w:lineRule="exact"/>
        <w:outlineLvl w:val="0"/>
        <w:rPr>
          <w:rFonts w:cs="方正仿宋_GBK"/>
          <w:szCs w:val="32"/>
        </w:rPr>
      </w:pPr>
    </w:p>
    <w:p>
      <w:pPr>
        <w:adjustRightInd w:val="0"/>
        <w:spacing w:line="560" w:lineRule="exact"/>
        <w:ind w:firstLine="632" w:firstLineChars="200"/>
        <w:outlineLvl w:val="0"/>
        <w:rPr>
          <w:rFonts w:ascii="方正仿宋_GBK" w:hAnsi="方正仿宋_GBK" w:cs="方正仿宋_GBK"/>
          <w:color w:val="000000"/>
          <w:spacing w:val="-11"/>
          <w:szCs w:val="32"/>
        </w:rPr>
      </w:pPr>
      <w:r>
        <w:rPr>
          <w:rFonts w:hint="eastAsia" w:cs="方正仿宋_GBK"/>
          <w:szCs w:val="32"/>
        </w:rPr>
        <w:t>附件：1.</w:t>
      </w:r>
      <w:r>
        <w:rPr>
          <w:rFonts w:hint="eastAsia" w:ascii="方正仿宋_GBK" w:hAnsi="方正仿宋_GBK" w:cs="方正仿宋_GBK"/>
          <w:color w:val="000000"/>
          <w:spacing w:val="-11"/>
          <w:szCs w:val="32"/>
        </w:rPr>
        <w:t>重庆市乡镇（街道）法定行政执法事项清单</w:t>
      </w:r>
      <w:r>
        <w:rPr>
          <w:rFonts w:hint="eastAsia" w:cs="方正仿宋_GBK"/>
          <w:spacing w:val="-11"/>
          <w:kern w:val="44"/>
          <w:szCs w:val="32"/>
        </w:rPr>
        <w:t>（2023年）</w:t>
      </w:r>
    </w:p>
    <w:p>
      <w:pPr>
        <w:pBdr>
          <w:top w:val="none" w:color="auto" w:sz="0" w:space="1"/>
          <w:left w:val="none" w:color="auto" w:sz="0" w:space="4"/>
          <w:bottom w:val="none" w:color="auto" w:sz="0" w:space="1"/>
          <w:right w:val="none" w:color="auto" w:sz="0" w:space="4"/>
        </w:pBdr>
        <w:spacing w:line="560" w:lineRule="exact"/>
        <w:ind w:left="1896" w:leftChars="500" w:hanging="316" w:hangingChars="100"/>
        <w:rPr>
          <w:rFonts w:cs="宋体"/>
          <w:szCs w:val="32"/>
        </w:rPr>
      </w:pPr>
      <w:r>
        <w:rPr>
          <w:rFonts w:hint="eastAsia" w:cs="宋体"/>
          <w:szCs w:val="32"/>
        </w:rPr>
        <w:t>2.重庆市赋予乡镇（街道）部分县级行政执法事项指导清单（2023年）</w:t>
      </w:r>
    </w:p>
    <w:p>
      <w:pPr>
        <w:pBdr>
          <w:top w:val="none" w:color="auto" w:sz="0" w:space="1"/>
          <w:left w:val="none" w:color="auto" w:sz="0" w:space="4"/>
          <w:bottom w:val="none" w:color="auto" w:sz="0" w:space="1"/>
          <w:right w:val="none" w:color="auto" w:sz="0" w:space="4"/>
        </w:pBdr>
        <w:spacing w:line="560" w:lineRule="exact"/>
        <w:ind w:firstLine="1580" w:firstLineChars="500"/>
        <w:rPr>
          <w:rFonts w:cs="宋体"/>
          <w:szCs w:val="32"/>
        </w:rPr>
      </w:pPr>
      <w:r>
        <w:rPr>
          <w:rFonts w:hint="eastAsia" w:cs="宋体"/>
          <w:szCs w:val="32"/>
        </w:rPr>
        <w:t>3.关于深化乡镇（街道）综合行政执法改革实施方</w:t>
      </w:r>
    </w:p>
    <w:p>
      <w:pPr>
        <w:pBdr>
          <w:top w:val="none" w:color="auto" w:sz="0" w:space="1"/>
          <w:left w:val="none" w:color="auto" w:sz="0" w:space="4"/>
          <w:bottom w:val="none" w:color="auto" w:sz="0" w:space="1"/>
          <w:right w:val="none" w:color="auto" w:sz="0" w:space="4"/>
        </w:pBdr>
        <w:spacing w:line="560" w:lineRule="exact"/>
        <w:ind w:firstLine="1896" w:firstLineChars="600"/>
        <w:rPr>
          <w:rFonts w:cs="宋体"/>
          <w:szCs w:val="32"/>
        </w:rPr>
        <w:sectPr>
          <w:footerReference r:id="rId4" w:type="default"/>
          <w:headerReference r:id="rId3" w:type="even"/>
          <w:footerReference r:id="rId5" w:type="even"/>
          <w:pgSz w:w="11906" w:h="16838"/>
          <w:pgMar w:top="2098" w:right="1531" w:bottom="1985" w:left="1531" w:header="851" w:footer="1474" w:gutter="0"/>
          <w:cols w:space="0" w:num="1"/>
          <w:docGrid w:type="linesAndChars" w:linePitch="579" w:charSpace="-849"/>
        </w:sectPr>
      </w:pPr>
      <w:r>
        <w:rPr>
          <w:rFonts w:hint="eastAsia" w:cs="宋体"/>
          <w:szCs w:val="32"/>
        </w:rPr>
        <w:t>案工作任务清单（2023年）</w:t>
      </w:r>
    </w:p>
    <w:p>
      <w:pPr>
        <w:pStyle w:val="2"/>
        <w:spacing w:line="595" w:lineRule="exact"/>
        <w:rPr>
          <w:rFonts w:ascii="Times New Roman" w:hAnsi="Times New Roman" w:eastAsia="方正仿宋_GBK" w:cs="Times New Roman"/>
          <w:sz w:val="32"/>
          <w:szCs w:val="32"/>
        </w:rPr>
      </w:pPr>
      <w:r>
        <w:rPr>
          <w:rFonts w:hint="eastAsia" w:ascii="Times New Roman" w:hAnsi="Times New Roman" w:eastAsia="方正黑体_GBK" w:cs="方正仿宋_GBK"/>
          <w:color w:val="auto"/>
          <w:kern w:val="2"/>
          <w:sz w:val="32"/>
          <w:szCs w:val="32"/>
        </w:rPr>
        <w:t>附件1</w:t>
      </w:r>
    </w:p>
    <w:p>
      <w:pPr>
        <w:adjustRightInd w:val="0"/>
        <w:spacing w:line="595" w:lineRule="exact"/>
        <w:jc w:val="center"/>
        <w:outlineLvl w:val="0"/>
        <w:rPr>
          <w:rFonts w:eastAsia="方正小标宋_GBK"/>
          <w:spacing w:val="-26"/>
          <w:kern w:val="44"/>
          <w:sz w:val="44"/>
        </w:rPr>
      </w:pPr>
      <w:r>
        <w:rPr>
          <w:rFonts w:hint="eastAsia" w:eastAsia="方正小标宋_GBK"/>
          <w:spacing w:val="-26"/>
          <w:kern w:val="44"/>
          <w:sz w:val="44"/>
        </w:rPr>
        <w:t>重庆市乡镇（街道）法定行政执法事项清单（2023年）</w:t>
      </w:r>
    </w:p>
    <w:tbl>
      <w:tblPr>
        <w:tblStyle w:val="14"/>
        <w:tblW w:w="9485"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
      <w:tblGrid>
        <w:gridCol w:w="666"/>
        <w:gridCol w:w="2559"/>
        <w:gridCol w:w="1163"/>
        <w:gridCol w:w="2043"/>
        <w:gridCol w:w="3054"/>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678" w:hRule="atLeast"/>
          <w:tblHeader/>
          <w:jc w:val="center"/>
        </w:trPr>
        <w:tc>
          <w:tcPr>
            <w:tcW w:w="666" w:type="dxa"/>
            <w:tcMar>
              <w:left w:w="57" w:type="dxa"/>
              <w:right w:w="57" w:type="dxa"/>
            </w:tcMar>
            <w:vAlign w:val="center"/>
          </w:tcPr>
          <w:p>
            <w:pPr>
              <w:adjustRightInd w:val="0"/>
              <w:snapToGrid w:val="0"/>
              <w:spacing w:line="400" w:lineRule="exact"/>
              <w:jc w:val="center"/>
              <w:rPr>
                <w:rFonts w:eastAsia="方正黑体_GBK" w:cs="方正黑体_GBK"/>
                <w:sz w:val="24"/>
                <w:szCs w:val="24"/>
              </w:rPr>
            </w:pPr>
            <w:r>
              <w:rPr>
                <w:rFonts w:hint="eastAsia" w:eastAsia="方正黑体_GBK" w:cs="方正黑体_GBK"/>
                <w:sz w:val="24"/>
                <w:szCs w:val="24"/>
              </w:rPr>
              <w:t>序号</w:t>
            </w:r>
          </w:p>
        </w:tc>
        <w:tc>
          <w:tcPr>
            <w:tcW w:w="2559" w:type="dxa"/>
            <w:tcMar>
              <w:left w:w="57" w:type="dxa"/>
              <w:right w:w="57" w:type="dxa"/>
            </w:tcMar>
            <w:vAlign w:val="center"/>
          </w:tcPr>
          <w:p>
            <w:pPr>
              <w:adjustRightInd w:val="0"/>
              <w:snapToGrid w:val="0"/>
              <w:spacing w:line="400" w:lineRule="exact"/>
              <w:jc w:val="center"/>
              <w:rPr>
                <w:rFonts w:eastAsia="方正黑体_GBK" w:cs="方正黑体_GBK"/>
                <w:spacing w:val="-3"/>
                <w:sz w:val="24"/>
                <w:szCs w:val="24"/>
              </w:rPr>
            </w:pPr>
            <w:r>
              <w:rPr>
                <w:rFonts w:hint="eastAsia" w:eastAsia="方正黑体_GBK" w:cs="方正黑体_GBK"/>
                <w:sz w:val="24"/>
                <w:szCs w:val="24"/>
              </w:rPr>
              <w:t>事项名称</w:t>
            </w:r>
          </w:p>
        </w:tc>
        <w:tc>
          <w:tcPr>
            <w:tcW w:w="1163" w:type="dxa"/>
            <w:tcMar>
              <w:left w:w="57" w:type="dxa"/>
              <w:right w:w="57" w:type="dxa"/>
            </w:tcMar>
            <w:vAlign w:val="center"/>
          </w:tcPr>
          <w:p>
            <w:pPr>
              <w:adjustRightInd w:val="0"/>
              <w:snapToGrid w:val="0"/>
              <w:spacing w:line="400" w:lineRule="exact"/>
              <w:jc w:val="center"/>
              <w:rPr>
                <w:rFonts w:eastAsia="方正黑体_GBK" w:cs="方正黑体_GBK"/>
                <w:sz w:val="24"/>
                <w:szCs w:val="24"/>
              </w:rPr>
            </w:pPr>
            <w:r>
              <w:rPr>
                <w:rFonts w:hint="eastAsia" w:eastAsia="方正黑体_GBK" w:cs="方正黑体_GBK"/>
                <w:sz w:val="24"/>
                <w:szCs w:val="24"/>
              </w:rPr>
              <w:t>事项类型</w:t>
            </w:r>
          </w:p>
        </w:tc>
        <w:tc>
          <w:tcPr>
            <w:tcW w:w="2043" w:type="dxa"/>
            <w:tcMar>
              <w:left w:w="57" w:type="dxa"/>
              <w:right w:w="57" w:type="dxa"/>
            </w:tcMar>
            <w:vAlign w:val="center"/>
          </w:tcPr>
          <w:p>
            <w:pPr>
              <w:adjustRightInd w:val="0"/>
              <w:snapToGrid w:val="0"/>
              <w:spacing w:line="400" w:lineRule="exact"/>
              <w:jc w:val="center"/>
              <w:rPr>
                <w:rFonts w:eastAsia="方正黑体_GBK" w:cs="方正黑体_GBK"/>
                <w:sz w:val="24"/>
                <w:szCs w:val="24"/>
              </w:rPr>
            </w:pPr>
            <w:r>
              <w:rPr>
                <w:rFonts w:hint="eastAsia" w:eastAsia="方正黑体_GBK" w:cs="方正黑体_GBK"/>
                <w:sz w:val="24"/>
                <w:szCs w:val="24"/>
              </w:rPr>
              <w:t>执法主体</w:t>
            </w:r>
          </w:p>
        </w:tc>
        <w:tc>
          <w:tcPr>
            <w:tcW w:w="3054" w:type="dxa"/>
            <w:tcMar>
              <w:left w:w="57" w:type="dxa"/>
              <w:right w:w="57" w:type="dxa"/>
            </w:tcMar>
            <w:vAlign w:val="center"/>
          </w:tcPr>
          <w:p>
            <w:pPr>
              <w:adjustRightInd w:val="0"/>
              <w:snapToGrid w:val="0"/>
              <w:spacing w:line="400" w:lineRule="exact"/>
              <w:jc w:val="center"/>
              <w:rPr>
                <w:rFonts w:eastAsia="方正黑体_GBK" w:cs="方正黑体_GBK"/>
                <w:sz w:val="24"/>
                <w:szCs w:val="24"/>
              </w:rPr>
            </w:pPr>
            <w:r>
              <w:rPr>
                <w:rFonts w:hint="eastAsia" w:eastAsia="方正黑体_GBK" w:cs="方正黑体_GBK"/>
                <w:sz w:val="24"/>
                <w:szCs w:val="24"/>
              </w:rPr>
              <w:t>执法依据</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66"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sz w:val="24"/>
                <w:szCs w:val="24"/>
              </w:rPr>
              <w:t>1</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对生产经营单位安全生产状况的监督检查</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行政检查</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《重庆市安全生产条例》（</w:t>
            </w:r>
            <w:r>
              <w:rPr>
                <w:rFonts w:hint="eastAsia"/>
                <w:sz w:val="24"/>
                <w:szCs w:val="24"/>
              </w:rPr>
              <w:t>2016</w:t>
            </w:r>
            <w:r>
              <w:rPr>
                <w:rFonts w:hint="eastAsia" w:ascii="方正仿宋_GBK" w:hAnsi="方正仿宋_GBK" w:cs="方正仿宋_GBK"/>
                <w:sz w:val="24"/>
                <w:szCs w:val="24"/>
              </w:rPr>
              <w:t>年施行）第六条第三款。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66"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sz w:val="24"/>
                <w:szCs w:val="24"/>
              </w:rPr>
              <w:t>2</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消防安全检查</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行政检查</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《中华人民共和国消防法》（</w:t>
            </w:r>
            <w:r>
              <w:rPr>
                <w:rFonts w:hint="eastAsia"/>
                <w:sz w:val="24"/>
                <w:szCs w:val="24"/>
              </w:rPr>
              <w:t>2021</w:t>
            </w:r>
            <w:r>
              <w:rPr>
                <w:rFonts w:hint="eastAsia" w:ascii="方正仿宋_GBK" w:hAnsi="方正仿宋_GBK" w:cs="方正仿宋_GBK"/>
                <w:sz w:val="24"/>
                <w:szCs w:val="24"/>
              </w:rPr>
              <w:t>年修正）第三十一条。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309" w:hRule="atLeast"/>
          <w:jc w:val="center"/>
        </w:trPr>
        <w:tc>
          <w:tcPr>
            <w:tcW w:w="666"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sz w:val="24"/>
                <w:szCs w:val="24"/>
              </w:rPr>
              <w:t>3</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对地质灾害隐患的排查、核查和重点防范期的巡查</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行政检查</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《重庆市地质灾害防治条例》（2020年修订）第二十条第二款。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4</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村镇建设工程安全生产检查</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行政检查</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《重庆市村镇规划建设管理条例》（</w:t>
            </w:r>
            <w:r>
              <w:rPr>
                <w:rFonts w:hint="eastAsia"/>
                <w:sz w:val="24"/>
                <w:szCs w:val="24"/>
              </w:rPr>
              <w:t>2015</w:t>
            </w:r>
            <w:r>
              <w:rPr>
                <w:rFonts w:hint="eastAsia" w:ascii="方正仿宋_GBK" w:hAnsi="方正仿宋_GBK" w:cs="方正仿宋_GBK"/>
                <w:sz w:val="24"/>
                <w:szCs w:val="24"/>
              </w:rPr>
              <w:t>年修订）第二十四条第二款。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5</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对城乡规划实施情况的监督检查，以及对《重庆市城乡规划条例》第七十四条所列违法建筑的日常巡查</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行政检查</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《重庆市城乡规划条例》（</w:t>
            </w:r>
            <w:r>
              <w:rPr>
                <w:rFonts w:hint="eastAsia"/>
                <w:sz w:val="24"/>
                <w:szCs w:val="24"/>
              </w:rPr>
              <w:t>2019</w:t>
            </w:r>
            <w:r>
              <w:rPr>
                <w:rFonts w:hint="eastAsia" w:ascii="方正仿宋_GBK" w:hAnsi="方正仿宋_GBK" w:cs="方正仿宋_GBK"/>
                <w:sz w:val="24"/>
                <w:szCs w:val="24"/>
              </w:rPr>
              <w:t>年修正）第七十五条、第七十六条。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6</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对本地区小型水库、山塘、堤防、水闸、堰坝和抗旱供水等设施的检查</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行政检查</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《重庆市防汛抗旱条例》（</w:t>
            </w:r>
            <w:r>
              <w:rPr>
                <w:rFonts w:hint="eastAsia"/>
                <w:sz w:val="24"/>
                <w:szCs w:val="24"/>
              </w:rPr>
              <w:t>2018</w:t>
            </w:r>
            <w:r>
              <w:rPr>
                <w:rFonts w:hint="eastAsia" w:ascii="方正仿宋_GBK" w:hAnsi="方正仿宋_GBK" w:cs="方正仿宋_GBK"/>
                <w:sz w:val="24"/>
                <w:szCs w:val="24"/>
              </w:rPr>
              <w:t>年修正）第十条第一款。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7</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对水上交通安全的检查</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行政检查</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《重庆市水上交通安全管理条例》（</w:t>
            </w:r>
            <w:r>
              <w:rPr>
                <w:rFonts w:hint="eastAsia"/>
                <w:sz w:val="24"/>
                <w:szCs w:val="24"/>
              </w:rPr>
              <w:t>2022</w:t>
            </w:r>
            <w:r>
              <w:rPr>
                <w:rFonts w:hint="eastAsia" w:ascii="方正仿宋_GBK" w:hAnsi="方正仿宋_GBK" w:cs="方正仿宋_GBK"/>
                <w:sz w:val="24"/>
                <w:szCs w:val="24"/>
              </w:rPr>
              <w:t>年修正）第四条第二款第五项。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8</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乡镇渡口渡运安全检查</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行政检查</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《内河渡口渡船安全管理规定》（</w:t>
            </w:r>
            <w:r>
              <w:rPr>
                <w:rFonts w:hint="eastAsia"/>
                <w:sz w:val="24"/>
                <w:szCs w:val="24"/>
              </w:rPr>
              <w:t>2014</w:t>
            </w:r>
            <w:r>
              <w:rPr>
                <w:rFonts w:hint="eastAsia" w:ascii="方正仿宋_GBK" w:hAnsi="方正仿宋_GBK" w:cs="方正仿宋_GBK"/>
                <w:sz w:val="24"/>
                <w:szCs w:val="24"/>
              </w:rPr>
              <w:t>年施行）第三十五条。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9</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对签单发航制度实施情况的检查</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行政检查</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《内河渡口渡船安全管理规定》（</w:t>
            </w:r>
            <w:r>
              <w:rPr>
                <w:rFonts w:hint="eastAsia"/>
                <w:sz w:val="24"/>
                <w:szCs w:val="24"/>
              </w:rPr>
              <w:t>2014</w:t>
            </w:r>
            <w:r>
              <w:rPr>
                <w:rFonts w:hint="eastAsia" w:ascii="方正仿宋_GBK" w:hAnsi="方正仿宋_GBK" w:cs="方正仿宋_GBK"/>
                <w:sz w:val="24"/>
                <w:szCs w:val="24"/>
              </w:rPr>
              <w:t>年施行）第三十六条第三款。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249"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10</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对《重庆市水资源管理条例》第十八条所列情形的处罚</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《重庆市水资源管理条例》（</w:t>
            </w:r>
            <w:r>
              <w:rPr>
                <w:rFonts w:hint="eastAsia"/>
                <w:sz w:val="24"/>
                <w:szCs w:val="24"/>
              </w:rPr>
              <w:t>2023</w:t>
            </w:r>
            <w:r>
              <w:rPr>
                <w:rFonts w:hint="eastAsia" w:ascii="方正仿宋_GBK" w:hAnsi="方正仿宋_GBK" w:cs="方正仿宋_GBK"/>
                <w:sz w:val="24"/>
                <w:szCs w:val="24"/>
              </w:rPr>
              <w:t>年修正）第三十九条。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249"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11</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对《重庆市村镇供水条例》第四十八条所列情形的处罚（小型集中供水工程）</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《重庆市村镇供水条例》（</w:t>
            </w:r>
            <w:r>
              <w:rPr>
                <w:rFonts w:hint="eastAsia"/>
                <w:sz w:val="24"/>
                <w:szCs w:val="24"/>
              </w:rPr>
              <w:t>2017</w:t>
            </w:r>
            <w:r>
              <w:rPr>
                <w:rFonts w:hint="eastAsia" w:ascii="方正仿宋_GBK" w:hAnsi="方正仿宋_GBK" w:cs="方正仿宋_GBK"/>
                <w:sz w:val="24"/>
                <w:szCs w:val="24"/>
              </w:rPr>
              <w:t>年施行）第四十八条、第五十三条。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12</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对《重庆市村镇供水条例》第四十九条所列情形的处罚（小型集中供水工程）</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《重庆市村镇供水条例》（</w:t>
            </w:r>
            <w:r>
              <w:rPr>
                <w:rFonts w:hint="eastAsia"/>
                <w:sz w:val="24"/>
                <w:szCs w:val="24"/>
              </w:rPr>
              <w:t>2017</w:t>
            </w:r>
            <w:r>
              <w:rPr>
                <w:rFonts w:hint="eastAsia" w:ascii="方正仿宋_GBK" w:hAnsi="方正仿宋_GBK" w:cs="方正仿宋_GBK"/>
                <w:sz w:val="24"/>
                <w:szCs w:val="24"/>
              </w:rPr>
              <w:t>年施行）第四十九条、第五十三条。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654"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13</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对《重庆市村镇供水条例》第五十条所列情形的处罚（小型集中供水工程）</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《重庆市村镇供水条例》（</w:t>
            </w:r>
            <w:r>
              <w:rPr>
                <w:rFonts w:hint="eastAsia"/>
                <w:sz w:val="24"/>
                <w:szCs w:val="24"/>
              </w:rPr>
              <w:t>2017</w:t>
            </w:r>
            <w:r>
              <w:rPr>
                <w:rFonts w:hint="eastAsia" w:ascii="方正仿宋_GBK" w:hAnsi="方正仿宋_GBK" w:cs="方正仿宋_GBK"/>
                <w:sz w:val="24"/>
                <w:szCs w:val="24"/>
              </w:rPr>
              <w:t>年施行）第五十条、第五十三条。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14</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对《重庆市村镇供水条例》第五十一条所列情形的处罚（小型集中供水工程）</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《重庆市村镇供水条例》（</w:t>
            </w:r>
            <w:r>
              <w:rPr>
                <w:rFonts w:hint="eastAsia"/>
                <w:sz w:val="24"/>
                <w:szCs w:val="24"/>
              </w:rPr>
              <w:t>2017</w:t>
            </w:r>
            <w:r>
              <w:rPr>
                <w:rFonts w:hint="eastAsia" w:ascii="方正仿宋_GBK" w:hAnsi="方正仿宋_GBK" w:cs="方正仿宋_GBK"/>
                <w:sz w:val="24"/>
                <w:szCs w:val="24"/>
              </w:rPr>
              <w:t>年施行）第五十一条、第五十三条。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669"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15</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对《重庆市村镇供水条例》第五十二条所列情形的处罚（小型集中供水工程）</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《重庆市村镇供水条例》（</w:t>
            </w:r>
            <w:r>
              <w:rPr>
                <w:rFonts w:hint="eastAsia"/>
                <w:sz w:val="24"/>
                <w:szCs w:val="24"/>
              </w:rPr>
              <w:t>2017</w:t>
            </w:r>
            <w:r>
              <w:rPr>
                <w:rFonts w:hint="eastAsia" w:ascii="方正仿宋_GBK" w:hAnsi="方正仿宋_GBK" w:cs="方正仿宋_GBK"/>
                <w:sz w:val="24"/>
                <w:szCs w:val="24"/>
              </w:rPr>
              <w:t>年施行）第五十二条、第五十三条。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16</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对违反《重庆市长江防护林体系管理条例》第三十三条规定，在规定期限内到林区砍柴、放牧，致使森林、林木受到毁坏的处罚</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《重庆市长江防护林体系管理条例》（</w:t>
            </w:r>
            <w:r>
              <w:rPr>
                <w:rFonts w:hint="eastAsia"/>
                <w:sz w:val="24"/>
                <w:szCs w:val="24"/>
              </w:rPr>
              <w:t>2019</w:t>
            </w:r>
            <w:r>
              <w:rPr>
                <w:rFonts w:hint="eastAsia" w:ascii="方正仿宋_GBK" w:hAnsi="方正仿宋_GBK" w:cs="方正仿宋_GBK"/>
                <w:sz w:val="24"/>
                <w:szCs w:val="24"/>
              </w:rPr>
              <w:t>年修正）第四十条第一款、第四十一条。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17</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对违反《重庆市长江防护林体系管理条例》第三十条规定，损坏防护标志和护林碑牌的处罚</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《重庆市长江防护林体系管理条例》（</w:t>
            </w:r>
            <w:r>
              <w:rPr>
                <w:rFonts w:hint="eastAsia"/>
                <w:sz w:val="24"/>
                <w:szCs w:val="24"/>
              </w:rPr>
              <w:t>2019</w:t>
            </w:r>
            <w:r>
              <w:rPr>
                <w:rFonts w:hint="eastAsia" w:ascii="方正仿宋_GBK" w:hAnsi="方正仿宋_GBK" w:cs="方正仿宋_GBK"/>
                <w:sz w:val="24"/>
                <w:szCs w:val="24"/>
              </w:rPr>
              <w:t>年修正）第三十八条、第四十一条。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66"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sz w:val="24"/>
                <w:szCs w:val="24"/>
              </w:rPr>
              <w:t>18</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对损坏村庄和集镇的房屋、公共设施，违反村镇环境卫生和村容镇貌管理规定，乱堆粪便、垃圾、柴草、杂物，或者破坏绿化、损坏古树名木及其他破坏村容镇貌环境卫生行为的处罚</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《村庄和集镇规划建设管理条例》（</w:t>
            </w:r>
            <w:r>
              <w:rPr>
                <w:rFonts w:hint="eastAsia"/>
                <w:sz w:val="24"/>
                <w:szCs w:val="24"/>
              </w:rPr>
              <w:t>1993</w:t>
            </w:r>
            <w:r>
              <w:rPr>
                <w:rFonts w:hint="eastAsia" w:ascii="方正仿宋_GBK" w:hAnsi="方正仿宋_GBK" w:cs="方正仿宋_GBK"/>
                <w:sz w:val="24"/>
                <w:szCs w:val="24"/>
              </w:rPr>
              <w:t>年施行）第三十九条；</w:t>
            </w:r>
          </w:p>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《重庆市村镇规划建设管理条例》（</w:t>
            </w:r>
            <w:r>
              <w:rPr>
                <w:rFonts w:hint="eastAsia"/>
                <w:sz w:val="24"/>
                <w:szCs w:val="24"/>
              </w:rPr>
              <w:t>2015</w:t>
            </w:r>
            <w:r>
              <w:rPr>
                <w:rFonts w:hint="eastAsia" w:ascii="方正仿宋_GBK" w:hAnsi="方正仿宋_GBK" w:cs="方正仿宋_GBK"/>
                <w:sz w:val="24"/>
                <w:szCs w:val="24"/>
              </w:rPr>
              <w:t>年修订）第五十条。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19</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对涉及在村道违反《重庆市公路管理条例》规定的处罚</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《重庆市公路管理条例》（</w:t>
            </w:r>
            <w:r>
              <w:rPr>
                <w:rFonts w:hint="eastAsia"/>
                <w:sz w:val="24"/>
                <w:szCs w:val="24"/>
              </w:rPr>
              <w:t>2021</w:t>
            </w:r>
            <w:r>
              <w:rPr>
                <w:rFonts w:hint="eastAsia" w:ascii="方正仿宋_GBK" w:hAnsi="方正仿宋_GBK" w:cs="方正仿宋_GBK"/>
                <w:sz w:val="24"/>
                <w:szCs w:val="24"/>
              </w:rPr>
              <w:t>年修正）第七十条。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393"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20</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对单位和个人损坏或者擅自移动有钉螺地带警示标志的处罚</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pacing w:val="-3"/>
                <w:sz w:val="24"/>
                <w:szCs w:val="24"/>
              </w:rPr>
              <w:t>《血吸虫病防治条例》（</w:t>
            </w:r>
            <w:r>
              <w:rPr>
                <w:rFonts w:hint="eastAsia"/>
                <w:sz w:val="24"/>
                <w:szCs w:val="24"/>
              </w:rPr>
              <w:t>2019</w:t>
            </w:r>
            <w:r>
              <w:rPr>
                <w:rFonts w:hint="eastAsia" w:ascii="方正仿宋_GBK" w:hAnsi="方正仿宋_GBK" w:cs="方正仿宋_GBK"/>
                <w:sz w:val="24"/>
                <w:szCs w:val="24"/>
              </w:rPr>
              <w:t>年修订）第五十一条。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530"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21</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对经劝导仍拒绝转移的群众实施强制转移</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行政强制</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《重庆市防汛抗旱条例》（</w:t>
            </w:r>
            <w:r>
              <w:rPr>
                <w:rFonts w:hint="eastAsia"/>
                <w:sz w:val="24"/>
                <w:szCs w:val="24"/>
              </w:rPr>
              <w:t>2018</w:t>
            </w:r>
            <w:r>
              <w:rPr>
                <w:rFonts w:hint="eastAsia" w:ascii="方正仿宋_GBK" w:hAnsi="方正仿宋_GBK" w:cs="方正仿宋_GBK"/>
                <w:sz w:val="24"/>
                <w:szCs w:val="24"/>
              </w:rPr>
              <w:t>年修正）第三十条第三款。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60"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22</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强行组织避灾疏散</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行政强制</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pacing w:val="-6"/>
                <w:sz w:val="24"/>
                <w:szCs w:val="24"/>
              </w:rPr>
              <w:t>《地质灾害防治条例》（</w:t>
            </w:r>
            <w:r>
              <w:rPr>
                <w:rFonts w:hint="eastAsia"/>
                <w:sz w:val="24"/>
                <w:szCs w:val="24"/>
              </w:rPr>
              <w:t>2004</w:t>
            </w:r>
            <w:r>
              <w:rPr>
                <w:rFonts w:hint="eastAsia" w:ascii="方正仿宋_GBK" w:hAnsi="方正仿宋_GBK" w:cs="方正仿宋_GBK"/>
                <w:spacing w:val="-6"/>
                <w:sz w:val="24"/>
                <w:szCs w:val="24"/>
              </w:rPr>
              <w:t>年施行）第二十九条；</w:t>
            </w:r>
          </w:p>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《重庆市地质灾害防治条例》（</w:t>
            </w:r>
            <w:r>
              <w:rPr>
                <w:rFonts w:hint="eastAsia"/>
                <w:sz w:val="24"/>
                <w:szCs w:val="24"/>
              </w:rPr>
              <w:t>2020</w:t>
            </w:r>
            <w:r>
              <w:rPr>
                <w:rFonts w:hint="eastAsia" w:ascii="方正仿宋_GBK" w:hAnsi="方正仿宋_GBK" w:cs="方正仿宋_GBK"/>
                <w:sz w:val="24"/>
                <w:szCs w:val="24"/>
              </w:rPr>
              <w:t>年修订）第三十四条第二款。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448"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23</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制止、铲除非法种植毒品原植物</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行政强制</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《重庆市禁毒条例》（</w:t>
            </w:r>
            <w:r>
              <w:rPr>
                <w:rFonts w:hint="eastAsia"/>
                <w:sz w:val="24"/>
                <w:szCs w:val="24"/>
              </w:rPr>
              <w:t>2012</w:t>
            </w:r>
            <w:r>
              <w:rPr>
                <w:rFonts w:hint="eastAsia" w:ascii="方正仿宋_GBK" w:hAnsi="方正仿宋_GBK" w:cs="方正仿宋_GBK"/>
                <w:sz w:val="24"/>
                <w:szCs w:val="24"/>
              </w:rPr>
              <w:t>年修订）第十九条第二款。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561"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24</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对在乡、村庄规划区内未依法取得乡村建设规划许可证或者未按照乡村建设规划许可证的规定进行建设且逾期不改正的予以拆除</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行政强制</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《中华人民共和国城乡规划法》（</w:t>
            </w:r>
            <w:r>
              <w:rPr>
                <w:rFonts w:hint="eastAsia"/>
                <w:sz w:val="24"/>
                <w:szCs w:val="24"/>
              </w:rPr>
              <w:t>2019</w:t>
            </w:r>
            <w:r>
              <w:rPr>
                <w:rFonts w:hint="eastAsia" w:ascii="方正仿宋_GBK" w:hAnsi="方正仿宋_GBK" w:cs="方正仿宋_GBK"/>
                <w:sz w:val="24"/>
                <w:szCs w:val="24"/>
              </w:rPr>
              <w:t>年修正）第六十五条。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470"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25</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对鉴定为危房且危及公共安全情形的村镇建筑作出强制治理决定</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行政强制</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《重庆市村镇规划建设管理条例》（</w:t>
            </w:r>
            <w:r>
              <w:rPr>
                <w:rFonts w:hint="eastAsia"/>
                <w:sz w:val="24"/>
                <w:szCs w:val="24"/>
              </w:rPr>
              <w:t>2015</w:t>
            </w:r>
            <w:r>
              <w:rPr>
                <w:rFonts w:hint="eastAsia" w:ascii="方正仿宋_GBK" w:hAnsi="方正仿宋_GBK" w:cs="方正仿宋_GBK"/>
                <w:sz w:val="24"/>
                <w:szCs w:val="24"/>
              </w:rPr>
              <w:t>年修订）第二十九条第三款。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26</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对在电力设施保护区内修建的建筑物、构筑物或者种植的植物、堆放的物品责令强制拆除、砍伐或者清除</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行政强制</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《中华人民共和国电力法》（</w:t>
            </w:r>
            <w:r>
              <w:rPr>
                <w:rFonts w:hint="eastAsia"/>
                <w:sz w:val="24"/>
                <w:szCs w:val="24"/>
              </w:rPr>
              <w:t>2018</w:t>
            </w:r>
            <w:r>
              <w:rPr>
                <w:rFonts w:hint="eastAsia" w:ascii="方正仿宋_GBK" w:hAnsi="方正仿宋_GBK" w:cs="方正仿宋_GBK"/>
                <w:sz w:val="24"/>
                <w:szCs w:val="24"/>
              </w:rPr>
              <w:t>年修正）第六十九条。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27</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对造成村道、村道附属设施损坏，拒不接受现场调查处理的，予以强制扣留车辆、工具；逾期不接受处理，并且经公告三个月仍不来接受处理的，对扣留车辆、工具依法予以拍卖</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行政强制</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《重庆市公路管理条例》（</w:t>
            </w:r>
            <w:r>
              <w:rPr>
                <w:rFonts w:hint="eastAsia"/>
                <w:sz w:val="24"/>
                <w:szCs w:val="24"/>
              </w:rPr>
              <w:t>2021</w:t>
            </w:r>
            <w:r>
              <w:rPr>
                <w:rFonts w:hint="eastAsia" w:ascii="方正仿宋_GBK" w:hAnsi="方正仿宋_GBK" w:cs="方正仿宋_GBK"/>
                <w:sz w:val="24"/>
                <w:szCs w:val="24"/>
              </w:rPr>
              <w:t>年修正）第六十八条第一款、第二款、第三款。</w:t>
            </w:r>
          </w:p>
        </w:tc>
      </w:tr>
    </w:tbl>
    <w:p>
      <w:pPr>
        <w:adjustRightInd w:val="0"/>
        <w:snapToGrid w:val="0"/>
        <w:spacing w:line="595" w:lineRule="exact"/>
        <w:rPr>
          <w:rStyle w:val="20"/>
        </w:rPr>
      </w:pPr>
    </w:p>
    <w:p>
      <w:pPr>
        <w:adjustRightInd w:val="0"/>
        <w:snapToGrid w:val="0"/>
        <w:spacing w:line="595" w:lineRule="exact"/>
        <w:rPr>
          <w:rStyle w:val="20"/>
        </w:rPr>
      </w:pPr>
      <w:r>
        <w:rPr>
          <w:rStyle w:val="20"/>
          <w:rFonts w:hint="eastAsia"/>
        </w:rPr>
        <w:t>附件2</w:t>
      </w:r>
    </w:p>
    <w:p>
      <w:pPr>
        <w:pStyle w:val="3"/>
        <w:spacing w:line="595" w:lineRule="exact"/>
        <w:jc w:val="center"/>
        <w:rPr>
          <w:rFonts w:eastAsia="方正小标宋_GBK"/>
          <w:b w:val="0"/>
          <w:bCs w:val="0"/>
          <w:szCs w:val="22"/>
        </w:rPr>
      </w:pPr>
      <w:r>
        <w:rPr>
          <w:rFonts w:hint="eastAsia" w:eastAsia="方正小标宋_GBK"/>
          <w:b w:val="0"/>
          <w:bCs w:val="0"/>
          <w:szCs w:val="22"/>
        </w:rPr>
        <w:t>重庆市赋予乡镇（街道）部分县级行政执法</w:t>
      </w:r>
    </w:p>
    <w:p>
      <w:pPr>
        <w:pStyle w:val="3"/>
        <w:spacing w:line="595" w:lineRule="exact"/>
        <w:jc w:val="center"/>
        <w:rPr>
          <w:rFonts w:eastAsia="方正小标宋_GBK"/>
          <w:b w:val="0"/>
          <w:bCs w:val="0"/>
          <w:szCs w:val="22"/>
        </w:rPr>
      </w:pPr>
      <w:r>
        <w:rPr>
          <w:rFonts w:hint="eastAsia" w:eastAsia="方正小标宋_GBK"/>
          <w:b w:val="0"/>
          <w:bCs w:val="0"/>
          <w:szCs w:val="22"/>
        </w:rPr>
        <w:t>事项指导清单（2023年）</w:t>
      </w:r>
    </w:p>
    <w:tbl>
      <w:tblPr>
        <w:tblStyle w:val="14"/>
        <w:tblW w:w="9419"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
      <w:tblGrid>
        <w:gridCol w:w="614"/>
        <w:gridCol w:w="3059"/>
        <w:gridCol w:w="1392"/>
        <w:gridCol w:w="1983"/>
        <w:gridCol w:w="2371"/>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558" w:hRule="atLeast"/>
          <w:tblHeader/>
          <w:jc w:val="center"/>
        </w:trPr>
        <w:tc>
          <w:tcPr>
            <w:tcW w:w="614" w:type="dxa"/>
            <w:tcMar>
              <w:left w:w="57" w:type="dxa"/>
              <w:right w:w="57" w:type="dxa"/>
            </w:tcMar>
            <w:vAlign w:val="center"/>
          </w:tcPr>
          <w:p>
            <w:pPr>
              <w:widowControl/>
              <w:adjustRightInd w:val="0"/>
              <w:snapToGrid w:val="0"/>
              <w:spacing w:line="440" w:lineRule="exact"/>
              <w:jc w:val="center"/>
              <w:textAlignment w:val="center"/>
              <w:rPr>
                <w:rFonts w:eastAsia="方正黑体_GBK" w:cs="方正黑体_GBK"/>
                <w:sz w:val="24"/>
                <w:szCs w:val="24"/>
              </w:rPr>
            </w:pPr>
            <w:r>
              <w:rPr>
                <w:rFonts w:hint="eastAsia" w:eastAsia="方正黑体_GBK" w:cs="方正黑体_GBK"/>
                <w:kern w:val="0"/>
                <w:sz w:val="24"/>
                <w:szCs w:val="24"/>
              </w:rPr>
              <w:t>序号</w:t>
            </w:r>
          </w:p>
        </w:tc>
        <w:tc>
          <w:tcPr>
            <w:tcW w:w="3059" w:type="dxa"/>
            <w:tcMar>
              <w:left w:w="57" w:type="dxa"/>
              <w:right w:w="57" w:type="dxa"/>
            </w:tcMar>
            <w:vAlign w:val="center"/>
          </w:tcPr>
          <w:p>
            <w:pPr>
              <w:widowControl/>
              <w:adjustRightInd w:val="0"/>
              <w:snapToGrid w:val="0"/>
              <w:spacing w:line="440" w:lineRule="exact"/>
              <w:jc w:val="center"/>
              <w:textAlignment w:val="center"/>
              <w:rPr>
                <w:rFonts w:eastAsia="方正黑体_GBK" w:cs="方正黑体_GBK"/>
                <w:sz w:val="24"/>
                <w:szCs w:val="24"/>
              </w:rPr>
            </w:pPr>
            <w:r>
              <w:rPr>
                <w:rFonts w:hint="eastAsia" w:eastAsia="方正黑体_GBK" w:cs="方正黑体_GBK"/>
                <w:kern w:val="0"/>
                <w:sz w:val="24"/>
                <w:szCs w:val="24"/>
              </w:rPr>
              <w:t>赋权事项名称</w:t>
            </w:r>
          </w:p>
        </w:tc>
        <w:tc>
          <w:tcPr>
            <w:tcW w:w="1392" w:type="dxa"/>
            <w:tcMar>
              <w:left w:w="57" w:type="dxa"/>
              <w:right w:w="57" w:type="dxa"/>
            </w:tcMar>
            <w:vAlign w:val="center"/>
          </w:tcPr>
          <w:p>
            <w:pPr>
              <w:widowControl/>
              <w:adjustRightInd w:val="0"/>
              <w:snapToGrid w:val="0"/>
              <w:spacing w:line="440" w:lineRule="exact"/>
              <w:jc w:val="center"/>
              <w:textAlignment w:val="center"/>
              <w:rPr>
                <w:rFonts w:eastAsia="方正黑体_GBK" w:cs="方正黑体_GBK"/>
                <w:sz w:val="24"/>
                <w:szCs w:val="24"/>
              </w:rPr>
            </w:pPr>
            <w:r>
              <w:rPr>
                <w:rFonts w:hint="eastAsia" w:eastAsia="方正黑体_GBK" w:cs="方正黑体_GBK"/>
                <w:kern w:val="0"/>
                <w:sz w:val="24"/>
                <w:szCs w:val="24"/>
              </w:rPr>
              <w:t>原行使部门</w:t>
            </w:r>
          </w:p>
        </w:tc>
        <w:tc>
          <w:tcPr>
            <w:tcW w:w="1983" w:type="dxa"/>
            <w:tcMar>
              <w:left w:w="57" w:type="dxa"/>
              <w:right w:w="57" w:type="dxa"/>
            </w:tcMar>
            <w:vAlign w:val="center"/>
          </w:tcPr>
          <w:p>
            <w:pPr>
              <w:widowControl/>
              <w:adjustRightInd w:val="0"/>
              <w:snapToGrid w:val="0"/>
              <w:spacing w:line="440" w:lineRule="exact"/>
              <w:jc w:val="center"/>
              <w:textAlignment w:val="center"/>
              <w:rPr>
                <w:rFonts w:eastAsia="方正黑体_GBK" w:cs="方正黑体_GBK"/>
                <w:sz w:val="24"/>
                <w:szCs w:val="24"/>
              </w:rPr>
            </w:pPr>
            <w:r>
              <w:rPr>
                <w:rFonts w:hint="eastAsia" w:eastAsia="方正黑体_GBK" w:cs="方正黑体_GBK"/>
                <w:kern w:val="0"/>
                <w:sz w:val="24"/>
                <w:szCs w:val="24"/>
              </w:rPr>
              <w:t>赋权范围</w:t>
            </w:r>
          </w:p>
        </w:tc>
        <w:tc>
          <w:tcPr>
            <w:tcW w:w="2371" w:type="dxa"/>
            <w:tcMar>
              <w:left w:w="57" w:type="dxa"/>
              <w:right w:w="57" w:type="dxa"/>
            </w:tcMar>
            <w:vAlign w:val="center"/>
          </w:tcPr>
          <w:p>
            <w:pPr>
              <w:widowControl/>
              <w:adjustRightInd w:val="0"/>
              <w:snapToGrid w:val="0"/>
              <w:spacing w:line="440" w:lineRule="exact"/>
              <w:jc w:val="center"/>
              <w:textAlignment w:val="center"/>
              <w:rPr>
                <w:rFonts w:eastAsia="方正黑体_GBK" w:cs="方正黑体_GBK"/>
                <w:sz w:val="24"/>
                <w:szCs w:val="24"/>
              </w:rPr>
            </w:pPr>
            <w:r>
              <w:rPr>
                <w:rFonts w:hint="eastAsia" w:eastAsia="方正黑体_GBK" w:cs="方正黑体_GBK"/>
                <w:kern w:val="0"/>
                <w:sz w:val="24"/>
                <w:szCs w:val="24"/>
              </w:rPr>
              <w:t>赋权事项的执法依据</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703" w:hRule="atLeast"/>
          <w:jc w:val="center"/>
        </w:trPr>
        <w:tc>
          <w:tcPr>
            <w:tcW w:w="9419" w:type="dxa"/>
            <w:gridSpan w:val="5"/>
            <w:tcMar>
              <w:left w:w="57" w:type="dxa"/>
              <w:right w:w="57" w:type="dxa"/>
            </w:tcMar>
            <w:vAlign w:val="center"/>
          </w:tcPr>
          <w:p>
            <w:pPr>
              <w:widowControl/>
              <w:adjustRightInd w:val="0"/>
              <w:snapToGrid w:val="0"/>
              <w:spacing w:line="380" w:lineRule="exact"/>
              <w:textAlignment w:val="center"/>
              <w:rPr>
                <w:rFonts w:eastAsia="方正黑体_GBK" w:cs="方正黑体_GBK"/>
                <w:sz w:val="24"/>
                <w:szCs w:val="24"/>
              </w:rPr>
            </w:pPr>
            <w:r>
              <w:rPr>
                <w:rFonts w:hint="eastAsia" w:ascii="方正楷体_GBK" w:hAnsi="方正楷体_GBK" w:eastAsia="方正楷体_GBK" w:cs="方正楷体_GBK"/>
                <w:kern w:val="0"/>
                <w:sz w:val="24"/>
                <w:szCs w:val="24"/>
              </w:rPr>
              <w:t>一、通用赋权事项（15项）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67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1</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对在崩塌、滑坡危险区或者泥石流易发区从事取土、挖砂、采石等可能造成水土流失活动的处罚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县水利部门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《中华人民共和国水土保持法》（</w:t>
            </w:r>
            <w:r>
              <w:rPr>
                <w:rFonts w:hint="eastAsia"/>
                <w:sz w:val="24"/>
                <w:szCs w:val="24"/>
              </w:rPr>
              <w:t>2010</w:t>
            </w:r>
            <w:r>
              <w:rPr>
                <w:rFonts w:hint="eastAsia" w:ascii="方正仿宋_GBK" w:hAnsi="方正仿宋_GBK" w:cs="方正仿宋_GBK"/>
                <w:kern w:val="0"/>
                <w:sz w:val="24"/>
                <w:szCs w:val="24"/>
              </w:rPr>
              <w:t>年修订）第四十八条。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79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2</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对屠宰、经营、运输的动物未附有检疫证明，经营和运输的动物产品未附有检疫证明、检疫标志的处罚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县农业农村部门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《中华人民共和国动物防疫法》（</w:t>
            </w:r>
            <w:r>
              <w:rPr>
                <w:rFonts w:hint="eastAsia"/>
                <w:sz w:val="24"/>
                <w:szCs w:val="24"/>
              </w:rPr>
              <w:t>2021</w:t>
            </w:r>
            <w:r>
              <w:rPr>
                <w:rFonts w:hint="eastAsia" w:ascii="方正仿宋_GBK" w:hAnsi="方正仿宋_GBK" w:cs="方正仿宋_GBK"/>
                <w:kern w:val="0"/>
                <w:sz w:val="24"/>
                <w:szCs w:val="24"/>
              </w:rPr>
              <w:t>年修订）第一百条第一款。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509"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3</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对互联网上网服务营业场所经营单位接纳未成年人进入营业场所的处罚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县文化旅游部门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行政处罚权（责令停产停业、吊销许可证件除外）以及与其行政处罚权有关的行政检查、行政强制措施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《互联网上网服务营业场所管理条例》（</w:t>
            </w:r>
            <w:r>
              <w:rPr>
                <w:rFonts w:hint="eastAsia"/>
                <w:sz w:val="24"/>
                <w:szCs w:val="24"/>
              </w:rPr>
              <w:t>2022</w:t>
            </w:r>
            <w:r>
              <w:rPr>
                <w:rFonts w:hint="eastAsia" w:ascii="方正仿宋_GBK" w:hAnsi="方正仿宋_GBK" w:cs="方正仿宋_GBK"/>
                <w:kern w:val="0"/>
                <w:sz w:val="24"/>
                <w:szCs w:val="24"/>
              </w:rPr>
              <w:t>年修订）第三十一条第二项。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899"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4</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对消防安全重点单位及公安派出所监督检查单位以外其他单位或者个人违反消防安全规定焚烧物品的处罚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县消防救援机构</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《重庆市消防条例》（</w:t>
            </w:r>
            <w:r>
              <w:rPr>
                <w:rFonts w:hint="eastAsia"/>
                <w:sz w:val="24"/>
                <w:szCs w:val="24"/>
              </w:rPr>
              <w:t>2013</w:t>
            </w:r>
            <w:r>
              <w:rPr>
                <w:rFonts w:hint="eastAsia" w:ascii="方正仿宋_GBK" w:hAnsi="方正仿宋_GBK" w:cs="方正仿宋_GBK"/>
                <w:kern w:val="0"/>
                <w:sz w:val="24"/>
                <w:szCs w:val="24"/>
              </w:rPr>
              <w:t>年修正）第六十三条第二项。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859"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5</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对消防安全重点单位及公安派出所监督检查单位以外其他单位或者个人</w:t>
            </w:r>
            <w:r>
              <w:rPr>
                <w:rStyle w:val="21"/>
                <w:rFonts w:hint="default"/>
                <w:color w:val="auto"/>
                <w:sz w:val="24"/>
                <w:szCs w:val="24"/>
              </w:rPr>
              <w:t>占用、堵塞、封闭疏散通道、安全出口的处罚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县消防救援机构</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《中华人民共和国消防法》（</w:t>
            </w:r>
            <w:r>
              <w:rPr>
                <w:rFonts w:hint="eastAsia"/>
                <w:sz w:val="24"/>
                <w:szCs w:val="24"/>
              </w:rPr>
              <w:t>2021</w:t>
            </w:r>
            <w:r>
              <w:rPr>
                <w:rFonts w:hint="eastAsia" w:ascii="方正仿宋_GBK" w:hAnsi="方正仿宋_GBK" w:cs="方正仿宋_GBK"/>
                <w:kern w:val="0"/>
                <w:sz w:val="24"/>
                <w:szCs w:val="24"/>
              </w:rPr>
              <w:t>年修正）第六十条第一款第三项、第二款。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533"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6</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对消防安全重点单位及公安派出所监督检查单位以外其他单位或者个人埋压、圈占、遮挡消火栓行为的处罚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县消防救援机构</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《中华人民共和国消防法》（</w:t>
            </w:r>
            <w:r>
              <w:rPr>
                <w:rFonts w:hint="eastAsia"/>
                <w:sz w:val="24"/>
                <w:szCs w:val="24"/>
              </w:rPr>
              <w:t>2021</w:t>
            </w:r>
            <w:r>
              <w:rPr>
                <w:rFonts w:hint="eastAsia" w:ascii="方正仿宋_GBK" w:hAnsi="方正仿宋_GBK" w:cs="方正仿宋_GBK"/>
                <w:kern w:val="0"/>
                <w:sz w:val="24"/>
                <w:szCs w:val="24"/>
              </w:rPr>
              <w:t>年修正）第六十条第一款第四项、第二款。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978"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7</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对消防安全重点单位及公安派出所监督检查单位以外其他单位或者个人占用、堵塞、封闭消防车通道，妨碍消防车通行行为的处罚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县消防救援机构</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《中华人民共和国消防法》（</w:t>
            </w:r>
            <w:r>
              <w:rPr>
                <w:rFonts w:hint="eastAsia"/>
                <w:sz w:val="24"/>
                <w:szCs w:val="24"/>
              </w:rPr>
              <w:t>2021</w:t>
            </w:r>
            <w:r>
              <w:rPr>
                <w:rFonts w:hint="eastAsia" w:ascii="方正仿宋_GBK" w:hAnsi="方正仿宋_GBK" w:cs="方正仿宋_GBK"/>
                <w:kern w:val="0"/>
                <w:sz w:val="24"/>
                <w:szCs w:val="24"/>
              </w:rPr>
              <w:t>年修正）第六十条第一款第五项、第二款。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663"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8</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对养犬人和管理人未立即清除宠物在公共场所产生的粪便，影响市容环境卫生的处罚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《重庆市养犬管理条例》（</w:t>
            </w:r>
            <w:r>
              <w:rPr>
                <w:rFonts w:hint="eastAsia"/>
                <w:sz w:val="24"/>
                <w:szCs w:val="24"/>
              </w:rPr>
              <w:t>2023</w:t>
            </w:r>
            <w:r>
              <w:rPr>
                <w:rFonts w:hint="eastAsia" w:ascii="方正仿宋_GBK" w:hAnsi="方正仿宋_GBK" w:cs="方正仿宋_GBK"/>
                <w:kern w:val="0"/>
                <w:sz w:val="24"/>
                <w:szCs w:val="24"/>
              </w:rPr>
              <w:t>年施行）第四十二条第四项。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095"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9</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对个人随意倾倒、抛洒、堆放或者焚烧生活垃圾的处罚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《中华人民共和国固体废物污染环境防治法》（</w:t>
            </w:r>
            <w:r>
              <w:rPr>
                <w:rFonts w:hint="eastAsia"/>
                <w:sz w:val="24"/>
                <w:szCs w:val="24"/>
              </w:rPr>
              <w:t>2020</w:t>
            </w:r>
            <w:r>
              <w:rPr>
                <w:rFonts w:hint="eastAsia" w:ascii="方正仿宋_GBK" w:hAnsi="方正仿宋_GBK" w:cs="方正仿宋_GBK"/>
                <w:kern w:val="0"/>
                <w:sz w:val="24"/>
                <w:szCs w:val="24"/>
              </w:rPr>
              <w:t>年修订）第一百一十一条第一款第一项、第二款。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969"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10</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对《重庆市市容环境卫生管理条例》第十八条</w:t>
            </w:r>
            <w:r>
              <w:rPr>
                <w:rStyle w:val="22"/>
                <w:rFonts w:hint="default"/>
                <w:b w:val="0"/>
                <w:color w:val="auto"/>
                <w:sz w:val="24"/>
                <w:szCs w:val="24"/>
              </w:rPr>
              <w:t>规定情形</w:t>
            </w:r>
            <w:r>
              <w:rPr>
                <w:rStyle w:val="21"/>
                <w:rFonts w:hint="default"/>
                <w:color w:val="auto"/>
                <w:sz w:val="24"/>
                <w:szCs w:val="24"/>
              </w:rPr>
              <w:t>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《重庆市市容环境卫生管理条例》（</w:t>
            </w:r>
            <w:r>
              <w:rPr>
                <w:rFonts w:hint="eastAsia"/>
                <w:sz w:val="24"/>
                <w:szCs w:val="24"/>
              </w:rPr>
              <w:t>2018</w:t>
            </w:r>
            <w:r>
              <w:rPr>
                <w:rFonts w:hint="eastAsia" w:ascii="方正仿宋_GBK" w:hAnsi="方正仿宋_GBK" w:cs="方正仿宋_GBK"/>
                <w:kern w:val="0"/>
                <w:sz w:val="24"/>
                <w:szCs w:val="24"/>
              </w:rPr>
              <w:t>年修正）第十八条第一款、第二款。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409"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11</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对霓虹灯、电子显示屏（牌）、灯箱等形式的户外广告未保持完好、有破损、污迹和严重褪色，未显示完好的处罚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《重庆市市容环境卫生管理条例》（</w:t>
            </w:r>
            <w:r>
              <w:rPr>
                <w:rFonts w:hint="eastAsia"/>
                <w:sz w:val="24"/>
                <w:szCs w:val="24"/>
              </w:rPr>
              <w:t>2018</w:t>
            </w:r>
            <w:r>
              <w:rPr>
                <w:rFonts w:hint="eastAsia" w:ascii="方正仿宋_GBK" w:hAnsi="方正仿宋_GBK" w:cs="方正仿宋_GBK"/>
                <w:kern w:val="0"/>
                <w:sz w:val="24"/>
                <w:szCs w:val="24"/>
              </w:rPr>
              <w:t>年修正）第三十六条。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12</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对在道路上的通讯、邮政、电力、有线电视、公交客运、环境卫生等设施出现污损、残缺未及时清洗或修复的处罚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《重庆市市容环境卫生管理条例》（</w:t>
            </w:r>
            <w:r>
              <w:rPr>
                <w:rFonts w:hint="eastAsia"/>
                <w:sz w:val="24"/>
                <w:szCs w:val="24"/>
              </w:rPr>
              <w:t>2018</w:t>
            </w:r>
            <w:r>
              <w:rPr>
                <w:rFonts w:hint="eastAsia" w:ascii="方正仿宋_GBK" w:hAnsi="方正仿宋_GBK" w:cs="方正仿宋_GBK"/>
                <w:kern w:val="0"/>
                <w:sz w:val="24"/>
                <w:szCs w:val="24"/>
              </w:rPr>
              <w:t>年修正）第十六条。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725"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13</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w:t>
            </w:r>
            <w:r>
              <w:rPr>
                <w:rStyle w:val="21"/>
                <w:rFonts w:hint="default"/>
                <w:color w:val="auto"/>
                <w:sz w:val="24"/>
                <w:szCs w:val="24"/>
              </w:rPr>
              <w:t>经批准</w:t>
            </w:r>
            <w:r>
              <w:rPr>
                <w:rStyle w:val="23"/>
                <w:rFonts w:hint="default"/>
                <w:color w:val="auto"/>
              </w:rPr>
              <w:t>临时占用道路堆放建筑材料未放置整齐，散体、流体物料未使用围挡存放的处罚。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《重庆市市容环境卫生管理条例》（</w:t>
            </w:r>
            <w:r>
              <w:rPr>
                <w:rFonts w:hint="eastAsia"/>
                <w:sz w:val="24"/>
                <w:szCs w:val="24"/>
              </w:rPr>
              <w:t>2018</w:t>
            </w:r>
            <w:r>
              <w:rPr>
                <w:rFonts w:hint="eastAsia" w:ascii="方正仿宋_GBK" w:hAnsi="方正仿宋_GBK" w:cs="方正仿宋_GBK"/>
                <w:kern w:val="0"/>
                <w:sz w:val="24"/>
                <w:szCs w:val="24"/>
              </w:rPr>
              <w:t>年修正）第二十八条。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152"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14</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对集贸摊区市场、临街门店的业主或经营者未按市容环境卫生主管部门要求设置垃圾收集容器，及时清运垃圾，保持环境整洁的处罚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《重庆市市容环境卫生管理条例》（</w:t>
            </w:r>
            <w:r>
              <w:rPr>
                <w:rFonts w:hint="eastAsia"/>
                <w:sz w:val="24"/>
                <w:szCs w:val="24"/>
              </w:rPr>
              <w:t>2018</w:t>
            </w:r>
            <w:r>
              <w:rPr>
                <w:rFonts w:hint="eastAsia" w:ascii="方正仿宋_GBK" w:hAnsi="方正仿宋_GBK" w:cs="方正仿宋_GBK"/>
                <w:kern w:val="0"/>
                <w:sz w:val="24"/>
                <w:szCs w:val="24"/>
              </w:rPr>
              <w:t>年修正）第四十三条。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606" w:hRule="atLeast"/>
          <w:jc w:val="center"/>
        </w:trPr>
        <w:tc>
          <w:tcPr>
            <w:tcW w:w="614" w:type="dxa"/>
            <w:tcMar>
              <w:left w:w="57" w:type="dxa"/>
              <w:right w:w="57" w:type="dxa"/>
            </w:tcMar>
            <w:vAlign w:val="center"/>
          </w:tcPr>
          <w:p>
            <w:pPr>
              <w:widowControl/>
              <w:adjustRightInd w:val="0"/>
              <w:snapToGrid w:val="0"/>
              <w:spacing w:line="380" w:lineRule="exact"/>
              <w:jc w:val="center"/>
              <w:textAlignment w:val="center"/>
              <w:rPr>
                <w:rFonts w:ascii="方正仿宋_GBK" w:hAnsi="方正仿宋_GBK" w:cs="方正仿宋_GBK"/>
                <w:sz w:val="24"/>
                <w:szCs w:val="24"/>
              </w:rPr>
            </w:pPr>
            <w:r>
              <w:rPr>
                <w:rFonts w:hint="eastAsia"/>
                <w:sz w:val="24"/>
                <w:szCs w:val="24"/>
              </w:rPr>
              <w:t>15</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对违反《重庆市市容环境卫生管理条例》第四十五条</w:t>
            </w:r>
            <w:r>
              <w:rPr>
                <w:rStyle w:val="22"/>
                <w:rFonts w:hint="default"/>
                <w:b w:val="0"/>
                <w:bCs/>
                <w:color w:val="auto"/>
                <w:sz w:val="24"/>
                <w:szCs w:val="24"/>
              </w:rPr>
              <w:t>规定情形</w:t>
            </w:r>
            <w:r>
              <w:rPr>
                <w:rStyle w:val="21"/>
                <w:rFonts w:hint="default"/>
                <w:color w:val="auto"/>
                <w:sz w:val="24"/>
                <w:szCs w:val="24"/>
              </w:rPr>
              <w:t>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《重庆市市容环境卫生管理条例》（</w:t>
            </w:r>
            <w:r>
              <w:rPr>
                <w:rFonts w:hint="eastAsia"/>
                <w:sz w:val="24"/>
                <w:szCs w:val="24"/>
              </w:rPr>
              <w:t>2018</w:t>
            </w:r>
            <w:r>
              <w:rPr>
                <w:rFonts w:hint="eastAsia" w:ascii="方正仿宋_GBK" w:hAnsi="方正仿宋_GBK" w:cs="方正仿宋_GBK"/>
                <w:kern w:val="0"/>
                <w:sz w:val="24"/>
                <w:szCs w:val="24"/>
              </w:rPr>
              <w:t>年修正）第四十五条。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625" w:hRule="atLeast"/>
          <w:jc w:val="center"/>
        </w:trPr>
        <w:tc>
          <w:tcPr>
            <w:tcW w:w="9419" w:type="dxa"/>
            <w:gridSpan w:val="5"/>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楷体_GBK" w:hAnsi="方正楷体_GBK" w:eastAsia="方正楷体_GBK" w:cs="方正楷体_GBK"/>
                <w:kern w:val="0"/>
                <w:sz w:val="24"/>
                <w:szCs w:val="24"/>
              </w:rPr>
              <w:t>二、自选赋权事项（</w:t>
            </w:r>
            <w:r>
              <w:rPr>
                <w:rFonts w:hint="eastAsia" w:ascii="方正楷体_GBK" w:hAnsi="方正楷体_GBK" w:eastAsia="方正楷体_GBK" w:cs="方正楷体_GBK"/>
                <w:sz w:val="24"/>
                <w:szCs w:val="24"/>
              </w:rPr>
              <w:t>84</w:t>
            </w:r>
            <w:r>
              <w:rPr>
                <w:rFonts w:hint="eastAsia" w:ascii="方正楷体_GBK" w:hAnsi="方正楷体_GBK" w:eastAsia="方正楷体_GBK" w:cs="方正楷体_GBK"/>
                <w:kern w:val="0"/>
                <w:sz w:val="24"/>
                <w:szCs w:val="24"/>
              </w:rPr>
              <w:t>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78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16</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对燃气用户及相关单位和个人有</w:t>
            </w:r>
            <w:r>
              <w:rPr>
                <w:rStyle w:val="21"/>
                <w:rFonts w:hint="default"/>
                <w:color w:val="auto"/>
                <w:sz w:val="24"/>
                <w:szCs w:val="24"/>
              </w:rPr>
              <w:t>《城镇燃气管理条例》第四十九条第一项、第二项、第四项</w:t>
            </w:r>
            <w:r>
              <w:rPr>
                <w:rStyle w:val="22"/>
                <w:rFonts w:hint="default"/>
                <w:b w:val="0"/>
                <w:color w:val="auto"/>
                <w:sz w:val="24"/>
                <w:szCs w:val="24"/>
              </w:rPr>
              <w:t>规定情形</w:t>
            </w:r>
            <w:r>
              <w:rPr>
                <w:rStyle w:val="21"/>
                <w:rFonts w:hint="default"/>
                <w:color w:val="auto"/>
                <w:sz w:val="24"/>
                <w:szCs w:val="24"/>
              </w:rPr>
              <w:t>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县经济信息部门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《城镇燃气管理条例》（</w:t>
            </w:r>
            <w:r>
              <w:rPr>
                <w:rFonts w:hint="eastAsia"/>
                <w:sz w:val="24"/>
                <w:szCs w:val="24"/>
              </w:rPr>
              <w:t>2016</w:t>
            </w:r>
            <w:r>
              <w:rPr>
                <w:rFonts w:hint="eastAsia" w:ascii="方正仿宋_GBK" w:hAnsi="方正仿宋_GBK" w:cs="方正仿宋_GBK"/>
                <w:kern w:val="0"/>
                <w:sz w:val="24"/>
                <w:szCs w:val="24"/>
              </w:rPr>
              <w:t>年修订）第四十九条第一款第一项、第二项、第四项。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83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17</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对天然气用户无正当理由拒绝入户安全检查的处罚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县经济信息部门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《重庆市天然气管理条例》（</w:t>
            </w:r>
            <w:r>
              <w:rPr>
                <w:rFonts w:hint="eastAsia"/>
                <w:sz w:val="24"/>
                <w:szCs w:val="24"/>
              </w:rPr>
              <w:t>2019</w:t>
            </w:r>
            <w:r>
              <w:rPr>
                <w:rFonts w:hint="eastAsia" w:ascii="方正仿宋_GBK" w:hAnsi="方正仿宋_GBK" w:cs="方正仿宋_GBK"/>
                <w:kern w:val="0"/>
                <w:sz w:val="24"/>
                <w:szCs w:val="24"/>
              </w:rPr>
              <w:t>年修订）第六十条第一款第一项。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168"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18</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不符合条件的人员擅自安装、维修天然气燃烧器具的处罚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县经济信息部门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《重庆市天然气管理条例》（</w:t>
            </w:r>
            <w:r>
              <w:rPr>
                <w:rFonts w:hint="eastAsia"/>
                <w:sz w:val="24"/>
                <w:szCs w:val="24"/>
              </w:rPr>
              <w:t>2019</w:t>
            </w:r>
            <w:r>
              <w:rPr>
                <w:rFonts w:hint="eastAsia" w:ascii="方正仿宋_GBK" w:hAnsi="方正仿宋_GBK" w:cs="方正仿宋_GBK"/>
                <w:kern w:val="0"/>
                <w:sz w:val="24"/>
                <w:szCs w:val="24"/>
              </w:rPr>
              <w:t>年修订）第六十条第二款。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282"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19</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对消防安全重点单位及公安派出所监督检查单位以外其他单位或者个人损坏、挪用或者擅自拆除、停用消防设施、器材的处罚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县消防救援机构</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《中华人民共和国消防法》（</w:t>
            </w:r>
            <w:r>
              <w:rPr>
                <w:rFonts w:hint="eastAsia"/>
                <w:sz w:val="24"/>
                <w:szCs w:val="24"/>
              </w:rPr>
              <w:t>2021</w:t>
            </w:r>
            <w:r>
              <w:rPr>
                <w:rFonts w:hint="eastAsia" w:ascii="方正仿宋_GBK" w:hAnsi="方正仿宋_GBK" w:cs="方正仿宋_GBK"/>
                <w:kern w:val="0"/>
                <w:sz w:val="24"/>
                <w:szCs w:val="24"/>
              </w:rPr>
              <w:t>年修正）第六十条第一款第二项、第二款。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635"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20</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对消防安全重点单位及公安派出所监督检查单位以外其他单位或者个人在高层建筑内宾馆、餐饮场所的厨房烟道、燃气管道未定期检查、清洗和保养的处罚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县消防救援机构</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《重庆市高层建筑消防安全管理规定》（</w:t>
            </w:r>
            <w:r>
              <w:rPr>
                <w:rFonts w:hint="eastAsia"/>
                <w:sz w:val="24"/>
                <w:szCs w:val="24"/>
              </w:rPr>
              <w:t>2019</w:t>
            </w:r>
            <w:r>
              <w:rPr>
                <w:rFonts w:hint="eastAsia" w:ascii="方正仿宋_GBK" w:hAnsi="方正仿宋_GBK" w:cs="方正仿宋_GBK"/>
                <w:kern w:val="0"/>
                <w:sz w:val="24"/>
                <w:szCs w:val="24"/>
              </w:rPr>
              <w:t>年施行）第六十一条第一项。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371"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21</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对消防安全重点单位及公安派出所监督检查单位以外其他单位或者个人在人员密集场所的门窗上设置影响逃生和灭火救援的障碍物的处罚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县消防救援机构</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《中华人民共和国消防法》（</w:t>
            </w:r>
            <w:r>
              <w:rPr>
                <w:rFonts w:hint="eastAsia"/>
                <w:sz w:val="24"/>
                <w:szCs w:val="24"/>
              </w:rPr>
              <w:t>2021</w:t>
            </w:r>
            <w:r>
              <w:rPr>
                <w:rFonts w:hint="eastAsia" w:ascii="方正仿宋_GBK" w:hAnsi="方正仿宋_GBK" w:cs="方正仿宋_GBK"/>
                <w:kern w:val="0"/>
                <w:sz w:val="24"/>
                <w:szCs w:val="24"/>
              </w:rPr>
              <w:t>年修正）第六十条第六项；《重庆市消防条例》（</w:t>
            </w:r>
            <w:r>
              <w:rPr>
                <w:rFonts w:hint="eastAsia"/>
                <w:sz w:val="24"/>
                <w:szCs w:val="24"/>
              </w:rPr>
              <w:t>2013</w:t>
            </w:r>
            <w:r>
              <w:rPr>
                <w:rFonts w:hint="eastAsia" w:ascii="方正仿宋_GBK" w:hAnsi="方正仿宋_GBK" w:cs="方正仿宋_GBK"/>
                <w:kern w:val="0"/>
                <w:sz w:val="24"/>
                <w:szCs w:val="24"/>
              </w:rPr>
              <w:t>年修正）第六十二条第二项。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869"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22</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对消防安全重点单位及公安派出所监督检查单位以外其他单位或者个人在具有火灾、爆炸危险的场所吸烟的处罚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县消防救援机构</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行政处罚权（公安机关依法行使的除外）以及与其行政处罚权有关的行政检查、行政强制措施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《中华人民共和国消防法》（</w:t>
            </w:r>
            <w:r>
              <w:rPr>
                <w:rFonts w:hint="eastAsia"/>
                <w:sz w:val="24"/>
                <w:szCs w:val="24"/>
              </w:rPr>
              <w:t>2021</w:t>
            </w:r>
            <w:r>
              <w:rPr>
                <w:rFonts w:hint="eastAsia" w:ascii="方正仿宋_GBK" w:hAnsi="方正仿宋_GBK" w:cs="方正仿宋_GBK"/>
                <w:kern w:val="0"/>
                <w:sz w:val="24"/>
                <w:szCs w:val="24"/>
              </w:rPr>
              <w:t>年修正）第六十三条第二项。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097"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23</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对消防安全重点单位及公安派出所监督检查单位以外其他单位或者个人违反规定使用明火作业的处罚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县消防救援机构</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行政处罚权（公安机关依法行使的除外）以及与其行政处罚权有关的行政检查、行政强制措施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《中华人民共和国消防法》（</w:t>
            </w:r>
            <w:r>
              <w:rPr>
                <w:rFonts w:hint="eastAsia"/>
                <w:sz w:val="24"/>
                <w:szCs w:val="24"/>
              </w:rPr>
              <w:t>2021</w:t>
            </w:r>
            <w:r>
              <w:rPr>
                <w:rFonts w:hint="eastAsia" w:ascii="方正仿宋_GBK" w:hAnsi="方正仿宋_GBK" w:cs="方正仿宋_GBK"/>
                <w:kern w:val="0"/>
                <w:sz w:val="24"/>
                <w:szCs w:val="24"/>
              </w:rPr>
              <w:t>年修正）第六十三条第二项。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49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24</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对消防安全重点单位及公安派出所监督检查单位以外其他的机关、团体、企业、事业等单位或者个人违反《中华人民共和国消防法》第十八条、第二十一条第二款</w:t>
            </w:r>
            <w:r>
              <w:rPr>
                <w:rStyle w:val="22"/>
                <w:rFonts w:hint="default"/>
                <w:b w:val="0"/>
                <w:bCs/>
                <w:color w:val="auto"/>
                <w:sz w:val="24"/>
                <w:szCs w:val="24"/>
              </w:rPr>
              <w:t>规定情形</w:t>
            </w:r>
            <w:r>
              <w:rPr>
                <w:rStyle w:val="21"/>
                <w:rFonts w:hint="default"/>
                <w:color w:val="auto"/>
                <w:sz w:val="24"/>
                <w:szCs w:val="24"/>
              </w:rPr>
              <w:t>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县消防救援机构</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《中华人民共和国消防法》（</w:t>
            </w:r>
            <w:r>
              <w:rPr>
                <w:rFonts w:hint="eastAsia"/>
                <w:sz w:val="24"/>
                <w:szCs w:val="24"/>
              </w:rPr>
              <w:t>2021</w:t>
            </w:r>
            <w:r>
              <w:rPr>
                <w:rFonts w:hint="eastAsia" w:ascii="方正仿宋_GBK" w:hAnsi="方正仿宋_GBK" w:cs="方正仿宋_GBK"/>
                <w:kern w:val="0"/>
                <w:sz w:val="24"/>
                <w:szCs w:val="24"/>
              </w:rPr>
              <w:t>年修正）第六十七条。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446" w:hRule="atLeast"/>
          <w:jc w:val="center"/>
        </w:trPr>
        <w:tc>
          <w:tcPr>
            <w:tcW w:w="614" w:type="dxa"/>
            <w:tcMar>
              <w:left w:w="57" w:type="dxa"/>
              <w:right w:w="57" w:type="dxa"/>
            </w:tcMar>
            <w:vAlign w:val="center"/>
          </w:tcPr>
          <w:p>
            <w:pPr>
              <w:widowControl/>
              <w:adjustRightInd w:val="0"/>
              <w:snapToGrid w:val="0"/>
              <w:spacing w:line="380" w:lineRule="exact"/>
              <w:jc w:val="center"/>
              <w:textAlignment w:val="center"/>
              <w:rPr>
                <w:rFonts w:ascii="方正仿宋_GBK" w:hAnsi="方正仿宋_GBK" w:cs="方正仿宋_GBK"/>
                <w:sz w:val="24"/>
                <w:szCs w:val="24"/>
              </w:rPr>
            </w:pPr>
            <w:r>
              <w:rPr>
                <w:rFonts w:hint="eastAsia"/>
                <w:sz w:val="24"/>
                <w:szCs w:val="24"/>
              </w:rPr>
              <w:t>25</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对消防安全重点单位及公安派出所监督检查单位以外其他单位或者个人消防控制室无人值班的处罚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县消防救援机构</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《重庆市消防条例》（</w:t>
            </w:r>
            <w:r>
              <w:rPr>
                <w:rFonts w:hint="eastAsia"/>
                <w:sz w:val="24"/>
                <w:szCs w:val="24"/>
              </w:rPr>
              <w:t>2013</w:t>
            </w:r>
            <w:r>
              <w:rPr>
                <w:rFonts w:hint="eastAsia" w:ascii="方正仿宋_GBK" w:hAnsi="方正仿宋_GBK" w:cs="方正仿宋_GBK"/>
                <w:kern w:val="0"/>
                <w:sz w:val="24"/>
                <w:szCs w:val="24"/>
              </w:rPr>
              <w:t>年修正）第六十四条。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922" w:hRule="atLeast"/>
          <w:jc w:val="center"/>
        </w:trPr>
        <w:tc>
          <w:tcPr>
            <w:tcW w:w="614" w:type="dxa"/>
            <w:tcMar>
              <w:left w:w="57" w:type="dxa"/>
              <w:right w:w="57" w:type="dxa"/>
            </w:tcMar>
            <w:vAlign w:val="center"/>
          </w:tcPr>
          <w:p>
            <w:pPr>
              <w:widowControl/>
              <w:adjustRightInd w:val="0"/>
              <w:snapToGrid w:val="0"/>
              <w:spacing w:line="380" w:lineRule="exact"/>
              <w:jc w:val="center"/>
              <w:textAlignment w:val="center"/>
              <w:rPr>
                <w:rFonts w:ascii="方正仿宋_GBK" w:hAnsi="方正仿宋_GBK" w:cs="方正仿宋_GBK"/>
                <w:sz w:val="24"/>
                <w:szCs w:val="24"/>
              </w:rPr>
            </w:pPr>
            <w:r>
              <w:rPr>
                <w:rFonts w:hint="eastAsia"/>
                <w:sz w:val="24"/>
                <w:szCs w:val="24"/>
              </w:rPr>
              <w:t>26</w:t>
            </w:r>
          </w:p>
        </w:tc>
        <w:tc>
          <w:tcPr>
            <w:tcW w:w="3059" w:type="dxa"/>
            <w:tcMar>
              <w:left w:w="57" w:type="dxa"/>
              <w:right w:w="57" w:type="dxa"/>
            </w:tcMar>
            <w:vAlign w:val="center"/>
          </w:tcPr>
          <w:p>
            <w:pPr>
              <w:widowControl/>
              <w:adjustRightInd w:val="0"/>
              <w:snapToGrid w:val="0"/>
              <w:spacing w:line="32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对消防安全重点单位及公安派出所监督检查单位以外其他单位或者个人在高层民用建筑的公共门厅、疏散走道、楼梯间、安全出口停放电动自行车或者为电动自行车充电，拒不改正的处罚</w:t>
            </w:r>
          </w:p>
        </w:tc>
        <w:tc>
          <w:tcPr>
            <w:tcW w:w="1392" w:type="dxa"/>
            <w:tcMar>
              <w:left w:w="57" w:type="dxa"/>
              <w:right w:w="57" w:type="dxa"/>
            </w:tcMar>
            <w:vAlign w:val="center"/>
          </w:tcPr>
          <w:p>
            <w:pPr>
              <w:widowControl/>
              <w:adjustRightInd w:val="0"/>
              <w:snapToGrid w:val="0"/>
              <w:spacing w:line="32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县消防救援机构</w:t>
            </w:r>
          </w:p>
        </w:tc>
        <w:tc>
          <w:tcPr>
            <w:tcW w:w="1983" w:type="dxa"/>
            <w:tcMar>
              <w:left w:w="57" w:type="dxa"/>
              <w:right w:w="57" w:type="dxa"/>
            </w:tcMar>
            <w:vAlign w:val="center"/>
          </w:tcPr>
          <w:p>
            <w:pPr>
              <w:widowControl/>
              <w:adjustRightInd w:val="0"/>
              <w:snapToGrid w:val="0"/>
              <w:spacing w:line="32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2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《高层民用建筑消防安全管理规定》（</w:t>
            </w:r>
            <w:r>
              <w:rPr>
                <w:rFonts w:hint="eastAsia"/>
                <w:sz w:val="24"/>
                <w:szCs w:val="24"/>
              </w:rPr>
              <w:t>2021</w:t>
            </w:r>
            <w:r>
              <w:rPr>
                <w:rFonts w:hint="eastAsia" w:ascii="方正仿宋_GBK" w:hAnsi="方正仿宋_GBK" w:cs="方正仿宋_GBK"/>
                <w:kern w:val="0"/>
                <w:sz w:val="24"/>
                <w:szCs w:val="24"/>
              </w:rPr>
              <w:t>年施行）第四十七条第七项。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3781" w:hRule="atLeast"/>
          <w:jc w:val="center"/>
        </w:trPr>
        <w:tc>
          <w:tcPr>
            <w:tcW w:w="614" w:type="dxa"/>
            <w:tcMar>
              <w:left w:w="57" w:type="dxa"/>
              <w:right w:w="57" w:type="dxa"/>
            </w:tcMar>
            <w:vAlign w:val="center"/>
          </w:tcPr>
          <w:p>
            <w:pPr>
              <w:widowControl/>
              <w:adjustRightInd w:val="0"/>
              <w:snapToGrid w:val="0"/>
              <w:spacing w:line="380" w:lineRule="exact"/>
              <w:jc w:val="center"/>
              <w:textAlignment w:val="center"/>
              <w:rPr>
                <w:rFonts w:ascii="方正仿宋_GBK" w:hAnsi="方正仿宋_GBK" w:cs="方正仿宋_GBK"/>
                <w:sz w:val="24"/>
                <w:szCs w:val="24"/>
              </w:rPr>
            </w:pPr>
            <w:r>
              <w:rPr>
                <w:rFonts w:hint="eastAsia"/>
                <w:sz w:val="24"/>
                <w:szCs w:val="24"/>
              </w:rPr>
              <w:t>27</w:t>
            </w:r>
          </w:p>
        </w:tc>
        <w:tc>
          <w:tcPr>
            <w:tcW w:w="3059"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消防安全重点单位及公安派出所监督检查单位以外其他单位或者个人生产、储存、经营易燃易爆危险品的场所与居住场所设置在同一建筑物内，或者未与居住场所保持安全距离的，以及生产、储存、经营其他物品的场所与居住场所设置在同一建筑物内，不符合消防技术标准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县消防救援机构</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w:t>
            </w:r>
            <w:r>
              <w:rPr>
                <w:rStyle w:val="21"/>
                <w:rFonts w:hint="default"/>
                <w:color w:val="auto"/>
                <w:sz w:val="24"/>
                <w:szCs w:val="24"/>
              </w:rPr>
              <w:t>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《中华人民共和国消防法》（</w:t>
            </w:r>
            <w:r>
              <w:rPr>
                <w:rFonts w:hint="eastAsia"/>
                <w:sz w:val="24"/>
                <w:szCs w:val="24"/>
              </w:rPr>
              <w:t>2021</w:t>
            </w:r>
            <w:r>
              <w:rPr>
                <w:rFonts w:hint="eastAsia" w:ascii="方正仿宋_GBK" w:hAnsi="方正仿宋_GBK" w:cs="方正仿宋_GBK"/>
                <w:kern w:val="0"/>
                <w:sz w:val="24"/>
                <w:szCs w:val="24"/>
              </w:rPr>
              <w:t>年修正）第六十一条。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973" w:hRule="atLeast"/>
          <w:jc w:val="center"/>
        </w:trPr>
        <w:tc>
          <w:tcPr>
            <w:tcW w:w="614" w:type="dxa"/>
            <w:tcMar>
              <w:left w:w="57" w:type="dxa"/>
              <w:right w:w="57" w:type="dxa"/>
            </w:tcMar>
            <w:vAlign w:val="center"/>
          </w:tcPr>
          <w:p>
            <w:pPr>
              <w:widowControl/>
              <w:adjustRightInd w:val="0"/>
              <w:snapToGrid w:val="0"/>
              <w:spacing w:line="380" w:lineRule="exact"/>
              <w:jc w:val="center"/>
              <w:textAlignment w:val="center"/>
              <w:rPr>
                <w:rFonts w:ascii="方正仿宋_GBK" w:hAnsi="方正仿宋_GBK" w:cs="方正仿宋_GBK"/>
                <w:sz w:val="24"/>
                <w:szCs w:val="24"/>
              </w:rPr>
            </w:pPr>
            <w:r>
              <w:rPr>
                <w:rFonts w:hint="eastAsia"/>
                <w:sz w:val="24"/>
                <w:szCs w:val="24"/>
              </w:rPr>
              <w:t>28</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bCs/>
                <w:kern w:val="0"/>
                <w:sz w:val="24"/>
                <w:szCs w:val="24"/>
              </w:rPr>
              <w:t>对</w:t>
            </w:r>
            <w:r>
              <w:rPr>
                <w:rStyle w:val="24"/>
                <w:rFonts w:hint="default"/>
                <w:bCs/>
                <w:color w:val="auto"/>
                <w:sz w:val="24"/>
                <w:szCs w:val="24"/>
              </w:rPr>
              <w:t>违反《中华人民共和国反食品浪费法》规定，</w:t>
            </w:r>
            <w:r>
              <w:rPr>
                <w:rFonts w:hint="eastAsia" w:ascii="方正仿宋_GBK" w:hAnsi="方正仿宋_GBK" w:cs="方正仿宋_GBK"/>
                <w:kern w:val="0"/>
                <w:sz w:val="24"/>
                <w:szCs w:val="24"/>
              </w:rPr>
              <w:t>餐饮服务经营者未主动对消费者进行防止食品浪费提示提醒的处罚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县市场监管部门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《中华人民共和国反食品浪费法》（</w:t>
            </w:r>
            <w:r>
              <w:rPr>
                <w:rFonts w:hint="eastAsia"/>
                <w:sz w:val="24"/>
                <w:szCs w:val="24"/>
              </w:rPr>
              <w:t>2021</w:t>
            </w:r>
            <w:r>
              <w:rPr>
                <w:rFonts w:hint="eastAsia" w:ascii="方正仿宋_GBK" w:hAnsi="方正仿宋_GBK" w:cs="方正仿宋_GBK"/>
                <w:kern w:val="0"/>
                <w:sz w:val="24"/>
                <w:szCs w:val="24"/>
              </w:rPr>
              <w:t>年施行）第二十八条第一款。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818" w:hRule="atLeast"/>
          <w:jc w:val="center"/>
        </w:trPr>
        <w:tc>
          <w:tcPr>
            <w:tcW w:w="614" w:type="dxa"/>
            <w:tcMar>
              <w:left w:w="57" w:type="dxa"/>
              <w:right w:w="57" w:type="dxa"/>
            </w:tcMar>
            <w:vAlign w:val="center"/>
          </w:tcPr>
          <w:p>
            <w:pPr>
              <w:widowControl/>
              <w:adjustRightInd w:val="0"/>
              <w:snapToGrid w:val="0"/>
              <w:spacing w:line="380" w:lineRule="exact"/>
              <w:jc w:val="center"/>
              <w:textAlignment w:val="center"/>
              <w:rPr>
                <w:rFonts w:ascii="方正仿宋_GBK" w:hAnsi="方正仿宋_GBK" w:cs="方正仿宋_GBK"/>
                <w:bCs/>
                <w:sz w:val="24"/>
                <w:szCs w:val="24"/>
              </w:rPr>
            </w:pPr>
            <w:r>
              <w:rPr>
                <w:rFonts w:hint="eastAsia"/>
                <w:sz w:val="24"/>
                <w:szCs w:val="24"/>
              </w:rPr>
              <w:t>29</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bCs/>
                <w:sz w:val="24"/>
                <w:szCs w:val="24"/>
              </w:rPr>
            </w:pPr>
            <w:r>
              <w:rPr>
                <w:rFonts w:hint="eastAsia" w:ascii="方正仿宋_GBK" w:hAnsi="方正仿宋_GBK" w:cs="方正仿宋_GBK"/>
                <w:bCs/>
                <w:w w:val="90"/>
                <w:kern w:val="0"/>
                <w:sz w:val="24"/>
                <w:szCs w:val="24"/>
              </w:rPr>
              <w:t>对</w:t>
            </w:r>
            <w:r>
              <w:rPr>
                <w:rStyle w:val="24"/>
                <w:rFonts w:hint="default"/>
                <w:bCs/>
                <w:color w:val="auto"/>
                <w:w w:val="90"/>
                <w:sz w:val="24"/>
                <w:szCs w:val="24"/>
              </w:rPr>
              <w:t>违反《中华人民共和国反食品浪费法》规定，</w:t>
            </w:r>
            <w:r>
              <w:rPr>
                <w:rStyle w:val="21"/>
                <w:rFonts w:hint="default"/>
                <w:bCs/>
                <w:color w:val="auto"/>
                <w:w w:val="90"/>
                <w:sz w:val="24"/>
                <w:szCs w:val="24"/>
              </w:rPr>
              <w:t>食品生产经营者在食品生产经营过程中造成严重食品浪费的处罚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县市场监管部门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《中华人民共和国反食品浪费法》（</w:t>
            </w:r>
            <w:r>
              <w:rPr>
                <w:rFonts w:hint="eastAsia"/>
                <w:sz w:val="24"/>
                <w:szCs w:val="24"/>
              </w:rPr>
              <w:t>2021</w:t>
            </w:r>
            <w:r>
              <w:rPr>
                <w:rFonts w:hint="eastAsia" w:ascii="方正仿宋_GBK" w:hAnsi="方正仿宋_GBK" w:cs="方正仿宋_GBK"/>
                <w:kern w:val="0"/>
                <w:sz w:val="24"/>
                <w:szCs w:val="24"/>
              </w:rPr>
              <w:t>年施行）第二十八条第三款。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239" w:hRule="atLeast"/>
          <w:jc w:val="center"/>
        </w:trPr>
        <w:tc>
          <w:tcPr>
            <w:tcW w:w="614" w:type="dxa"/>
            <w:tcMar>
              <w:left w:w="57" w:type="dxa"/>
              <w:right w:w="57" w:type="dxa"/>
            </w:tcMar>
            <w:vAlign w:val="center"/>
          </w:tcPr>
          <w:p>
            <w:pPr>
              <w:widowControl/>
              <w:adjustRightInd w:val="0"/>
              <w:snapToGrid w:val="0"/>
              <w:spacing w:line="380" w:lineRule="exact"/>
              <w:jc w:val="center"/>
              <w:textAlignment w:val="center"/>
              <w:rPr>
                <w:rFonts w:ascii="方正仿宋_GBK" w:hAnsi="方正仿宋_GBK" w:cs="方正仿宋_GBK"/>
                <w:sz w:val="24"/>
                <w:szCs w:val="24"/>
              </w:rPr>
            </w:pPr>
            <w:r>
              <w:rPr>
                <w:rFonts w:hint="eastAsia"/>
                <w:sz w:val="24"/>
                <w:szCs w:val="24"/>
              </w:rPr>
              <w:t>30</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对制造、销售封建迷信殡葬用品的处罚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县民政部门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《殡葬管理条例》（</w:t>
            </w:r>
            <w:r>
              <w:rPr>
                <w:rFonts w:hint="eastAsia"/>
                <w:sz w:val="24"/>
                <w:szCs w:val="24"/>
              </w:rPr>
              <w:t>2012</w:t>
            </w:r>
            <w:r>
              <w:rPr>
                <w:rFonts w:hint="eastAsia" w:ascii="方正仿宋_GBK" w:hAnsi="方正仿宋_GBK" w:cs="方正仿宋_GBK"/>
                <w:kern w:val="0"/>
                <w:sz w:val="24"/>
                <w:szCs w:val="24"/>
              </w:rPr>
              <w:t>年修订）第二十二条第二款；《重庆市殡葬管理条例》（</w:t>
            </w:r>
            <w:r>
              <w:rPr>
                <w:rFonts w:hint="eastAsia"/>
                <w:sz w:val="24"/>
                <w:szCs w:val="24"/>
              </w:rPr>
              <w:t>2022</w:t>
            </w:r>
            <w:r>
              <w:rPr>
                <w:rFonts w:hint="eastAsia" w:ascii="方正仿宋_GBK" w:hAnsi="方正仿宋_GBK" w:cs="方正仿宋_GBK"/>
                <w:kern w:val="0"/>
                <w:sz w:val="24"/>
                <w:szCs w:val="24"/>
              </w:rPr>
              <w:t>年修正）第二十六条第二款。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80" w:lineRule="exact"/>
              <w:jc w:val="center"/>
              <w:textAlignment w:val="center"/>
              <w:rPr>
                <w:rFonts w:ascii="方正仿宋_GBK" w:hAnsi="方正仿宋_GBK" w:cs="方正仿宋_GBK"/>
                <w:sz w:val="24"/>
                <w:szCs w:val="24"/>
              </w:rPr>
            </w:pPr>
            <w:r>
              <w:rPr>
                <w:rFonts w:hint="eastAsia"/>
                <w:sz w:val="24"/>
                <w:szCs w:val="24"/>
              </w:rPr>
              <w:t>31</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对殡仪馆、殡仪服务站以外的单位和个人从事经营性殡葬服务活动的处罚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县民政部门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w w:val="90"/>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《重庆市殡葬管理条例》（</w:t>
            </w:r>
            <w:r>
              <w:rPr>
                <w:rFonts w:hint="eastAsia"/>
                <w:sz w:val="24"/>
                <w:szCs w:val="24"/>
              </w:rPr>
              <w:t>2022</w:t>
            </w:r>
            <w:r>
              <w:rPr>
                <w:rFonts w:hint="eastAsia" w:ascii="方正仿宋_GBK" w:hAnsi="方正仿宋_GBK" w:cs="方正仿宋_GBK"/>
                <w:kern w:val="0"/>
                <w:sz w:val="24"/>
                <w:szCs w:val="24"/>
              </w:rPr>
              <w:t>年修正）第二十五条。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371" w:hRule="atLeast"/>
          <w:jc w:val="center"/>
        </w:trPr>
        <w:tc>
          <w:tcPr>
            <w:tcW w:w="614" w:type="dxa"/>
            <w:tcMar>
              <w:left w:w="57" w:type="dxa"/>
              <w:right w:w="57" w:type="dxa"/>
            </w:tcMar>
            <w:vAlign w:val="center"/>
          </w:tcPr>
          <w:p>
            <w:pPr>
              <w:widowControl/>
              <w:adjustRightInd w:val="0"/>
              <w:snapToGrid w:val="0"/>
              <w:spacing w:line="380" w:lineRule="exact"/>
              <w:jc w:val="center"/>
              <w:textAlignment w:val="center"/>
              <w:rPr>
                <w:rFonts w:ascii="方正仿宋_GBK" w:hAnsi="方正仿宋_GBK" w:cs="方正仿宋_GBK"/>
                <w:sz w:val="24"/>
                <w:szCs w:val="24"/>
              </w:rPr>
            </w:pPr>
            <w:r>
              <w:rPr>
                <w:rFonts w:hint="eastAsia"/>
                <w:sz w:val="24"/>
                <w:szCs w:val="24"/>
              </w:rPr>
              <w:t>32</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对擅自设置、移动、涂改或者损毁历史文化街区、名镇、名村、传统风貌区和历史建筑标志牌的处罚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县规划自然资源部门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w w:val="90"/>
                <w:kern w:val="0"/>
                <w:sz w:val="24"/>
                <w:szCs w:val="24"/>
              </w:rPr>
              <w:t>《历史文化名城名镇名村保护条例》（</w:t>
            </w:r>
            <w:r>
              <w:rPr>
                <w:rFonts w:hint="eastAsia"/>
                <w:w w:val="90"/>
                <w:sz w:val="24"/>
                <w:szCs w:val="24"/>
              </w:rPr>
              <w:t>2017</w:t>
            </w:r>
            <w:r>
              <w:rPr>
                <w:rFonts w:hint="eastAsia" w:ascii="方正仿宋_GBK" w:hAnsi="方正仿宋_GBK" w:cs="方正仿宋_GBK"/>
                <w:w w:val="90"/>
                <w:kern w:val="0"/>
                <w:sz w:val="24"/>
                <w:szCs w:val="24"/>
              </w:rPr>
              <w:t>年修订）第四十五条；《重庆市历史文化名城名镇名村保护条例》（</w:t>
            </w:r>
            <w:r>
              <w:rPr>
                <w:rFonts w:hint="eastAsia"/>
                <w:w w:val="90"/>
                <w:sz w:val="24"/>
                <w:szCs w:val="24"/>
              </w:rPr>
              <w:t>2018</w:t>
            </w:r>
            <w:r>
              <w:rPr>
                <w:rFonts w:hint="eastAsia" w:ascii="方正仿宋_GBK" w:hAnsi="方正仿宋_GBK" w:cs="方正仿宋_GBK"/>
                <w:w w:val="90"/>
                <w:kern w:val="0"/>
                <w:sz w:val="24"/>
                <w:szCs w:val="24"/>
              </w:rPr>
              <w:t>年施行）第六十三条。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465" w:hRule="atLeast"/>
          <w:jc w:val="center"/>
        </w:trPr>
        <w:tc>
          <w:tcPr>
            <w:tcW w:w="614" w:type="dxa"/>
            <w:tcMar>
              <w:left w:w="57" w:type="dxa"/>
              <w:right w:w="57" w:type="dxa"/>
            </w:tcMar>
            <w:vAlign w:val="center"/>
          </w:tcPr>
          <w:p>
            <w:pPr>
              <w:widowControl/>
              <w:adjustRightInd w:val="0"/>
              <w:snapToGrid w:val="0"/>
              <w:spacing w:line="380" w:lineRule="exact"/>
              <w:jc w:val="center"/>
              <w:textAlignment w:val="center"/>
              <w:rPr>
                <w:rFonts w:ascii="方正仿宋_GBK" w:hAnsi="方正仿宋_GBK" w:cs="方正仿宋_GBK"/>
                <w:sz w:val="24"/>
                <w:szCs w:val="24"/>
              </w:rPr>
            </w:pPr>
            <w:r>
              <w:rPr>
                <w:rFonts w:hint="eastAsia"/>
                <w:sz w:val="24"/>
                <w:szCs w:val="24"/>
              </w:rPr>
              <w:t>33</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w:t>
            </w:r>
            <w:r>
              <w:rPr>
                <w:rStyle w:val="24"/>
                <w:rFonts w:hint="default"/>
                <w:color w:val="auto"/>
                <w:sz w:val="24"/>
                <w:szCs w:val="24"/>
              </w:rPr>
              <w:t>违反《基本农田保护条例》规定，</w:t>
            </w:r>
            <w:r>
              <w:rPr>
                <w:rStyle w:val="21"/>
                <w:rFonts w:hint="default"/>
                <w:color w:val="auto"/>
                <w:sz w:val="24"/>
                <w:szCs w:val="24"/>
              </w:rPr>
              <w:t>破坏或者擅自改变基本农田保护区标志的处罚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县规划自然资源部门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《基本农田保护条例》（</w:t>
            </w:r>
            <w:r>
              <w:rPr>
                <w:rFonts w:hint="eastAsia"/>
                <w:sz w:val="24"/>
                <w:szCs w:val="24"/>
              </w:rPr>
              <w:t>2011</w:t>
            </w:r>
            <w:r>
              <w:rPr>
                <w:rFonts w:hint="eastAsia" w:ascii="方正仿宋_GBK" w:hAnsi="方正仿宋_GBK" w:cs="方正仿宋_GBK"/>
                <w:kern w:val="0"/>
                <w:sz w:val="24"/>
                <w:szCs w:val="24"/>
              </w:rPr>
              <w:t>年修订）第三十二条。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449" w:hRule="atLeast"/>
          <w:jc w:val="center"/>
        </w:trPr>
        <w:tc>
          <w:tcPr>
            <w:tcW w:w="614" w:type="dxa"/>
            <w:tcMar>
              <w:left w:w="57" w:type="dxa"/>
              <w:right w:w="57" w:type="dxa"/>
            </w:tcMar>
            <w:vAlign w:val="center"/>
          </w:tcPr>
          <w:p>
            <w:pPr>
              <w:widowControl/>
              <w:adjustRightInd w:val="0"/>
              <w:snapToGrid w:val="0"/>
              <w:spacing w:line="380" w:lineRule="exact"/>
              <w:jc w:val="center"/>
              <w:textAlignment w:val="center"/>
              <w:rPr>
                <w:rFonts w:ascii="方正仿宋_GBK" w:hAnsi="方正仿宋_GBK" w:cs="方正仿宋_GBK"/>
                <w:sz w:val="24"/>
                <w:szCs w:val="24"/>
              </w:rPr>
            </w:pPr>
            <w:r>
              <w:rPr>
                <w:rFonts w:hint="eastAsia"/>
                <w:sz w:val="24"/>
                <w:szCs w:val="24"/>
              </w:rPr>
              <w:t>34</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w:t>
            </w:r>
            <w:r>
              <w:rPr>
                <w:rStyle w:val="24"/>
                <w:rFonts w:hint="default"/>
                <w:color w:val="auto"/>
                <w:sz w:val="24"/>
                <w:szCs w:val="24"/>
              </w:rPr>
              <w:t>违反《历史文化名城名镇名村保护条例》规定，</w:t>
            </w:r>
            <w:r>
              <w:rPr>
                <w:rStyle w:val="21"/>
                <w:rFonts w:hint="default"/>
                <w:color w:val="auto"/>
                <w:sz w:val="24"/>
                <w:szCs w:val="24"/>
              </w:rPr>
              <w:t>在历史建筑上刻划、涂污的处罚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县规划自然资源部门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《历史文化名城名镇名村保护条例》（</w:t>
            </w:r>
            <w:r>
              <w:rPr>
                <w:rFonts w:hint="eastAsia"/>
                <w:sz w:val="24"/>
                <w:szCs w:val="24"/>
              </w:rPr>
              <w:t>2017</w:t>
            </w:r>
            <w:r>
              <w:rPr>
                <w:rFonts w:hint="eastAsia" w:ascii="方正仿宋_GBK" w:hAnsi="方正仿宋_GBK" w:cs="方正仿宋_GBK"/>
                <w:kern w:val="0"/>
                <w:sz w:val="24"/>
                <w:szCs w:val="24"/>
              </w:rPr>
              <w:t>年修订）第四十二条。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781" w:hRule="atLeast"/>
          <w:jc w:val="center"/>
        </w:trPr>
        <w:tc>
          <w:tcPr>
            <w:tcW w:w="614" w:type="dxa"/>
            <w:tcMar>
              <w:left w:w="57" w:type="dxa"/>
              <w:right w:w="57" w:type="dxa"/>
            </w:tcMar>
            <w:vAlign w:val="center"/>
          </w:tcPr>
          <w:p>
            <w:pPr>
              <w:widowControl/>
              <w:adjustRightInd w:val="0"/>
              <w:snapToGrid w:val="0"/>
              <w:spacing w:line="380" w:lineRule="exact"/>
              <w:jc w:val="center"/>
              <w:textAlignment w:val="center"/>
              <w:rPr>
                <w:rFonts w:ascii="方正仿宋_GBK" w:hAnsi="方正仿宋_GBK" w:cs="方正仿宋_GBK"/>
                <w:sz w:val="24"/>
                <w:szCs w:val="24"/>
              </w:rPr>
            </w:pPr>
            <w:r>
              <w:rPr>
                <w:rFonts w:hint="eastAsia"/>
                <w:sz w:val="24"/>
                <w:szCs w:val="24"/>
              </w:rPr>
              <w:t>35</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对养殖专业户未实行雨污分流，未建设相应的畜禽粪便、污水贮存设施，未及时对畜禽粪便、污水进行收集、贮存、处理的处罚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县生态环境部门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《重庆市水污染防治条例》（</w:t>
            </w:r>
            <w:r>
              <w:rPr>
                <w:rFonts w:hint="eastAsia"/>
                <w:sz w:val="24"/>
                <w:szCs w:val="24"/>
              </w:rPr>
              <w:t>2020</w:t>
            </w:r>
            <w:r>
              <w:rPr>
                <w:rFonts w:hint="eastAsia" w:ascii="方正仿宋_GBK" w:hAnsi="方正仿宋_GBK" w:cs="方正仿宋_GBK"/>
                <w:kern w:val="0"/>
                <w:sz w:val="24"/>
                <w:szCs w:val="24"/>
              </w:rPr>
              <w:t>年施行）第七十一条。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366" w:hRule="atLeast"/>
          <w:jc w:val="center"/>
        </w:trPr>
        <w:tc>
          <w:tcPr>
            <w:tcW w:w="614" w:type="dxa"/>
            <w:tcMar>
              <w:left w:w="57" w:type="dxa"/>
              <w:right w:w="57" w:type="dxa"/>
            </w:tcMar>
            <w:vAlign w:val="center"/>
          </w:tcPr>
          <w:p>
            <w:pPr>
              <w:widowControl/>
              <w:adjustRightInd w:val="0"/>
              <w:snapToGrid w:val="0"/>
              <w:spacing w:line="380" w:lineRule="exact"/>
              <w:jc w:val="center"/>
              <w:textAlignment w:val="center"/>
              <w:rPr>
                <w:rFonts w:ascii="方正仿宋_GBK" w:hAnsi="方正仿宋_GBK" w:cs="方正仿宋_GBK"/>
                <w:sz w:val="24"/>
                <w:szCs w:val="24"/>
              </w:rPr>
            </w:pPr>
            <w:r>
              <w:rPr>
                <w:rFonts w:hint="eastAsia"/>
                <w:sz w:val="24"/>
                <w:szCs w:val="24"/>
              </w:rPr>
              <w:t>36</w:t>
            </w:r>
          </w:p>
        </w:tc>
        <w:tc>
          <w:tcPr>
            <w:tcW w:w="3059" w:type="dxa"/>
            <w:tcMar>
              <w:left w:w="57" w:type="dxa"/>
              <w:right w:w="57" w:type="dxa"/>
            </w:tcMar>
            <w:vAlign w:val="center"/>
          </w:tcPr>
          <w:p>
            <w:pPr>
              <w:widowControl/>
              <w:adjustRightInd w:val="0"/>
              <w:snapToGrid w:val="0"/>
              <w:spacing w:line="32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对在城市建成区、人口集中区域露天焚烧电子废物、油毡、沥青、橡胶、塑料、皮革以及其他产生有毒有害烟尘和恶臭气体的物质的处罚</w:t>
            </w:r>
          </w:p>
        </w:tc>
        <w:tc>
          <w:tcPr>
            <w:tcW w:w="1392" w:type="dxa"/>
            <w:tcMar>
              <w:left w:w="57" w:type="dxa"/>
              <w:right w:w="57" w:type="dxa"/>
            </w:tcMar>
            <w:vAlign w:val="center"/>
          </w:tcPr>
          <w:p>
            <w:pPr>
              <w:widowControl/>
              <w:adjustRightInd w:val="0"/>
              <w:snapToGrid w:val="0"/>
              <w:spacing w:line="32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县生态环境部门</w:t>
            </w:r>
          </w:p>
        </w:tc>
        <w:tc>
          <w:tcPr>
            <w:tcW w:w="1983" w:type="dxa"/>
            <w:tcMar>
              <w:left w:w="57" w:type="dxa"/>
              <w:right w:w="57" w:type="dxa"/>
            </w:tcMar>
            <w:vAlign w:val="center"/>
          </w:tcPr>
          <w:p>
            <w:pPr>
              <w:widowControl/>
              <w:adjustRightInd w:val="0"/>
              <w:snapToGrid w:val="0"/>
              <w:spacing w:line="32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2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《中华人民共和国大气污染防治法》（</w:t>
            </w:r>
            <w:r>
              <w:rPr>
                <w:rFonts w:hint="eastAsia"/>
                <w:sz w:val="24"/>
                <w:szCs w:val="24"/>
              </w:rPr>
              <w:t>2018</w:t>
            </w:r>
            <w:r>
              <w:rPr>
                <w:rFonts w:hint="eastAsia" w:ascii="方正仿宋_GBK" w:hAnsi="方正仿宋_GBK" w:cs="方正仿宋_GBK"/>
                <w:kern w:val="0"/>
                <w:sz w:val="24"/>
                <w:szCs w:val="24"/>
              </w:rPr>
              <w:t>年修正）第一百一十九条第二款；《重庆市大气污染防治条例》（</w:t>
            </w:r>
            <w:r>
              <w:rPr>
                <w:rFonts w:hint="eastAsia"/>
                <w:sz w:val="24"/>
                <w:szCs w:val="24"/>
              </w:rPr>
              <w:t>2021</w:t>
            </w:r>
            <w:r>
              <w:rPr>
                <w:rFonts w:hint="eastAsia" w:ascii="方正仿宋_GBK" w:hAnsi="方正仿宋_GBK" w:cs="方正仿宋_GBK"/>
                <w:kern w:val="0"/>
                <w:sz w:val="24"/>
                <w:szCs w:val="24"/>
              </w:rPr>
              <w:t>年修正）第九十条第一款。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37</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对露天堆场、仓库、消纳场、填埋场未采取措施防治扬尘污染的处罚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县生态环境部门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行政处罚权（责令停产停业除外）以及与其行政处罚权有关的行政检查、行政强制措施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《重庆市大气污染防治条例》（</w:t>
            </w:r>
            <w:r>
              <w:rPr>
                <w:rFonts w:hint="eastAsia"/>
                <w:kern w:val="0"/>
                <w:sz w:val="24"/>
                <w:szCs w:val="24"/>
              </w:rPr>
              <w:t>2021</w:t>
            </w:r>
            <w:r>
              <w:rPr>
                <w:rFonts w:hint="eastAsia" w:ascii="方正仿宋_GBK" w:hAnsi="方正仿宋_GBK" w:cs="方正仿宋_GBK"/>
                <w:kern w:val="0"/>
                <w:sz w:val="24"/>
                <w:szCs w:val="24"/>
              </w:rPr>
              <w:t>年修正）第八十六条。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087"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38</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对从事畜禽规模养殖未按照国家有关规定收集、贮存、利用、处置畜禽粪污等固体废物，造成环境污染的处罚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县生态环境部门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行政处罚权（责令停产停业、责令关闭除外）以及与其行政处罚权有关的行政检查、行政强制措施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《中华人民共和国固体废物污染环境防治法》（</w:t>
            </w:r>
            <w:r>
              <w:rPr>
                <w:rFonts w:hint="eastAsia"/>
                <w:kern w:val="0"/>
                <w:sz w:val="24"/>
                <w:szCs w:val="24"/>
              </w:rPr>
              <w:t>2020</w:t>
            </w:r>
            <w:r>
              <w:rPr>
                <w:rFonts w:hint="eastAsia" w:ascii="方正仿宋_GBK" w:hAnsi="方正仿宋_GBK" w:cs="方正仿宋_GBK"/>
                <w:kern w:val="0"/>
                <w:sz w:val="24"/>
                <w:szCs w:val="24"/>
              </w:rPr>
              <w:t>年修订）第一百零七条。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062"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39</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对在大足石刻保护范围或者建设控制地带内，排放大气污染物或者使用高污染燃料的处罚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县生态环境部门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《重庆市大足石刻保护条例》（</w:t>
            </w:r>
            <w:r>
              <w:rPr>
                <w:rFonts w:hint="eastAsia"/>
                <w:kern w:val="0"/>
                <w:sz w:val="24"/>
                <w:szCs w:val="24"/>
              </w:rPr>
              <w:t>2022</w:t>
            </w:r>
            <w:r>
              <w:rPr>
                <w:rFonts w:hint="eastAsia" w:ascii="方正仿宋_GBK" w:hAnsi="方正仿宋_GBK" w:cs="方正仿宋_GBK"/>
                <w:kern w:val="0"/>
                <w:sz w:val="24"/>
                <w:szCs w:val="24"/>
              </w:rPr>
              <w:t>年修正）第三十条；《重庆市大气污染防治条例》（</w:t>
            </w:r>
            <w:r>
              <w:rPr>
                <w:rFonts w:hint="eastAsia"/>
                <w:kern w:val="0"/>
                <w:sz w:val="24"/>
                <w:szCs w:val="24"/>
              </w:rPr>
              <w:t>2021</w:t>
            </w:r>
            <w:r>
              <w:rPr>
                <w:rFonts w:hint="eastAsia" w:ascii="方正仿宋_GBK" w:hAnsi="方正仿宋_GBK" w:cs="方正仿宋_GBK"/>
                <w:kern w:val="0"/>
                <w:sz w:val="24"/>
                <w:szCs w:val="24"/>
              </w:rPr>
              <w:t>年修正）第七十三条。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485"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40</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对《重庆市水污染防治条例》第七十条</w:t>
            </w:r>
            <w:r>
              <w:rPr>
                <w:rStyle w:val="22"/>
                <w:rFonts w:hint="default"/>
                <w:b w:val="0"/>
                <w:bCs/>
                <w:color w:val="auto"/>
                <w:sz w:val="24"/>
                <w:szCs w:val="24"/>
              </w:rPr>
              <w:t>规定情形</w:t>
            </w:r>
            <w:r>
              <w:rPr>
                <w:rStyle w:val="21"/>
                <w:rFonts w:hint="default"/>
                <w:color w:val="auto"/>
                <w:sz w:val="24"/>
                <w:szCs w:val="24"/>
              </w:rPr>
              <w:t>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县生态环境部门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《重庆市水污染防治条例》（</w:t>
            </w:r>
            <w:r>
              <w:rPr>
                <w:rFonts w:hint="eastAsia"/>
                <w:kern w:val="0"/>
                <w:sz w:val="24"/>
                <w:szCs w:val="24"/>
              </w:rPr>
              <w:t>2020</w:t>
            </w:r>
            <w:r>
              <w:rPr>
                <w:rFonts w:hint="eastAsia" w:ascii="方正仿宋_GBK" w:hAnsi="方正仿宋_GBK" w:cs="方正仿宋_GBK"/>
                <w:kern w:val="0"/>
                <w:sz w:val="24"/>
                <w:szCs w:val="24"/>
              </w:rPr>
              <w:t>年施行）第七十条。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41</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对干洗、机动车维修未设置废气污染防治设施并保持正常使用，影响周边环境的处罚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县生态环境部门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行政处罚权（责令停产停业除外）以及与其行政处罚权有关的行政检查、行政强制措施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《中华人民共和国大气污染防治法》（</w:t>
            </w:r>
            <w:r>
              <w:rPr>
                <w:rFonts w:hint="eastAsia"/>
                <w:kern w:val="0"/>
                <w:sz w:val="24"/>
                <w:szCs w:val="24"/>
              </w:rPr>
              <w:t>2018</w:t>
            </w:r>
            <w:r>
              <w:rPr>
                <w:rFonts w:hint="eastAsia" w:ascii="方正仿宋_GBK" w:hAnsi="方正仿宋_GBK" w:cs="方正仿宋_GBK"/>
                <w:kern w:val="0"/>
                <w:sz w:val="24"/>
                <w:szCs w:val="24"/>
              </w:rPr>
              <w:t>年修正）第一百二十条。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42</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对在居民住宅楼、未配套设立专用烟道的商住综合楼、商住综合楼内与居住层相邻的商业楼层内新建、改建、扩建产生油烟、异味、废气的餐饮服务、加工服务、服装干洗和机动车维修等项目的处罚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县生态环境部门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行政处罚权（责令关闭除外）以及与其行政处罚权有关的行政检查、行政强制措施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《中华人民共和国大气污染防治法》（</w:t>
            </w:r>
            <w:r>
              <w:rPr>
                <w:rFonts w:hint="eastAsia"/>
                <w:kern w:val="0"/>
                <w:sz w:val="24"/>
                <w:szCs w:val="24"/>
              </w:rPr>
              <w:t>2018</w:t>
            </w:r>
            <w:r>
              <w:rPr>
                <w:rFonts w:hint="eastAsia" w:ascii="方正仿宋_GBK" w:hAnsi="方正仿宋_GBK" w:cs="方正仿宋_GBK"/>
                <w:kern w:val="0"/>
                <w:sz w:val="24"/>
                <w:szCs w:val="24"/>
              </w:rPr>
              <w:t>年修正）第一百一十八条第二款；《重庆市大气污染防治条例》（</w:t>
            </w:r>
            <w:r>
              <w:rPr>
                <w:rFonts w:hint="eastAsia"/>
                <w:kern w:val="0"/>
                <w:sz w:val="24"/>
                <w:szCs w:val="24"/>
              </w:rPr>
              <w:t>2021</w:t>
            </w:r>
            <w:r>
              <w:rPr>
                <w:rFonts w:hint="eastAsia" w:ascii="方正仿宋_GBK" w:hAnsi="方正仿宋_GBK" w:cs="方正仿宋_GBK"/>
                <w:kern w:val="0"/>
                <w:sz w:val="24"/>
                <w:szCs w:val="24"/>
              </w:rPr>
              <w:t>年修正）第八十九条第三款。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43</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对损毁、涂改或者擅自移动饮用水水源保护区的地理界标或者警示标志，或者损毁、擅自移动视频监控、事故应急防护工程设施行为的处罚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县生态环境部门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《重庆市水污染防治条例》（</w:t>
            </w:r>
            <w:r>
              <w:rPr>
                <w:rFonts w:hint="eastAsia"/>
                <w:kern w:val="0"/>
                <w:sz w:val="24"/>
                <w:szCs w:val="24"/>
              </w:rPr>
              <w:t>2020</w:t>
            </w:r>
            <w:r>
              <w:rPr>
                <w:rFonts w:hint="eastAsia" w:ascii="方正仿宋_GBK" w:hAnsi="方正仿宋_GBK" w:cs="方正仿宋_GBK"/>
                <w:kern w:val="0"/>
                <w:sz w:val="24"/>
                <w:szCs w:val="24"/>
              </w:rPr>
              <w:t>年施行）第六十八条。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21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44</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w:t>
            </w:r>
            <w:r>
              <w:rPr>
                <w:rStyle w:val="21"/>
                <w:rFonts w:hint="default"/>
                <w:color w:val="auto"/>
                <w:sz w:val="24"/>
                <w:szCs w:val="24"/>
              </w:rPr>
              <w:t>《中华人民共和国大气污染防治法》第一百一十五条第一款</w:t>
            </w:r>
            <w:r>
              <w:rPr>
                <w:rStyle w:val="22"/>
                <w:rFonts w:hint="default"/>
                <w:b w:val="0"/>
                <w:color w:val="auto"/>
                <w:sz w:val="24"/>
                <w:szCs w:val="24"/>
              </w:rPr>
              <w:t>规定情形</w:t>
            </w:r>
            <w:r>
              <w:rPr>
                <w:rStyle w:val="21"/>
                <w:rFonts w:hint="default"/>
                <w:color w:val="auto"/>
                <w:sz w:val="24"/>
                <w:szCs w:val="24"/>
              </w:rPr>
              <w:t>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县住房城乡建设部门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行政处罚权（责令停产停业除外）以及与其行政处罚权有关的行政检查、行政强制措施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《中华人民共和国大气污染防治法》（</w:t>
            </w:r>
            <w:r>
              <w:rPr>
                <w:rFonts w:hint="eastAsia"/>
                <w:kern w:val="0"/>
                <w:sz w:val="24"/>
                <w:szCs w:val="24"/>
              </w:rPr>
              <w:t>2018</w:t>
            </w:r>
            <w:r>
              <w:rPr>
                <w:rFonts w:hint="eastAsia" w:ascii="方正仿宋_GBK" w:hAnsi="方正仿宋_GBK" w:cs="方正仿宋_GBK"/>
                <w:kern w:val="0"/>
                <w:sz w:val="24"/>
                <w:szCs w:val="24"/>
              </w:rPr>
              <w:t>年修正）第一百一十五条第一款。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45</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对《物业管理条例》第六十三条</w:t>
            </w:r>
            <w:r>
              <w:rPr>
                <w:rStyle w:val="22"/>
                <w:rFonts w:hint="default"/>
                <w:b w:val="0"/>
                <w:bCs/>
                <w:color w:val="auto"/>
                <w:sz w:val="24"/>
                <w:szCs w:val="24"/>
              </w:rPr>
              <w:t>规定情形</w:t>
            </w:r>
            <w:r>
              <w:rPr>
                <w:rStyle w:val="21"/>
                <w:rFonts w:hint="default"/>
                <w:color w:val="auto"/>
                <w:sz w:val="24"/>
                <w:szCs w:val="24"/>
              </w:rPr>
              <w:t>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县住房城乡建设部门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《物业管理条例》（</w:t>
            </w:r>
            <w:r>
              <w:rPr>
                <w:rFonts w:hint="eastAsia"/>
                <w:kern w:val="0"/>
                <w:sz w:val="24"/>
                <w:szCs w:val="24"/>
              </w:rPr>
              <w:t>2018</w:t>
            </w:r>
            <w:r>
              <w:rPr>
                <w:rFonts w:hint="eastAsia" w:ascii="方正仿宋_GBK" w:hAnsi="方正仿宋_GBK" w:cs="方正仿宋_GBK"/>
                <w:kern w:val="0"/>
                <w:sz w:val="24"/>
                <w:szCs w:val="24"/>
              </w:rPr>
              <w:t>年修订）第六十三条。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833"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46</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对建设单位或物业服务企业未按照《重庆市物业管理条例》第十七条规定报送有关资料的处罚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县住房城乡建设部门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《重庆市物业管理条例》（</w:t>
            </w:r>
            <w:r>
              <w:rPr>
                <w:rFonts w:hint="eastAsia"/>
                <w:kern w:val="0"/>
                <w:sz w:val="24"/>
                <w:szCs w:val="24"/>
              </w:rPr>
              <w:t>2021</w:t>
            </w:r>
            <w:r>
              <w:rPr>
                <w:rFonts w:hint="eastAsia" w:ascii="方正仿宋_GBK" w:hAnsi="方正仿宋_GBK" w:cs="方正仿宋_GBK"/>
                <w:kern w:val="0"/>
                <w:sz w:val="24"/>
                <w:szCs w:val="24"/>
              </w:rPr>
              <w:t>年修正）第一百条第二项、第一百零一条第一项。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915"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47</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对建设单位或物业服务企业未按照《重庆市物业管理条例》第五十二条规定移交资料的处罚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县住房城乡建设部门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《重庆市物业管理条例》</w:t>
            </w:r>
            <w:r>
              <w:rPr>
                <w:rFonts w:hint="eastAsia"/>
                <w:kern w:val="0"/>
                <w:sz w:val="24"/>
                <w:szCs w:val="24"/>
              </w:rPr>
              <w:t>（2021</w:t>
            </w:r>
            <w:r>
              <w:rPr>
                <w:rFonts w:hint="eastAsia" w:ascii="方正仿宋_GBK" w:hAnsi="方正仿宋_GBK" w:cs="方正仿宋_GBK"/>
                <w:kern w:val="0"/>
                <w:sz w:val="24"/>
                <w:szCs w:val="24"/>
              </w:rPr>
              <w:t>年修正）第一百条第五项、第一百零一条第三项。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806"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48</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对物业服务企业</w:t>
            </w:r>
            <w:r>
              <w:rPr>
                <w:rStyle w:val="24"/>
                <w:rFonts w:hint="default"/>
                <w:color w:val="auto"/>
                <w:sz w:val="24"/>
                <w:szCs w:val="24"/>
              </w:rPr>
              <w:t>违反</w:t>
            </w:r>
            <w:r>
              <w:rPr>
                <w:rStyle w:val="21"/>
                <w:rFonts w:hint="default"/>
                <w:color w:val="auto"/>
                <w:sz w:val="24"/>
                <w:szCs w:val="24"/>
              </w:rPr>
              <w:t>《重庆市物业管理条例》第五十四条、第六十一条</w:t>
            </w:r>
            <w:r>
              <w:rPr>
                <w:rStyle w:val="24"/>
                <w:rFonts w:hint="default"/>
                <w:color w:val="auto"/>
                <w:sz w:val="24"/>
                <w:szCs w:val="24"/>
              </w:rPr>
              <w:t>规定情形</w:t>
            </w:r>
            <w:r>
              <w:rPr>
                <w:rStyle w:val="21"/>
                <w:rFonts w:hint="default"/>
                <w:color w:val="auto"/>
                <w:sz w:val="24"/>
                <w:szCs w:val="24"/>
              </w:rPr>
              <w:t>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县住房城乡建设部门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《重庆市物业管理条例》（</w:t>
            </w:r>
            <w:r>
              <w:rPr>
                <w:rFonts w:hint="eastAsia"/>
                <w:kern w:val="0"/>
                <w:sz w:val="24"/>
                <w:szCs w:val="24"/>
              </w:rPr>
              <w:t>2021</w:t>
            </w:r>
            <w:r>
              <w:rPr>
                <w:rFonts w:hint="eastAsia" w:ascii="方正仿宋_GBK" w:hAnsi="方正仿宋_GBK" w:cs="方正仿宋_GBK"/>
                <w:kern w:val="0"/>
                <w:sz w:val="24"/>
                <w:szCs w:val="24"/>
              </w:rPr>
              <w:t>年修正）第一百零一条第四项。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280" w:hRule="atLeast"/>
          <w:jc w:val="center"/>
        </w:trPr>
        <w:tc>
          <w:tcPr>
            <w:tcW w:w="614" w:type="dxa"/>
            <w:shd w:val="clear" w:color="auto" w:fill="auto"/>
            <w:tcMar>
              <w:left w:w="57" w:type="dxa"/>
              <w:right w:w="57" w:type="dxa"/>
            </w:tcMar>
            <w:vAlign w:val="center"/>
          </w:tcPr>
          <w:p>
            <w:pPr>
              <w:widowControl/>
              <w:adjustRightInd w:val="0"/>
              <w:snapToGrid w:val="0"/>
              <w:spacing w:line="360" w:lineRule="exact"/>
              <w:jc w:val="center"/>
              <w:rPr>
                <w:sz w:val="24"/>
                <w:szCs w:val="24"/>
              </w:rPr>
            </w:pPr>
            <w:r>
              <w:rPr>
                <w:rFonts w:hint="eastAsia"/>
                <w:sz w:val="24"/>
                <w:szCs w:val="24"/>
              </w:rPr>
              <w:t>49</w:t>
            </w:r>
          </w:p>
        </w:tc>
        <w:tc>
          <w:tcPr>
            <w:tcW w:w="3059" w:type="dxa"/>
            <w:shd w:val="clear" w:color="auto" w:fill="FFFFFF"/>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对在主、次干道建筑物顶部、平台堆放影响市容的物品、在建筑物临街面超出建筑物墙体设置防护网或吊挂物品，设置遮阳伞、篷盖的处罚</w:t>
            </w:r>
          </w:p>
        </w:tc>
        <w:tc>
          <w:tcPr>
            <w:tcW w:w="1392" w:type="dxa"/>
            <w:shd w:val="clear" w:color="auto" w:fill="FFFFFF"/>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shd w:val="clear" w:color="auto" w:fill="auto"/>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shd w:val="clear" w:color="auto" w:fill="FFFFFF"/>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《重庆市市容环境卫生管理条例》（</w:t>
            </w:r>
            <w:r>
              <w:rPr>
                <w:rFonts w:hint="eastAsia"/>
                <w:kern w:val="0"/>
                <w:sz w:val="24"/>
                <w:szCs w:val="24"/>
              </w:rPr>
              <w:t>2018</w:t>
            </w:r>
            <w:r>
              <w:rPr>
                <w:rFonts w:hint="eastAsia" w:ascii="方正仿宋_GBK" w:hAnsi="方正仿宋_GBK" w:cs="方正仿宋_GBK"/>
                <w:kern w:val="0"/>
                <w:sz w:val="24"/>
                <w:szCs w:val="24"/>
              </w:rPr>
              <w:t>年修正）第三十一条。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886" w:hRule="atLeast"/>
          <w:jc w:val="center"/>
        </w:trPr>
        <w:tc>
          <w:tcPr>
            <w:tcW w:w="614" w:type="dxa"/>
            <w:tcMar>
              <w:left w:w="57" w:type="dxa"/>
              <w:right w:w="57" w:type="dxa"/>
            </w:tcMar>
            <w:vAlign w:val="center"/>
          </w:tcPr>
          <w:p>
            <w:pPr>
              <w:widowControl/>
              <w:adjustRightInd w:val="0"/>
              <w:snapToGrid w:val="0"/>
              <w:spacing w:line="360" w:lineRule="exact"/>
              <w:jc w:val="center"/>
              <w:rPr>
                <w:sz w:val="24"/>
                <w:szCs w:val="24"/>
              </w:rPr>
            </w:pPr>
            <w:r>
              <w:rPr>
                <w:rFonts w:hint="eastAsia"/>
                <w:sz w:val="24"/>
                <w:szCs w:val="24"/>
              </w:rPr>
              <w:t>50</w:t>
            </w:r>
          </w:p>
        </w:tc>
        <w:tc>
          <w:tcPr>
            <w:tcW w:w="3059"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对擅自在路内停车位内设置地桩、地锁等障碍物或者以其他方式侵占路内停车设施影响路内停车设施的正常使用的处罚</w:t>
            </w:r>
          </w:p>
        </w:tc>
        <w:tc>
          <w:tcPr>
            <w:tcW w:w="1392"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《重庆市停车场管理办法》（</w:t>
            </w:r>
            <w:r>
              <w:rPr>
                <w:rFonts w:hint="eastAsia"/>
                <w:kern w:val="0"/>
                <w:sz w:val="24"/>
                <w:szCs w:val="24"/>
              </w:rPr>
              <w:t>2020</w:t>
            </w:r>
            <w:r>
              <w:rPr>
                <w:rFonts w:hint="eastAsia" w:ascii="方正仿宋_GBK" w:hAnsi="方正仿宋_GBK" w:cs="方正仿宋_GBK"/>
                <w:kern w:val="0"/>
                <w:sz w:val="24"/>
                <w:szCs w:val="24"/>
              </w:rPr>
              <w:t>年修正）第二十五条第一项。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60" w:lineRule="exact"/>
              <w:jc w:val="center"/>
              <w:rPr>
                <w:sz w:val="24"/>
                <w:szCs w:val="24"/>
              </w:rPr>
            </w:pPr>
            <w:r>
              <w:rPr>
                <w:rFonts w:hint="eastAsia"/>
                <w:sz w:val="24"/>
                <w:szCs w:val="24"/>
              </w:rPr>
              <w:t>51</w:t>
            </w:r>
          </w:p>
        </w:tc>
        <w:tc>
          <w:tcPr>
            <w:tcW w:w="3059"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对违反《重庆市市政设施管理条例》第五十二条</w:t>
            </w:r>
            <w:r>
              <w:rPr>
                <w:rStyle w:val="22"/>
                <w:rFonts w:hint="default"/>
                <w:b w:val="0"/>
                <w:bCs/>
                <w:color w:val="auto"/>
                <w:sz w:val="24"/>
                <w:szCs w:val="24"/>
              </w:rPr>
              <w:t>规定情形</w:t>
            </w:r>
            <w:r>
              <w:rPr>
                <w:rStyle w:val="21"/>
                <w:rFonts w:hint="default"/>
                <w:color w:val="auto"/>
                <w:sz w:val="24"/>
                <w:szCs w:val="24"/>
              </w:rPr>
              <w:t>的处罚</w:t>
            </w:r>
          </w:p>
        </w:tc>
        <w:tc>
          <w:tcPr>
            <w:tcW w:w="1392"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《重庆市市政设施管理条例》（</w:t>
            </w:r>
            <w:r>
              <w:rPr>
                <w:rFonts w:hint="eastAsia"/>
                <w:kern w:val="0"/>
                <w:sz w:val="24"/>
                <w:szCs w:val="24"/>
              </w:rPr>
              <w:t>2022</w:t>
            </w:r>
            <w:r>
              <w:rPr>
                <w:rFonts w:hint="eastAsia" w:ascii="方正仿宋_GBK" w:hAnsi="方正仿宋_GBK" w:cs="方正仿宋_GBK"/>
                <w:kern w:val="0"/>
                <w:sz w:val="24"/>
                <w:szCs w:val="24"/>
              </w:rPr>
              <w:t>年修正）第六十七条第二款第五项。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568" w:hRule="atLeast"/>
          <w:jc w:val="center"/>
        </w:trPr>
        <w:tc>
          <w:tcPr>
            <w:tcW w:w="614" w:type="dxa"/>
            <w:tcMar>
              <w:left w:w="57" w:type="dxa"/>
              <w:right w:w="57" w:type="dxa"/>
            </w:tcMar>
            <w:vAlign w:val="center"/>
          </w:tcPr>
          <w:p>
            <w:pPr>
              <w:widowControl/>
              <w:adjustRightInd w:val="0"/>
              <w:snapToGrid w:val="0"/>
              <w:spacing w:line="360" w:lineRule="exact"/>
              <w:jc w:val="center"/>
              <w:rPr>
                <w:sz w:val="24"/>
                <w:szCs w:val="24"/>
              </w:rPr>
            </w:pPr>
            <w:r>
              <w:rPr>
                <w:rFonts w:hint="eastAsia"/>
                <w:sz w:val="24"/>
                <w:szCs w:val="24"/>
              </w:rPr>
              <w:t>52</w:t>
            </w:r>
          </w:p>
        </w:tc>
        <w:tc>
          <w:tcPr>
            <w:tcW w:w="3059"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对在主、次干道上清洗机动车辆的处罚</w:t>
            </w:r>
          </w:p>
        </w:tc>
        <w:tc>
          <w:tcPr>
            <w:tcW w:w="1392"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《重庆市市容环境卫生管理条例》（</w:t>
            </w:r>
            <w:r>
              <w:rPr>
                <w:rFonts w:hint="eastAsia"/>
                <w:kern w:val="0"/>
                <w:sz w:val="24"/>
                <w:szCs w:val="24"/>
              </w:rPr>
              <w:t>2018</w:t>
            </w:r>
            <w:r>
              <w:rPr>
                <w:rFonts w:hint="eastAsia" w:ascii="方正仿宋_GBK" w:hAnsi="方正仿宋_GBK" w:cs="方正仿宋_GBK"/>
                <w:kern w:val="0"/>
                <w:sz w:val="24"/>
                <w:szCs w:val="24"/>
              </w:rPr>
              <w:t>年修正）第五十七条。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60" w:lineRule="exact"/>
              <w:jc w:val="center"/>
              <w:rPr>
                <w:sz w:val="24"/>
                <w:szCs w:val="24"/>
              </w:rPr>
            </w:pPr>
            <w:r>
              <w:rPr>
                <w:rFonts w:hint="eastAsia"/>
                <w:sz w:val="24"/>
                <w:szCs w:val="24"/>
              </w:rPr>
              <w:t>53</w:t>
            </w:r>
          </w:p>
        </w:tc>
        <w:tc>
          <w:tcPr>
            <w:tcW w:w="3059"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对在建筑物平街层外墙安装的空调、排气扇，其底部未高于人行道路面二米的处罚</w:t>
            </w:r>
          </w:p>
        </w:tc>
        <w:tc>
          <w:tcPr>
            <w:tcW w:w="1392"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《重庆市市容环境卫生管理条例》（</w:t>
            </w:r>
            <w:r>
              <w:rPr>
                <w:kern w:val="0"/>
                <w:sz w:val="24"/>
                <w:szCs w:val="24"/>
              </w:rPr>
              <w:t>2018</w:t>
            </w:r>
            <w:r>
              <w:rPr>
                <w:rFonts w:hint="eastAsia" w:ascii="方正仿宋_GBK" w:hAnsi="方正仿宋_GBK" w:cs="方正仿宋_GBK"/>
                <w:kern w:val="0"/>
                <w:sz w:val="24"/>
                <w:szCs w:val="24"/>
              </w:rPr>
              <w:t>年修正）第三十条。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60" w:lineRule="exact"/>
              <w:jc w:val="center"/>
              <w:rPr>
                <w:sz w:val="24"/>
                <w:szCs w:val="24"/>
              </w:rPr>
            </w:pPr>
            <w:r>
              <w:rPr>
                <w:rFonts w:hint="eastAsia"/>
                <w:sz w:val="24"/>
                <w:szCs w:val="24"/>
              </w:rPr>
              <w:t>54</w:t>
            </w:r>
          </w:p>
        </w:tc>
        <w:tc>
          <w:tcPr>
            <w:tcW w:w="3059"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对在主、次干道两侧的建筑物前修建封闭式隔离设施的处罚</w:t>
            </w:r>
          </w:p>
        </w:tc>
        <w:tc>
          <w:tcPr>
            <w:tcW w:w="1392"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《重庆市市容环境卫生管理条例》（</w:t>
            </w:r>
            <w:r>
              <w:rPr>
                <w:rFonts w:hint="eastAsia"/>
                <w:kern w:val="0"/>
                <w:sz w:val="24"/>
                <w:szCs w:val="24"/>
              </w:rPr>
              <w:t>2018</w:t>
            </w:r>
            <w:r>
              <w:rPr>
                <w:rFonts w:hint="eastAsia" w:ascii="方正仿宋_GBK" w:hAnsi="方正仿宋_GBK" w:cs="方正仿宋_GBK"/>
                <w:kern w:val="0"/>
                <w:sz w:val="24"/>
                <w:szCs w:val="24"/>
              </w:rPr>
              <w:t>年修正）第三十二条。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60" w:lineRule="exact"/>
              <w:jc w:val="center"/>
              <w:rPr>
                <w:sz w:val="24"/>
                <w:szCs w:val="24"/>
              </w:rPr>
            </w:pPr>
            <w:r>
              <w:rPr>
                <w:rFonts w:hint="eastAsia"/>
                <w:sz w:val="24"/>
                <w:szCs w:val="24"/>
              </w:rPr>
              <w:t>55</w:t>
            </w:r>
          </w:p>
        </w:tc>
        <w:tc>
          <w:tcPr>
            <w:tcW w:w="3059"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对在主、次干道以外的其他地区的建筑物，设置遮阳伞或篷盖违反设置标准，并未保持整洁、美观的处罚</w:t>
            </w:r>
          </w:p>
        </w:tc>
        <w:tc>
          <w:tcPr>
            <w:tcW w:w="1392"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《重庆市市容环境卫生管理条例》（</w:t>
            </w:r>
            <w:r>
              <w:rPr>
                <w:rFonts w:hint="eastAsia"/>
                <w:kern w:val="0"/>
                <w:sz w:val="24"/>
                <w:szCs w:val="24"/>
              </w:rPr>
              <w:t>2018</w:t>
            </w:r>
            <w:r>
              <w:rPr>
                <w:rFonts w:hint="eastAsia" w:ascii="方正仿宋_GBK" w:hAnsi="方正仿宋_GBK" w:cs="方正仿宋_GBK"/>
                <w:kern w:val="0"/>
                <w:sz w:val="24"/>
                <w:szCs w:val="24"/>
              </w:rPr>
              <w:t>年修正）第三十三条。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085"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56</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对机关、团体、部队、院校、企事业单位和其他组织及个体工商户名称、字号、标志等牌匾和标识有污损、残缺的处罚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《重庆市市容环境卫生管理条例》（</w:t>
            </w:r>
            <w:r>
              <w:rPr>
                <w:rFonts w:hint="eastAsia"/>
                <w:kern w:val="0"/>
                <w:sz w:val="24"/>
                <w:szCs w:val="24"/>
              </w:rPr>
              <w:t>2018</w:t>
            </w:r>
            <w:r>
              <w:rPr>
                <w:rFonts w:hint="eastAsia" w:ascii="方正仿宋_GBK" w:hAnsi="方正仿宋_GBK" w:cs="方正仿宋_GBK"/>
                <w:kern w:val="0"/>
                <w:sz w:val="24"/>
                <w:szCs w:val="24"/>
              </w:rPr>
              <w:t>年修正）第三十七条。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749" w:hRule="atLeast"/>
          <w:jc w:val="center"/>
        </w:trPr>
        <w:tc>
          <w:tcPr>
            <w:tcW w:w="614" w:type="dxa"/>
            <w:shd w:val="clear" w:color="auto" w:fill="auto"/>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57</w:t>
            </w:r>
          </w:p>
        </w:tc>
        <w:tc>
          <w:tcPr>
            <w:tcW w:w="3059" w:type="dxa"/>
            <w:shd w:val="clear" w:color="auto" w:fill="FFFFFF"/>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对广告经营者未保持充气式装置整洁美观，出现破损残缺的处罚</w:t>
            </w:r>
          </w:p>
        </w:tc>
        <w:tc>
          <w:tcPr>
            <w:tcW w:w="1392" w:type="dxa"/>
            <w:shd w:val="clear" w:color="auto" w:fill="FFFFFF"/>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shd w:val="clear" w:color="auto" w:fill="auto"/>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shd w:val="clear" w:color="auto" w:fill="FFFFFF"/>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《重庆市市容环境卫生管理条例》（</w:t>
            </w:r>
            <w:r>
              <w:rPr>
                <w:rFonts w:hint="eastAsia"/>
                <w:kern w:val="0"/>
                <w:sz w:val="24"/>
                <w:szCs w:val="24"/>
              </w:rPr>
              <w:t>2018</w:t>
            </w:r>
            <w:r>
              <w:rPr>
                <w:rFonts w:hint="eastAsia" w:ascii="方正仿宋_GBK" w:hAnsi="方正仿宋_GBK" w:cs="方正仿宋_GBK"/>
                <w:kern w:val="0"/>
                <w:sz w:val="24"/>
                <w:szCs w:val="24"/>
              </w:rPr>
              <w:t>年修正）第三十八条第三款。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79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58</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对违反《重庆市停车场管理办法》第二十二条第一项、第五项、第六项的处罚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《重庆市停车场管理办法》（</w:t>
            </w:r>
            <w:r>
              <w:rPr>
                <w:rFonts w:hint="eastAsia"/>
                <w:kern w:val="0"/>
                <w:sz w:val="24"/>
                <w:szCs w:val="24"/>
              </w:rPr>
              <w:t>2020</w:t>
            </w:r>
            <w:r>
              <w:rPr>
                <w:rFonts w:hint="eastAsia" w:ascii="方正仿宋_GBK" w:hAnsi="方正仿宋_GBK" w:cs="方正仿宋_GBK"/>
                <w:kern w:val="0"/>
                <w:sz w:val="24"/>
                <w:szCs w:val="24"/>
              </w:rPr>
              <w:t>年修正）第二十五条第二项。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59</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对违反《重庆市市政设施管理条例》第二十一条的处罚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《重庆市市政设施管理条例》（</w:t>
            </w:r>
            <w:r>
              <w:rPr>
                <w:rFonts w:hint="eastAsia"/>
                <w:kern w:val="0"/>
                <w:sz w:val="24"/>
                <w:szCs w:val="24"/>
              </w:rPr>
              <w:t>2022</w:t>
            </w:r>
            <w:r>
              <w:rPr>
                <w:rFonts w:hint="eastAsia" w:ascii="方正仿宋_GBK" w:hAnsi="方正仿宋_GBK" w:cs="方正仿宋_GBK"/>
                <w:kern w:val="0"/>
                <w:sz w:val="24"/>
                <w:szCs w:val="24"/>
              </w:rPr>
              <w:t>年修正）第六十七条第一款，第二款第一项、第四项、第五项。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73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60</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对违反《重庆市市政设施管理条例》第四十五条第一款的处罚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《重庆市市政设施管理条例》（</w:t>
            </w:r>
            <w:r>
              <w:rPr>
                <w:rFonts w:hint="eastAsia"/>
                <w:kern w:val="0"/>
                <w:sz w:val="24"/>
                <w:szCs w:val="24"/>
              </w:rPr>
              <w:t>2022</w:t>
            </w:r>
            <w:r>
              <w:rPr>
                <w:rFonts w:hint="eastAsia" w:ascii="方正仿宋_GBK" w:hAnsi="方正仿宋_GBK" w:cs="方正仿宋_GBK"/>
                <w:kern w:val="0"/>
                <w:sz w:val="24"/>
                <w:szCs w:val="24"/>
              </w:rPr>
              <w:t>年修正）第六十七条第二款第六项。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779"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61</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spacing w:val="-17"/>
                <w:kern w:val="0"/>
                <w:sz w:val="24"/>
                <w:szCs w:val="24"/>
              </w:rPr>
              <w:t>对违反《重庆市市政设施管理条例》第四十九条第一款的处罚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《重庆市市政设施管理条例》（</w:t>
            </w:r>
            <w:r>
              <w:rPr>
                <w:rFonts w:hint="eastAsia"/>
                <w:kern w:val="0"/>
                <w:sz w:val="24"/>
                <w:szCs w:val="24"/>
              </w:rPr>
              <w:t>2022</w:t>
            </w:r>
            <w:r>
              <w:rPr>
                <w:rFonts w:hint="eastAsia" w:ascii="方正仿宋_GBK" w:hAnsi="方正仿宋_GBK" w:cs="方正仿宋_GBK"/>
                <w:kern w:val="0"/>
                <w:sz w:val="24"/>
                <w:szCs w:val="24"/>
              </w:rPr>
              <w:t>年修正）第六十七条第二款第六项。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189"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62</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对井盖等附属设施出现破损、移位或者丢失，有关产权单位或者其委托的管理单位未及时修复、正位或者补缺的处罚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《重庆市市政设施管理条例》（</w:t>
            </w:r>
            <w:r>
              <w:rPr>
                <w:rFonts w:hint="eastAsia"/>
                <w:kern w:val="0"/>
                <w:sz w:val="24"/>
                <w:szCs w:val="24"/>
              </w:rPr>
              <w:t>2022</w:t>
            </w:r>
            <w:r>
              <w:rPr>
                <w:rFonts w:hint="eastAsia" w:ascii="方正仿宋_GBK" w:hAnsi="方正仿宋_GBK" w:cs="方正仿宋_GBK"/>
                <w:kern w:val="0"/>
                <w:sz w:val="24"/>
                <w:szCs w:val="24"/>
              </w:rPr>
              <w:t>年修正）第六十八条。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189"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63</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对废品收购、堆放场所未对废品围挡、遮盖或者在居民社区、公共场所堆放、晾晒、焚烧废品污染周围环境的处罚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《重庆市市容环境卫生管理条例》（</w:t>
            </w:r>
            <w:r>
              <w:rPr>
                <w:kern w:val="0"/>
                <w:sz w:val="24"/>
                <w:szCs w:val="24"/>
              </w:rPr>
              <w:t>2018</w:t>
            </w:r>
            <w:r>
              <w:rPr>
                <w:rFonts w:hint="eastAsia" w:ascii="方正仿宋_GBK" w:hAnsi="方正仿宋_GBK" w:cs="方正仿宋_GBK"/>
                <w:kern w:val="0"/>
                <w:sz w:val="24"/>
                <w:szCs w:val="24"/>
              </w:rPr>
              <w:t>年修正）第六十一条。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129"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64</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食品摊贩未按照规定办理备案手续、未在经营场所显著位置公示备案卡的处罚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《重庆市食品生产加工小作坊和食品摊贩管理条例》（</w:t>
            </w:r>
            <w:r>
              <w:rPr>
                <w:rFonts w:hint="eastAsia"/>
                <w:sz w:val="24"/>
                <w:szCs w:val="24"/>
              </w:rPr>
              <w:t>2017</w:t>
            </w:r>
            <w:r>
              <w:rPr>
                <w:rFonts w:hint="eastAsia" w:ascii="方正仿宋_GBK" w:hAnsi="方正仿宋_GBK" w:cs="方正仿宋_GBK"/>
                <w:kern w:val="0"/>
                <w:sz w:val="24"/>
                <w:szCs w:val="24"/>
              </w:rPr>
              <w:t>年施行）第五十条第一款、第五十二条。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825"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65</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对在禁止的时段和区域内露天烧烤食品或者为露天烧烤食品提供场地的处罚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《中华人民共和国大气污染防治法》（</w:t>
            </w:r>
            <w:r>
              <w:rPr>
                <w:rFonts w:hint="eastAsia"/>
                <w:sz w:val="24"/>
                <w:szCs w:val="24"/>
              </w:rPr>
              <w:t>2018</w:t>
            </w:r>
            <w:r>
              <w:rPr>
                <w:rFonts w:hint="eastAsia" w:ascii="方正仿宋_GBK" w:hAnsi="方正仿宋_GBK" w:cs="方正仿宋_GBK"/>
                <w:kern w:val="0"/>
                <w:sz w:val="24"/>
                <w:szCs w:val="24"/>
              </w:rPr>
              <w:t>年修正）第一百一十八条第三款。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66</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对在城市建成区、人口集中区域露天焚烧树叶、枯草、垃圾的处罚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《中华人民共和国大气污染防治法》（</w:t>
            </w:r>
            <w:r>
              <w:rPr>
                <w:rFonts w:hint="eastAsia"/>
                <w:kern w:val="0"/>
                <w:sz w:val="24"/>
                <w:szCs w:val="24"/>
              </w:rPr>
              <w:t>2018</w:t>
            </w:r>
            <w:r>
              <w:rPr>
                <w:rFonts w:hint="eastAsia" w:ascii="方正仿宋_GBK" w:hAnsi="方正仿宋_GBK" w:cs="方正仿宋_GBK"/>
                <w:kern w:val="0"/>
                <w:sz w:val="24"/>
                <w:szCs w:val="24"/>
              </w:rPr>
              <w:t>年修正）第一百一十九条第一款；《重庆市大气污染防治条例》（</w:t>
            </w:r>
            <w:r>
              <w:rPr>
                <w:rFonts w:hint="eastAsia"/>
                <w:kern w:val="0"/>
                <w:sz w:val="24"/>
                <w:szCs w:val="24"/>
              </w:rPr>
              <w:t>2021</w:t>
            </w:r>
            <w:r>
              <w:rPr>
                <w:rFonts w:hint="eastAsia" w:ascii="方正仿宋_GBK" w:hAnsi="方正仿宋_GBK" w:cs="方正仿宋_GBK"/>
                <w:kern w:val="0"/>
                <w:sz w:val="24"/>
                <w:szCs w:val="24"/>
              </w:rPr>
              <w:t>年修正）第九十条第一款。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541"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67</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对在城市河道弃置、倾倒矿渣、石渣、煤灰、泥土、垃圾等废弃物的处罚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《重庆市河道管理条例》（</w:t>
            </w:r>
            <w:r>
              <w:rPr>
                <w:rFonts w:hint="eastAsia"/>
                <w:sz w:val="24"/>
                <w:szCs w:val="24"/>
              </w:rPr>
              <w:t>2022</w:t>
            </w:r>
            <w:r>
              <w:rPr>
                <w:rFonts w:hint="eastAsia" w:ascii="方正仿宋_GBK" w:hAnsi="方正仿宋_GBK" w:cs="方正仿宋_GBK"/>
                <w:kern w:val="0"/>
                <w:sz w:val="24"/>
                <w:szCs w:val="24"/>
              </w:rPr>
              <w:t>年修正）第三十八条。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68</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对违反乡道公路建筑控制区管理规定的处罚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县交通部门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《中华人民共和国公路法》（</w:t>
            </w:r>
            <w:r>
              <w:rPr>
                <w:rFonts w:hint="eastAsia"/>
                <w:sz w:val="24"/>
                <w:szCs w:val="24"/>
              </w:rPr>
              <w:t>2017</w:t>
            </w:r>
            <w:r>
              <w:rPr>
                <w:rFonts w:hint="eastAsia" w:ascii="方正仿宋_GBK" w:hAnsi="方正仿宋_GBK" w:cs="方正仿宋_GBK"/>
                <w:kern w:val="0"/>
                <w:sz w:val="24"/>
                <w:szCs w:val="24"/>
              </w:rPr>
              <w:t>年修正）第八十一条；《公路安全保护条例》（</w:t>
            </w:r>
            <w:r>
              <w:rPr>
                <w:rFonts w:hint="eastAsia"/>
                <w:sz w:val="24"/>
                <w:szCs w:val="24"/>
              </w:rPr>
              <w:t>2011</w:t>
            </w:r>
            <w:r>
              <w:rPr>
                <w:rFonts w:hint="eastAsia" w:ascii="方正仿宋_GBK" w:hAnsi="方正仿宋_GBK" w:cs="方正仿宋_GBK"/>
                <w:kern w:val="0"/>
                <w:sz w:val="24"/>
                <w:szCs w:val="24"/>
              </w:rPr>
              <w:t>年施行）第五十六条。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69</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对在乡道公路用地范围内设置公路标志以外的其他标志的处罚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县交通部门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《中华人民共和国公路法》（</w:t>
            </w:r>
            <w:r>
              <w:rPr>
                <w:rFonts w:hint="eastAsia"/>
                <w:sz w:val="24"/>
                <w:szCs w:val="24"/>
              </w:rPr>
              <w:t>2017</w:t>
            </w:r>
            <w:r>
              <w:rPr>
                <w:rFonts w:hint="eastAsia" w:ascii="方正仿宋_GBK" w:hAnsi="方正仿宋_GBK" w:cs="方正仿宋_GBK"/>
                <w:kern w:val="0"/>
                <w:sz w:val="24"/>
                <w:szCs w:val="24"/>
              </w:rPr>
              <w:t>年修正）第七十九条。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53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70</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对未经批准在乡道上增设平面交叉道口的处罚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县交通部门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《中华人民共和国公路法》（</w:t>
            </w:r>
            <w:r>
              <w:rPr>
                <w:rFonts w:hint="eastAsia"/>
                <w:sz w:val="24"/>
                <w:szCs w:val="24"/>
              </w:rPr>
              <w:t>2017</w:t>
            </w:r>
            <w:r>
              <w:rPr>
                <w:rFonts w:hint="eastAsia" w:ascii="方正仿宋_GBK" w:hAnsi="方正仿宋_GBK" w:cs="方正仿宋_GBK"/>
                <w:kern w:val="0"/>
                <w:sz w:val="24"/>
                <w:szCs w:val="24"/>
              </w:rPr>
              <w:t>年修正）第八十条。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468"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71</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对未经许可在乡道上进行涉路施工活动的处罚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县交通部门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《公路安全保护条例》（</w:t>
            </w:r>
            <w:r>
              <w:rPr>
                <w:rFonts w:hint="eastAsia"/>
                <w:sz w:val="24"/>
                <w:szCs w:val="24"/>
              </w:rPr>
              <w:t>2011</w:t>
            </w:r>
            <w:r>
              <w:rPr>
                <w:rFonts w:hint="eastAsia" w:ascii="方正仿宋_GBK" w:hAnsi="方正仿宋_GBK" w:cs="方正仿宋_GBK"/>
                <w:kern w:val="0"/>
                <w:sz w:val="24"/>
                <w:szCs w:val="24"/>
              </w:rPr>
              <w:t>年施行）第六十二条。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72</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对未经批准更新采伐乡道护路林的处罚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县交通部门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《公路安全保护条例》（</w:t>
            </w:r>
            <w:r>
              <w:rPr>
                <w:rFonts w:hint="eastAsia"/>
                <w:sz w:val="24"/>
                <w:szCs w:val="24"/>
              </w:rPr>
              <w:t>2011</w:t>
            </w:r>
            <w:r>
              <w:rPr>
                <w:rFonts w:hint="eastAsia" w:ascii="方正仿宋_GBK" w:hAnsi="方正仿宋_GBK" w:cs="方正仿宋_GBK"/>
                <w:kern w:val="0"/>
                <w:sz w:val="24"/>
                <w:szCs w:val="24"/>
              </w:rPr>
              <w:t>年施行）第六十一条。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739"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73</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对《重庆市水利工程管理条例》第二十九条规定情形的处罚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县水利部门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《重庆市水利工程管理条例》（</w:t>
            </w:r>
            <w:r>
              <w:rPr>
                <w:rFonts w:hint="eastAsia"/>
                <w:sz w:val="24"/>
                <w:szCs w:val="24"/>
              </w:rPr>
              <w:t>2022</w:t>
            </w:r>
            <w:r>
              <w:rPr>
                <w:rFonts w:hint="eastAsia" w:ascii="方正仿宋_GBK" w:hAnsi="方正仿宋_GBK" w:cs="方正仿宋_GBK"/>
                <w:kern w:val="0"/>
                <w:sz w:val="24"/>
                <w:szCs w:val="24"/>
              </w:rPr>
              <w:t>年修正）第五十条。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347"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74</w:t>
            </w:r>
          </w:p>
        </w:tc>
        <w:tc>
          <w:tcPr>
            <w:tcW w:w="3059"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对在禁止生产建设活动的区域从事可能造成水土流失生产建设活动的处罚</w:t>
            </w:r>
          </w:p>
        </w:tc>
        <w:tc>
          <w:tcPr>
            <w:tcW w:w="1392"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县水利部门</w:t>
            </w:r>
          </w:p>
        </w:tc>
        <w:tc>
          <w:tcPr>
            <w:tcW w:w="1983"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《重庆市实施〈中华人民共和国水土保持法〉办法》（</w:t>
            </w:r>
            <w:r>
              <w:rPr>
                <w:rFonts w:hint="eastAsia"/>
                <w:sz w:val="24"/>
                <w:szCs w:val="24"/>
              </w:rPr>
              <w:t>2018</w:t>
            </w:r>
            <w:r>
              <w:rPr>
                <w:rFonts w:hint="eastAsia" w:ascii="方正仿宋_GBK" w:hAnsi="方正仿宋_GBK" w:cs="方正仿宋_GBK"/>
                <w:kern w:val="0"/>
                <w:sz w:val="24"/>
                <w:szCs w:val="24"/>
              </w:rPr>
              <w:t>年修正）第四十条。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41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75</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对在林区采伐林木不依法采取防止水土流失措施的处罚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县水利部门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《中华人民共和国水土保持法》（</w:t>
            </w:r>
            <w:r>
              <w:rPr>
                <w:rFonts w:hint="eastAsia"/>
                <w:sz w:val="24"/>
                <w:szCs w:val="24"/>
              </w:rPr>
              <w:t>2010</w:t>
            </w:r>
            <w:r>
              <w:rPr>
                <w:rFonts w:hint="eastAsia" w:ascii="方正仿宋_GBK" w:hAnsi="方正仿宋_GBK" w:cs="方正仿宋_GBK"/>
                <w:kern w:val="0"/>
                <w:sz w:val="24"/>
                <w:szCs w:val="24"/>
              </w:rPr>
              <w:t>年修订）第五十二条。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379"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76</w:t>
            </w:r>
          </w:p>
        </w:tc>
        <w:tc>
          <w:tcPr>
            <w:tcW w:w="3059" w:type="dxa"/>
            <w:tcMar>
              <w:left w:w="57" w:type="dxa"/>
              <w:right w:w="57" w:type="dxa"/>
            </w:tcMar>
            <w:vAlign w:val="center"/>
          </w:tcPr>
          <w:p>
            <w:pPr>
              <w:widowControl/>
              <w:adjustRightInd w:val="0"/>
              <w:snapToGrid w:val="0"/>
              <w:spacing w:line="35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对在水利工程保护范围内，从事爆破、打井、采石、采矿、取土、挖沙、修坟、钻探、开凿涵洞隧道、陡坡开荒等危及水利工程安全、影响水利工程运行的活动的处罚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县水利部门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《重庆市水利工程管理条例》（</w:t>
            </w:r>
            <w:r>
              <w:rPr>
                <w:rFonts w:hint="eastAsia"/>
                <w:sz w:val="24"/>
                <w:szCs w:val="24"/>
              </w:rPr>
              <w:t>2022</w:t>
            </w:r>
            <w:r>
              <w:rPr>
                <w:rFonts w:hint="eastAsia" w:ascii="方正仿宋_GBK" w:hAnsi="方正仿宋_GBK" w:cs="方正仿宋_GBK"/>
                <w:kern w:val="0"/>
                <w:sz w:val="24"/>
                <w:szCs w:val="24"/>
              </w:rPr>
              <w:t>年修正）第四十九条。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282"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77</w:t>
            </w:r>
          </w:p>
        </w:tc>
        <w:tc>
          <w:tcPr>
            <w:tcW w:w="3059"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对使用拖拉机、联合收割机违反规定载人的处罚</w:t>
            </w:r>
          </w:p>
        </w:tc>
        <w:tc>
          <w:tcPr>
            <w:tcW w:w="1392"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县农业农村部门</w:t>
            </w:r>
          </w:p>
        </w:tc>
        <w:tc>
          <w:tcPr>
            <w:tcW w:w="1983"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《农业机械安全监督管理条例》（</w:t>
            </w:r>
            <w:r>
              <w:rPr>
                <w:rFonts w:hint="eastAsia"/>
                <w:sz w:val="24"/>
                <w:szCs w:val="24"/>
              </w:rPr>
              <w:t>2019</w:t>
            </w:r>
            <w:r>
              <w:rPr>
                <w:rFonts w:hint="eastAsia" w:ascii="方正仿宋_GBK" w:hAnsi="方正仿宋_GBK" w:cs="方正仿宋_GBK"/>
                <w:kern w:val="0"/>
                <w:sz w:val="24"/>
                <w:szCs w:val="24"/>
              </w:rPr>
              <w:t>年修订）第五十四条。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328"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78</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处罚</w:t>
            </w:r>
          </w:p>
        </w:tc>
        <w:tc>
          <w:tcPr>
            <w:tcW w:w="1392" w:type="dxa"/>
            <w:tcMar>
              <w:left w:w="57" w:type="dxa"/>
              <w:right w:w="57" w:type="dxa"/>
            </w:tcMar>
            <w:vAlign w:val="center"/>
          </w:tcPr>
          <w:p>
            <w:pPr>
              <w:widowControl/>
              <w:adjustRightInd w:val="0"/>
              <w:snapToGrid w:val="0"/>
              <w:spacing w:line="340" w:lineRule="atLeas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县农业农村部门</w:t>
            </w:r>
          </w:p>
        </w:tc>
        <w:tc>
          <w:tcPr>
            <w:tcW w:w="1983" w:type="dxa"/>
            <w:tcMar>
              <w:left w:w="57" w:type="dxa"/>
              <w:right w:w="57" w:type="dxa"/>
            </w:tcMar>
            <w:vAlign w:val="center"/>
          </w:tcPr>
          <w:p>
            <w:pPr>
              <w:widowControl/>
              <w:adjustRightInd w:val="0"/>
              <w:snapToGrid w:val="0"/>
              <w:spacing w:line="340" w:lineRule="atLeas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行政处罚权（吊销许可证件除外）以及与其行政处罚权有关的行政检查、行政强制措施</w:t>
            </w:r>
          </w:p>
        </w:tc>
        <w:tc>
          <w:tcPr>
            <w:tcW w:w="2371" w:type="dxa"/>
            <w:tcMar>
              <w:left w:w="57" w:type="dxa"/>
              <w:right w:w="57" w:type="dxa"/>
            </w:tcMar>
            <w:vAlign w:val="center"/>
          </w:tcPr>
          <w:p>
            <w:pPr>
              <w:widowControl/>
              <w:adjustRightInd w:val="0"/>
              <w:snapToGrid w:val="0"/>
              <w:spacing w:line="340" w:lineRule="atLeas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《农业机械安全监督管理条例》（</w:t>
            </w:r>
            <w:r>
              <w:rPr>
                <w:rFonts w:hint="eastAsia"/>
                <w:sz w:val="24"/>
                <w:szCs w:val="24"/>
              </w:rPr>
              <w:t>2019</w:t>
            </w:r>
            <w:r>
              <w:rPr>
                <w:rFonts w:hint="eastAsia" w:ascii="方正仿宋_GBK" w:hAnsi="方正仿宋_GBK" w:cs="方正仿宋_GBK"/>
                <w:kern w:val="0"/>
                <w:sz w:val="24"/>
                <w:szCs w:val="24"/>
              </w:rPr>
              <w:t>年修订）第五十三条。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578"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79</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对未取得拖拉机、联合收割机操作证件而操作拖拉机、联合收割机的处罚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县农业农村部门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《农业机械安全监督管理条例》（</w:t>
            </w:r>
            <w:r>
              <w:rPr>
                <w:rFonts w:hint="eastAsia"/>
                <w:sz w:val="24"/>
                <w:szCs w:val="24"/>
              </w:rPr>
              <w:t>2019</w:t>
            </w:r>
            <w:r>
              <w:rPr>
                <w:rFonts w:hint="eastAsia" w:ascii="方正仿宋_GBK" w:hAnsi="方正仿宋_GBK" w:cs="方正仿宋_GBK"/>
                <w:kern w:val="0"/>
                <w:sz w:val="24"/>
                <w:szCs w:val="24"/>
              </w:rPr>
              <w:t>年修订）第五十二条。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031"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80</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对在人口集中地区、机场周围、交通干线附近以及市人民政府划定的其他禁止区域内露天焚烧秸秆的处罚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县农业农村部门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《重庆市大气污染防治条例》（</w:t>
            </w:r>
            <w:r>
              <w:rPr>
                <w:rFonts w:hint="eastAsia"/>
                <w:sz w:val="24"/>
                <w:szCs w:val="24"/>
              </w:rPr>
              <w:t>2021</w:t>
            </w:r>
            <w:r>
              <w:rPr>
                <w:rFonts w:hint="eastAsia" w:ascii="方正仿宋_GBK" w:hAnsi="方正仿宋_GBK" w:cs="方正仿宋_GBK"/>
                <w:kern w:val="0"/>
                <w:sz w:val="24"/>
                <w:szCs w:val="24"/>
              </w:rPr>
              <w:t>年修正）第九十条第二款。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81</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对饲养的犬只未按照规定定期进行狂犬病免疫接种的处罚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县农业农村部门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《中华人民共和国动物防疫法》（</w:t>
            </w:r>
            <w:r>
              <w:rPr>
                <w:rFonts w:hint="eastAsia"/>
                <w:sz w:val="24"/>
                <w:szCs w:val="24"/>
              </w:rPr>
              <w:t>2021</w:t>
            </w:r>
            <w:r>
              <w:rPr>
                <w:rFonts w:hint="eastAsia" w:ascii="方正仿宋_GBK" w:hAnsi="方正仿宋_GBK" w:cs="方正仿宋_GBK"/>
                <w:kern w:val="0"/>
                <w:sz w:val="24"/>
                <w:szCs w:val="24"/>
              </w:rPr>
              <w:t>年修订）第九十二条第三项。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838"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82</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对歌舞娱乐场所</w:t>
            </w:r>
            <w:r>
              <w:rPr>
                <w:rStyle w:val="22"/>
                <w:rFonts w:hint="default"/>
                <w:b w:val="0"/>
                <w:color w:val="auto"/>
                <w:sz w:val="24"/>
                <w:szCs w:val="24"/>
              </w:rPr>
              <w:t>违反《娱乐场所管理条例》规定</w:t>
            </w:r>
            <w:r>
              <w:rPr>
                <w:rStyle w:val="21"/>
                <w:rFonts w:hint="default"/>
                <w:color w:val="auto"/>
                <w:sz w:val="24"/>
                <w:szCs w:val="24"/>
              </w:rPr>
              <w:t>接纳未成年人的处罚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县文化旅游部门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行政处罚权（责令停产停业除外）以及与其行政处罚权有关的行政检查、行政强制措施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《娱乐场所管理条例》（</w:t>
            </w:r>
            <w:r>
              <w:rPr>
                <w:rFonts w:hint="eastAsia"/>
                <w:sz w:val="24"/>
                <w:szCs w:val="24"/>
              </w:rPr>
              <w:t>2020</w:t>
            </w:r>
            <w:r>
              <w:rPr>
                <w:rFonts w:hint="eastAsia" w:ascii="方正仿宋_GBK" w:hAnsi="方正仿宋_GBK" w:cs="方正仿宋_GBK"/>
                <w:kern w:val="0"/>
                <w:sz w:val="24"/>
                <w:szCs w:val="24"/>
              </w:rPr>
              <w:t>年修订）第四十八条第三项。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991"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83</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对娱乐场所未在显著位置悬挂娱乐经营许可证、未成年人禁入或者限入标志以及标志未注明举报电话的处罚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县文化旅游部门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《娱乐场所管理办法》（</w:t>
            </w:r>
            <w:r>
              <w:rPr>
                <w:rFonts w:hint="eastAsia"/>
                <w:sz w:val="24"/>
                <w:szCs w:val="24"/>
              </w:rPr>
              <w:t>2022</w:t>
            </w:r>
            <w:r>
              <w:rPr>
                <w:rFonts w:hint="eastAsia" w:ascii="方正仿宋_GBK" w:hAnsi="方正仿宋_GBK" w:cs="方正仿宋_GBK"/>
                <w:kern w:val="0"/>
                <w:sz w:val="24"/>
                <w:szCs w:val="24"/>
              </w:rPr>
              <w:t>年修订）第三十三条。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230"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84</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对变更演出的名称、时间、地点、场次未重新报批等行为的处罚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县文化旅游部门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《营业性演出管理条例》（</w:t>
            </w:r>
            <w:r>
              <w:rPr>
                <w:rFonts w:hint="eastAsia"/>
                <w:sz w:val="24"/>
                <w:szCs w:val="24"/>
              </w:rPr>
              <w:t>2020</w:t>
            </w:r>
            <w:r>
              <w:rPr>
                <w:rFonts w:hint="eastAsia" w:ascii="方正仿宋_GBK" w:hAnsi="方正仿宋_GBK" w:cs="方正仿宋_GBK"/>
                <w:kern w:val="0"/>
                <w:sz w:val="24"/>
                <w:szCs w:val="24"/>
              </w:rPr>
              <w:t>年修订）第四十四条第二款。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669"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85</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对个人或单位有《广播电视设施保护条例》第二十三条所列违法行为的处罚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县文化旅游部门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《广播电视设施保护条例》（</w:t>
            </w:r>
            <w:r>
              <w:rPr>
                <w:rFonts w:hint="eastAsia"/>
                <w:sz w:val="24"/>
                <w:szCs w:val="24"/>
              </w:rPr>
              <w:t>2000</w:t>
            </w:r>
            <w:r>
              <w:rPr>
                <w:rFonts w:hint="eastAsia" w:ascii="方正仿宋_GBK" w:hAnsi="方正仿宋_GBK" w:cs="方正仿宋_GBK"/>
                <w:kern w:val="0"/>
                <w:sz w:val="24"/>
                <w:szCs w:val="24"/>
              </w:rPr>
              <w:t>年施行）第二十三条。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86</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对个人或单位有《广播电视设施保护条例》第二十二条所列违法行为的处罚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县文化旅游部门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《广播电视设施保护条例》（</w:t>
            </w:r>
            <w:r>
              <w:rPr>
                <w:rFonts w:hint="eastAsia"/>
                <w:sz w:val="24"/>
                <w:szCs w:val="24"/>
              </w:rPr>
              <w:t>2000</w:t>
            </w:r>
            <w:r>
              <w:rPr>
                <w:rFonts w:hint="eastAsia" w:ascii="方正仿宋_GBK" w:hAnsi="方正仿宋_GBK" w:cs="方正仿宋_GBK"/>
                <w:kern w:val="0"/>
                <w:sz w:val="24"/>
                <w:szCs w:val="24"/>
              </w:rPr>
              <w:t>年施行）第二十二条。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31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87</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对在广播电视设施保护范围内进行建筑施工、兴建设施或者爆破作业、烧荒等活动以及损坏广播电视设施的处罚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县文化旅游部门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行政处罚权（公安机关依法行使的除外）以及与其行政处罚权有关的行政检查、行政强制措施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《广播电视设施保护条例》（</w:t>
            </w:r>
            <w:r>
              <w:rPr>
                <w:rFonts w:hint="eastAsia"/>
                <w:sz w:val="24"/>
                <w:szCs w:val="24"/>
              </w:rPr>
              <w:t>2000</w:t>
            </w:r>
            <w:r>
              <w:rPr>
                <w:rFonts w:hint="eastAsia" w:ascii="方正仿宋_GBK" w:hAnsi="方正仿宋_GBK" w:cs="方正仿宋_GBK"/>
                <w:kern w:val="0"/>
                <w:sz w:val="24"/>
                <w:szCs w:val="24"/>
              </w:rPr>
              <w:t>年施行）第二十条、第二十一条。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88</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对擅自安装和使用卫星地面接收设施的处罚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县文化旅游部门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《卫星电视广播地面接收设施管理规定》（</w:t>
            </w:r>
            <w:r>
              <w:rPr>
                <w:rFonts w:hint="eastAsia"/>
                <w:sz w:val="24"/>
                <w:szCs w:val="24"/>
              </w:rPr>
              <w:t>2018</w:t>
            </w:r>
            <w:r>
              <w:rPr>
                <w:rFonts w:hint="eastAsia" w:ascii="方正仿宋_GBK" w:hAnsi="方正仿宋_GBK" w:cs="方正仿宋_GBK"/>
                <w:kern w:val="0"/>
                <w:sz w:val="24"/>
                <w:szCs w:val="24"/>
              </w:rPr>
              <w:t>年修订）第十条第三款。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729"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89</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对擅自移动、拆除、损毁红岩革命旧址文物保护标志、保护界碑界桩、标牌、说明牌、公共图形符号的处罚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县文化旅游部门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《重庆市红岩革命旧址保护区管理办法》（</w:t>
            </w:r>
            <w:r>
              <w:rPr>
                <w:rFonts w:hint="eastAsia"/>
                <w:sz w:val="24"/>
                <w:szCs w:val="24"/>
              </w:rPr>
              <w:t>2021</w:t>
            </w:r>
            <w:r>
              <w:rPr>
                <w:rFonts w:hint="eastAsia" w:ascii="方正仿宋_GBK" w:hAnsi="方正仿宋_GBK" w:cs="方正仿宋_GBK"/>
                <w:kern w:val="0"/>
                <w:sz w:val="24"/>
                <w:szCs w:val="24"/>
              </w:rPr>
              <w:t>年施行）第三十四条。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363" w:hRule="atLeast"/>
          <w:jc w:val="center"/>
        </w:trPr>
        <w:tc>
          <w:tcPr>
            <w:tcW w:w="614" w:type="dxa"/>
            <w:shd w:val="clear" w:color="auto" w:fill="auto"/>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90</w:t>
            </w:r>
          </w:p>
        </w:tc>
        <w:tc>
          <w:tcPr>
            <w:tcW w:w="3059" w:type="dxa"/>
            <w:shd w:val="clear" w:color="auto" w:fill="auto"/>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对《重庆市红岩革命旧址保护区管理办法》第十九条规定情形的处罚</w:t>
            </w:r>
          </w:p>
        </w:tc>
        <w:tc>
          <w:tcPr>
            <w:tcW w:w="1392" w:type="dxa"/>
            <w:shd w:val="clear" w:color="auto" w:fill="FFFFFF"/>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县文化旅游部门</w:t>
            </w:r>
          </w:p>
        </w:tc>
        <w:tc>
          <w:tcPr>
            <w:tcW w:w="1983" w:type="dxa"/>
            <w:shd w:val="clear" w:color="auto" w:fill="auto"/>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shd w:val="clear" w:color="auto" w:fill="FFFFFF"/>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《重庆市红岩革命旧址保护区管理办法》（</w:t>
            </w:r>
            <w:r>
              <w:rPr>
                <w:rFonts w:hint="eastAsia"/>
                <w:sz w:val="24"/>
                <w:szCs w:val="24"/>
              </w:rPr>
              <w:t>2021</w:t>
            </w:r>
            <w:r>
              <w:rPr>
                <w:rFonts w:hint="eastAsia" w:ascii="方正仿宋_GBK" w:hAnsi="方正仿宋_GBK" w:cs="方正仿宋_GBK"/>
                <w:kern w:val="0"/>
                <w:sz w:val="24"/>
                <w:szCs w:val="24"/>
              </w:rPr>
              <w:t>年施行）第三十五条。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shd w:val="clear" w:color="auto" w:fill="auto"/>
            <w:tcMar>
              <w:left w:w="57" w:type="dxa"/>
              <w:right w:w="57" w:type="dxa"/>
            </w:tcMar>
            <w:vAlign w:val="center"/>
          </w:tcPr>
          <w:p>
            <w:pPr>
              <w:widowControl/>
              <w:adjustRightInd w:val="0"/>
              <w:snapToGrid w:val="0"/>
              <w:spacing w:line="340" w:lineRule="exact"/>
              <w:jc w:val="center"/>
              <w:rPr>
                <w:sz w:val="24"/>
                <w:szCs w:val="24"/>
              </w:rPr>
            </w:pPr>
            <w:r>
              <w:rPr>
                <w:rFonts w:hint="eastAsia"/>
                <w:sz w:val="24"/>
                <w:szCs w:val="24"/>
              </w:rPr>
              <w:t>91</w:t>
            </w:r>
          </w:p>
        </w:tc>
        <w:tc>
          <w:tcPr>
            <w:tcW w:w="3059" w:type="dxa"/>
            <w:shd w:val="clear" w:color="auto" w:fill="auto"/>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对导游人员进行导游活动时未佩戴导游证的处罚</w:t>
            </w:r>
          </w:p>
        </w:tc>
        <w:tc>
          <w:tcPr>
            <w:tcW w:w="1392" w:type="dxa"/>
            <w:shd w:val="clear" w:color="auto" w:fill="FFFFFF"/>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县文化旅游部门</w:t>
            </w:r>
          </w:p>
        </w:tc>
        <w:tc>
          <w:tcPr>
            <w:tcW w:w="1983" w:type="dxa"/>
            <w:shd w:val="clear" w:color="auto" w:fill="auto"/>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shd w:val="clear" w:color="auto" w:fill="FFFFFF"/>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《导游人员管理条例》（</w:t>
            </w:r>
            <w:r>
              <w:rPr>
                <w:rFonts w:hint="eastAsia"/>
                <w:sz w:val="24"/>
                <w:szCs w:val="24"/>
              </w:rPr>
              <w:t>2017</w:t>
            </w:r>
            <w:r>
              <w:rPr>
                <w:rFonts w:hint="eastAsia" w:ascii="方正仿宋_GBK" w:hAnsi="方正仿宋_GBK" w:cs="方正仿宋_GBK"/>
                <w:kern w:val="0"/>
                <w:sz w:val="24"/>
                <w:szCs w:val="24"/>
              </w:rPr>
              <w:t>年修订）第二十一条。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660" w:hRule="atLeast"/>
          <w:jc w:val="center"/>
        </w:trPr>
        <w:tc>
          <w:tcPr>
            <w:tcW w:w="614" w:type="dxa"/>
            <w:shd w:val="clear" w:color="auto" w:fill="auto"/>
            <w:tcMar>
              <w:left w:w="57" w:type="dxa"/>
              <w:right w:w="57" w:type="dxa"/>
            </w:tcMar>
            <w:vAlign w:val="center"/>
          </w:tcPr>
          <w:p>
            <w:pPr>
              <w:widowControl/>
              <w:adjustRightInd w:val="0"/>
              <w:snapToGrid w:val="0"/>
              <w:spacing w:line="340" w:lineRule="exact"/>
              <w:jc w:val="center"/>
              <w:rPr>
                <w:sz w:val="24"/>
                <w:szCs w:val="24"/>
              </w:rPr>
            </w:pPr>
            <w:r>
              <w:rPr>
                <w:rFonts w:hint="eastAsia"/>
                <w:sz w:val="24"/>
                <w:szCs w:val="24"/>
              </w:rPr>
              <w:t>92</w:t>
            </w:r>
          </w:p>
        </w:tc>
        <w:tc>
          <w:tcPr>
            <w:tcW w:w="3059" w:type="dxa"/>
            <w:shd w:val="clear" w:color="auto" w:fill="auto"/>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对《重庆市公共场所控制吸烟条例》第二十条、第二十一条规定情形的处罚</w:t>
            </w:r>
          </w:p>
        </w:tc>
        <w:tc>
          <w:tcPr>
            <w:tcW w:w="1392" w:type="dxa"/>
            <w:shd w:val="clear" w:color="auto" w:fill="FFFFFF"/>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县卫生健康部门</w:t>
            </w:r>
          </w:p>
        </w:tc>
        <w:tc>
          <w:tcPr>
            <w:tcW w:w="1983" w:type="dxa"/>
            <w:shd w:val="clear" w:color="auto" w:fill="auto"/>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shd w:val="clear" w:color="auto" w:fill="FFFFFF"/>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《重庆市公共场所控制吸烟条例》（</w:t>
            </w:r>
            <w:r>
              <w:rPr>
                <w:rFonts w:hint="eastAsia"/>
                <w:sz w:val="24"/>
                <w:szCs w:val="24"/>
              </w:rPr>
              <w:t>2021</w:t>
            </w:r>
            <w:r>
              <w:rPr>
                <w:rFonts w:hint="eastAsia" w:ascii="方正仿宋_GBK" w:hAnsi="方正仿宋_GBK" w:cs="方正仿宋_GBK"/>
                <w:kern w:val="0"/>
                <w:sz w:val="24"/>
                <w:szCs w:val="24"/>
              </w:rPr>
              <w:t>年施行）第二十条、第二十一条。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shd w:val="clear" w:color="auto" w:fill="auto"/>
            <w:tcMar>
              <w:left w:w="57" w:type="dxa"/>
              <w:right w:w="57" w:type="dxa"/>
            </w:tcMar>
            <w:vAlign w:val="center"/>
          </w:tcPr>
          <w:p>
            <w:pPr>
              <w:widowControl/>
              <w:adjustRightInd w:val="0"/>
              <w:snapToGrid w:val="0"/>
              <w:spacing w:line="340" w:lineRule="exact"/>
              <w:jc w:val="center"/>
              <w:rPr>
                <w:sz w:val="24"/>
                <w:szCs w:val="24"/>
              </w:rPr>
            </w:pPr>
            <w:r>
              <w:rPr>
                <w:rFonts w:hint="eastAsia"/>
                <w:sz w:val="24"/>
                <w:szCs w:val="24"/>
              </w:rPr>
              <w:t>93</w:t>
            </w:r>
          </w:p>
        </w:tc>
        <w:tc>
          <w:tcPr>
            <w:tcW w:w="3059" w:type="dxa"/>
            <w:shd w:val="clear" w:color="auto" w:fill="auto"/>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对《重庆市公共场所控制吸烟条例》第十九条第一款规定情形的处罚</w:t>
            </w:r>
          </w:p>
        </w:tc>
        <w:tc>
          <w:tcPr>
            <w:tcW w:w="1392" w:type="dxa"/>
            <w:shd w:val="clear" w:color="auto" w:fill="FFFFFF"/>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县卫生健康部门</w:t>
            </w:r>
          </w:p>
        </w:tc>
        <w:tc>
          <w:tcPr>
            <w:tcW w:w="1983" w:type="dxa"/>
            <w:shd w:val="clear" w:color="auto" w:fill="auto"/>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行政处罚权（公安机关依法行使的除外）以及与其行政处罚权有关的行政检查、行政强制措施</w:t>
            </w:r>
          </w:p>
        </w:tc>
        <w:tc>
          <w:tcPr>
            <w:tcW w:w="2371" w:type="dxa"/>
            <w:shd w:val="clear" w:color="auto" w:fill="FFFFFF"/>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《重庆市公共场所控制吸烟条例》（</w:t>
            </w:r>
            <w:r>
              <w:rPr>
                <w:rFonts w:hint="eastAsia"/>
                <w:sz w:val="24"/>
                <w:szCs w:val="24"/>
              </w:rPr>
              <w:t>2021</w:t>
            </w:r>
            <w:r>
              <w:rPr>
                <w:rFonts w:hint="eastAsia" w:ascii="方正仿宋_GBK" w:hAnsi="方正仿宋_GBK" w:cs="方正仿宋_GBK"/>
                <w:kern w:val="0"/>
                <w:sz w:val="24"/>
                <w:szCs w:val="24"/>
              </w:rPr>
              <w:t>年施行）第十九条第一款。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shd w:val="clear" w:color="auto" w:fill="auto"/>
            <w:tcMar>
              <w:left w:w="57" w:type="dxa"/>
              <w:right w:w="57" w:type="dxa"/>
            </w:tcMar>
            <w:vAlign w:val="center"/>
          </w:tcPr>
          <w:p>
            <w:pPr>
              <w:widowControl/>
              <w:adjustRightInd w:val="0"/>
              <w:snapToGrid w:val="0"/>
              <w:spacing w:line="340" w:lineRule="exact"/>
              <w:jc w:val="center"/>
              <w:rPr>
                <w:sz w:val="24"/>
                <w:szCs w:val="24"/>
              </w:rPr>
            </w:pPr>
            <w:r>
              <w:rPr>
                <w:rFonts w:hint="eastAsia"/>
                <w:sz w:val="24"/>
                <w:szCs w:val="24"/>
              </w:rPr>
              <w:t>94</w:t>
            </w:r>
          </w:p>
        </w:tc>
        <w:tc>
          <w:tcPr>
            <w:tcW w:w="3059" w:type="dxa"/>
            <w:shd w:val="clear" w:color="auto" w:fill="auto"/>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对销售无卫生许可批准文件的涉及饮用水卫生安全的产品的处罚</w:t>
            </w:r>
          </w:p>
        </w:tc>
        <w:tc>
          <w:tcPr>
            <w:tcW w:w="1392" w:type="dxa"/>
            <w:shd w:val="clear" w:color="auto" w:fill="FFFFFF"/>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县卫生健康部门</w:t>
            </w:r>
          </w:p>
        </w:tc>
        <w:tc>
          <w:tcPr>
            <w:tcW w:w="1983" w:type="dxa"/>
            <w:shd w:val="clear" w:color="auto" w:fill="auto"/>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shd w:val="clear" w:color="auto" w:fill="FFFFFF"/>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《生活饮用水卫生监督管理办法》（</w:t>
            </w:r>
            <w:r>
              <w:rPr>
                <w:rFonts w:hint="eastAsia"/>
                <w:sz w:val="24"/>
                <w:szCs w:val="24"/>
              </w:rPr>
              <w:t>2016</w:t>
            </w:r>
            <w:r>
              <w:rPr>
                <w:rFonts w:hint="eastAsia" w:ascii="方正仿宋_GBK" w:hAnsi="方正仿宋_GBK" w:cs="方正仿宋_GBK"/>
                <w:kern w:val="0"/>
                <w:sz w:val="24"/>
                <w:szCs w:val="24"/>
              </w:rPr>
              <w:t>年修改）第二十七条。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786" w:hRule="atLeast"/>
          <w:jc w:val="center"/>
        </w:trPr>
        <w:tc>
          <w:tcPr>
            <w:tcW w:w="614" w:type="dxa"/>
            <w:shd w:val="clear" w:color="auto" w:fill="auto"/>
            <w:tcMar>
              <w:left w:w="57" w:type="dxa"/>
              <w:right w:w="57" w:type="dxa"/>
            </w:tcMar>
            <w:vAlign w:val="center"/>
          </w:tcPr>
          <w:p>
            <w:pPr>
              <w:widowControl/>
              <w:adjustRightInd w:val="0"/>
              <w:snapToGrid w:val="0"/>
              <w:spacing w:line="340" w:lineRule="exact"/>
              <w:jc w:val="center"/>
              <w:rPr>
                <w:sz w:val="24"/>
                <w:szCs w:val="24"/>
              </w:rPr>
            </w:pPr>
            <w:r>
              <w:rPr>
                <w:rFonts w:hint="eastAsia"/>
                <w:sz w:val="24"/>
                <w:szCs w:val="24"/>
              </w:rPr>
              <w:t>95</w:t>
            </w:r>
          </w:p>
        </w:tc>
        <w:tc>
          <w:tcPr>
            <w:tcW w:w="3059" w:type="dxa"/>
            <w:shd w:val="clear" w:color="auto" w:fill="auto"/>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对零售经营者变更零售点名称等信息并未重新办理零售许可证</w:t>
            </w:r>
            <w:r>
              <w:rPr>
                <w:rStyle w:val="25"/>
                <w:rFonts w:hint="default"/>
                <w:b w:val="0"/>
                <w:color w:val="auto"/>
                <w:sz w:val="24"/>
                <w:szCs w:val="24"/>
              </w:rPr>
              <w:t>或者</w:t>
            </w:r>
            <w:r>
              <w:rPr>
                <w:rStyle w:val="26"/>
                <w:rFonts w:hint="default"/>
                <w:color w:val="auto"/>
              </w:rPr>
              <w:t>存放的烟花爆竹数量超过零售许可证载明范围的处罚</w:t>
            </w:r>
          </w:p>
        </w:tc>
        <w:tc>
          <w:tcPr>
            <w:tcW w:w="1392" w:type="dxa"/>
            <w:shd w:val="clear" w:color="auto" w:fill="FFFFFF"/>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县应急管理部门</w:t>
            </w:r>
          </w:p>
        </w:tc>
        <w:tc>
          <w:tcPr>
            <w:tcW w:w="1983" w:type="dxa"/>
            <w:shd w:val="clear" w:color="auto" w:fill="auto"/>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shd w:val="clear" w:color="auto" w:fill="FFFFFF"/>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《烟花爆竹经营许可实施办法》（</w:t>
            </w:r>
            <w:r>
              <w:rPr>
                <w:rFonts w:hint="eastAsia"/>
                <w:sz w:val="24"/>
                <w:szCs w:val="24"/>
              </w:rPr>
              <w:t>2013</w:t>
            </w:r>
            <w:r>
              <w:rPr>
                <w:rFonts w:hint="eastAsia" w:ascii="方正仿宋_GBK" w:hAnsi="方正仿宋_GBK" w:cs="方正仿宋_GBK"/>
                <w:kern w:val="0"/>
                <w:sz w:val="24"/>
                <w:szCs w:val="24"/>
              </w:rPr>
              <w:t>年施行）第三十五条。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shd w:val="clear" w:color="auto" w:fill="auto"/>
            <w:tcMar>
              <w:left w:w="57" w:type="dxa"/>
              <w:right w:w="57" w:type="dxa"/>
            </w:tcMar>
            <w:vAlign w:val="center"/>
          </w:tcPr>
          <w:p>
            <w:pPr>
              <w:widowControl/>
              <w:adjustRightInd w:val="0"/>
              <w:snapToGrid w:val="0"/>
              <w:spacing w:line="340" w:lineRule="exact"/>
              <w:jc w:val="center"/>
              <w:rPr>
                <w:sz w:val="24"/>
                <w:szCs w:val="24"/>
              </w:rPr>
            </w:pPr>
            <w:r>
              <w:rPr>
                <w:rFonts w:hint="eastAsia"/>
                <w:sz w:val="24"/>
                <w:szCs w:val="24"/>
              </w:rPr>
              <w:t>96</w:t>
            </w:r>
          </w:p>
        </w:tc>
        <w:tc>
          <w:tcPr>
            <w:tcW w:w="3059" w:type="dxa"/>
            <w:shd w:val="clear" w:color="auto" w:fill="auto"/>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对损坏或者擅自拆除、移动森林防火标志的处罚</w:t>
            </w:r>
          </w:p>
        </w:tc>
        <w:tc>
          <w:tcPr>
            <w:tcW w:w="1392" w:type="dxa"/>
            <w:shd w:val="clear" w:color="auto" w:fill="FFFFFF"/>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spacing w:val="-17"/>
                <w:kern w:val="0"/>
                <w:sz w:val="24"/>
                <w:szCs w:val="24"/>
              </w:rPr>
              <w:t>县林业部门</w:t>
            </w:r>
          </w:p>
        </w:tc>
        <w:tc>
          <w:tcPr>
            <w:tcW w:w="1983" w:type="dxa"/>
            <w:shd w:val="clear" w:color="auto" w:fill="auto"/>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shd w:val="clear" w:color="auto" w:fill="FFFFFF"/>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《重庆市森林防火条例》（</w:t>
            </w:r>
            <w:r>
              <w:rPr>
                <w:rFonts w:hint="eastAsia"/>
                <w:sz w:val="24"/>
                <w:szCs w:val="24"/>
              </w:rPr>
              <w:t>2018</w:t>
            </w:r>
            <w:r>
              <w:rPr>
                <w:rFonts w:hint="eastAsia" w:ascii="方正仿宋_GBK" w:hAnsi="方正仿宋_GBK" w:cs="方正仿宋_GBK"/>
                <w:kern w:val="0"/>
                <w:sz w:val="24"/>
                <w:szCs w:val="24"/>
              </w:rPr>
              <w:t>年修正）第四十五条。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14" w:type="dxa"/>
            <w:shd w:val="clear" w:color="auto" w:fill="auto"/>
            <w:tcMar>
              <w:left w:w="57" w:type="dxa"/>
              <w:right w:w="57" w:type="dxa"/>
            </w:tcMar>
            <w:vAlign w:val="center"/>
          </w:tcPr>
          <w:p>
            <w:pPr>
              <w:widowControl/>
              <w:adjustRightInd w:val="0"/>
              <w:snapToGrid w:val="0"/>
              <w:spacing w:line="340" w:lineRule="exact"/>
              <w:jc w:val="center"/>
              <w:rPr>
                <w:sz w:val="24"/>
                <w:szCs w:val="24"/>
              </w:rPr>
            </w:pPr>
            <w:r>
              <w:rPr>
                <w:rFonts w:hint="eastAsia"/>
                <w:sz w:val="24"/>
                <w:szCs w:val="24"/>
              </w:rPr>
              <w:t>97</w:t>
            </w:r>
          </w:p>
        </w:tc>
        <w:tc>
          <w:tcPr>
            <w:tcW w:w="3059" w:type="dxa"/>
            <w:shd w:val="clear" w:color="auto" w:fill="auto"/>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对森林防火期内，森林、林木、林地的经营单位未设置森林防火警示宣传标志的处罚</w:t>
            </w:r>
          </w:p>
        </w:tc>
        <w:tc>
          <w:tcPr>
            <w:tcW w:w="1392" w:type="dxa"/>
            <w:shd w:val="clear" w:color="auto" w:fill="FFFFFF"/>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spacing w:val="-17"/>
                <w:kern w:val="0"/>
                <w:sz w:val="24"/>
                <w:szCs w:val="24"/>
              </w:rPr>
              <w:t>县林业部门</w:t>
            </w:r>
          </w:p>
        </w:tc>
        <w:tc>
          <w:tcPr>
            <w:tcW w:w="1983" w:type="dxa"/>
            <w:shd w:val="clear" w:color="auto" w:fill="auto"/>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shd w:val="clear" w:color="auto" w:fill="FFFFFF"/>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《森林防火条例》（</w:t>
            </w:r>
            <w:r>
              <w:rPr>
                <w:rFonts w:hint="eastAsia"/>
                <w:sz w:val="24"/>
                <w:szCs w:val="24"/>
              </w:rPr>
              <w:t>2008</w:t>
            </w:r>
            <w:r>
              <w:rPr>
                <w:rFonts w:hint="eastAsia" w:ascii="方正仿宋_GBK" w:hAnsi="方正仿宋_GBK" w:cs="方正仿宋_GBK"/>
                <w:kern w:val="0"/>
                <w:sz w:val="24"/>
                <w:szCs w:val="24"/>
              </w:rPr>
              <w:t>年修订）第五十二条第一项。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458" w:hRule="atLeast"/>
          <w:jc w:val="center"/>
        </w:trPr>
        <w:tc>
          <w:tcPr>
            <w:tcW w:w="614" w:type="dxa"/>
            <w:shd w:val="clear" w:color="auto" w:fill="auto"/>
            <w:tcMar>
              <w:left w:w="57" w:type="dxa"/>
              <w:right w:w="57" w:type="dxa"/>
            </w:tcMar>
            <w:vAlign w:val="center"/>
          </w:tcPr>
          <w:p>
            <w:pPr>
              <w:widowControl/>
              <w:adjustRightInd w:val="0"/>
              <w:snapToGrid w:val="0"/>
              <w:spacing w:line="380" w:lineRule="exact"/>
              <w:jc w:val="center"/>
              <w:textAlignment w:val="center"/>
              <w:rPr>
                <w:rFonts w:ascii="方正仿宋_GBK" w:hAnsi="方正仿宋_GBK" w:cs="方正仿宋_GBK"/>
                <w:kern w:val="0"/>
                <w:sz w:val="24"/>
                <w:szCs w:val="24"/>
              </w:rPr>
            </w:pPr>
            <w:r>
              <w:rPr>
                <w:rFonts w:hint="eastAsia"/>
                <w:sz w:val="24"/>
                <w:szCs w:val="24"/>
              </w:rPr>
              <w:t>98</w:t>
            </w:r>
          </w:p>
        </w:tc>
        <w:tc>
          <w:tcPr>
            <w:tcW w:w="3059" w:type="dxa"/>
            <w:shd w:val="clear" w:color="auto" w:fill="auto"/>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对擅自移动或破坏界桩、界标的处罚</w:t>
            </w:r>
          </w:p>
        </w:tc>
        <w:tc>
          <w:tcPr>
            <w:tcW w:w="1392" w:type="dxa"/>
            <w:shd w:val="clear" w:color="auto" w:fill="FFFFFF"/>
            <w:tcMar>
              <w:left w:w="57" w:type="dxa"/>
              <w:right w:w="57" w:type="dxa"/>
            </w:tcMar>
            <w:vAlign w:val="center"/>
          </w:tcPr>
          <w:p>
            <w:pPr>
              <w:widowControl/>
              <w:adjustRightInd w:val="0"/>
              <w:snapToGrid w:val="0"/>
              <w:spacing w:line="360" w:lineRule="exact"/>
              <w:jc w:val="left"/>
              <w:textAlignment w:val="center"/>
              <w:rPr>
                <w:rFonts w:ascii="方正仿宋_GBK" w:hAnsi="方正仿宋_GBK" w:cs="方正仿宋_GBK"/>
                <w:kern w:val="0"/>
                <w:sz w:val="24"/>
                <w:szCs w:val="24"/>
              </w:rPr>
            </w:pPr>
            <w:r>
              <w:rPr>
                <w:rFonts w:hint="eastAsia" w:ascii="方正仿宋_GBK" w:hAnsi="方正仿宋_GBK" w:cs="方正仿宋_GBK"/>
                <w:spacing w:val="-17"/>
                <w:kern w:val="0"/>
                <w:sz w:val="24"/>
                <w:szCs w:val="24"/>
              </w:rPr>
              <w:t>县林业部门</w:t>
            </w:r>
          </w:p>
        </w:tc>
        <w:tc>
          <w:tcPr>
            <w:tcW w:w="1983" w:type="dxa"/>
            <w:shd w:val="clear" w:color="auto" w:fill="auto"/>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shd w:val="clear" w:color="auto" w:fill="FFFFFF"/>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《重庆市林地保护管理条例》（</w:t>
            </w:r>
            <w:r>
              <w:rPr>
                <w:rFonts w:hint="eastAsia"/>
                <w:sz w:val="24"/>
                <w:szCs w:val="24"/>
              </w:rPr>
              <w:t>2018</w:t>
            </w:r>
            <w:r>
              <w:rPr>
                <w:rFonts w:hint="eastAsia" w:ascii="方正仿宋_GBK" w:hAnsi="方正仿宋_GBK" w:cs="方正仿宋_GBK"/>
                <w:kern w:val="0"/>
                <w:sz w:val="24"/>
                <w:szCs w:val="24"/>
              </w:rPr>
              <w:t>年修正）第三十条第四项。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shd w:val="clear" w:color="auto" w:fill="auto"/>
            <w:tcMar>
              <w:left w:w="57" w:type="dxa"/>
              <w:right w:w="57" w:type="dxa"/>
            </w:tcMar>
            <w:vAlign w:val="center"/>
          </w:tcPr>
          <w:p>
            <w:pPr>
              <w:widowControl/>
              <w:adjustRightInd w:val="0"/>
              <w:snapToGrid w:val="0"/>
              <w:spacing w:line="380" w:lineRule="exact"/>
              <w:jc w:val="center"/>
              <w:textAlignment w:val="center"/>
              <w:rPr>
                <w:rFonts w:ascii="方正仿宋_GBK" w:hAnsi="方正仿宋_GBK" w:cs="方正仿宋_GBK"/>
                <w:kern w:val="0"/>
                <w:sz w:val="24"/>
                <w:szCs w:val="24"/>
              </w:rPr>
            </w:pPr>
            <w:r>
              <w:rPr>
                <w:rFonts w:hint="eastAsia"/>
                <w:sz w:val="24"/>
                <w:szCs w:val="24"/>
              </w:rPr>
              <w:t>99</w:t>
            </w:r>
          </w:p>
        </w:tc>
        <w:tc>
          <w:tcPr>
            <w:tcW w:w="3059" w:type="dxa"/>
            <w:shd w:val="clear" w:color="auto" w:fill="auto"/>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对森林防火期内未经批准在森林防火区内进行实弹演习、爆破等活动的处罚</w:t>
            </w:r>
          </w:p>
        </w:tc>
        <w:tc>
          <w:tcPr>
            <w:tcW w:w="1392" w:type="dxa"/>
            <w:shd w:val="clear" w:color="auto" w:fill="FFFFFF"/>
            <w:tcMar>
              <w:left w:w="57" w:type="dxa"/>
              <w:right w:w="57" w:type="dxa"/>
            </w:tcMar>
            <w:vAlign w:val="center"/>
          </w:tcPr>
          <w:p>
            <w:pPr>
              <w:widowControl/>
              <w:adjustRightInd w:val="0"/>
              <w:snapToGrid w:val="0"/>
              <w:spacing w:line="360" w:lineRule="exact"/>
              <w:jc w:val="left"/>
              <w:textAlignment w:val="center"/>
              <w:rPr>
                <w:rFonts w:ascii="方正仿宋_GBK" w:hAnsi="方正仿宋_GBK" w:cs="方正仿宋_GBK"/>
                <w:kern w:val="0"/>
                <w:sz w:val="24"/>
                <w:szCs w:val="24"/>
              </w:rPr>
            </w:pPr>
            <w:r>
              <w:rPr>
                <w:rFonts w:hint="eastAsia" w:ascii="方正仿宋_GBK" w:hAnsi="方正仿宋_GBK" w:cs="方正仿宋_GBK"/>
                <w:spacing w:val="-17"/>
                <w:kern w:val="0"/>
                <w:sz w:val="24"/>
                <w:szCs w:val="24"/>
              </w:rPr>
              <w:t>县林业部门</w:t>
            </w:r>
          </w:p>
        </w:tc>
        <w:tc>
          <w:tcPr>
            <w:tcW w:w="1983" w:type="dxa"/>
            <w:shd w:val="clear" w:color="auto" w:fill="auto"/>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shd w:val="clear" w:color="auto" w:fill="FFFFFF"/>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《森林防火条例》（</w:t>
            </w:r>
            <w:r>
              <w:rPr>
                <w:rFonts w:hint="eastAsia"/>
                <w:sz w:val="24"/>
                <w:szCs w:val="24"/>
              </w:rPr>
              <w:t>2008</w:t>
            </w:r>
            <w:r>
              <w:rPr>
                <w:rFonts w:hint="eastAsia" w:ascii="方正仿宋_GBK" w:hAnsi="方正仿宋_GBK" w:cs="方正仿宋_GBK"/>
                <w:kern w:val="0"/>
                <w:sz w:val="24"/>
                <w:szCs w:val="24"/>
              </w:rPr>
              <w:t>年修订）第五十一条。</w:t>
            </w:r>
          </w:p>
        </w:tc>
      </w:tr>
    </w:tbl>
    <w:p>
      <w:pPr>
        <w:pStyle w:val="16"/>
        <w:spacing w:line="595" w:lineRule="exact"/>
        <w:rPr>
          <w:rFonts w:eastAsia="方正仿宋_GBK"/>
          <w:sz w:val="32"/>
          <w:szCs w:val="32"/>
        </w:rPr>
        <w:sectPr>
          <w:footerReference r:id="rId6" w:type="default"/>
          <w:footerReference r:id="rId7" w:type="even"/>
          <w:pgSz w:w="11906" w:h="16838"/>
          <w:pgMar w:top="2098" w:right="1531" w:bottom="1985" w:left="1531" w:header="851" w:footer="1474" w:gutter="0"/>
          <w:cols w:space="0" w:num="1"/>
          <w:docGrid w:type="linesAndChars" w:linePitch="579" w:charSpace="-849"/>
        </w:sectPr>
      </w:pPr>
      <w:r>
        <w:rPr>
          <w:rFonts w:eastAsia="方正仿宋_GBK"/>
          <w:szCs w:val="20"/>
        </w:rPr>
        <w:br w:type="page"/>
      </w:r>
    </w:p>
    <w:p>
      <w:pPr>
        <w:adjustRightInd w:val="0"/>
        <w:spacing w:line="560" w:lineRule="exact"/>
        <w:outlineLvl w:val="0"/>
        <w:rPr>
          <w:rFonts w:eastAsia="方正小标宋_GBK"/>
          <w:kern w:val="44"/>
          <w:sz w:val="44"/>
        </w:rPr>
      </w:pPr>
      <w:r>
        <w:rPr>
          <w:rStyle w:val="20"/>
          <w:rFonts w:hint="eastAsia"/>
          <w:szCs w:val="20"/>
        </w:rPr>
        <w:t>附件3</w:t>
      </w:r>
    </w:p>
    <w:p>
      <w:pPr>
        <w:adjustRightInd w:val="0"/>
        <w:spacing w:line="560" w:lineRule="exact"/>
        <w:jc w:val="center"/>
        <w:outlineLvl w:val="0"/>
        <w:rPr>
          <w:rFonts w:eastAsia="方正小标宋_GBK"/>
          <w:spacing w:val="-20"/>
          <w:kern w:val="44"/>
          <w:sz w:val="44"/>
        </w:rPr>
      </w:pPr>
    </w:p>
    <w:p>
      <w:pPr>
        <w:adjustRightInd w:val="0"/>
        <w:spacing w:line="560" w:lineRule="exact"/>
        <w:jc w:val="center"/>
        <w:outlineLvl w:val="0"/>
        <w:rPr>
          <w:rFonts w:eastAsia="方正小标宋_GBK"/>
          <w:spacing w:val="-20"/>
          <w:kern w:val="44"/>
          <w:sz w:val="44"/>
        </w:rPr>
      </w:pPr>
      <w:r>
        <w:rPr>
          <w:rFonts w:hint="eastAsia" w:eastAsia="方正小标宋_GBK"/>
          <w:spacing w:val="-20"/>
          <w:kern w:val="44"/>
          <w:sz w:val="44"/>
        </w:rPr>
        <w:t>关于深化乡镇（街道）综合行政执法改革实施方案工作任务清单（2023年）</w:t>
      </w:r>
    </w:p>
    <w:p>
      <w:pPr>
        <w:pStyle w:val="13"/>
        <w:ind w:left="320" w:right="320" w:firstLine="320"/>
      </w:pPr>
    </w:p>
    <w:p>
      <w:pPr>
        <w:spacing w:line="420" w:lineRule="exact"/>
        <w:jc w:val="center"/>
        <w:rPr>
          <w:sz w:val="28"/>
          <w:szCs w:val="28"/>
        </w:rPr>
      </w:pPr>
    </w:p>
    <w:tbl>
      <w:tblPr>
        <w:tblStyle w:val="27"/>
        <w:tblW w:w="14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5"/>
        <w:gridCol w:w="2003"/>
        <w:gridCol w:w="21"/>
        <w:gridCol w:w="6913"/>
        <w:gridCol w:w="2621"/>
        <w:gridCol w:w="1955"/>
        <w:gridCol w:w="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4" w:hRule="atLeast"/>
          <w:tblHeader/>
          <w:jc w:val="center"/>
        </w:trPr>
        <w:tc>
          <w:tcPr>
            <w:tcW w:w="805" w:type="dxa"/>
            <w:vAlign w:val="center"/>
          </w:tcPr>
          <w:p>
            <w:pPr>
              <w:snapToGrid w:val="0"/>
              <w:jc w:val="center"/>
              <w:rPr>
                <w:rFonts w:ascii="方正黑体_GBK" w:hAnsi="方正黑体_GBK" w:eastAsia="方正黑体_GBK" w:cs="方正黑体_GBK"/>
                <w:sz w:val="28"/>
                <w:szCs w:val="28"/>
              </w:rPr>
            </w:pPr>
            <w:r>
              <w:rPr>
                <w:rFonts w:hint="eastAsia" w:ascii="方正黑体_GBK" w:hAnsi="方正黑体_GBK" w:eastAsia="方正黑体_GBK" w:cs="方正黑体_GBK"/>
                <w:spacing w:val="-2"/>
                <w:sz w:val="28"/>
                <w:szCs w:val="28"/>
              </w:rPr>
              <w:t>序号</w:t>
            </w:r>
          </w:p>
        </w:tc>
        <w:tc>
          <w:tcPr>
            <w:tcW w:w="2024" w:type="dxa"/>
            <w:gridSpan w:val="2"/>
            <w:vAlign w:val="center"/>
          </w:tcPr>
          <w:p>
            <w:pPr>
              <w:snapToGrid w:val="0"/>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工作任务</w:t>
            </w:r>
          </w:p>
        </w:tc>
        <w:tc>
          <w:tcPr>
            <w:tcW w:w="6913" w:type="dxa"/>
            <w:vAlign w:val="center"/>
          </w:tcPr>
          <w:p>
            <w:pPr>
              <w:snapToGrid w:val="0"/>
              <w:jc w:val="center"/>
              <w:rPr>
                <w:rFonts w:ascii="方正黑体_GBK" w:hAnsi="方正黑体_GBK" w:eastAsia="方正黑体_GBK" w:cs="方正黑体_GBK"/>
                <w:sz w:val="28"/>
                <w:szCs w:val="28"/>
              </w:rPr>
            </w:pPr>
            <w:r>
              <w:rPr>
                <w:rFonts w:hint="eastAsia" w:ascii="方正黑体_GBK" w:hAnsi="方正黑体_GBK" w:eastAsia="方正黑体_GBK" w:cs="方正黑体_GBK"/>
                <w:spacing w:val="-3"/>
                <w:sz w:val="28"/>
                <w:szCs w:val="28"/>
              </w:rPr>
              <w:t>工作目标</w:t>
            </w:r>
          </w:p>
        </w:tc>
        <w:tc>
          <w:tcPr>
            <w:tcW w:w="2621" w:type="dxa"/>
            <w:vAlign w:val="center"/>
          </w:tcPr>
          <w:p>
            <w:pPr>
              <w:snapToGrid w:val="0"/>
              <w:jc w:val="center"/>
              <w:rPr>
                <w:rFonts w:ascii="方正黑体_GBK" w:hAnsi="方正黑体_GBK" w:eastAsia="方正黑体_GBK" w:cs="方正黑体_GBK"/>
                <w:sz w:val="28"/>
                <w:szCs w:val="28"/>
              </w:rPr>
            </w:pPr>
            <w:r>
              <w:rPr>
                <w:rFonts w:hint="eastAsia" w:ascii="方正黑体_GBK" w:hAnsi="方正黑体_GBK" w:eastAsia="方正黑体_GBK" w:cs="方正黑体_GBK"/>
                <w:spacing w:val="-3"/>
                <w:sz w:val="28"/>
                <w:szCs w:val="28"/>
              </w:rPr>
              <w:t>责任单位</w:t>
            </w:r>
          </w:p>
        </w:tc>
        <w:tc>
          <w:tcPr>
            <w:tcW w:w="1993" w:type="dxa"/>
            <w:gridSpan w:val="2"/>
            <w:vAlign w:val="center"/>
          </w:tcPr>
          <w:p>
            <w:pPr>
              <w:snapToGrid w:val="0"/>
              <w:jc w:val="center"/>
              <w:rPr>
                <w:rFonts w:ascii="方正黑体_GBK" w:hAnsi="方正黑体_GBK" w:eastAsia="方正黑体_GBK" w:cs="方正黑体_GBK"/>
                <w:sz w:val="28"/>
                <w:szCs w:val="28"/>
              </w:rPr>
            </w:pPr>
            <w:r>
              <w:rPr>
                <w:rFonts w:hint="eastAsia" w:ascii="方正黑体_GBK" w:hAnsi="方正黑体_GBK" w:eastAsia="方正黑体_GBK" w:cs="方正黑体_GBK"/>
                <w:spacing w:val="-3"/>
                <w:sz w:val="28"/>
                <w:szCs w:val="28"/>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6" w:hRule="atLeast"/>
          <w:jc w:val="center"/>
        </w:trPr>
        <w:tc>
          <w:tcPr>
            <w:tcW w:w="805" w:type="dxa"/>
            <w:vAlign w:val="center"/>
          </w:tcPr>
          <w:p>
            <w:pPr>
              <w:snapToGrid w:val="0"/>
              <w:jc w:val="center"/>
              <w:rPr>
                <w:sz w:val="24"/>
                <w:szCs w:val="24"/>
              </w:rPr>
            </w:pPr>
          </w:p>
          <w:p>
            <w:pPr>
              <w:snapToGrid w:val="0"/>
              <w:jc w:val="center"/>
              <w:rPr>
                <w:sz w:val="24"/>
                <w:szCs w:val="24"/>
              </w:rPr>
            </w:pPr>
            <w:r>
              <w:rPr>
                <w:sz w:val="24"/>
                <w:szCs w:val="24"/>
              </w:rPr>
              <w:t>1</w:t>
            </w:r>
          </w:p>
        </w:tc>
        <w:tc>
          <w:tcPr>
            <w:tcW w:w="2024" w:type="dxa"/>
            <w:gridSpan w:val="2"/>
            <w:vMerge w:val="restart"/>
            <w:vAlign w:val="center"/>
          </w:tcPr>
          <w:p>
            <w:pPr>
              <w:pStyle w:val="28"/>
              <w:snapToGrid w:val="0"/>
              <w:jc w:val="center"/>
              <w:rPr>
                <w:rFonts w:ascii="Times New Roman" w:hAnsi="Times New Roman" w:eastAsia="方正仿宋_GBK" w:cs="Times New Roman"/>
                <w:sz w:val="24"/>
                <w:szCs w:val="24"/>
              </w:rPr>
            </w:pPr>
            <w:r>
              <w:rPr>
                <w:rFonts w:ascii="Times New Roman" w:hAnsi="Times New Roman" w:eastAsia="方正仿宋_GBK" w:cs="Times New Roman"/>
                <w:spacing w:val="-6"/>
                <w:sz w:val="24"/>
                <w:szCs w:val="24"/>
              </w:rPr>
              <w:t>明晰执法事项</w:t>
            </w:r>
          </w:p>
        </w:tc>
        <w:tc>
          <w:tcPr>
            <w:tcW w:w="6913" w:type="dxa"/>
            <w:vAlign w:val="center"/>
          </w:tcPr>
          <w:p>
            <w:pPr>
              <w:pStyle w:val="28"/>
              <w:snapToGrid w:val="0"/>
              <w:ind w:hanging="9"/>
              <w:jc w:val="left"/>
              <w:rPr>
                <w:rFonts w:ascii="Times New Roman" w:hAnsi="Times New Roman" w:eastAsia="方正仿宋_GBK" w:cs="Times New Roman"/>
                <w:sz w:val="24"/>
                <w:szCs w:val="24"/>
              </w:rPr>
            </w:pPr>
            <w:r>
              <w:rPr>
                <w:rFonts w:ascii="Times New Roman" w:hAnsi="Times New Roman" w:eastAsia="方正仿宋_GBK" w:cs="Times New Roman"/>
                <w:spacing w:val="-4"/>
                <w:sz w:val="24"/>
                <w:szCs w:val="24"/>
              </w:rPr>
              <w:t>公布首批实施综合行政执法改革乡镇（街道）的法定执</w:t>
            </w:r>
            <w:r>
              <w:rPr>
                <w:rFonts w:ascii="Times New Roman" w:hAnsi="Times New Roman" w:eastAsia="方正仿宋_GBK" w:cs="Times New Roman"/>
                <w:spacing w:val="-1"/>
                <w:sz w:val="24"/>
                <w:szCs w:val="24"/>
              </w:rPr>
              <w:t>法事项、赋权执法事项清单并报市政府备案，且于10</w:t>
            </w:r>
            <w:r>
              <w:rPr>
                <w:rFonts w:ascii="Times New Roman" w:hAnsi="Times New Roman" w:eastAsia="方正仿宋_GBK" w:cs="Times New Roman"/>
                <w:spacing w:val="-14"/>
                <w:sz w:val="24"/>
                <w:szCs w:val="24"/>
              </w:rPr>
              <w:t>月3</w:t>
            </w:r>
            <w:r>
              <w:rPr>
                <w:rFonts w:ascii="Times New Roman" w:hAnsi="Times New Roman" w:eastAsia="方正仿宋_GBK" w:cs="Times New Roman"/>
                <w:spacing w:val="-14"/>
                <w:sz w:val="24"/>
                <w:szCs w:val="24"/>
                <w:lang w:eastAsia="zh-CN"/>
              </w:rPr>
              <w:t>1</w:t>
            </w:r>
            <w:r>
              <w:rPr>
                <w:rFonts w:ascii="Times New Roman" w:hAnsi="Times New Roman" w:eastAsia="方正仿宋_GBK" w:cs="Times New Roman"/>
                <w:spacing w:val="-14"/>
                <w:sz w:val="24"/>
                <w:szCs w:val="24"/>
              </w:rPr>
              <w:t>日统一实施。</w:t>
            </w:r>
          </w:p>
        </w:tc>
        <w:tc>
          <w:tcPr>
            <w:tcW w:w="2621" w:type="dxa"/>
            <w:vAlign w:val="center"/>
          </w:tcPr>
          <w:p>
            <w:pPr>
              <w:pStyle w:val="28"/>
              <w:snapToGrid w:val="0"/>
              <w:jc w:val="center"/>
              <w:rPr>
                <w:rFonts w:ascii="Times New Roman" w:hAnsi="Times New Roman" w:eastAsia="方正仿宋_GBK" w:cs="Times New Roman"/>
                <w:spacing w:val="-7"/>
                <w:sz w:val="24"/>
                <w:szCs w:val="24"/>
                <w:lang w:eastAsia="zh-CN"/>
              </w:rPr>
            </w:pP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政府办公室</w:t>
            </w: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司法局</w:t>
            </w:r>
          </w:p>
          <w:p>
            <w:pPr>
              <w:pStyle w:val="28"/>
              <w:snapToGrid w:val="0"/>
              <w:jc w:val="center"/>
              <w:rPr>
                <w:rFonts w:ascii="Times New Roman" w:hAnsi="Times New Roman" w:eastAsia="方正仿宋_GBK" w:cs="Times New Roman"/>
                <w:sz w:val="24"/>
                <w:szCs w:val="24"/>
                <w:lang w:eastAsia="zh-CN"/>
              </w:rPr>
            </w:pPr>
            <w:r>
              <w:rPr>
                <w:rFonts w:hint="eastAsia" w:ascii="Times New Roman" w:hAnsi="Times New Roman" w:eastAsia="方正仿宋_GBK" w:cs="Times New Roman"/>
                <w:spacing w:val="-7"/>
                <w:sz w:val="24"/>
                <w:szCs w:val="24"/>
                <w:lang w:eastAsia="zh-CN"/>
              </w:rPr>
              <w:t>及黑水</w:t>
            </w:r>
            <w:r>
              <w:rPr>
                <w:rFonts w:ascii="Times New Roman" w:hAnsi="Times New Roman" w:eastAsia="方正仿宋_GBK" w:cs="Times New Roman"/>
                <w:spacing w:val="-7"/>
                <w:sz w:val="24"/>
                <w:szCs w:val="24"/>
                <w:lang w:eastAsia="zh-CN"/>
              </w:rPr>
              <w:t>镇</w:t>
            </w:r>
          </w:p>
        </w:tc>
        <w:tc>
          <w:tcPr>
            <w:tcW w:w="1993" w:type="dxa"/>
            <w:gridSpan w:val="2"/>
            <w:vAlign w:val="center"/>
          </w:tcPr>
          <w:p>
            <w:pPr>
              <w:snapToGrid w:val="0"/>
              <w:jc w:val="center"/>
              <w:rPr>
                <w:sz w:val="24"/>
                <w:szCs w:val="24"/>
              </w:rPr>
            </w:pPr>
          </w:p>
          <w:p>
            <w:pPr>
              <w:pStyle w:val="28"/>
              <w:snapToGrid w:val="0"/>
              <w:jc w:val="center"/>
              <w:rPr>
                <w:rFonts w:ascii="Times New Roman" w:hAnsi="Times New Roman" w:eastAsia="方正仿宋_GBK" w:cs="Times New Roman"/>
                <w:sz w:val="24"/>
                <w:szCs w:val="24"/>
              </w:rPr>
            </w:pPr>
            <w:r>
              <w:rPr>
                <w:rFonts w:ascii="Times New Roman" w:hAnsi="Times New Roman" w:eastAsia="方正仿宋_GBK" w:cs="Times New Roman"/>
                <w:spacing w:val="-11"/>
                <w:sz w:val="24"/>
                <w:szCs w:val="24"/>
              </w:rPr>
              <w:t>10月31日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1" w:hRule="atLeast"/>
          <w:jc w:val="center"/>
        </w:trPr>
        <w:tc>
          <w:tcPr>
            <w:tcW w:w="805" w:type="dxa"/>
            <w:vAlign w:val="center"/>
          </w:tcPr>
          <w:p>
            <w:pPr>
              <w:snapToGrid w:val="0"/>
              <w:jc w:val="center"/>
              <w:rPr>
                <w:sz w:val="24"/>
                <w:szCs w:val="24"/>
              </w:rPr>
            </w:pPr>
            <w:r>
              <w:rPr>
                <w:sz w:val="24"/>
                <w:szCs w:val="24"/>
              </w:rPr>
              <w:t>2</w:t>
            </w:r>
          </w:p>
        </w:tc>
        <w:tc>
          <w:tcPr>
            <w:tcW w:w="2024" w:type="dxa"/>
            <w:gridSpan w:val="2"/>
            <w:vMerge w:val="continue"/>
            <w:vAlign w:val="center"/>
          </w:tcPr>
          <w:p>
            <w:pPr>
              <w:snapToGrid w:val="0"/>
              <w:jc w:val="center"/>
              <w:rPr>
                <w:sz w:val="24"/>
                <w:szCs w:val="24"/>
              </w:rPr>
            </w:pPr>
          </w:p>
        </w:tc>
        <w:tc>
          <w:tcPr>
            <w:tcW w:w="6913" w:type="dxa"/>
            <w:vAlign w:val="center"/>
          </w:tcPr>
          <w:p>
            <w:pPr>
              <w:pStyle w:val="28"/>
              <w:snapToGrid w:val="0"/>
              <w:ind w:firstLine="7"/>
              <w:jc w:val="left"/>
              <w:rPr>
                <w:rFonts w:ascii="Times New Roman" w:hAnsi="Times New Roman" w:eastAsia="方正仿宋_GBK" w:cs="Times New Roman"/>
                <w:sz w:val="24"/>
                <w:szCs w:val="24"/>
              </w:rPr>
            </w:pPr>
            <w:r>
              <w:rPr>
                <w:rFonts w:ascii="Times New Roman" w:hAnsi="Times New Roman" w:eastAsia="方正仿宋_GBK" w:cs="Times New Roman"/>
                <w:spacing w:val="-6"/>
                <w:sz w:val="24"/>
                <w:szCs w:val="24"/>
              </w:rPr>
              <w:t>形成所有乡镇（街道）综合行政执法事项清单，于11</w:t>
            </w:r>
            <w:r>
              <w:rPr>
                <w:rFonts w:ascii="Times New Roman" w:hAnsi="Times New Roman" w:eastAsia="方正仿宋_GBK" w:cs="Times New Roman"/>
                <w:spacing w:val="-3"/>
                <w:sz w:val="24"/>
                <w:szCs w:val="24"/>
              </w:rPr>
              <w:t>月30日统一向社会公布并报市政府备案，且于12月</w:t>
            </w:r>
            <w:r>
              <w:rPr>
                <w:rFonts w:ascii="Times New Roman" w:hAnsi="Times New Roman" w:eastAsia="方正仿宋_GBK" w:cs="Times New Roman"/>
                <w:spacing w:val="-8"/>
                <w:sz w:val="24"/>
                <w:szCs w:val="24"/>
              </w:rPr>
              <w:t>31日统一实施。</w:t>
            </w:r>
          </w:p>
        </w:tc>
        <w:tc>
          <w:tcPr>
            <w:tcW w:w="2621" w:type="dxa"/>
            <w:vAlign w:val="center"/>
          </w:tcPr>
          <w:p>
            <w:pPr>
              <w:pStyle w:val="28"/>
              <w:snapToGrid w:val="0"/>
              <w:jc w:val="center"/>
              <w:rPr>
                <w:rFonts w:ascii="Times New Roman" w:hAnsi="Times New Roman" w:eastAsia="方正仿宋_GBK" w:cs="Times New Roman"/>
                <w:spacing w:val="-7"/>
                <w:sz w:val="24"/>
                <w:szCs w:val="24"/>
                <w:lang w:eastAsia="zh-CN"/>
              </w:rPr>
            </w:pP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政府办公室</w:t>
            </w: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司法局</w:t>
            </w:r>
          </w:p>
          <w:p>
            <w:pPr>
              <w:pStyle w:val="28"/>
              <w:snapToGrid w:val="0"/>
              <w:jc w:val="center"/>
              <w:rPr>
                <w:rFonts w:ascii="Times New Roman" w:hAnsi="Times New Roman" w:eastAsia="方正仿宋_GBK" w:cs="Times New Roman"/>
                <w:sz w:val="24"/>
                <w:szCs w:val="24"/>
              </w:rPr>
            </w:pPr>
            <w:r>
              <w:rPr>
                <w:rFonts w:hint="eastAsia" w:ascii="Times New Roman" w:hAnsi="Times New Roman" w:eastAsia="方正仿宋_GBK" w:cs="Times New Roman"/>
                <w:spacing w:val="-7"/>
                <w:sz w:val="24"/>
                <w:szCs w:val="24"/>
                <w:lang w:eastAsia="zh-CN"/>
              </w:rPr>
              <w:t>及</w:t>
            </w:r>
            <w:r>
              <w:rPr>
                <w:rFonts w:ascii="Times New Roman" w:hAnsi="Times New Roman" w:eastAsia="方正仿宋_GBK" w:cs="Times New Roman"/>
                <w:spacing w:val="-7"/>
                <w:sz w:val="24"/>
                <w:szCs w:val="24"/>
                <w:lang w:eastAsia="zh-CN"/>
              </w:rPr>
              <w:t>各乡镇（街道）</w:t>
            </w:r>
          </w:p>
        </w:tc>
        <w:tc>
          <w:tcPr>
            <w:tcW w:w="1993" w:type="dxa"/>
            <w:gridSpan w:val="2"/>
            <w:vAlign w:val="center"/>
          </w:tcPr>
          <w:p>
            <w:pPr>
              <w:snapToGrid w:val="0"/>
              <w:jc w:val="center"/>
              <w:rPr>
                <w:sz w:val="24"/>
                <w:szCs w:val="24"/>
              </w:rPr>
            </w:pPr>
          </w:p>
          <w:p>
            <w:pPr>
              <w:pStyle w:val="28"/>
              <w:snapToGrid w:val="0"/>
              <w:jc w:val="center"/>
              <w:rPr>
                <w:rFonts w:ascii="Times New Roman" w:hAnsi="Times New Roman" w:eastAsia="方正仿宋_GBK" w:cs="Times New Roman"/>
                <w:sz w:val="24"/>
                <w:szCs w:val="24"/>
              </w:rPr>
            </w:pPr>
            <w:r>
              <w:rPr>
                <w:rFonts w:ascii="Times New Roman" w:hAnsi="Times New Roman" w:eastAsia="方正仿宋_GBK" w:cs="Times New Roman"/>
                <w:spacing w:val="-11"/>
                <w:sz w:val="24"/>
                <w:szCs w:val="24"/>
              </w:rPr>
              <w:t>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1" w:hRule="atLeast"/>
          <w:jc w:val="center"/>
        </w:trPr>
        <w:tc>
          <w:tcPr>
            <w:tcW w:w="805" w:type="dxa"/>
            <w:vAlign w:val="center"/>
          </w:tcPr>
          <w:p>
            <w:pPr>
              <w:snapToGrid w:val="0"/>
              <w:jc w:val="center"/>
              <w:rPr>
                <w:sz w:val="24"/>
                <w:szCs w:val="24"/>
              </w:rPr>
            </w:pPr>
            <w:r>
              <w:rPr>
                <w:sz w:val="24"/>
                <w:szCs w:val="24"/>
              </w:rPr>
              <w:t>3</w:t>
            </w:r>
          </w:p>
        </w:tc>
        <w:tc>
          <w:tcPr>
            <w:tcW w:w="2024" w:type="dxa"/>
            <w:gridSpan w:val="2"/>
            <w:vMerge w:val="continue"/>
            <w:vAlign w:val="center"/>
          </w:tcPr>
          <w:p>
            <w:pPr>
              <w:snapToGrid w:val="0"/>
              <w:jc w:val="center"/>
              <w:rPr>
                <w:sz w:val="24"/>
                <w:szCs w:val="24"/>
              </w:rPr>
            </w:pPr>
          </w:p>
        </w:tc>
        <w:tc>
          <w:tcPr>
            <w:tcW w:w="6913" w:type="dxa"/>
            <w:vAlign w:val="center"/>
          </w:tcPr>
          <w:p>
            <w:pPr>
              <w:pStyle w:val="28"/>
              <w:snapToGrid w:val="0"/>
              <w:ind w:firstLine="1"/>
              <w:jc w:val="left"/>
              <w:rPr>
                <w:rFonts w:ascii="Times New Roman" w:hAnsi="Times New Roman" w:eastAsia="方正仿宋_GBK" w:cs="Times New Roman"/>
                <w:sz w:val="24"/>
                <w:szCs w:val="24"/>
              </w:rPr>
            </w:pPr>
            <w:r>
              <w:rPr>
                <w:rFonts w:ascii="Times New Roman" w:hAnsi="Times New Roman" w:eastAsia="方正仿宋_GBK" w:cs="Times New Roman"/>
                <w:spacing w:val="-4"/>
                <w:sz w:val="24"/>
                <w:szCs w:val="24"/>
              </w:rPr>
              <w:t>坚持动态梳理和调整法定执法事项、委托执法事项</w:t>
            </w:r>
            <w:r>
              <w:rPr>
                <w:rFonts w:ascii="Times New Roman" w:hAnsi="Times New Roman" w:eastAsia="方正仿宋_GBK" w:cs="Times New Roman"/>
                <w:spacing w:val="-5"/>
                <w:sz w:val="24"/>
                <w:szCs w:val="24"/>
              </w:rPr>
              <w:t>，审</w:t>
            </w:r>
            <w:r>
              <w:rPr>
                <w:rFonts w:ascii="Times New Roman" w:hAnsi="Times New Roman" w:eastAsia="方正仿宋_GBK" w:cs="Times New Roman"/>
                <w:spacing w:val="-1"/>
                <w:sz w:val="24"/>
                <w:szCs w:val="24"/>
              </w:rPr>
              <w:t>核乡镇（街道）承接赋权执法事项。</w:t>
            </w:r>
          </w:p>
        </w:tc>
        <w:tc>
          <w:tcPr>
            <w:tcW w:w="2621" w:type="dxa"/>
            <w:vAlign w:val="center"/>
          </w:tcPr>
          <w:p>
            <w:pPr>
              <w:pStyle w:val="28"/>
              <w:snapToGrid w:val="0"/>
              <w:jc w:val="center"/>
              <w:rPr>
                <w:rFonts w:ascii="Times New Roman" w:hAnsi="Times New Roman" w:eastAsia="方正仿宋_GBK" w:cs="Times New Roman"/>
                <w:spacing w:val="-7"/>
                <w:sz w:val="24"/>
                <w:szCs w:val="24"/>
                <w:lang w:eastAsia="zh-CN"/>
              </w:rPr>
            </w:pP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司法局</w:t>
            </w:r>
            <w:r>
              <w:rPr>
                <w:rFonts w:hint="eastAsia" w:ascii="Times New Roman" w:hAnsi="Times New Roman" w:eastAsia="方正仿宋_GBK" w:cs="Times New Roman"/>
                <w:spacing w:val="-7"/>
                <w:sz w:val="24"/>
                <w:szCs w:val="24"/>
                <w:lang w:eastAsia="zh-CN"/>
              </w:rPr>
              <w:t>等</w:t>
            </w:r>
            <w:r>
              <w:rPr>
                <w:rFonts w:ascii="Times New Roman" w:hAnsi="Times New Roman" w:eastAsia="方正仿宋_GBK" w:cs="Times New Roman"/>
                <w:spacing w:val="-7"/>
                <w:sz w:val="24"/>
                <w:szCs w:val="24"/>
                <w:lang w:eastAsia="zh-CN"/>
              </w:rPr>
              <w:t>有关</w:t>
            </w: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级部门</w:t>
            </w:r>
            <w:r>
              <w:rPr>
                <w:rFonts w:hint="eastAsia" w:ascii="Times New Roman" w:hAnsi="Times New Roman" w:eastAsia="方正仿宋_GBK" w:cs="Times New Roman"/>
                <w:spacing w:val="-7"/>
                <w:sz w:val="24"/>
                <w:szCs w:val="24"/>
                <w:lang w:eastAsia="zh-CN"/>
              </w:rPr>
              <w:t>及</w:t>
            </w:r>
            <w:r>
              <w:rPr>
                <w:rFonts w:ascii="Times New Roman" w:hAnsi="Times New Roman" w:eastAsia="方正仿宋_GBK" w:cs="Times New Roman"/>
                <w:spacing w:val="-7"/>
                <w:sz w:val="24"/>
                <w:szCs w:val="24"/>
                <w:lang w:eastAsia="zh-CN"/>
              </w:rPr>
              <w:t>各乡镇（街道）</w:t>
            </w:r>
          </w:p>
        </w:tc>
        <w:tc>
          <w:tcPr>
            <w:tcW w:w="1993" w:type="dxa"/>
            <w:gridSpan w:val="2"/>
            <w:vAlign w:val="center"/>
          </w:tcPr>
          <w:p>
            <w:pPr>
              <w:pStyle w:val="28"/>
              <w:snapToGrid w:val="0"/>
              <w:jc w:val="center"/>
              <w:rPr>
                <w:rFonts w:ascii="Times New Roman" w:hAnsi="Times New Roman" w:eastAsia="方正仿宋_GBK" w:cs="Times New Roman"/>
                <w:sz w:val="24"/>
                <w:szCs w:val="24"/>
              </w:rPr>
            </w:pPr>
            <w:r>
              <w:rPr>
                <w:rFonts w:ascii="Times New Roman" w:hAnsi="Times New Roman" w:eastAsia="方正仿宋_GBK" w:cs="Times New Roman"/>
                <w:spacing w:val="-3"/>
                <w:sz w:val="24"/>
                <w:szCs w:val="24"/>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2" w:hRule="atLeast"/>
          <w:jc w:val="center"/>
        </w:trPr>
        <w:tc>
          <w:tcPr>
            <w:tcW w:w="805" w:type="dxa"/>
            <w:vAlign w:val="center"/>
          </w:tcPr>
          <w:p>
            <w:pPr>
              <w:snapToGrid w:val="0"/>
              <w:jc w:val="center"/>
              <w:rPr>
                <w:sz w:val="24"/>
                <w:szCs w:val="24"/>
              </w:rPr>
            </w:pPr>
            <w:r>
              <w:rPr>
                <w:rFonts w:hint="eastAsia"/>
                <w:sz w:val="24"/>
                <w:szCs w:val="24"/>
              </w:rPr>
              <w:t>4</w:t>
            </w:r>
          </w:p>
        </w:tc>
        <w:tc>
          <w:tcPr>
            <w:tcW w:w="2024" w:type="dxa"/>
            <w:gridSpan w:val="2"/>
            <w:vMerge w:val="continue"/>
            <w:vAlign w:val="center"/>
          </w:tcPr>
          <w:p>
            <w:pPr>
              <w:snapToGrid w:val="0"/>
              <w:jc w:val="center"/>
              <w:rPr>
                <w:sz w:val="24"/>
                <w:szCs w:val="24"/>
              </w:rPr>
            </w:pPr>
          </w:p>
        </w:tc>
        <w:tc>
          <w:tcPr>
            <w:tcW w:w="6913" w:type="dxa"/>
            <w:vAlign w:val="center"/>
          </w:tcPr>
          <w:p>
            <w:pPr>
              <w:pStyle w:val="28"/>
              <w:snapToGrid w:val="0"/>
              <w:ind w:hanging="9"/>
              <w:jc w:val="left"/>
              <w:rPr>
                <w:rFonts w:ascii="Times New Roman" w:hAnsi="Times New Roman" w:eastAsia="方正仿宋_GBK" w:cs="Times New Roman"/>
                <w:sz w:val="24"/>
                <w:szCs w:val="24"/>
              </w:rPr>
            </w:pPr>
            <w:r>
              <w:rPr>
                <w:rFonts w:ascii="Times New Roman" w:hAnsi="Times New Roman" w:eastAsia="方正仿宋_GBK" w:cs="Times New Roman"/>
                <w:spacing w:val="-4"/>
                <w:sz w:val="24"/>
                <w:szCs w:val="24"/>
              </w:rPr>
              <w:t>对执法事项运行情况进行评估，并将评估结果报送市司</w:t>
            </w:r>
            <w:r>
              <w:rPr>
                <w:rFonts w:ascii="Times New Roman" w:hAnsi="Times New Roman" w:eastAsia="方正仿宋_GBK" w:cs="Times New Roman"/>
                <w:spacing w:val="-15"/>
                <w:sz w:val="24"/>
                <w:szCs w:val="24"/>
              </w:rPr>
              <w:t>法局。</w:t>
            </w:r>
          </w:p>
        </w:tc>
        <w:tc>
          <w:tcPr>
            <w:tcW w:w="2621" w:type="dxa"/>
            <w:vAlign w:val="center"/>
          </w:tcPr>
          <w:p>
            <w:pPr>
              <w:pStyle w:val="28"/>
              <w:snapToGrid w:val="0"/>
              <w:jc w:val="center"/>
              <w:rPr>
                <w:rFonts w:ascii="Times New Roman" w:hAnsi="Times New Roman" w:eastAsia="方正仿宋_GBK" w:cs="Times New Roman"/>
                <w:sz w:val="24"/>
                <w:szCs w:val="24"/>
                <w:lang w:eastAsia="zh-CN"/>
              </w:rPr>
            </w:pP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政府办公室、</w:t>
            </w: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司法局、</w:t>
            </w:r>
            <w:r>
              <w:rPr>
                <w:rFonts w:hint="eastAsia" w:ascii="Times New Roman" w:hAnsi="Times New Roman" w:eastAsia="方正仿宋_GBK" w:cs="Times New Roman"/>
                <w:spacing w:val="-7"/>
                <w:sz w:val="24"/>
                <w:szCs w:val="24"/>
                <w:lang w:eastAsia="zh-CN"/>
              </w:rPr>
              <w:t>等</w:t>
            </w:r>
            <w:r>
              <w:rPr>
                <w:rFonts w:ascii="Times New Roman" w:hAnsi="Times New Roman" w:eastAsia="方正仿宋_GBK" w:cs="Times New Roman"/>
                <w:spacing w:val="-7"/>
                <w:sz w:val="24"/>
                <w:szCs w:val="24"/>
                <w:lang w:eastAsia="zh-CN"/>
              </w:rPr>
              <w:t>有关</w:t>
            </w: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级部门</w:t>
            </w:r>
            <w:r>
              <w:rPr>
                <w:rFonts w:hint="eastAsia" w:ascii="Times New Roman" w:hAnsi="Times New Roman" w:eastAsia="方正仿宋_GBK" w:cs="Times New Roman"/>
                <w:spacing w:val="-7"/>
                <w:sz w:val="24"/>
                <w:szCs w:val="24"/>
                <w:lang w:eastAsia="zh-CN"/>
              </w:rPr>
              <w:t>及</w:t>
            </w:r>
            <w:r>
              <w:rPr>
                <w:rFonts w:ascii="Times New Roman" w:hAnsi="Times New Roman" w:eastAsia="方正仿宋_GBK" w:cs="Times New Roman"/>
                <w:spacing w:val="-7"/>
                <w:sz w:val="24"/>
                <w:szCs w:val="24"/>
                <w:lang w:eastAsia="zh-CN"/>
              </w:rPr>
              <w:t>各乡镇（街道）</w:t>
            </w:r>
          </w:p>
        </w:tc>
        <w:tc>
          <w:tcPr>
            <w:tcW w:w="1993" w:type="dxa"/>
            <w:gridSpan w:val="2"/>
            <w:vAlign w:val="center"/>
          </w:tcPr>
          <w:p>
            <w:pPr>
              <w:pStyle w:val="28"/>
              <w:snapToGrid w:val="0"/>
              <w:jc w:val="center"/>
              <w:rPr>
                <w:rFonts w:ascii="Times New Roman" w:hAnsi="Times New Roman" w:eastAsia="方正仿宋_GBK" w:cs="Times New Roman"/>
                <w:sz w:val="24"/>
                <w:szCs w:val="24"/>
              </w:rPr>
            </w:pPr>
            <w:r>
              <w:rPr>
                <w:rFonts w:ascii="Times New Roman" w:hAnsi="Times New Roman" w:eastAsia="方正仿宋_GBK" w:cs="Times New Roman"/>
                <w:spacing w:val="-14"/>
                <w:sz w:val="24"/>
                <w:szCs w:val="24"/>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3" w:hRule="atLeast"/>
          <w:jc w:val="center"/>
        </w:trPr>
        <w:tc>
          <w:tcPr>
            <w:tcW w:w="805" w:type="dxa"/>
            <w:vAlign w:val="center"/>
          </w:tcPr>
          <w:p>
            <w:pPr>
              <w:snapToGrid w:val="0"/>
              <w:jc w:val="center"/>
              <w:rPr>
                <w:sz w:val="24"/>
                <w:szCs w:val="24"/>
              </w:rPr>
            </w:pPr>
            <w:r>
              <w:rPr>
                <w:sz w:val="24"/>
                <w:szCs w:val="24"/>
              </w:rPr>
              <w:t>5</w:t>
            </w:r>
          </w:p>
        </w:tc>
        <w:tc>
          <w:tcPr>
            <w:tcW w:w="2024" w:type="dxa"/>
            <w:gridSpan w:val="2"/>
            <w:vMerge w:val="restart"/>
            <w:vAlign w:val="center"/>
          </w:tcPr>
          <w:p>
            <w:pPr>
              <w:snapToGrid w:val="0"/>
              <w:jc w:val="center"/>
              <w:rPr>
                <w:sz w:val="28"/>
                <w:szCs w:val="28"/>
              </w:rPr>
            </w:pPr>
          </w:p>
          <w:p>
            <w:pPr>
              <w:pStyle w:val="28"/>
              <w:snapToGrid w:val="0"/>
              <w:jc w:val="center"/>
              <w:rPr>
                <w:rFonts w:ascii="Times New Roman" w:hAnsi="Times New Roman" w:eastAsia="方正仿宋_GBK" w:cs="Times New Roman"/>
              </w:rPr>
            </w:pPr>
            <w:r>
              <w:rPr>
                <w:rFonts w:ascii="Times New Roman" w:hAnsi="Times New Roman" w:eastAsia="方正仿宋_GBK" w:cs="Times New Roman"/>
                <w:spacing w:val="-3"/>
                <w:sz w:val="24"/>
                <w:szCs w:val="24"/>
              </w:rPr>
              <w:t>统筹执法力量</w:t>
            </w:r>
          </w:p>
        </w:tc>
        <w:tc>
          <w:tcPr>
            <w:tcW w:w="6913" w:type="dxa"/>
            <w:vAlign w:val="center"/>
          </w:tcPr>
          <w:p>
            <w:pPr>
              <w:pStyle w:val="28"/>
              <w:snapToGrid w:val="0"/>
              <w:ind w:hanging="1"/>
              <w:jc w:val="left"/>
              <w:rPr>
                <w:rFonts w:ascii="Times New Roman" w:hAnsi="Times New Roman" w:eastAsia="方正仿宋_GBK" w:cs="Times New Roman"/>
                <w:sz w:val="24"/>
                <w:szCs w:val="24"/>
              </w:rPr>
            </w:pPr>
            <w:r>
              <w:rPr>
                <w:rFonts w:ascii="Times New Roman" w:hAnsi="Times New Roman" w:eastAsia="方正仿宋_GBK" w:cs="Times New Roman"/>
                <w:spacing w:val="-2"/>
                <w:sz w:val="24"/>
                <w:szCs w:val="24"/>
              </w:rPr>
              <w:t>建立健全乡镇（街道）“综合执法+专业执法”统筹运</w:t>
            </w:r>
            <w:r>
              <w:rPr>
                <w:rFonts w:ascii="Times New Roman" w:hAnsi="Times New Roman" w:eastAsia="方正仿宋_GBK" w:cs="Times New Roman"/>
                <w:spacing w:val="-1"/>
                <w:sz w:val="24"/>
                <w:szCs w:val="24"/>
              </w:rPr>
              <w:t>行、乡镇（街道）管理为主的保障机制。</w:t>
            </w:r>
          </w:p>
        </w:tc>
        <w:tc>
          <w:tcPr>
            <w:tcW w:w="2621" w:type="dxa"/>
            <w:vAlign w:val="center"/>
          </w:tcPr>
          <w:p>
            <w:pPr>
              <w:pStyle w:val="28"/>
              <w:snapToGrid w:val="0"/>
              <w:jc w:val="center"/>
              <w:rPr>
                <w:rFonts w:ascii="Times New Roman" w:hAnsi="Times New Roman" w:eastAsia="方正仿宋_GBK" w:cs="Times New Roman"/>
                <w:sz w:val="24"/>
                <w:szCs w:val="24"/>
              </w:rPr>
            </w:pP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委组织部、</w:t>
            </w:r>
            <w:r>
              <w:rPr>
                <w:rFonts w:hint="eastAsia" w:ascii="Times New Roman" w:hAnsi="Times New Roman" w:eastAsia="方正仿宋_GBK" w:cs="Times New Roman"/>
                <w:spacing w:val="-7"/>
                <w:sz w:val="24"/>
                <w:szCs w:val="24"/>
                <w:lang w:eastAsia="zh-CN"/>
              </w:rPr>
              <w:t>县委</w:t>
            </w:r>
            <w:r>
              <w:rPr>
                <w:rFonts w:ascii="Times New Roman" w:hAnsi="Times New Roman" w:eastAsia="方正仿宋_GBK" w:cs="Times New Roman"/>
                <w:spacing w:val="-7"/>
                <w:sz w:val="24"/>
                <w:szCs w:val="24"/>
                <w:lang w:eastAsia="zh-CN"/>
              </w:rPr>
              <w:t>编办</w:t>
            </w:r>
            <w:r>
              <w:rPr>
                <w:rFonts w:hint="eastAsia" w:ascii="Times New Roman" w:hAnsi="Times New Roman" w:eastAsia="方正仿宋_GBK" w:cs="Times New Roman"/>
                <w:spacing w:val="-7"/>
                <w:sz w:val="24"/>
                <w:szCs w:val="24"/>
                <w:lang w:eastAsia="zh-CN"/>
              </w:rPr>
              <w:t>等</w:t>
            </w:r>
            <w:r>
              <w:rPr>
                <w:rFonts w:ascii="Times New Roman" w:hAnsi="Times New Roman" w:eastAsia="方正仿宋_GBK" w:cs="Times New Roman"/>
                <w:spacing w:val="-7"/>
                <w:sz w:val="24"/>
                <w:szCs w:val="24"/>
                <w:lang w:eastAsia="zh-CN"/>
              </w:rPr>
              <w:t>有关</w:t>
            </w: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级部门</w:t>
            </w:r>
            <w:r>
              <w:rPr>
                <w:rFonts w:hint="eastAsia" w:ascii="Times New Roman" w:hAnsi="Times New Roman" w:eastAsia="方正仿宋_GBK" w:cs="Times New Roman"/>
                <w:spacing w:val="-7"/>
                <w:sz w:val="24"/>
                <w:szCs w:val="24"/>
                <w:lang w:eastAsia="zh-CN"/>
              </w:rPr>
              <w:t>及</w:t>
            </w:r>
            <w:r>
              <w:rPr>
                <w:rFonts w:ascii="Times New Roman" w:hAnsi="Times New Roman" w:eastAsia="方正仿宋_GBK" w:cs="Times New Roman"/>
                <w:spacing w:val="-7"/>
                <w:sz w:val="24"/>
                <w:szCs w:val="24"/>
                <w:lang w:eastAsia="zh-CN"/>
              </w:rPr>
              <w:t>各乡镇（街道）</w:t>
            </w:r>
          </w:p>
        </w:tc>
        <w:tc>
          <w:tcPr>
            <w:tcW w:w="1993" w:type="dxa"/>
            <w:gridSpan w:val="2"/>
            <w:vAlign w:val="center"/>
          </w:tcPr>
          <w:p>
            <w:pPr>
              <w:pStyle w:val="28"/>
              <w:snapToGrid w:val="0"/>
              <w:jc w:val="center"/>
              <w:rPr>
                <w:rFonts w:ascii="Times New Roman" w:hAnsi="Times New Roman" w:eastAsia="方正仿宋_GBK" w:cs="Times New Roman"/>
                <w:sz w:val="24"/>
                <w:szCs w:val="24"/>
              </w:rPr>
            </w:pPr>
            <w:r>
              <w:rPr>
                <w:rFonts w:ascii="Times New Roman" w:hAnsi="Times New Roman" w:eastAsia="方正仿宋_GBK" w:cs="Times New Roman"/>
                <w:spacing w:val="-14"/>
                <w:sz w:val="24"/>
                <w:szCs w:val="24"/>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0" w:hRule="atLeast"/>
          <w:jc w:val="center"/>
        </w:trPr>
        <w:tc>
          <w:tcPr>
            <w:tcW w:w="805" w:type="dxa"/>
            <w:vAlign w:val="center"/>
          </w:tcPr>
          <w:p>
            <w:pPr>
              <w:snapToGrid w:val="0"/>
              <w:jc w:val="center"/>
              <w:rPr>
                <w:sz w:val="24"/>
                <w:szCs w:val="24"/>
              </w:rPr>
            </w:pPr>
            <w:r>
              <w:rPr>
                <w:sz w:val="24"/>
                <w:szCs w:val="24"/>
              </w:rPr>
              <w:t>6</w:t>
            </w:r>
          </w:p>
        </w:tc>
        <w:tc>
          <w:tcPr>
            <w:tcW w:w="2024" w:type="dxa"/>
            <w:gridSpan w:val="2"/>
            <w:vMerge w:val="continue"/>
            <w:vAlign w:val="center"/>
          </w:tcPr>
          <w:p>
            <w:pPr>
              <w:snapToGrid w:val="0"/>
              <w:jc w:val="center"/>
              <w:rPr>
                <w:sz w:val="28"/>
                <w:szCs w:val="28"/>
              </w:rPr>
            </w:pPr>
          </w:p>
        </w:tc>
        <w:tc>
          <w:tcPr>
            <w:tcW w:w="6913" w:type="dxa"/>
            <w:vAlign w:val="center"/>
          </w:tcPr>
          <w:p>
            <w:pPr>
              <w:pStyle w:val="28"/>
              <w:snapToGrid w:val="0"/>
              <w:ind w:firstLine="2"/>
              <w:jc w:val="left"/>
              <w:rPr>
                <w:rFonts w:ascii="Times New Roman" w:hAnsi="Times New Roman" w:eastAsia="方正仿宋_GBK" w:cs="Times New Roman"/>
                <w:sz w:val="24"/>
                <w:szCs w:val="24"/>
              </w:rPr>
            </w:pPr>
            <w:r>
              <w:rPr>
                <w:rFonts w:ascii="Times New Roman" w:hAnsi="Times New Roman" w:eastAsia="方正仿宋_GBK" w:cs="Times New Roman"/>
                <w:spacing w:val="-5"/>
                <w:sz w:val="24"/>
                <w:szCs w:val="24"/>
              </w:rPr>
              <w:t>建立健全乡镇（街道）综合行政执法纳入“</w:t>
            </w:r>
            <w:r>
              <w:rPr>
                <w:rFonts w:ascii="Times New Roman" w:hAnsi="Times New Roman" w:eastAsia="方正仿宋_GBK" w:cs="Times New Roman"/>
                <w:spacing w:val="-6"/>
                <w:sz w:val="24"/>
                <w:szCs w:val="24"/>
              </w:rPr>
              <w:t>一中心四板</w:t>
            </w:r>
            <w:r>
              <w:rPr>
                <w:rFonts w:ascii="Times New Roman" w:hAnsi="Times New Roman" w:eastAsia="方正仿宋_GBK" w:cs="Times New Roman"/>
                <w:sz w:val="24"/>
                <w:szCs w:val="24"/>
              </w:rPr>
              <w:t>块一网格”基层智治体系统筹指挥、调度运转方</w:t>
            </w:r>
            <w:r>
              <w:rPr>
                <w:rFonts w:ascii="Times New Roman" w:hAnsi="Times New Roman" w:eastAsia="方正仿宋_GBK" w:cs="Times New Roman"/>
                <w:spacing w:val="-1"/>
                <w:sz w:val="24"/>
                <w:szCs w:val="24"/>
              </w:rPr>
              <w:t>式。</w:t>
            </w:r>
          </w:p>
        </w:tc>
        <w:tc>
          <w:tcPr>
            <w:tcW w:w="2621" w:type="dxa"/>
            <w:vAlign w:val="center"/>
          </w:tcPr>
          <w:p>
            <w:pPr>
              <w:pStyle w:val="28"/>
              <w:snapToGrid w:val="0"/>
              <w:jc w:val="center"/>
              <w:rPr>
                <w:rFonts w:ascii="Times New Roman" w:hAnsi="Times New Roman" w:eastAsia="方正仿宋_GBK" w:cs="Times New Roman"/>
                <w:sz w:val="24"/>
                <w:szCs w:val="24"/>
              </w:rPr>
            </w:pP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委办公室、</w:t>
            </w: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政府办公室、</w:t>
            </w: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委组织部、</w:t>
            </w:r>
            <w:r>
              <w:rPr>
                <w:rFonts w:hint="eastAsia" w:ascii="Times New Roman" w:hAnsi="Times New Roman" w:eastAsia="方正仿宋_GBK" w:cs="Times New Roman"/>
                <w:spacing w:val="-7"/>
                <w:sz w:val="24"/>
                <w:szCs w:val="24"/>
                <w:lang w:eastAsia="zh-CN"/>
              </w:rPr>
              <w:t>县委</w:t>
            </w:r>
            <w:r>
              <w:rPr>
                <w:rFonts w:ascii="Times New Roman" w:hAnsi="Times New Roman" w:eastAsia="方正仿宋_GBK" w:cs="Times New Roman"/>
                <w:spacing w:val="-7"/>
                <w:sz w:val="24"/>
                <w:szCs w:val="24"/>
                <w:lang w:eastAsia="zh-CN"/>
              </w:rPr>
              <w:t>编办</w:t>
            </w:r>
          </w:p>
        </w:tc>
        <w:tc>
          <w:tcPr>
            <w:tcW w:w="1993" w:type="dxa"/>
            <w:gridSpan w:val="2"/>
            <w:vAlign w:val="center"/>
          </w:tcPr>
          <w:p>
            <w:pPr>
              <w:pStyle w:val="28"/>
              <w:snapToGrid w:val="0"/>
              <w:jc w:val="center"/>
              <w:rPr>
                <w:rFonts w:ascii="Times New Roman" w:hAnsi="Times New Roman" w:eastAsia="方正仿宋_GBK" w:cs="Times New Roman"/>
                <w:sz w:val="24"/>
                <w:szCs w:val="24"/>
              </w:rPr>
            </w:pPr>
            <w:r>
              <w:rPr>
                <w:rFonts w:ascii="Times New Roman" w:hAnsi="Times New Roman" w:eastAsia="方正仿宋_GBK" w:cs="Times New Roman"/>
                <w:spacing w:val="-14"/>
                <w:sz w:val="24"/>
                <w:szCs w:val="24"/>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0" w:hRule="atLeast"/>
          <w:jc w:val="center"/>
        </w:trPr>
        <w:tc>
          <w:tcPr>
            <w:tcW w:w="805" w:type="dxa"/>
            <w:vAlign w:val="center"/>
          </w:tcPr>
          <w:p>
            <w:pPr>
              <w:snapToGrid w:val="0"/>
              <w:jc w:val="center"/>
              <w:rPr>
                <w:sz w:val="24"/>
                <w:szCs w:val="24"/>
              </w:rPr>
            </w:pPr>
            <w:r>
              <w:rPr>
                <w:sz w:val="24"/>
                <w:szCs w:val="24"/>
              </w:rPr>
              <w:t>7</w:t>
            </w:r>
          </w:p>
        </w:tc>
        <w:tc>
          <w:tcPr>
            <w:tcW w:w="2024" w:type="dxa"/>
            <w:gridSpan w:val="2"/>
            <w:vMerge w:val="continue"/>
            <w:vAlign w:val="center"/>
          </w:tcPr>
          <w:p>
            <w:pPr>
              <w:snapToGrid w:val="0"/>
              <w:jc w:val="center"/>
              <w:rPr>
                <w:sz w:val="28"/>
                <w:szCs w:val="28"/>
              </w:rPr>
            </w:pPr>
          </w:p>
        </w:tc>
        <w:tc>
          <w:tcPr>
            <w:tcW w:w="6913" w:type="dxa"/>
            <w:vAlign w:val="center"/>
          </w:tcPr>
          <w:p>
            <w:pPr>
              <w:pStyle w:val="28"/>
              <w:snapToGrid w:val="0"/>
              <w:ind w:hanging="21"/>
              <w:jc w:val="left"/>
              <w:rPr>
                <w:rFonts w:ascii="Times New Roman" w:hAnsi="Times New Roman" w:eastAsia="方正仿宋_GBK" w:cs="Times New Roman"/>
                <w:sz w:val="24"/>
                <w:szCs w:val="24"/>
              </w:rPr>
            </w:pPr>
            <w:r>
              <w:rPr>
                <w:rFonts w:ascii="Times New Roman" w:hAnsi="Times New Roman" w:eastAsia="方正仿宋_GBK" w:cs="Times New Roman"/>
                <w:spacing w:val="-4"/>
                <w:sz w:val="24"/>
                <w:szCs w:val="24"/>
              </w:rPr>
              <w:t>充实优化乡镇（街道）综合行政执法队伍，细化执法人</w:t>
            </w:r>
            <w:r>
              <w:rPr>
                <w:rFonts w:ascii="Times New Roman" w:hAnsi="Times New Roman" w:eastAsia="方正仿宋_GBK" w:cs="Times New Roman"/>
                <w:spacing w:val="-2"/>
                <w:sz w:val="24"/>
                <w:szCs w:val="24"/>
              </w:rPr>
              <w:t>员招录、培训、管理等环节规范标准。</w:t>
            </w:r>
          </w:p>
        </w:tc>
        <w:tc>
          <w:tcPr>
            <w:tcW w:w="2621" w:type="dxa"/>
            <w:vAlign w:val="center"/>
          </w:tcPr>
          <w:p>
            <w:pPr>
              <w:pStyle w:val="28"/>
              <w:snapToGrid w:val="0"/>
              <w:jc w:val="center"/>
              <w:rPr>
                <w:rFonts w:ascii="Times New Roman" w:hAnsi="Times New Roman" w:eastAsia="方正仿宋_GBK" w:cs="Times New Roman"/>
                <w:sz w:val="24"/>
                <w:szCs w:val="24"/>
              </w:rPr>
            </w:pP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委组织部、</w:t>
            </w:r>
            <w:r>
              <w:rPr>
                <w:rFonts w:hint="eastAsia" w:ascii="Times New Roman" w:hAnsi="Times New Roman" w:eastAsia="方正仿宋_GBK" w:cs="Times New Roman"/>
                <w:spacing w:val="-7"/>
                <w:sz w:val="24"/>
                <w:szCs w:val="24"/>
                <w:lang w:eastAsia="zh-CN"/>
              </w:rPr>
              <w:t>县委</w:t>
            </w:r>
            <w:r>
              <w:rPr>
                <w:rFonts w:ascii="Times New Roman" w:hAnsi="Times New Roman" w:eastAsia="方正仿宋_GBK" w:cs="Times New Roman"/>
                <w:spacing w:val="-7"/>
                <w:sz w:val="24"/>
                <w:szCs w:val="24"/>
                <w:lang w:eastAsia="zh-CN"/>
              </w:rPr>
              <w:t>编办、</w:t>
            </w: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司法局</w:t>
            </w:r>
            <w:r>
              <w:rPr>
                <w:rFonts w:hint="eastAsia" w:ascii="Times New Roman" w:hAnsi="Times New Roman" w:eastAsia="方正仿宋_GBK" w:cs="Times New Roman"/>
                <w:spacing w:val="-7"/>
                <w:sz w:val="24"/>
                <w:szCs w:val="24"/>
                <w:lang w:eastAsia="zh-CN"/>
              </w:rPr>
              <w:t>、县人力社保局</w:t>
            </w:r>
          </w:p>
        </w:tc>
        <w:tc>
          <w:tcPr>
            <w:tcW w:w="1993" w:type="dxa"/>
            <w:gridSpan w:val="2"/>
            <w:vAlign w:val="center"/>
          </w:tcPr>
          <w:p>
            <w:pPr>
              <w:pStyle w:val="28"/>
              <w:snapToGrid w:val="0"/>
              <w:jc w:val="center"/>
              <w:rPr>
                <w:rFonts w:ascii="Times New Roman" w:hAnsi="Times New Roman" w:eastAsia="方正仿宋_GBK" w:cs="Times New Roman"/>
                <w:sz w:val="24"/>
                <w:szCs w:val="24"/>
              </w:rPr>
            </w:pPr>
            <w:r>
              <w:rPr>
                <w:rFonts w:ascii="Times New Roman" w:hAnsi="Times New Roman" w:eastAsia="方正仿宋_GBK" w:cs="Times New Roman"/>
                <w:spacing w:val="-14"/>
                <w:sz w:val="24"/>
                <w:szCs w:val="24"/>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4" w:hRule="atLeast"/>
          <w:jc w:val="center"/>
        </w:trPr>
        <w:tc>
          <w:tcPr>
            <w:tcW w:w="805" w:type="dxa"/>
            <w:vAlign w:val="center"/>
          </w:tcPr>
          <w:p>
            <w:pPr>
              <w:snapToGrid w:val="0"/>
              <w:jc w:val="center"/>
              <w:rPr>
                <w:sz w:val="24"/>
                <w:szCs w:val="24"/>
              </w:rPr>
            </w:pPr>
          </w:p>
          <w:p>
            <w:pPr>
              <w:snapToGrid w:val="0"/>
              <w:jc w:val="center"/>
              <w:rPr>
                <w:sz w:val="24"/>
                <w:szCs w:val="24"/>
              </w:rPr>
            </w:pPr>
            <w:r>
              <w:rPr>
                <w:sz w:val="24"/>
                <w:szCs w:val="24"/>
              </w:rPr>
              <w:t>8</w:t>
            </w:r>
          </w:p>
        </w:tc>
        <w:tc>
          <w:tcPr>
            <w:tcW w:w="2024" w:type="dxa"/>
            <w:gridSpan w:val="2"/>
            <w:vMerge w:val="continue"/>
            <w:vAlign w:val="center"/>
          </w:tcPr>
          <w:p>
            <w:pPr>
              <w:snapToGrid w:val="0"/>
              <w:jc w:val="center"/>
              <w:rPr>
                <w:sz w:val="28"/>
                <w:szCs w:val="28"/>
              </w:rPr>
            </w:pPr>
          </w:p>
        </w:tc>
        <w:tc>
          <w:tcPr>
            <w:tcW w:w="6913" w:type="dxa"/>
            <w:vAlign w:val="center"/>
          </w:tcPr>
          <w:p>
            <w:pPr>
              <w:pStyle w:val="28"/>
              <w:snapToGrid w:val="0"/>
              <w:ind w:firstLine="29"/>
              <w:jc w:val="left"/>
              <w:rPr>
                <w:rFonts w:ascii="Times New Roman" w:hAnsi="Times New Roman" w:eastAsia="方正仿宋_GBK" w:cs="Times New Roman"/>
                <w:sz w:val="24"/>
                <w:szCs w:val="24"/>
              </w:rPr>
            </w:pPr>
            <w:r>
              <w:rPr>
                <w:rFonts w:ascii="Times New Roman" w:hAnsi="Times New Roman" w:eastAsia="方正仿宋_GBK" w:cs="Times New Roman"/>
                <w:spacing w:val="-5"/>
                <w:sz w:val="24"/>
                <w:szCs w:val="24"/>
              </w:rPr>
              <w:t>明确不得随意抽调、借调乡镇（街道）执法人员刚性规</w:t>
            </w:r>
            <w:r>
              <w:rPr>
                <w:rFonts w:ascii="Times New Roman" w:hAnsi="Times New Roman" w:eastAsia="方正仿宋_GBK" w:cs="Times New Roman"/>
                <w:spacing w:val="-4"/>
                <w:sz w:val="24"/>
                <w:szCs w:val="24"/>
              </w:rPr>
              <w:t>定，保持乡镇（街道）综合行政执法队伍稳定，确保人</w:t>
            </w:r>
            <w:r>
              <w:rPr>
                <w:rFonts w:ascii="Times New Roman" w:hAnsi="Times New Roman" w:eastAsia="方正仿宋_GBK" w:cs="Times New Roman"/>
                <w:spacing w:val="-1"/>
                <w:sz w:val="24"/>
                <w:szCs w:val="24"/>
              </w:rPr>
              <w:t>员岗位配备与执法任务相匹配。</w:t>
            </w:r>
          </w:p>
        </w:tc>
        <w:tc>
          <w:tcPr>
            <w:tcW w:w="2621" w:type="dxa"/>
            <w:vAlign w:val="center"/>
          </w:tcPr>
          <w:p>
            <w:pPr>
              <w:pStyle w:val="28"/>
              <w:snapToGrid w:val="0"/>
              <w:jc w:val="center"/>
              <w:rPr>
                <w:rFonts w:ascii="Times New Roman" w:hAnsi="Times New Roman" w:eastAsia="方正仿宋_GBK" w:cs="Times New Roman"/>
                <w:sz w:val="24"/>
                <w:szCs w:val="24"/>
              </w:rPr>
            </w:pP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委组织部、</w:t>
            </w:r>
            <w:r>
              <w:rPr>
                <w:rFonts w:hint="eastAsia" w:ascii="Times New Roman" w:hAnsi="Times New Roman" w:eastAsia="方正仿宋_GBK" w:cs="Times New Roman"/>
                <w:spacing w:val="-7"/>
                <w:sz w:val="24"/>
                <w:szCs w:val="24"/>
                <w:lang w:eastAsia="zh-CN"/>
              </w:rPr>
              <w:t>县委</w:t>
            </w:r>
            <w:r>
              <w:rPr>
                <w:rFonts w:ascii="Times New Roman" w:hAnsi="Times New Roman" w:eastAsia="方正仿宋_GBK" w:cs="Times New Roman"/>
                <w:spacing w:val="-7"/>
                <w:sz w:val="24"/>
                <w:szCs w:val="24"/>
                <w:lang w:eastAsia="zh-CN"/>
              </w:rPr>
              <w:t>编办、</w:t>
            </w: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司法局</w:t>
            </w:r>
            <w:r>
              <w:rPr>
                <w:rFonts w:hint="eastAsia" w:ascii="Times New Roman" w:hAnsi="Times New Roman" w:eastAsia="方正仿宋_GBK" w:cs="Times New Roman"/>
                <w:spacing w:val="-7"/>
                <w:sz w:val="24"/>
                <w:szCs w:val="24"/>
                <w:lang w:eastAsia="zh-CN"/>
              </w:rPr>
              <w:t>、县人力社保局</w:t>
            </w:r>
          </w:p>
        </w:tc>
        <w:tc>
          <w:tcPr>
            <w:tcW w:w="1993" w:type="dxa"/>
            <w:gridSpan w:val="2"/>
            <w:vAlign w:val="center"/>
          </w:tcPr>
          <w:p>
            <w:pPr>
              <w:snapToGrid w:val="0"/>
              <w:jc w:val="center"/>
              <w:rPr>
                <w:sz w:val="24"/>
                <w:szCs w:val="24"/>
              </w:rPr>
            </w:pPr>
          </w:p>
          <w:p>
            <w:pPr>
              <w:pStyle w:val="28"/>
              <w:snapToGrid w:val="0"/>
              <w:jc w:val="center"/>
              <w:rPr>
                <w:rFonts w:ascii="Times New Roman" w:hAnsi="Times New Roman" w:eastAsia="方正仿宋_GBK" w:cs="Times New Roman"/>
                <w:sz w:val="24"/>
                <w:szCs w:val="24"/>
              </w:rPr>
            </w:pPr>
            <w:r>
              <w:rPr>
                <w:rFonts w:ascii="Times New Roman" w:hAnsi="Times New Roman" w:eastAsia="方正仿宋_GBK" w:cs="Times New Roman"/>
                <w:spacing w:val="-14"/>
                <w:sz w:val="24"/>
                <w:szCs w:val="24"/>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6" w:hRule="atLeast"/>
          <w:jc w:val="center"/>
        </w:trPr>
        <w:tc>
          <w:tcPr>
            <w:tcW w:w="805" w:type="dxa"/>
            <w:vAlign w:val="center"/>
          </w:tcPr>
          <w:p>
            <w:pPr>
              <w:snapToGrid w:val="0"/>
              <w:jc w:val="center"/>
              <w:rPr>
                <w:sz w:val="24"/>
                <w:szCs w:val="24"/>
              </w:rPr>
            </w:pPr>
            <w:r>
              <w:rPr>
                <w:spacing w:val="-17"/>
                <w:sz w:val="24"/>
                <w:szCs w:val="24"/>
              </w:rPr>
              <w:t>9</w:t>
            </w:r>
          </w:p>
        </w:tc>
        <w:tc>
          <w:tcPr>
            <w:tcW w:w="2024" w:type="dxa"/>
            <w:gridSpan w:val="2"/>
            <w:vMerge w:val="continue"/>
            <w:vAlign w:val="center"/>
          </w:tcPr>
          <w:p>
            <w:pPr>
              <w:snapToGrid w:val="0"/>
              <w:jc w:val="center"/>
              <w:rPr>
                <w:sz w:val="28"/>
                <w:szCs w:val="28"/>
              </w:rPr>
            </w:pPr>
          </w:p>
        </w:tc>
        <w:tc>
          <w:tcPr>
            <w:tcW w:w="6913" w:type="dxa"/>
            <w:vAlign w:val="center"/>
          </w:tcPr>
          <w:p>
            <w:pPr>
              <w:pStyle w:val="28"/>
              <w:snapToGrid w:val="0"/>
              <w:ind w:hanging="1"/>
              <w:jc w:val="left"/>
              <w:rPr>
                <w:rFonts w:ascii="Times New Roman" w:hAnsi="Times New Roman" w:eastAsia="方正仿宋_GBK" w:cs="Times New Roman"/>
                <w:sz w:val="24"/>
                <w:szCs w:val="24"/>
              </w:rPr>
            </w:pPr>
            <w:r>
              <w:rPr>
                <w:rFonts w:ascii="Times New Roman" w:hAnsi="Times New Roman" w:eastAsia="方正仿宋_GBK" w:cs="Times New Roman"/>
                <w:spacing w:val="-15"/>
                <w:sz w:val="24"/>
                <w:szCs w:val="24"/>
              </w:rPr>
              <w:t>健全激励机制，在评先评优、考核奖励等方面向乡镇（街</w:t>
            </w:r>
            <w:r>
              <w:rPr>
                <w:rFonts w:ascii="Times New Roman" w:hAnsi="Times New Roman" w:eastAsia="方正仿宋_GBK" w:cs="Times New Roman"/>
                <w:spacing w:val="-3"/>
                <w:sz w:val="24"/>
                <w:szCs w:val="24"/>
              </w:rPr>
              <w:t>道）倾斜。</w:t>
            </w:r>
          </w:p>
        </w:tc>
        <w:tc>
          <w:tcPr>
            <w:tcW w:w="2621" w:type="dxa"/>
            <w:vAlign w:val="center"/>
          </w:tcPr>
          <w:p>
            <w:pPr>
              <w:pStyle w:val="28"/>
              <w:snapToGrid w:val="0"/>
              <w:jc w:val="center"/>
              <w:rPr>
                <w:rFonts w:ascii="Times New Roman" w:hAnsi="Times New Roman" w:eastAsia="方正仿宋_GBK" w:cs="Times New Roman"/>
                <w:sz w:val="24"/>
                <w:szCs w:val="24"/>
              </w:rPr>
            </w:pP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委组织部、</w:t>
            </w: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财政局</w:t>
            </w:r>
          </w:p>
        </w:tc>
        <w:tc>
          <w:tcPr>
            <w:tcW w:w="1993" w:type="dxa"/>
            <w:gridSpan w:val="2"/>
            <w:vAlign w:val="center"/>
          </w:tcPr>
          <w:p>
            <w:pPr>
              <w:pStyle w:val="28"/>
              <w:snapToGrid w:val="0"/>
              <w:jc w:val="center"/>
              <w:rPr>
                <w:rFonts w:ascii="Times New Roman" w:hAnsi="Times New Roman" w:eastAsia="方正仿宋_GBK" w:cs="Times New Roman"/>
                <w:sz w:val="24"/>
                <w:szCs w:val="24"/>
              </w:rPr>
            </w:pPr>
            <w:r>
              <w:rPr>
                <w:rFonts w:ascii="Times New Roman" w:hAnsi="Times New Roman" w:eastAsia="方正仿宋_GBK" w:cs="Times New Roman"/>
                <w:spacing w:val="-14"/>
                <w:sz w:val="24"/>
                <w:szCs w:val="24"/>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3" w:hRule="atLeast"/>
          <w:jc w:val="center"/>
        </w:trPr>
        <w:tc>
          <w:tcPr>
            <w:tcW w:w="805" w:type="dxa"/>
            <w:vAlign w:val="center"/>
          </w:tcPr>
          <w:p>
            <w:pPr>
              <w:snapToGrid w:val="0"/>
              <w:jc w:val="center"/>
              <w:rPr>
                <w:sz w:val="24"/>
                <w:szCs w:val="24"/>
              </w:rPr>
            </w:pPr>
            <w:r>
              <w:rPr>
                <w:sz w:val="24"/>
                <w:szCs w:val="24"/>
              </w:rPr>
              <w:t>10</w:t>
            </w:r>
          </w:p>
        </w:tc>
        <w:tc>
          <w:tcPr>
            <w:tcW w:w="2024" w:type="dxa"/>
            <w:gridSpan w:val="2"/>
            <w:vMerge w:val="restart"/>
            <w:vAlign w:val="center"/>
          </w:tcPr>
          <w:p>
            <w:pPr>
              <w:snapToGrid w:val="0"/>
              <w:jc w:val="center"/>
              <w:rPr>
                <w:sz w:val="24"/>
                <w:szCs w:val="24"/>
                <w:lang w:eastAsia="en-US"/>
              </w:rPr>
            </w:pPr>
            <w:r>
              <w:rPr>
                <w:sz w:val="24"/>
                <w:szCs w:val="24"/>
              </w:rPr>
              <w:t>创新制度机制</w:t>
            </w:r>
          </w:p>
        </w:tc>
        <w:tc>
          <w:tcPr>
            <w:tcW w:w="6913" w:type="dxa"/>
            <w:vAlign w:val="center"/>
          </w:tcPr>
          <w:p>
            <w:pPr>
              <w:snapToGrid w:val="0"/>
              <w:jc w:val="left"/>
              <w:rPr>
                <w:sz w:val="24"/>
                <w:szCs w:val="24"/>
                <w:lang w:eastAsia="en-US"/>
              </w:rPr>
            </w:pPr>
            <w:r>
              <w:rPr>
                <w:sz w:val="24"/>
                <w:szCs w:val="24"/>
              </w:rPr>
              <w:t>在首批实施综合行政执法改革的乡镇（街道）落地应用1个以上“综合查一次”应用场景。</w:t>
            </w:r>
          </w:p>
        </w:tc>
        <w:tc>
          <w:tcPr>
            <w:tcW w:w="2621" w:type="dxa"/>
            <w:vAlign w:val="center"/>
          </w:tcPr>
          <w:p>
            <w:pPr>
              <w:snapToGrid w:val="0"/>
              <w:jc w:val="center"/>
              <w:rPr>
                <w:spacing w:val="-7"/>
                <w:sz w:val="24"/>
                <w:szCs w:val="24"/>
              </w:rPr>
            </w:pPr>
            <w:r>
              <w:rPr>
                <w:rFonts w:hint="eastAsia"/>
                <w:sz w:val="24"/>
                <w:szCs w:val="24"/>
              </w:rPr>
              <w:t>县</w:t>
            </w:r>
            <w:r>
              <w:rPr>
                <w:sz w:val="24"/>
                <w:szCs w:val="24"/>
              </w:rPr>
              <w:t>司法局</w:t>
            </w:r>
            <w:r>
              <w:rPr>
                <w:rFonts w:hint="eastAsia"/>
                <w:sz w:val="24"/>
                <w:szCs w:val="24"/>
              </w:rPr>
              <w:t>等</w:t>
            </w:r>
            <w:r>
              <w:rPr>
                <w:spacing w:val="-7"/>
                <w:sz w:val="24"/>
                <w:szCs w:val="24"/>
              </w:rPr>
              <w:t>有关</w:t>
            </w:r>
            <w:r>
              <w:rPr>
                <w:rFonts w:hint="eastAsia"/>
                <w:spacing w:val="-7"/>
                <w:sz w:val="24"/>
                <w:szCs w:val="24"/>
              </w:rPr>
              <w:t>县</w:t>
            </w:r>
            <w:r>
              <w:rPr>
                <w:spacing w:val="-7"/>
                <w:sz w:val="24"/>
                <w:szCs w:val="24"/>
              </w:rPr>
              <w:t>级部门</w:t>
            </w:r>
            <w:r>
              <w:rPr>
                <w:rFonts w:hint="eastAsia"/>
                <w:spacing w:val="-7"/>
                <w:sz w:val="24"/>
                <w:szCs w:val="24"/>
              </w:rPr>
              <w:t>及黑水</w:t>
            </w:r>
            <w:r>
              <w:rPr>
                <w:spacing w:val="-7"/>
                <w:sz w:val="24"/>
                <w:szCs w:val="24"/>
              </w:rPr>
              <w:t>镇</w:t>
            </w:r>
          </w:p>
        </w:tc>
        <w:tc>
          <w:tcPr>
            <w:tcW w:w="1993" w:type="dxa"/>
            <w:gridSpan w:val="2"/>
            <w:vAlign w:val="center"/>
          </w:tcPr>
          <w:p>
            <w:pPr>
              <w:snapToGrid w:val="0"/>
              <w:jc w:val="center"/>
              <w:rPr>
                <w:sz w:val="24"/>
                <w:szCs w:val="24"/>
                <w:lang w:eastAsia="en-US"/>
              </w:rPr>
            </w:pPr>
            <w:r>
              <w:rPr>
                <w:sz w:val="24"/>
                <w:szCs w:val="24"/>
              </w:rPr>
              <w:t>1</w:t>
            </w:r>
            <w:r>
              <w:rPr>
                <w:spacing w:val="-14"/>
                <w:sz w:val="24"/>
                <w:szCs w:val="24"/>
                <w:lang w:eastAsia="en-US"/>
              </w:rPr>
              <w:t>1月15日前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2" w:hRule="atLeast"/>
          <w:jc w:val="center"/>
        </w:trPr>
        <w:tc>
          <w:tcPr>
            <w:tcW w:w="805" w:type="dxa"/>
            <w:vAlign w:val="center"/>
          </w:tcPr>
          <w:p>
            <w:pPr>
              <w:snapToGrid w:val="0"/>
              <w:jc w:val="center"/>
            </w:pPr>
            <w:r>
              <w:rPr>
                <w:sz w:val="24"/>
                <w:szCs w:val="24"/>
              </w:rPr>
              <w:t>11</w:t>
            </w:r>
          </w:p>
        </w:tc>
        <w:tc>
          <w:tcPr>
            <w:tcW w:w="2024" w:type="dxa"/>
            <w:gridSpan w:val="2"/>
            <w:vMerge w:val="continue"/>
            <w:vAlign w:val="center"/>
          </w:tcPr>
          <w:p>
            <w:pPr>
              <w:snapToGrid w:val="0"/>
              <w:jc w:val="center"/>
              <w:rPr>
                <w:sz w:val="28"/>
                <w:szCs w:val="28"/>
              </w:rPr>
            </w:pPr>
          </w:p>
        </w:tc>
        <w:tc>
          <w:tcPr>
            <w:tcW w:w="6913" w:type="dxa"/>
            <w:vAlign w:val="center"/>
          </w:tcPr>
          <w:p>
            <w:pPr>
              <w:snapToGrid w:val="0"/>
              <w:jc w:val="left"/>
              <w:rPr>
                <w:sz w:val="24"/>
                <w:szCs w:val="24"/>
              </w:rPr>
            </w:pPr>
            <w:r>
              <w:rPr>
                <w:sz w:val="24"/>
                <w:szCs w:val="24"/>
              </w:rPr>
              <w:t>在所有乡镇（街道）落地应用1个以上“执法监管一件事”应用场景。</w:t>
            </w:r>
          </w:p>
        </w:tc>
        <w:tc>
          <w:tcPr>
            <w:tcW w:w="2621" w:type="dxa"/>
            <w:vAlign w:val="center"/>
          </w:tcPr>
          <w:p>
            <w:pPr>
              <w:snapToGrid w:val="0"/>
              <w:jc w:val="left"/>
              <w:rPr>
                <w:sz w:val="24"/>
                <w:szCs w:val="24"/>
              </w:rPr>
            </w:pPr>
            <w:r>
              <w:rPr>
                <w:rFonts w:hint="eastAsia"/>
                <w:sz w:val="24"/>
                <w:szCs w:val="24"/>
              </w:rPr>
              <w:t>县</w:t>
            </w:r>
            <w:r>
              <w:rPr>
                <w:sz w:val="24"/>
                <w:szCs w:val="24"/>
              </w:rPr>
              <w:t>司法局</w:t>
            </w:r>
            <w:r>
              <w:rPr>
                <w:rFonts w:hint="eastAsia"/>
                <w:sz w:val="24"/>
                <w:szCs w:val="24"/>
              </w:rPr>
              <w:t>等</w:t>
            </w:r>
            <w:r>
              <w:rPr>
                <w:sz w:val="24"/>
                <w:szCs w:val="24"/>
              </w:rPr>
              <w:t>有关</w:t>
            </w:r>
            <w:r>
              <w:rPr>
                <w:rFonts w:hint="eastAsia"/>
                <w:sz w:val="24"/>
                <w:szCs w:val="24"/>
              </w:rPr>
              <w:t>县</w:t>
            </w:r>
            <w:r>
              <w:rPr>
                <w:sz w:val="24"/>
                <w:szCs w:val="24"/>
              </w:rPr>
              <w:t>级部门</w:t>
            </w:r>
            <w:r>
              <w:rPr>
                <w:rFonts w:hint="eastAsia"/>
                <w:sz w:val="24"/>
                <w:szCs w:val="24"/>
              </w:rPr>
              <w:t>及</w:t>
            </w:r>
            <w:r>
              <w:rPr>
                <w:sz w:val="24"/>
                <w:szCs w:val="24"/>
              </w:rPr>
              <w:t>各乡镇（街道）</w:t>
            </w:r>
          </w:p>
        </w:tc>
        <w:tc>
          <w:tcPr>
            <w:tcW w:w="1993" w:type="dxa"/>
            <w:gridSpan w:val="2"/>
            <w:vAlign w:val="center"/>
          </w:tcPr>
          <w:p>
            <w:pPr>
              <w:snapToGrid w:val="0"/>
              <w:jc w:val="left"/>
              <w:rPr>
                <w:sz w:val="24"/>
                <w:szCs w:val="24"/>
              </w:rPr>
            </w:pPr>
            <w:r>
              <w:rPr>
                <w:sz w:val="24"/>
                <w:szCs w:val="24"/>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8" w:hRule="atLeast"/>
          <w:jc w:val="center"/>
        </w:trPr>
        <w:tc>
          <w:tcPr>
            <w:tcW w:w="805" w:type="dxa"/>
            <w:vAlign w:val="center"/>
          </w:tcPr>
          <w:p>
            <w:pPr>
              <w:snapToGrid w:val="0"/>
              <w:jc w:val="center"/>
              <w:rPr>
                <w:spacing w:val="-17"/>
                <w:sz w:val="24"/>
                <w:szCs w:val="24"/>
              </w:rPr>
            </w:pPr>
            <w:r>
              <w:rPr>
                <w:sz w:val="24"/>
                <w:szCs w:val="24"/>
              </w:rPr>
              <w:t>12</w:t>
            </w:r>
          </w:p>
        </w:tc>
        <w:tc>
          <w:tcPr>
            <w:tcW w:w="2024" w:type="dxa"/>
            <w:gridSpan w:val="2"/>
            <w:vMerge w:val="continue"/>
            <w:vAlign w:val="center"/>
          </w:tcPr>
          <w:p>
            <w:pPr>
              <w:snapToGrid w:val="0"/>
              <w:jc w:val="center"/>
              <w:rPr>
                <w:sz w:val="28"/>
                <w:szCs w:val="28"/>
              </w:rPr>
            </w:pPr>
          </w:p>
        </w:tc>
        <w:tc>
          <w:tcPr>
            <w:tcW w:w="6913" w:type="dxa"/>
            <w:vAlign w:val="center"/>
          </w:tcPr>
          <w:p>
            <w:pPr>
              <w:snapToGrid w:val="0"/>
              <w:jc w:val="left"/>
              <w:rPr>
                <w:sz w:val="24"/>
                <w:szCs w:val="24"/>
              </w:rPr>
            </w:pPr>
            <w:r>
              <w:rPr>
                <w:sz w:val="24"/>
                <w:szCs w:val="24"/>
              </w:rPr>
              <w:t>加强服务型执法和柔性执法，实现违规违法行为源头治理。</w:t>
            </w:r>
          </w:p>
        </w:tc>
        <w:tc>
          <w:tcPr>
            <w:tcW w:w="2621" w:type="dxa"/>
            <w:vAlign w:val="center"/>
          </w:tcPr>
          <w:p>
            <w:pPr>
              <w:snapToGrid w:val="0"/>
              <w:jc w:val="left"/>
              <w:rPr>
                <w:sz w:val="24"/>
                <w:szCs w:val="24"/>
              </w:rPr>
            </w:pPr>
            <w:r>
              <w:rPr>
                <w:rFonts w:hint="eastAsia"/>
                <w:sz w:val="24"/>
                <w:szCs w:val="24"/>
              </w:rPr>
              <w:t>县</w:t>
            </w:r>
            <w:r>
              <w:rPr>
                <w:sz w:val="24"/>
                <w:szCs w:val="24"/>
              </w:rPr>
              <w:t>司法局</w:t>
            </w:r>
            <w:r>
              <w:rPr>
                <w:rFonts w:hint="eastAsia"/>
                <w:sz w:val="24"/>
                <w:szCs w:val="24"/>
              </w:rPr>
              <w:t>等</w:t>
            </w:r>
            <w:r>
              <w:rPr>
                <w:sz w:val="24"/>
                <w:szCs w:val="24"/>
              </w:rPr>
              <w:t>有关</w:t>
            </w:r>
            <w:r>
              <w:rPr>
                <w:rFonts w:hint="eastAsia"/>
                <w:sz w:val="24"/>
                <w:szCs w:val="24"/>
              </w:rPr>
              <w:t>县</w:t>
            </w:r>
            <w:r>
              <w:rPr>
                <w:sz w:val="24"/>
                <w:szCs w:val="24"/>
              </w:rPr>
              <w:t>级部门</w:t>
            </w:r>
            <w:r>
              <w:rPr>
                <w:rFonts w:hint="eastAsia"/>
                <w:sz w:val="24"/>
                <w:szCs w:val="24"/>
              </w:rPr>
              <w:t>及</w:t>
            </w:r>
            <w:r>
              <w:rPr>
                <w:sz w:val="24"/>
                <w:szCs w:val="24"/>
              </w:rPr>
              <w:t>各乡镇（街道）</w:t>
            </w:r>
          </w:p>
        </w:tc>
        <w:tc>
          <w:tcPr>
            <w:tcW w:w="1993" w:type="dxa"/>
            <w:gridSpan w:val="2"/>
            <w:vAlign w:val="center"/>
          </w:tcPr>
          <w:p>
            <w:pPr>
              <w:snapToGrid w:val="0"/>
              <w:jc w:val="left"/>
              <w:rPr>
                <w:sz w:val="24"/>
                <w:szCs w:val="24"/>
              </w:rPr>
            </w:pPr>
            <w:r>
              <w:rPr>
                <w:sz w:val="24"/>
                <w:szCs w:val="24"/>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3" w:hRule="atLeast"/>
          <w:jc w:val="center"/>
        </w:trPr>
        <w:tc>
          <w:tcPr>
            <w:tcW w:w="805" w:type="dxa"/>
            <w:vAlign w:val="center"/>
          </w:tcPr>
          <w:p>
            <w:pPr>
              <w:spacing w:line="440" w:lineRule="exact"/>
              <w:jc w:val="center"/>
              <w:rPr>
                <w:sz w:val="24"/>
                <w:szCs w:val="24"/>
              </w:rPr>
            </w:pPr>
            <w:r>
              <w:rPr>
                <w:sz w:val="24"/>
                <w:szCs w:val="24"/>
              </w:rPr>
              <w:t>13</w:t>
            </w:r>
          </w:p>
        </w:tc>
        <w:tc>
          <w:tcPr>
            <w:tcW w:w="2024" w:type="dxa"/>
            <w:gridSpan w:val="2"/>
            <w:vMerge w:val="restart"/>
            <w:vAlign w:val="center"/>
          </w:tcPr>
          <w:p>
            <w:pPr>
              <w:spacing w:line="440" w:lineRule="exact"/>
              <w:jc w:val="center"/>
              <w:rPr>
                <w:sz w:val="24"/>
                <w:szCs w:val="24"/>
              </w:rPr>
            </w:pPr>
          </w:p>
          <w:p>
            <w:pPr>
              <w:spacing w:line="440" w:lineRule="exact"/>
              <w:jc w:val="center"/>
              <w:rPr>
                <w:sz w:val="24"/>
                <w:szCs w:val="24"/>
                <w:lang w:eastAsia="en-US"/>
              </w:rPr>
            </w:pPr>
            <w:r>
              <w:rPr>
                <w:sz w:val="24"/>
                <w:szCs w:val="24"/>
              </w:rPr>
              <w:t>强化数智引领</w:t>
            </w:r>
          </w:p>
        </w:tc>
        <w:tc>
          <w:tcPr>
            <w:tcW w:w="6913" w:type="dxa"/>
            <w:vAlign w:val="center"/>
          </w:tcPr>
          <w:p>
            <w:pPr>
              <w:spacing w:line="440" w:lineRule="exact"/>
              <w:jc w:val="left"/>
              <w:rPr>
                <w:sz w:val="24"/>
                <w:szCs w:val="24"/>
                <w:lang w:eastAsia="en-US"/>
              </w:rPr>
            </w:pPr>
            <w:r>
              <w:rPr>
                <w:sz w:val="24"/>
                <w:szCs w:val="24"/>
              </w:rPr>
              <w:t>推广非现场执法、“无感执法”和企业合规“无感体检”。</w:t>
            </w:r>
          </w:p>
        </w:tc>
        <w:tc>
          <w:tcPr>
            <w:tcW w:w="2621" w:type="dxa"/>
            <w:vAlign w:val="center"/>
          </w:tcPr>
          <w:p>
            <w:pPr>
              <w:spacing w:line="440" w:lineRule="exact"/>
              <w:jc w:val="center"/>
              <w:rPr>
                <w:sz w:val="24"/>
                <w:szCs w:val="24"/>
                <w:lang w:eastAsia="en-US"/>
              </w:rPr>
            </w:pPr>
            <w:r>
              <w:rPr>
                <w:rFonts w:hint="eastAsia"/>
                <w:sz w:val="24"/>
                <w:szCs w:val="24"/>
              </w:rPr>
              <w:t>县</w:t>
            </w:r>
            <w:r>
              <w:rPr>
                <w:sz w:val="24"/>
                <w:szCs w:val="24"/>
              </w:rPr>
              <w:t>司法局</w:t>
            </w:r>
            <w:r>
              <w:rPr>
                <w:rFonts w:hint="eastAsia"/>
                <w:sz w:val="24"/>
                <w:szCs w:val="24"/>
              </w:rPr>
              <w:t>等</w:t>
            </w:r>
            <w:r>
              <w:rPr>
                <w:spacing w:val="-7"/>
                <w:sz w:val="24"/>
                <w:szCs w:val="24"/>
              </w:rPr>
              <w:t>有关</w:t>
            </w:r>
            <w:r>
              <w:rPr>
                <w:rFonts w:hint="eastAsia"/>
                <w:spacing w:val="-7"/>
                <w:sz w:val="24"/>
                <w:szCs w:val="24"/>
              </w:rPr>
              <w:t>县</w:t>
            </w:r>
            <w:r>
              <w:rPr>
                <w:spacing w:val="-7"/>
                <w:sz w:val="24"/>
                <w:szCs w:val="24"/>
              </w:rPr>
              <w:t>级部门</w:t>
            </w:r>
            <w:r>
              <w:rPr>
                <w:rFonts w:hint="eastAsia"/>
                <w:spacing w:val="-7"/>
                <w:sz w:val="24"/>
                <w:szCs w:val="24"/>
              </w:rPr>
              <w:t>及</w:t>
            </w:r>
            <w:r>
              <w:rPr>
                <w:spacing w:val="-7"/>
                <w:sz w:val="24"/>
                <w:szCs w:val="24"/>
              </w:rPr>
              <w:t>各乡镇（街道）</w:t>
            </w:r>
          </w:p>
        </w:tc>
        <w:tc>
          <w:tcPr>
            <w:tcW w:w="1993" w:type="dxa"/>
            <w:gridSpan w:val="2"/>
            <w:vAlign w:val="center"/>
          </w:tcPr>
          <w:p>
            <w:pPr>
              <w:spacing w:line="440" w:lineRule="exact"/>
              <w:jc w:val="center"/>
              <w:rPr>
                <w:sz w:val="24"/>
                <w:szCs w:val="24"/>
                <w:lang w:eastAsia="en-US"/>
              </w:rPr>
            </w:pPr>
            <w:r>
              <w:rPr>
                <w:sz w:val="24"/>
                <w:szCs w:val="24"/>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8" w:hRule="atLeast"/>
          <w:jc w:val="center"/>
        </w:trPr>
        <w:tc>
          <w:tcPr>
            <w:tcW w:w="805" w:type="dxa"/>
            <w:vAlign w:val="center"/>
          </w:tcPr>
          <w:p>
            <w:pPr>
              <w:spacing w:line="440" w:lineRule="exact"/>
              <w:jc w:val="center"/>
              <w:rPr>
                <w:sz w:val="24"/>
                <w:szCs w:val="24"/>
              </w:rPr>
            </w:pPr>
            <w:r>
              <w:rPr>
                <w:sz w:val="24"/>
                <w:szCs w:val="24"/>
              </w:rPr>
              <w:t>14</w:t>
            </w:r>
          </w:p>
        </w:tc>
        <w:tc>
          <w:tcPr>
            <w:tcW w:w="2024" w:type="dxa"/>
            <w:gridSpan w:val="2"/>
            <w:vMerge w:val="continue"/>
            <w:vAlign w:val="center"/>
          </w:tcPr>
          <w:p>
            <w:pPr>
              <w:spacing w:line="440" w:lineRule="exact"/>
              <w:jc w:val="center"/>
              <w:rPr>
                <w:sz w:val="24"/>
                <w:szCs w:val="24"/>
              </w:rPr>
            </w:pPr>
          </w:p>
        </w:tc>
        <w:tc>
          <w:tcPr>
            <w:tcW w:w="6913" w:type="dxa"/>
            <w:vAlign w:val="center"/>
          </w:tcPr>
          <w:p>
            <w:pPr>
              <w:spacing w:line="440" w:lineRule="exact"/>
              <w:jc w:val="left"/>
              <w:rPr>
                <w:sz w:val="24"/>
                <w:szCs w:val="24"/>
                <w:lang w:eastAsia="en-US"/>
              </w:rPr>
            </w:pPr>
            <w:r>
              <w:rPr>
                <w:sz w:val="24"/>
                <w:szCs w:val="24"/>
              </w:rPr>
              <w:t>首批实施综合行政执法改革乡镇（街道）在10月31日统一上线使用数字应用，开始执法办案。</w:t>
            </w:r>
          </w:p>
        </w:tc>
        <w:tc>
          <w:tcPr>
            <w:tcW w:w="2621" w:type="dxa"/>
            <w:vAlign w:val="center"/>
          </w:tcPr>
          <w:p>
            <w:pPr>
              <w:spacing w:line="440" w:lineRule="exact"/>
              <w:jc w:val="center"/>
              <w:rPr>
                <w:sz w:val="24"/>
                <w:szCs w:val="24"/>
              </w:rPr>
            </w:pPr>
            <w:r>
              <w:rPr>
                <w:rFonts w:hint="eastAsia"/>
                <w:sz w:val="24"/>
                <w:szCs w:val="24"/>
              </w:rPr>
              <w:t>黑水</w:t>
            </w:r>
            <w:r>
              <w:rPr>
                <w:sz w:val="24"/>
                <w:szCs w:val="24"/>
              </w:rPr>
              <w:t>镇</w:t>
            </w:r>
          </w:p>
        </w:tc>
        <w:tc>
          <w:tcPr>
            <w:tcW w:w="1993" w:type="dxa"/>
            <w:gridSpan w:val="2"/>
            <w:vAlign w:val="center"/>
          </w:tcPr>
          <w:p>
            <w:pPr>
              <w:spacing w:line="440" w:lineRule="exact"/>
              <w:jc w:val="center"/>
              <w:rPr>
                <w:sz w:val="24"/>
                <w:szCs w:val="24"/>
                <w:lang w:eastAsia="en-US"/>
              </w:rPr>
            </w:pPr>
            <w:r>
              <w:rPr>
                <w:sz w:val="24"/>
                <w:szCs w:val="24"/>
              </w:rPr>
              <w:t>10月31日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7" w:hRule="atLeast"/>
          <w:jc w:val="center"/>
        </w:trPr>
        <w:tc>
          <w:tcPr>
            <w:tcW w:w="805" w:type="dxa"/>
            <w:vAlign w:val="center"/>
          </w:tcPr>
          <w:p>
            <w:pPr>
              <w:spacing w:line="440" w:lineRule="exact"/>
              <w:jc w:val="center"/>
              <w:rPr>
                <w:sz w:val="24"/>
                <w:szCs w:val="24"/>
              </w:rPr>
            </w:pPr>
            <w:r>
              <w:rPr>
                <w:sz w:val="24"/>
                <w:szCs w:val="24"/>
              </w:rPr>
              <w:t>15</w:t>
            </w:r>
          </w:p>
        </w:tc>
        <w:tc>
          <w:tcPr>
            <w:tcW w:w="2024" w:type="dxa"/>
            <w:gridSpan w:val="2"/>
            <w:vMerge w:val="continue"/>
            <w:vAlign w:val="center"/>
          </w:tcPr>
          <w:p>
            <w:pPr>
              <w:spacing w:line="440" w:lineRule="exact"/>
              <w:jc w:val="center"/>
              <w:rPr>
                <w:sz w:val="24"/>
                <w:szCs w:val="24"/>
              </w:rPr>
            </w:pPr>
          </w:p>
        </w:tc>
        <w:tc>
          <w:tcPr>
            <w:tcW w:w="6913" w:type="dxa"/>
            <w:vAlign w:val="center"/>
          </w:tcPr>
          <w:p>
            <w:pPr>
              <w:spacing w:line="440" w:lineRule="exact"/>
              <w:jc w:val="left"/>
              <w:rPr>
                <w:sz w:val="24"/>
                <w:szCs w:val="24"/>
                <w:lang w:eastAsia="en-US"/>
              </w:rPr>
            </w:pPr>
            <w:r>
              <w:rPr>
                <w:sz w:val="24"/>
                <w:szCs w:val="24"/>
              </w:rPr>
              <w:t>其余乡镇（街道）于11月1日至12月30日期间适时分批次上线试用数字应用，12月31日起统一上线使用数字应用，开始执法办案。</w:t>
            </w:r>
          </w:p>
        </w:tc>
        <w:tc>
          <w:tcPr>
            <w:tcW w:w="2621" w:type="dxa"/>
            <w:vAlign w:val="center"/>
          </w:tcPr>
          <w:p>
            <w:pPr>
              <w:spacing w:line="440" w:lineRule="exact"/>
              <w:jc w:val="center"/>
              <w:rPr>
                <w:sz w:val="24"/>
                <w:szCs w:val="24"/>
              </w:rPr>
            </w:pPr>
            <w:r>
              <w:rPr>
                <w:sz w:val="24"/>
                <w:szCs w:val="24"/>
              </w:rPr>
              <w:t>各乡镇（街道）</w:t>
            </w:r>
          </w:p>
        </w:tc>
        <w:tc>
          <w:tcPr>
            <w:tcW w:w="1993" w:type="dxa"/>
            <w:gridSpan w:val="2"/>
            <w:vAlign w:val="center"/>
          </w:tcPr>
          <w:p>
            <w:pPr>
              <w:spacing w:line="440" w:lineRule="exact"/>
              <w:jc w:val="center"/>
              <w:rPr>
                <w:sz w:val="24"/>
                <w:szCs w:val="24"/>
                <w:lang w:eastAsia="en-US"/>
              </w:rPr>
            </w:pPr>
            <w:r>
              <w:rPr>
                <w:sz w:val="24"/>
                <w:szCs w:val="24"/>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8" w:type="dxa"/>
          <w:trHeight w:val="1136" w:hRule="atLeast"/>
          <w:jc w:val="center"/>
        </w:trPr>
        <w:tc>
          <w:tcPr>
            <w:tcW w:w="805" w:type="dxa"/>
            <w:vAlign w:val="center"/>
          </w:tcPr>
          <w:p>
            <w:pPr>
              <w:spacing w:line="360" w:lineRule="exact"/>
              <w:jc w:val="center"/>
              <w:rPr>
                <w:sz w:val="24"/>
                <w:szCs w:val="24"/>
              </w:rPr>
            </w:pPr>
          </w:p>
          <w:p>
            <w:pPr>
              <w:spacing w:line="360" w:lineRule="exact"/>
              <w:jc w:val="center"/>
              <w:rPr>
                <w:sz w:val="24"/>
                <w:szCs w:val="24"/>
              </w:rPr>
            </w:pPr>
            <w:r>
              <w:rPr>
                <w:sz w:val="24"/>
                <w:szCs w:val="24"/>
              </w:rPr>
              <w:t>16</w:t>
            </w:r>
          </w:p>
          <w:p>
            <w:pPr>
              <w:spacing w:line="360" w:lineRule="exact"/>
              <w:jc w:val="center"/>
              <w:rPr>
                <w:sz w:val="24"/>
                <w:szCs w:val="24"/>
              </w:rPr>
            </w:pPr>
          </w:p>
        </w:tc>
        <w:tc>
          <w:tcPr>
            <w:tcW w:w="2003" w:type="dxa"/>
            <w:vMerge w:val="restart"/>
            <w:vAlign w:val="center"/>
          </w:tcPr>
          <w:p>
            <w:pPr>
              <w:spacing w:line="360" w:lineRule="exact"/>
              <w:jc w:val="center"/>
              <w:rPr>
                <w:sz w:val="24"/>
                <w:szCs w:val="24"/>
                <w:lang w:eastAsia="en-US"/>
              </w:rPr>
            </w:pPr>
            <w:r>
              <w:rPr>
                <w:sz w:val="24"/>
                <w:szCs w:val="24"/>
              </w:rPr>
              <w:t>加强协调监督</w:t>
            </w:r>
          </w:p>
        </w:tc>
        <w:tc>
          <w:tcPr>
            <w:tcW w:w="6934" w:type="dxa"/>
            <w:gridSpan w:val="2"/>
            <w:vAlign w:val="center"/>
          </w:tcPr>
          <w:p>
            <w:pPr>
              <w:spacing w:line="360" w:lineRule="exact"/>
              <w:jc w:val="left"/>
              <w:rPr>
                <w:sz w:val="24"/>
                <w:szCs w:val="24"/>
                <w:lang w:eastAsia="en-US"/>
              </w:rPr>
            </w:pPr>
            <w:r>
              <w:rPr>
                <w:sz w:val="24"/>
                <w:szCs w:val="24"/>
              </w:rPr>
              <w:t>首批实施综合行政执法改革的乡镇（街道）落实行政执法责任制，全面落实行政执法“三项制度”，明确专门力量负责重大执法决定法制审核。</w:t>
            </w:r>
          </w:p>
        </w:tc>
        <w:tc>
          <w:tcPr>
            <w:tcW w:w="2621" w:type="dxa"/>
            <w:vAlign w:val="center"/>
          </w:tcPr>
          <w:p>
            <w:pPr>
              <w:spacing w:line="360" w:lineRule="exact"/>
              <w:jc w:val="center"/>
              <w:rPr>
                <w:sz w:val="24"/>
                <w:szCs w:val="24"/>
              </w:rPr>
            </w:pPr>
            <w:r>
              <w:rPr>
                <w:rFonts w:hint="eastAsia"/>
                <w:sz w:val="24"/>
                <w:szCs w:val="24"/>
              </w:rPr>
              <w:t>黑水</w:t>
            </w:r>
            <w:r>
              <w:rPr>
                <w:sz w:val="24"/>
                <w:szCs w:val="24"/>
              </w:rPr>
              <w:t>镇</w:t>
            </w:r>
          </w:p>
        </w:tc>
        <w:tc>
          <w:tcPr>
            <w:tcW w:w="1955" w:type="dxa"/>
            <w:vAlign w:val="center"/>
          </w:tcPr>
          <w:p>
            <w:pPr>
              <w:spacing w:line="360" w:lineRule="exact"/>
              <w:jc w:val="center"/>
              <w:rPr>
                <w:sz w:val="24"/>
                <w:szCs w:val="24"/>
                <w:lang w:eastAsia="en-US"/>
              </w:rPr>
            </w:pPr>
            <w:r>
              <w:rPr>
                <w:sz w:val="24"/>
                <w:szCs w:val="24"/>
              </w:rPr>
              <w:t>10月31日前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8" w:type="dxa"/>
          <w:trHeight w:val="784" w:hRule="atLeast"/>
          <w:jc w:val="center"/>
        </w:trPr>
        <w:tc>
          <w:tcPr>
            <w:tcW w:w="805" w:type="dxa"/>
            <w:vAlign w:val="center"/>
          </w:tcPr>
          <w:p>
            <w:pPr>
              <w:spacing w:line="360" w:lineRule="exact"/>
              <w:jc w:val="center"/>
              <w:rPr>
                <w:sz w:val="24"/>
                <w:szCs w:val="24"/>
              </w:rPr>
            </w:pPr>
          </w:p>
          <w:p>
            <w:pPr>
              <w:spacing w:line="360" w:lineRule="exact"/>
              <w:jc w:val="center"/>
              <w:rPr>
                <w:sz w:val="24"/>
                <w:szCs w:val="24"/>
              </w:rPr>
            </w:pPr>
            <w:r>
              <w:rPr>
                <w:sz w:val="24"/>
                <w:szCs w:val="24"/>
              </w:rPr>
              <w:t>17</w:t>
            </w:r>
          </w:p>
          <w:p>
            <w:pPr>
              <w:spacing w:line="360" w:lineRule="exact"/>
              <w:jc w:val="center"/>
              <w:rPr>
                <w:sz w:val="24"/>
                <w:szCs w:val="24"/>
              </w:rPr>
            </w:pPr>
          </w:p>
        </w:tc>
        <w:tc>
          <w:tcPr>
            <w:tcW w:w="2003" w:type="dxa"/>
            <w:vMerge w:val="continue"/>
            <w:vAlign w:val="center"/>
          </w:tcPr>
          <w:p>
            <w:pPr>
              <w:spacing w:line="360" w:lineRule="exact"/>
              <w:jc w:val="center"/>
              <w:rPr>
                <w:sz w:val="24"/>
                <w:szCs w:val="24"/>
              </w:rPr>
            </w:pPr>
          </w:p>
        </w:tc>
        <w:tc>
          <w:tcPr>
            <w:tcW w:w="6934" w:type="dxa"/>
            <w:gridSpan w:val="2"/>
            <w:vAlign w:val="center"/>
          </w:tcPr>
          <w:p>
            <w:pPr>
              <w:spacing w:line="360" w:lineRule="exact"/>
              <w:jc w:val="left"/>
              <w:rPr>
                <w:sz w:val="24"/>
                <w:szCs w:val="24"/>
                <w:lang w:eastAsia="en-US"/>
              </w:rPr>
            </w:pPr>
            <w:r>
              <w:rPr>
                <w:sz w:val="24"/>
                <w:szCs w:val="24"/>
              </w:rPr>
              <w:t>所有乡镇（街道）落实行政执法责任制，全面落实行政执法“三项制度”，明确专门力量负责重大执法决定法制审核。</w:t>
            </w:r>
          </w:p>
        </w:tc>
        <w:tc>
          <w:tcPr>
            <w:tcW w:w="2621" w:type="dxa"/>
            <w:vAlign w:val="center"/>
          </w:tcPr>
          <w:p>
            <w:pPr>
              <w:spacing w:line="360" w:lineRule="exact"/>
              <w:jc w:val="center"/>
              <w:rPr>
                <w:sz w:val="24"/>
                <w:szCs w:val="24"/>
                <w:lang w:eastAsia="en-US"/>
              </w:rPr>
            </w:pPr>
            <w:r>
              <w:rPr>
                <w:sz w:val="24"/>
                <w:szCs w:val="24"/>
              </w:rPr>
              <w:t>各乡镇（街道）、</w:t>
            </w:r>
            <w:r>
              <w:rPr>
                <w:rFonts w:hint="eastAsia"/>
                <w:sz w:val="24"/>
                <w:szCs w:val="24"/>
              </w:rPr>
              <w:t>县</w:t>
            </w:r>
            <w:r>
              <w:rPr>
                <w:sz w:val="24"/>
                <w:szCs w:val="24"/>
              </w:rPr>
              <w:t>司法局</w:t>
            </w:r>
          </w:p>
        </w:tc>
        <w:tc>
          <w:tcPr>
            <w:tcW w:w="1955" w:type="dxa"/>
            <w:vAlign w:val="center"/>
          </w:tcPr>
          <w:p>
            <w:pPr>
              <w:spacing w:line="360" w:lineRule="exact"/>
              <w:jc w:val="center"/>
              <w:rPr>
                <w:sz w:val="24"/>
                <w:szCs w:val="24"/>
                <w:lang w:eastAsia="en-US"/>
              </w:rPr>
            </w:pPr>
            <w:r>
              <w:rPr>
                <w:sz w:val="24"/>
                <w:szCs w:val="24"/>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8" w:type="dxa"/>
          <w:trHeight w:val="784" w:hRule="atLeast"/>
          <w:jc w:val="center"/>
        </w:trPr>
        <w:tc>
          <w:tcPr>
            <w:tcW w:w="805" w:type="dxa"/>
            <w:vAlign w:val="center"/>
          </w:tcPr>
          <w:p>
            <w:pPr>
              <w:spacing w:line="360" w:lineRule="exact"/>
              <w:jc w:val="center"/>
              <w:rPr>
                <w:sz w:val="24"/>
                <w:szCs w:val="24"/>
              </w:rPr>
            </w:pPr>
            <w:r>
              <w:rPr>
                <w:sz w:val="24"/>
                <w:szCs w:val="24"/>
              </w:rPr>
              <w:t>18</w:t>
            </w:r>
          </w:p>
        </w:tc>
        <w:tc>
          <w:tcPr>
            <w:tcW w:w="2003" w:type="dxa"/>
            <w:vMerge w:val="continue"/>
            <w:vAlign w:val="center"/>
          </w:tcPr>
          <w:p>
            <w:pPr>
              <w:spacing w:line="360" w:lineRule="exact"/>
              <w:jc w:val="center"/>
              <w:rPr>
                <w:sz w:val="24"/>
                <w:szCs w:val="24"/>
              </w:rPr>
            </w:pPr>
          </w:p>
        </w:tc>
        <w:tc>
          <w:tcPr>
            <w:tcW w:w="6934" w:type="dxa"/>
            <w:gridSpan w:val="2"/>
            <w:vAlign w:val="center"/>
          </w:tcPr>
          <w:p>
            <w:pPr>
              <w:spacing w:line="360" w:lineRule="exact"/>
              <w:jc w:val="left"/>
              <w:rPr>
                <w:sz w:val="24"/>
                <w:szCs w:val="24"/>
                <w:lang w:eastAsia="en-US"/>
              </w:rPr>
            </w:pPr>
            <w:r>
              <w:rPr>
                <w:sz w:val="24"/>
                <w:szCs w:val="24"/>
              </w:rPr>
              <w:t>建立健全乡镇（街道）、县</w:t>
            </w:r>
            <w:r>
              <w:rPr>
                <w:rFonts w:hint="eastAsia"/>
                <w:sz w:val="24"/>
                <w:szCs w:val="24"/>
              </w:rPr>
              <w:t>级</w:t>
            </w:r>
            <w:r>
              <w:rPr>
                <w:sz w:val="24"/>
                <w:szCs w:val="24"/>
              </w:rPr>
              <w:t>有关部门执法协助、职责争议协调等制度。</w:t>
            </w:r>
          </w:p>
        </w:tc>
        <w:tc>
          <w:tcPr>
            <w:tcW w:w="2621" w:type="dxa"/>
            <w:vAlign w:val="center"/>
          </w:tcPr>
          <w:p>
            <w:pPr>
              <w:spacing w:line="360" w:lineRule="exact"/>
              <w:jc w:val="center"/>
              <w:rPr>
                <w:sz w:val="24"/>
                <w:szCs w:val="24"/>
              </w:rPr>
            </w:pPr>
            <w:r>
              <w:rPr>
                <w:rFonts w:hint="eastAsia"/>
                <w:sz w:val="24"/>
                <w:szCs w:val="24"/>
              </w:rPr>
              <w:t>县</w:t>
            </w:r>
            <w:r>
              <w:rPr>
                <w:sz w:val="24"/>
                <w:szCs w:val="24"/>
              </w:rPr>
              <w:t>司法局、</w:t>
            </w:r>
            <w:r>
              <w:rPr>
                <w:spacing w:val="-7"/>
                <w:sz w:val="24"/>
                <w:szCs w:val="24"/>
              </w:rPr>
              <w:t>有关</w:t>
            </w:r>
            <w:r>
              <w:rPr>
                <w:rFonts w:hint="eastAsia"/>
                <w:spacing w:val="-7"/>
                <w:sz w:val="24"/>
                <w:szCs w:val="24"/>
              </w:rPr>
              <w:t>县</w:t>
            </w:r>
            <w:r>
              <w:rPr>
                <w:spacing w:val="-7"/>
                <w:sz w:val="24"/>
                <w:szCs w:val="24"/>
              </w:rPr>
              <w:t>级部门、各乡镇（街道）</w:t>
            </w:r>
          </w:p>
        </w:tc>
        <w:tc>
          <w:tcPr>
            <w:tcW w:w="1955" w:type="dxa"/>
            <w:vAlign w:val="center"/>
          </w:tcPr>
          <w:p>
            <w:pPr>
              <w:spacing w:line="360" w:lineRule="exact"/>
              <w:jc w:val="center"/>
              <w:rPr>
                <w:sz w:val="24"/>
                <w:szCs w:val="24"/>
                <w:lang w:eastAsia="en-US"/>
              </w:rPr>
            </w:pPr>
            <w:r>
              <w:rPr>
                <w:sz w:val="24"/>
                <w:szCs w:val="24"/>
              </w:rPr>
              <w:t>11月30日前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8" w:type="dxa"/>
          <w:trHeight w:val="895" w:hRule="atLeast"/>
          <w:jc w:val="center"/>
        </w:trPr>
        <w:tc>
          <w:tcPr>
            <w:tcW w:w="805" w:type="dxa"/>
            <w:vAlign w:val="center"/>
          </w:tcPr>
          <w:p>
            <w:pPr>
              <w:spacing w:line="360" w:lineRule="exact"/>
              <w:jc w:val="center"/>
              <w:rPr>
                <w:sz w:val="24"/>
                <w:szCs w:val="24"/>
              </w:rPr>
            </w:pPr>
            <w:r>
              <w:rPr>
                <w:sz w:val="24"/>
                <w:szCs w:val="24"/>
              </w:rPr>
              <w:t>19</w:t>
            </w:r>
          </w:p>
        </w:tc>
        <w:tc>
          <w:tcPr>
            <w:tcW w:w="2003" w:type="dxa"/>
            <w:vMerge w:val="continue"/>
            <w:vAlign w:val="center"/>
          </w:tcPr>
          <w:p>
            <w:pPr>
              <w:spacing w:line="360" w:lineRule="exact"/>
              <w:jc w:val="center"/>
              <w:rPr>
                <w:sz w:val="24"/>
                <w:szCs w:val="24"/>
              </w:rPr>
            </w:pPr>
          </w:p>
        </w:tc>
        <w:tc>
          <w:tcPr>
            <w:tcW w:w="6934" w:type="dxa"/>
            <w:gridSpan w:val="2"/>
            <w:vAlign w:val="center"/>
          </w:tcPr>
          <w:p>
            <w:pPr>
              <w:spacing w:line="360" w:lineRule="exact"/>
              <w:jc w:val="left"/>
              <w:rPr>
                <w:sz w:val="24"/>
                <w:szCs w:val="24"/>
                <w:lang w:eastAsia="en-US"/>
              </w:rPr>
            </w:pPr>
            <w:r>
              <w:rPr>
                <w:sz w:val="24"/>
                <w:szCs w:val="24"/>
              </w:rPr>
              <w:t>建立健全乡镇（街道）综合行政执法监督制度。</w:t>
            </w:r>
          </w:p>
        </w:tc>
        <w:tc>
          <w:tcPr>
            <w:tcW w:w="2621" w:type="dxa"/>
            <w:vAlign w:val="center"/>
          </w:tcPr>
          <w:p>
            <w:pPr>
              <w:spacing w:line="360" w:lineRule="exact"/>
              <w:jc w:val="center"/>
              <w:rPr>
                <w:sz w:val="24"/>
                <w:szCs w:val="24"/>
              </w:rPr>
            </w:pPr>
            <w:r>
              <w:rPr>
                <w:rFonts w:hint="eastAsia"/>
                <w:sz w:val="24"/>
                <w:szCs w:val="24"/>
              </w:rPr>
              <w:t>县</w:t>
            </w:r>
            <w:r>
              <w:rPr>
                <w:sz w:val="24"/>
                <w:szCs w:val="24"/>
              </w:rPr>
              <w:t>司法局、各乡镇（街道）</w:t>
            </w:r>
          </w:p>
        </w:tc>
        <w:tc>
          <w:tcPr>
            <w:tcW w:w="1955" w:type="dxa"/>
            <w:vAlign w:val="center"/>
          </w:tcPr>
          <w:p>
            <w:pPr>
              <w:spacing w:line="360" w:lineRule="exact"/>
              <w:jc w:val="center"/>
              <w:rPr>
                <w:sz w:val="24"/>
                <w:szCs w:val="24"/>
                <w:lang w:eastAsia="en-US"/>
              </w:rPr>
            </w:pPr>
            <w:r>
              <w:rPr>
                <w:sz w:val="24"/>
                <w:szCs w:val="24"/>
              </w:rPr>
              <w:t>11月30日前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8" w:type="dxa"/>
          <w:trHeight w:val="784" w:hRule="atLeast"/>
          <w:jc w:val="center"/>
        </w:trPr>
        <w:tc>
          <w:tcPr>
            <w:tcW w:w="805" w:type="dxa"/>
            <w:vAlign w:val="center"/>
          </w:tcPr>
          <w:p>
            <w:pPr>
              <w:spacing w:line="360" w:lineRule="exact"/>
              <w:jc w:val="center"/>
              <w:rPr>
                <w:sz w:val="24"/>
                <w:szCs w:val="24"/>
              </w:rPr>
            </w:pPr>
            <w:r>
              <w:rPr>
                <w:sz w:val="24"/>
                <w:szCs w:val="24"/>
              </w:rPr>
              <w:t>20</w:t>
            </w:r>
          </w:p>
        </w:tc>
        <w:tc>
          <w:tcPr>
            <w:tcW w:w="2003" w:type="dxa"/>
            <w:vMerge w:val="restart"/>
            <w:vAlign w:val="center"/>
          </w:tcPr>
          <w:p>
            <w:pPr>
              <w:spacing w:line="360" w:lineRule="exact"/>
              <w:jc w:val="center"/>
              <w:rPr>
                <w:sz w:val="24"/>
                <w:szCs w:val="24"/>
              </w:rPr>
            </w:pPr>
          </w:p>
          <w:p>
            <w:pPr>
              <w:spacing w:line="360" w:lineRule="exact"/>
              <w:jc w:val="center"/>
              <w:rPr>
                <w:sz w:val="24"/>
                <w:szCs w:val="24"/>
              </w:rPr>
            </w:pPr>
          </w:p>
          <w:p>
            <w:pPr>
              <w:spacing w:line="360" w:lineRule="exact"/>
              <w:jc w:val="center"/>
              <w:rPr>
                <w:sz w:val="24"/>
                <w:szCs w:val="24"/>
              </w:rPr>
            </w:pPr>
          </w:p>
          <w:p>
            <w:pPr>
              <w:spacing w:line="360" w:lineRule="exact"/>
              <w:jc w:val="center"/>
              <w:rPr>
                <w:sz w:val="24"/>
                <w:szCs w:val="24"/>
              </w:rPr>
            </w:pPr>
            <w:r>
              <w:rPr>
                <w:sz w:val="24"/>
                <w:szCs w:val="24"/>
              </w:rPr>
              <w:t>有序落地实施</w:t>
            </w:r>
          </w:p>
          <w:p>
            <w:pPr>
              <w:spacing w:line="360" w:lineRule="exact"/>
              <w:jc w:val="center"/>
              <w:rPr>
                <w:sz w:val="24"/>
                <w:szCs w:val="24"/>
              </w:rPr>
            </w:pPr>
          </w:p>
          <w:p>
            <w:pPr>
              <w:spacing w:line="360" w:lineRule="exact"/>
              <w:jc w:val="center"/>
              <w:rPr>
                <w:sz w:val="24"/>
                <w:szCs w:val="24"/>
                <w:lang w:eastAsia="en-US"/>
              </w:rPr>
            </w:pPr>
          </w:p>
        </w:tc>
        <w:tc>
          <w:tcPr>
            <w:tcW w:w="6934" w:type="dxa"/>
            <w:gridSpan w:val="2"/>
            <w:vAlign w:val="center"/>
          </w:tcPr>
          <w:p>
            <w:pPr>
              <w:spacing w:line="360" w:lineRule="exact"/>
              <w:jc w:val="left"/>
              <w:rPr>
                <w:sz w:val="24"/>
                <w:szCs w:val="24"/>
                <w:lang w:eastAsia="en-US"/>
              </w:rPr>
            </w:pPr>
            <w:r>
              <w:rPr>
                <w:sz w:val="24"/>
                <w:szCs w:val="24"/>
              </w:rPr>
              <w:t>成立改革工作专班，明确牵头领导，召开改革部署会，编制年度工作计划。</w:t>
            </w:r>
          </w:p>
        </w:tc>
        <w:tc>
          <w:tcPr>
            <w:tcW w:w="2621" w:type="dxa"/>
            <w:vAlign w:val="center"/>
          </w:tcPr>
          <w:p>
            <w:pPr>
              <w:spacing w:line="360" w:lineRule="exact"/>
              <w:jc w:val="center"/>
              <w:rPr>
                <w:sz w:val="24"/>
                <w:szCs w:val="24"/>
              </w:rPr>
            </w:pPr>
            <w:r>
              <w:rPr>
                <w:rFonts w:hint="eastAsia"/>
                <w:sz w:val="24"/>
                <w:szCs w:val="24"/>
              </w:rPr>
              <w:t>县</w:t>
            </w:r>
            <w:r>
              <w:rPr>
                <w:sz w:val="24"/>
                <w:szCs w:val="24"/>
              </w:rPr>
              <w:t>司法局、</w:t>
            </w:r>
            <w:r>
              <w:rPr>
                <w:rFonts w:hint="eastAsia"/>
                <w:sz w:val="24"/>
                <w:szCs w:val="24"/>
              </w:rPr>
              <w:t>县</w:t>
            </w:r>
            <w:r>
              <w:rPr>
                <w:sz w:val="24"/>
                <w:szCs w:val="24"/>
              </w:rPr>
              <w:t>委组织部、</w:t>
            </w:r>
            <w:r>
              <w:rPr>
                <w:rFonts w:hint="eastAsia"/>
                <w:sz w:val="24"/>
                <w:szCs w:val="24"/>
              </w:rPr>
              <w:t>县委</w:t>
            </w:r>
            <w:r>
              <w:rPr>
                <w:sz w:val="24"/>
                <w:szCs w:val="24"/>
              </w:rPr>
              <w:t>编办</w:t>
            </w:r>
          </w:p>
        </w:tc>
        <w:tc>
          <w:tcPr>
            <w:tcW w:w="1955" w:type="dxa"/>
            <w:vAlign w:val="center"/>
          </w:tcPr>
          <w:p>
            <w:pPr>
              <w:spacing w:line="360" w:lineRule="exact"/>
              <w:jc w:val="center"/>
              <w:rPr>
                <w:sz w:val="24"/>
                <w:szCs w:val="24"/>
                <w:lang w:eastAsia="en-US"/>
              </w:rPr>
            </w:pPr>
            <w:r>
              <w:rPr>
                <w:sz w:val="24"/>
                <w:szCs w:val="24"/>
              </w:rPr>
              <w:t>10月31日前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8" w:type="dxa"/>
          <w:trHeight w:val="784" w:hRule="atLeast"/>
          <w:jc w:val="center"/>
        </w:trPr>
        <w:tc>
          <w:tcPr>
            <w:tcW w:w="805" w:type="dxa"/>
            <w:vAlign w:val="center"/>
          </w:tcPr>
          <w:p>
            <w:pPr>
              <w:spacing w:line="360" w:lineRule="exact"/>
              <w:jc w:val="center"/>
              <w:rPr>
                <w:sz w:val="24"/>
                <w:szCs w:val="24"/>
              </w:rPr>
            </w:pPr>
          </w:p>
          <w:p>
            <w:pPr>
              <w:spacing w:line="360" w:lineRule="exact"/>
              <w:jc w:val="center"/>
              <w:rPr>
                <w:sz w:val="24"/>
                <w:szCs w:val="24"/>
              </w:rPr>
            </w:pPr>
            <w:r>
              <w:rPr>
                <w:sz w:val="24"/>
                <w:szCs w:val="24"/>
              </w:rPr>
              <w:t>21</w:t>
            </w:r>
          </w:p>
          <w:p>
            <w:pPr>
              <w:spacing w:line="360" w:lineRule="exact"/>
              <w:jc w:val="center"/>
              <w:rPr>
                <w:sz w:val="24"/>
                <w:szCs w:val="24"/>
              </w:rPr>
            </w:pPr>
          </w:p>
        </w:tc>
        <w:tc>
          <w:tcPr>
            <w:tcW w:w="2003" w:type="dxa"/>
            <w:vMerge w:val="continue"/>
            <w:vAlign w:val="center"/>
          </w:tcPr>
          <w:p>
            <w:pPr>
              <w:spacing w:line="360" w:lineRule="exact"/>
              <w:jc w:val="center"/>
              <w:rPr>
                <w:sz w:val="24"/>
                <w:szCs w:val="24"/>
              </w:rPr>
            </w:pPr>
          </w:p>
        </w:tc>
        <w:tc>
          <w:tcPr>
            <w:tcW w:w="6934" w:type="dxa"/>
            <w:gridSpan w:val="2"/>
            <w:vAlign w:val="center"/>
          </w:tcPr>
          <w:p>
            <w:pPr>
              <w:spacing w:line="360" w:lineRule="exact"/>
              <w:jc w:val="left"/>
              <w:rPr>
                <w:sz w:val="24"/>
                <w:szCs w:val="24"/>
                <w:lang w:eastAsia="en-US"/>
              </w:rPr>
            </w:pPr>
            <w:r>
              <w:rPr>
                <w:sz w:val="24"/>
                <w:szCs w:val="24"/>
              </w:rPr>
              <w:t>分批次组织乡镇（街道）、县</w:t>
            </w:r>
            <w:r>
              <w:rPr>
                <w:rFonts w:hint="eastAsia"/>
                <w:sz w:val="24"/>
                <w:szCs w:val="24"/>
              </w:rPr>
              <w:t>级</w:t>
            </w:r>
            <w:r>
              <w:rPr>
                <w:sz w:val="24"/>
                <w:szCs w:val="24"/>
              </w:rPr>
              <w:t>有关执法部门以赋权事项、</w:t>
            </w:r>
            <w:r>
              <w:rPr>
                <w:rFonts w:hint="eastAsia"/>
                <w:sz w:val="24"/>
                <w:szCs w:val="24"/>
              </w:rPr>
              <w:t>“</w:t>
            </w:r>
            <w:r>
              <w:rPr>
                <w:sz w:val="24"/>
                <w:szCs w:val="24"/>
              </w:rPr>
              <w:t>综合查一次</w:t>
            </w:r>
            <w:r>
              <w:rPr>
                <w:rFonts w:hint="eastAsia"/>
                <w:sz w:val="24"/>
                <w:szCs w:val="24"/>
              </w:rPr>
              <w:t>”“</w:t>
            </w:r>
            <w:r>
              <w:rPr>
                <w:sz w:val="24"/>
                <w:szCs w:val="24"/>
              </w:rPr>
              <w:t>执法监管一件事</w:t>
            </w:r>
            <w:r>
              <w:rPr>
                <w:rFonts w:hint="eastAsia"/>
                <w:sz w:val="24"/>
                <w:szCs w:val="24"/>
              </w:rPr>
              <w:t>”</w:t>
            </w:r>
            <w:r>
              <w:rPr>
                <w:sz w:val="24"/>
                <w:szCs w:val="24"/>
              </w:rPr>
              <w:t>应用场景等为主题进行执法培训、模拟演练3次以上（其中第一次不得晚于10月31日）。</w:t>
            </w:r>
          </w:p>
        </w:tc>
        <w:tc>
          <w:tcPr>
            <w:tcW w:w="2621" w:type="dxa"/>
            <w:vAlign w:val="center"/>
          </w:tcPr>
          <w:p>
            <w:pPr>
              <w:spacing w:line="360" w:lineRule="exact"/>
              <w:jc w:val="center"/>
              <w:rPr>
                <w:sz w:val="24"/>
                <w:szCs w:val="24"/>
                <w:lang w:eastAsia="en-US"/>
              </w:rPr>
            </w:pPr>
            <w:r>
              <w:rPr>
                <w:rFonts w:hint="eastAsia"/>
                <w:sz w:val="24"/>
                <w:szCs w:val="24"/>
              </w:rPr>
              <w:t>县</w:t>
            </w:r>
            <w:r>
              <w:rPr>
                <w:sz w:val="24"/>
                <w:szCs w:val="24"/>
              </w:rPr>
              <w:t>司法局、</w:t>
            </w:r>
            <w:r>
              <w:rPr>
                <w:spacing w:val="-7"/>
                <w:sz w:val="24"/>
                <w:szCs w:val="24"/>
              </w:rPr>
              <w:t>有关</w:t>
            </w:r>
            <w:r>
              <w:rPr>
                <w:rFonts w:hint="eastAsia"/>
                <w:spacing w:val="-7"/>
                <w:sz w:val="24"/>
                <w:szCs w:val="24"/>
              </w:rPr>
              <w:t>县</w:t>
            </w:r>
            <w:r>
              <w:rPr>
                <w:spacing w:val="-7"/>
                <w:sz w:val="24"/>
                <w:szCs w:val="24"/>
              </w:rPr>
              <w:t>级部门、各乡镇（街道）</w:t>
            </w:r>
          </w:p>
        </w:tc>
        <w:tc>
          <w:tcPr>
            <w:tcW w:w="1955" w:type="dxa"/>
            <w:vAlign w:val="center"/>
          </w:tcPr>
          <w:p>
            <w:pPr>
              <w:spacing w:line="360" w:lineRule="exact"/>
              <w:jc w:val="center"/>
              <w:rPr>
                <w:sz w:val="24"/>
                <w:szCs w:val="24"/>
                <w:lang w:eastAsia="en-US"/>
              </w:rPr>
            </w:pPr>
            <w:r>
              <w:rPr>
                <w:sz w:val="24"/>
                <w:szCs w:val="24"/>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8" w:type="dxa"/>
          <w:trHeight w:val="784" w:hRule="atLeast"/>
          <w:jc w:val="center"/>
        </w:trPr>
        <w:tc>
          <w:tcPr>
            <w:tcW w:w="805" w:type="dxa"/>
            <w:vAlign w:val="center"/>
          </w:tcPr>
          <w:p>
            <w:pPr>
              <w:spacing w:line="360" w:lineRule="exact"/>
              <w:jc w:val="center"/>
              <w:rPr>
                <w:sz w:val="24"/>
                <w:szCs w:val="24"/>
              </w:rPr>
            </w:pPr>
            <w:r>
              <w:rPr>
                <w:sz w:val="24"/>
                <w:szCs w:val="24"/>
              </w:rPr>
              <w:t>22</w:t>
            </w:r>
          </w:p>
        </w:tc>
        <w:tc>
          <w:tcPr>
            <w:tcW w:w="2003" w:type="dxa"/>
            <w:vMerge w:val="continue"/>
            <w:vAlign w:val="center"/>
          </w:tcPr>
          <w:p>
            <w:pPr>
              <w:spacing w:line="360" w:lineRule="exact"/>
              <w:jc w:val="center"/>
              <w:rPr>
                <w:sz w:val="24"/>
                <w:szCs w:val="24"/>
              </w:rPr>
            </w:pPr>
          </w:p>
        </w:tc>
        <w:tc>
          <w:tcPr>
            <w:tcW w:w="6934" w:type="dxa"/>
            <w:gridSpan w:val="2"/>
            <w:vAlign w:val="center"/>
          </w:tcPr>
          <w:p>
            <w:pPr>
              <w:spacing w:line="360" w:lineRule="exact"/>
              <w:jc w:val="left"/>
              <w:rPr>
                <w:sz w:val="24"/>
                <w:szCs w:val="24"/>
                <w:lang w:eastAsia="en-US"/>
              </w:rPr>
            </w:pPr>
            <w:r>
              <w:rPr>
                <w:sz w:val="24"/>
                <w:szCs w:val="24"/>
              </w:rPr>
              <w:t>强化经费保障，加大对乡镇（街道）执法装备、技术和能力建设等方面的投入，将乡镇（街道）综合行政执法经费列入财政预算。</w:t>
            </w:r>
          </w:p>
        </w:tc>
        <w:tc>
          <w:tcPr>
            <w:tcW w:w="2621" w:type="dxa"/>
            <w:vAlign w:val="center"/>
          </w:tcPr>
          <w:p>
            <w:pPr>
              <w:spacing w:line="360" w:lineRule="exact"/>
              <w:jc w:val="center"/>
              <w:rPr>
                <w:sz w:val="24"/>
                <w:szCs w:val="24"/>
              </w:rPr>
            </w:pPr>
            <w:r>
              <w:rPr>
                <w:rFonts w:hint="eastAsia"/>
                <w:sz w:val="24"/>
                <w:szCs w:val="24"/>
              </w:rPr>
              <w:t>县</w:t>
            </w:r>
            <w:r>
              <w:rPr>
                <w:sz w:val="24"/>
                <w:szCs w:val="24"/>
              </w:rPr>
              <w:t>财政局</w:t>
            </w:r>
          </w:p>
        </w:tc>
        <w:tc>
          <w:tcPr>
            <w:tcW w:w="1955" w:type="dxa"/>
            <w:vAlign w:val="center"/>
          </w:tcPr>
          <w:p>
            <w:pPr>
              <w:spacing w:line="360" w:lineRule="exact"/>
              <w:jc w:val="center"/>
              <w:rPr>
                <w:sz w:val="24"/>
                <w:szCs w:val="24"/>
              </w:rPr>
            </w:pPr>
          </w:p>
          <w:p>
            <w:pPr>
              <w:spacing w:line="360" w:lineRule="exact"/>
              <w:jc w:val="center"/>
              <w:rPr>
                <w:sz w:val="24"/>
                <w:szCs w:val="24"/>
                <w:lang w:eastAsia="en-US"/>
              </w:rPr>
            </w:pPr>
            <w:r>
              <w:rPr>
                <w:sz w:val="24"/>
                <w:szCs w:val="24"/>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8" w:type="dxa"/>
          <w:trHeight w:val="784" w:hRule="atLeast"/>
          <w:jc w:val="center"/>
        </w:trPr>
        <w:tc>
          <w:tcPr>
            <w:tcW w:w="805" w:type="dxa"/>
            <w:vAlign w:val="center"/>
          </w:tcPr>
          <w:p>
            <w:pPr>
              <w:spacing w:line="360" w:lineRule="exact"/>
              <w:jc w:val="center"/>
              <w:rPr>
                <w:sz w:val="24"/>
                <w:szCs w:val="24"/>
              </w:rPr>
            </w:pPr>
            <w:r>
              <w:rPr>
                <w:sz w:val="24"/>
                <w:szCs w:val="24"/>
              </w:rPr>
              <w:t>23</w:t>
            </w:r>
          </w:p>
        </w:tc>
        <w:tc>
          <w:tcPr>
            <w:tcW w:w="2003" w:type="dxa"/>
            <w:vMerge w:val="continue"/>
            <w:vAlign w:val="center"/>
          </w:tcPr>
          <w:p>
            <w:pPr>
              <w:spacing w:line="360" w:lineRule="exact"/>
              <w:jc w:val="center"/>
              <w:rPr>
                <w:sz w:val="24"/>
                <w:szCs w:val="24"/>
              </w:rPr>
            </w:pPr>
          </w:p>
        </w:tc>
        <w:tc>
          <w:tcPr>
            <w:tcW w:w="6934" w:type="dxa"/>
            <w:gridSpan w:val="2"/>
            <w:vAlign w:val="center"/>
          </w:tcPr>
          <w:p>
            <w:pPr>
              <w:spacing w:line="360" w:lineRule="exact"/>
              <w:jc w:val="left"/>
              <w:rPr>
                <w:sz w:val="24"/>
                <w:szCs w:val="24"/>
                <w:lang w:eastAsia="en-US"/>
              </w:rPr>
            </w:pPr>
            <w:r>
              <w:rPr>
                <w:sz w:val="24"/>
                <w:szCs w:val="24"/>
              </w:rPr>
              <w:t>打造可复制、可推广的示范样板，选树2个以上先进典型；按要求以周报、月报、年度总结等形式及时报告改革工作情况。</w:t>
            </w:r>
          </w:p>
        </w:tc>
        <w:tc>
          <w:tcPr>
            <w:tcW w:w="2621" w:type="dxa"/>
            <w:vAlign w:val="center"/>
          </w:tcPr>
          <w:p>
            <w:pPr>
              <w:spacing w:line="360" w:lineRule="exact"/>
              <w:jc w:val="center"/>
              <w:rPr>
                <w:sz w:val="24"/>
                <w:szCs w:val="24"/>
              </w:rPr>
            </w:pPr>
            <w:r>
              <w:rPr>
                <w:rFonts w:hint="eastAsia"/>
                <w:sz w:val="24"/>
                <w:szCs w:val="24"/>
              </w:rPr>
              <w:t>县</w:t>
            </w:r>
            <w:r>
              <w:rPr>
                <w:sz w:val="24"/>
                <w:szCs w:val="24"/>
              </w:rPr>
              <w:t>司法局、各乡镇（街道）</w:t>
            </w:r>
          </w:p>
        </w:tc>
        <w:tc>
          <w:tcPr>
            <w:tcW w:w="1955" w:type="dxa"/>
            <w:vAlign w:val="center"/>
          </w:tcPr>
          <w:p>
            <w:pPr>
              <w:spacing w:line="360" w:lineRule="exact"/>
              <w:jc w:val="center"/>
              <w:rPr>
                <w:sz w:val="24"/>
                <w:szCs w:val="24"/>
                <w:lang w:eastAsia="en-US"/>
              </w:rPr>
            </w:pPr>
            <w:r>
              <w:rPr>
                <w:sz w:val="24"/>
                <w:szCs w:val="24"/>
              </w:rPr>
              <w:t>12月31日前</w:t>
            </w:r>
          </w:p>
        </w:tc>
      </w:tr>
    </w:tbl>
    <w:p>
      <w:pPr>
        <w:pStyle w:val="7"/>
        <w:spacing w:line="400" w:lineRule="exact"/>
        <w:ind w:left="846" w:leftChars="0" w:right="0" w:rightChars="0" w:hanging="846" w:hangingChars="300"/>
        <w:rPr>
          <w:rFonts w:ascii="方正仿宋_GBK" w:hAnsi="方正仿宋_GBK" w:cs="方正仿宋_GBK"/>
          <w:sz w:val="28"/>
          <w:szCs w:val="28"/>
        </w:rPr>
        <w:sectPr>
          <w:footerReference r:id="rId8" w:type="default"/>
          <w:footerReference r:id="rId9" w:type="even"/>
          <w:pgSz w:w="16838" w:h="11905" w:orient="landscape"/>
          <w:pgMar w:top="1587" w:right="2098" w:bottom="1474" w:left="1984" w:header="850" w:footer="992" w:gutter="0"/>
          <w:cols w:space="0" w:num="1"/>
          <w:docGrid w:type="linesAndChars" w:linePitch="442" w:charSpace="0"/>
        </w:sectPr>
      </w:pPr>
      <w:r>
        <w:rPr>
          <w:rFonts w:hint="eastAsia" w:ascii="方正仿宋_GBK" w:hAnsi="方正仿宋_GBK" w:cs="方正仿宋_GBK"/>
          <w:spacing w:val="1"/>
          <w:sz w:val="28"/>
          <w:szCs w:val="28"/>
        </w:rPr>
        <w:t>备注：本表中县级有关部门指县经济信息委、县民</w:t>
      </w:r>
      <w:r>
        <w:rPr>
          <w:rFonts w:hint="eastAsia" w:ascii="方正仿宋_GBK" w:hAnsi="方正仿宋_GBK" w:cs="方正仿宋_GBK"/>
          <w:sz w:val="28"/>
          <w:szCs w:val="28"/>
        </w:rPr>
        <w:t>政局、县规划自然资源局、县生态环境局、县住房城乡建委、县城市管理局、县交通局、县水利局、县农业农村委、县文化旅游委、县卫生健康委、县应急局、县市场监</w:t>
      </w:r>
      <w:r>
        <w:rPr>
          <w:rFonts w:hint="eastAsia" w:ascii="方正仿宋_GBK" w:hAnsi="方正仿宋_GBK" w:cs="方正仿宋_GBK"/>
          <w:spacing w:val="-3"/>
          <w:sz w:val="28"/>
          <w:szCs w:val="28"/>
        </w:rPr>
        <w:t>管局、县林业局、县人力社保局、县消防救援大队。</w:t>
      </w:r>
    </w:p>
    <w:p>
      <w:pPr>
        <w:spacing w:line="595" w:lineRule="exact"/>
      </w:pPr>
    </w:p>
    <w:p>
      <w:pPr>
        <w:spacing w:line="595" w:lineRule="exact"/>
      </w:pPr>
    </w:p>
    <w:p>
      <w:pPr>
        <w:spacing w:line="560" w:lineRule="exact"/>
        <w:rPr>
          <w:rFonts w:ascii="方正黑体_GBK" w:hAnsi="方正黑体_GBK" w:eastAsia="方正黑体_GBK" w:cs="方正黑体_GBK"/>
          <w:szCs w:val="32"/>
        </w:rPr>
      </w:pPr>
    </w:p>
    <w:p>
      <w:pPr>
        <w:spacing w:line="560" w:lineRule="exact"/>
        <w:rPr>
          <w:rFonts w:ascii="方正黑体_GBK" w:hAnsi="方正黑体_GBK" w:eastAsia="方正黑体_GBK" w:cs="方正黑体_GBK"/>
          <w:szCs w:val="32"/>
        </w:rPr>
      </w:pPr>
    </w:p>
    <w:p>
      <w:pPr>
        <w:pStyle w:val="6"/>
        <w:ind w:left="0" w:leftChars="0"/>
        <w:rPr>
          <w:rFonts w:ascii="方正黑体_GBK" w:hAnsi="方正黑体_GBK" w:eastAsia="方正黑体_GBK" w:cs="方正黑体_GBK"/>
          <w:szCs w:val="32"/>
        </w:rPr>
      </w:pPr>
    </w:p>
    <w:p/>
    <w:p>
      <w:pPr>
        <w:spacing w:line="560" w:lineRule="exact"/>
        <w:rPr>
          <w:rFonts w:ascii="方正黑体_GBK" w:hAnsi="方正黑体_GBK" w:eastAsia="方正黑体_GBK" w:cs="方正黑体_GBK"/>
          <w:szCs w:val="32"/>
        </w:rPr>
      </w:pPr>
    </w:p>
    <w:p>
      <w:pPr>
        <w:pStyle w:val="13"/>
        <w:ind w:left="0" w:leftChars="0" w:right="316" w:firstLine="0" w:firstLineChars="0"/>
      </w:pPr>
    </w:p>
    <w:p>
      <w:pPr>
        <w:pStyle w:val="13"/>
        <w:ind w:left="0" w:leftChars="0" w:right="316" w:firstLine="0" w:firstLineChars="0"/>
      </w:pPr>
    </w:p>
    <w:p>
      <w:pPr>
        <w:pStyle w:val="13"/>
        <w:ind w:left="0" w:leftChars="0" w:right="316" w:firstLine="0" w:firstLineChars="0"/>
      </w:pPr>
    </w:p>
    <w:p>
      <w:pPr>
        <w:spacing w:line="1000" w:lineRule="exact"/>
        <w:jc w:val="center"/>
        <w:rPr>
          <w:rFonts w:ascii="方正小标宋_GBK" w:hAnsi="宋体" w:eastAsia="方正小标宋_GBK" w:cs="宋体"/>
          <w:bCs/>
          <w:color w:val="FF0000"/>
          <w:spacing w:val="-20"/>
          <w:kern w:val="0"/>
          <w:sz w:val="66"/>
          <w:szCs w:val="66"/>
        </w:rPr>
      </w:pPr>
    </w:p>
    <w:p>
      <w:pPr>
        <w:spacing w:line="1000" w:lineRule="exact"/>
        <w:jc w:val="center"/>
        <w:rPr>
          <w:rFonts w:ascii="方正小标宋_GBK" w:hAnsi="宋体" w:eastAsia="方正小标宋_GBK" w:cs="宋体"/>
          <w:bCs/>
          <w:color w:val="FF0000"/>
          <w:spacing w:val="-20"/>
          <w:kern w:val="0"/>
          <w:sz w:val="66"/>
          <w:szCs w:val="66"/>
        </w:rPr>
      </w:pPr>
    </w:p>
    <w:p>
      <w:pPr>
        <w:spacing w:line="1000" w:lineRule="exact"/>
        <w:rPr>
          <w:rFonts w:ascii="方正小标宋_GBK" w:hAnsi="宋体" w:eastAsia="方正小标宋_GBK" w:cs="宋体"/>
          <w:bCs/>
          <w:color w:val="FF0000"/>
          <w:spacing w:val="-20"/>
          <w:kern w:val="0"/>
          <w:sz w:val="66"/>
          <w:szCs w:val="66"/>
        </w:rPr>
      </w:pPr>
    </w:p>
    <w:p>
      <w:pPr>
        <w:pStyle w:val="13"/>
        <w:ind w:left="316" w:right="316" w:firstLine="316"/>
      </w:pPr>
    </w:p>
    <w:p>
      <w:pPr>
        <w:pStyle w:val="13"/>
        <w:ind w:left="0" w:leftChars="0" w:right="316" w:firstLine="0" w:firstLineChars="0"/>
      </w:pPr>
    </w:p>
    <w:p>
      <w:pPr>
        <w:pStyle w:val="8"/>
        <w:ind w:left="632" w:right="316"/>
        <w:rPr>
          <w:color w:val="000000"/>
          <w:szCs w:val="32"/>
        </w:rPr>
      </w:pPr>
    </w:p>
    <w:p>
      <w:pPr>
        <w:pBdr>
          <w:top w:val="single" w:color="auto" w:sz="8" w:space="1"/>
        </w:pBdr>
        <w:shd w:val="clear" w:color="auto" w:fill="FFFFFF"/>
        <w:ind w:firstLine="276" w:firstLineChars="100"/>
        <w:rPr>
          <w:color w:val="000000"/>
          <w:sz w:val="28"/>
          <w:szCs w:val="28"/>
          <w:shd w:val="clear" w:color="auto" w:fill="FFFFFF"/>
        </w:rPr>
      </w:pPr>
      <w:r>
        <w:rPr>
          <w:color w:val="000000"/>
          <w:sz w:val="28"/>
          <w:szCs w:val="28"/>
          <w:shd w:val="clear" w:color="auto" w:fill="FFFFFF"/>
        </w:rPr>
        <w:t>抄送：</w:t>
      </w:r>
      <w:r>
        <w:rPr>
          <w:color w:val="000000"/>
          <w:spacing w:val="-4"/>
          <w:sz w:val="28"/>
          <w:szCs w:val="28"/>
          <w:shd w:val="clear" w:color="auto" w:fill="FFFFFF"/>
        </w:rPr>
        <w:t>县委各部委，县人大办，县政协办，县监委，县法院，县检察院</w:t>
      </w:r>
      <w:r>
        <w:rPr>
          <w:color w:val="000000"/>
          <w:sz w:val="28"/>
          <w:szCs w:val="28"/>
          <w:shd w:val="clear" w:color="auto" w:fill="FFFFFF"/>
        </w:rPr>
        <w:t>，</w:t>
      </w:r>
    </w:p>
    <w:p>
      <w:pPr>
        <w:shd w:val="clear" w:color="auto" w:fill="FFFFFF"/>
        <w:rPr>
          <w:color w:val="000000"/>
          <w:sz w:val="28"/>
          <w:szCs w:val="28"/>
          <w:shd w:val="clear" w:color="auto" w:fill="FFFFFF"/>
        </w:rPr>
      </w:pPr>
      <w:r>
        <w:rPr>
          <w:color w:val="000000"/>
          <w:sz w:val="28"/>
          <w:szCs w:val="28"/>
          <w:shd w:val="clear" w:color="auto" w:fill="FFFFFF"/>
        </w:rPr>
        <w:t xml:space="preserve">        县人武部，各人民团体。</w:t>
      </w:r>
    </w:p>
    <w:p>
      <w:pPr>
        <w:pBdr>
          <w:top w:val="single" w:color="auto" w:sz="8" w:space="0"/>
          <w:bottom w:val="single" w:color="auto" w:sz="8" w:space="0"/>
        </w:pBdr>
        <w:adjustRightInd w:val="0"/>
        <w:ind w:firstLine="276" w:firstLineChars="100"/>
        <w:rPr>
          <w:bCs/>
        </w:rPr>
      </w:pPr>
      <w:r>
        <w:rPr>
          <w:color w:val="000000"/>
          <w:sz w:val="28"/>
          <w:szCs w:val="28"/>
          <w:shd w:val="clear" w:color="auto" w:fill="FFFFFF"/>
        </w:rPr>
        <w:t xml:space="preserve"> 酉阳土家族苗族自治县人民政府办公室     2023年1</w:t>
      </w:r>
      <w:r>
        <w:rPr>
          <w:rFonts w:hint="eastAsia"/>
          <w:color w:val="000000"/>
          <w:sz w:val="28"/>
          <w:szCs w:val="28"/>
          <w:shd w:val="clear" w:color="auto" w:fill="FFFFFF"/>
        </w:rPr>
        <w:t>1</w:t>
      </w:r>
      <w:r>
        <w:rPr>
          <w:color w:val="000000"/>
          <w:sz w:val="28"/>
          <w:szCs w:val="28"/>
          <w:shd w:val="clear" w:color="auto" w:fill="FFFFFF"/>
        </w:rPr>
        <w:t>月</w:t>
      </w:r>
      <w:r>
        <w:rPr>
          <w:rFonts w:hint="eastAsia"/>
          <w:color w:val="000000"/>
          <w:sz w:val="28"/>
          <w:szCs w:val="28"/>
          <w:shd w:val="clear" w:color="auto" w:fill="FFFFFF"/>
        </w:rPr>
        <w:t>29</w:t>
      </w:r>
      <w:r>
        <w:rPr>
          <w:color w:val="000000"/>
          <w:sz w:val="28"/>
          <w:szCs w:val="28"/>
          <w:shd w:val="clear" w:color="auto" w:fill="FFFFFF"/>
        </w:rPr>
        <w:t>日印发</w:t>
      </w:r>
      <w:r>
        <w:rPr>
          <w:szCs w:val="32"/>
        </w:rPr>
        <w:t xml:space="preserve">  </w:t>
      </w:r>
    </w:p>
    <w:sectPr>
      <w:footerReference r:id="rId10" w:type="default"/>
      <w:footerReference r:id="rId11" w:type="even"/>
      <w:pgSz w:w="11905" w:h="16838"/>
      <w:pgMar w:top="2098" w:right="1531" w:bottom="1985" w:left="1531" w:header="851" w:footer="1474" w:gutter="0"/>
      <w:cols w:space="0" w:num="1"/>
      <w:docGrid w:type="linesAndChars" w:linePitch="579" w:charSpace="-8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29831900"/>
    </w:sdtPr>
    <w:sdtEndPr>
      <w:rPr>
        <w:rFonts w:asciiTheme="minorEastAsia" w:hAnsiTheme="minorEastAsia" w:eastAsiaTheme="minorEastAsia"/>
        <w:sz w:val="28"/>
        <w:szCs w:val="28"/>
      </w:rPr>
    </w:sdtEndPr>
    <w:sdtContent>
      <w:p>
        <w:pPr>
          <w:pStyle w:val="9"/>
          <w:ind w:right="357"/>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29831910"/>
    </w:sdtPr>
    <w:sdtEndPr>
      <w:rPr>
        <w:rFonts w:asciiTheme="minorEastAsia" w:hAnsiTheme="minorEastAsia" w:eastAsiaTheme="minorEastAsia"/>
        <w:sz w:val="28"/>
        <w:szCs w:val="28"/>
      </w:rPr>
    </w:sdtEndPr>
    <w:sdtContent>
      <w:p>
        <w:pPr>
          <w:pStyle w:val="9"/>
          <w:ind w:left="357"/>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29831931"/>
    </w:sdtPr>
    <w:sdtEndPr>
      <w:rPr>
        <w:rFonts w:asciiTheme="minorEastAsia" w:hAnsiTheme="minorEastAsia" w:eastAsiaTheme="minorEastAsia"/>
        <w:sz w:val="28"/>
        <w:szCs w:val="28"/>
      </w:rPr>
    </w:sdtEndPr>
    <w:sdtContent>
      <w:p>
        <w:pPr>
          <w:pStyle w:val="9"/>
          <w:ind w:right="357"/>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29831920"/>
    </w:sdtPr>
    <w:sdtEndPr>
      <w:rPr>
        <w:rFonts w:asciiTheme="minorEastAsia" w:hAnsiTheme="minorEastAsia" w:eastAsiaTheme="minorEastAsia"/>
        <w:sz w:val="28"/>
        <w:szCs w:val="28"/>
      </w:rPr>
    </w:sdtEndPr>
    <w:sdtContent>
      <w:p>
        <w:pPr>
          <w:pStyle w:val="9"/>
          <w:ind w:left="357"/>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10</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29831972"/>
    </w:sdtPr>
    <w:sdtEndPr>
      <w:rPr>
        <w:rFonts w:asciiTheme="minorEastAsia" w:hAnsiTheme="minorEastAsia" w:eastAsiaTheme="minorEastAsia"/>
        <w:sz w:val="28"/>
        <w:szCs w:val="28"/>
      </w:rPr>
    </w:sdtEndPr>
    <w:sdtContent>
      <w:p>
        <w:pPr>
          <w:pStyle w:val="9"/>
          <w:ind w:right="357"/>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33</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831961"/>
    </w:sdtPr>
    <w:sdtContent>
      <w:p>
        <w:pPr>
          <w:pStyle w:val="9"/>
          <w:ind w:left="357"/>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29"/>
      <w:rPr>
        <w:rFonts w:ascii="宋体" w:hAnsi="宋体" w:eastAsia="宋体" w:cs="宋体"/>
        <w:sz w:val="28"/>
        <w:szCs w:val="2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29831982"/>
    </w:sdtPr>
    <w:sdtEndPr>
      <w:rPr>
        <w:rFonts w:asciiTheme="minorEastAsia" w:hAnsiTheme="minorEastAsia" w:eastAsiaTheme="minorEastAsia"/>
        <w:sz w:val="28"/>
        <w:szCs w:val="28"/>
      </w:rPr>
    </w:sdtEndPr>
    <w:sdtContent>
      <w:p>
        <w:pPr>
          <w:pStyle w:val="9"/>
          <w:ind w:left="357"/>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36</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U3ZGUyYzJhYjVlODJiZjNhZDljYmFiN2JlODRmZjIifQ=="/>
  </w:docVars>
  <w:rsids>
    <w:rsidRoot w:val="4A9A69D7"/>
    <w:rsid w:val="00047684"/>
    <w:rsid w:val="000E3D75"/>
    <w:rsid w:val="000E66E1"/>
    <w:rsid w:val="00896D54"/>
    <w:rsid w:val="009F2E85"/>
    <w:rsid w:val="00B94B55"/>
    <w:rsid w:val="00EB0AA1"/>
    <w:rsid w:val="00EF752D"/>
    <w:rsid w:val="00F04C16"/>
    <w:rsid w:val="05DC24A5"/>
    <w:rsid w:val="06292327"/>
    <w:rsid w:val="0E51464F"/>
    <w:rsid w:val="11830D00"/>
    <w:rsid w:val="195203E7"/>
    <w:rsid w:val="216F6F8C"/>
    <w:rsid w:val="220C2D66"/>
    <w:rsid w:val="22E07C5E"/>
    <w:rsid w:val="23D137FE"/>
    <w:rsid w:val="2522122B"/>
    <w:rsid w:val="28951D48"/>
    <w:rsid w:val="2C615213"/>
    <w:rsid w:val="2E1B137A"/>
    <w:rsid w:val="32CD7B42"/>
    <w:rsid w:val="32D0288E"/>
    <w:rsid w:val="338F2B5D"/>
    <w:rsid w:val="33C913EC"/>
    <w:rsid w:val="3B3B611D"/>
    <w:rsid w:val="3D346EA6"/>
    <w:rsid w:val="42C270BD"/>
    <w:rsid w:val="444059B8"/>
    <w:rsid w:val="445A3FD4"/>
    <w:rsid w:val="448E0E70"/>
    <w:rsid w:val="45FF384A"/>
    <w:rsid w:val="47C56BFB"/>
    <w:rsid w:val="482D57CE"/>
    <w:rsid w:val="4A9A69D7"/>
    <w:rsid w:val="4F95009B"/>
    <w:rsid w:val="57870F38"/>
    <w:rsid w:val="5C4D27CF"/>
    <w:rsid w:val="603336E5"/>
    <w:rsid w:val="615333EF"/>
    <w:rsid w:val="6275506A"/>
    <w:rsid w:val="63FD78E1"/>
    <w:rsid w:val="6BFF783D"/>
    <w:rsid w:val="6C35427F"/>
    <w:rsid w:val="70EC4A5A"/>
    <w:rsid w:val="70EF4DA1"/>
    <w:rsid w:val="71EB126A"/>
    <w:rsid w:val="737B46D3"/>
    <w:rsid w:val="76840F6E"/>
    <w:rsid w:val="7B6E1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自选图形 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3">
    <w:name w:val="heading 1"/>
    <w:basedOn w:val="1"/>
    <w:next w:val="1"/>
    <w:qFormat/>
    <w:uiPriority w:val="0"/>
    <w:pPr>
      <w:keepNext/>
      <w:keepLines/>
      <w:spacing w:line="576" w:lineRule="auto"/>
      <w:jc w:val="left"/>
      <w:outlineLvl w:val="0"/>
    </w:pPr>
    <w:rPr>
      <w:rFonts w:eastAsia="Times New Roman"/>
      <w:b/>
      <w:bCs/>
      <w:kern w:val="44"/>
      <w:sz w:val="44"/>
      <w:szCs w:val="44"/>
    </w:rPr>
  </w:style>
  <w:style w:type="paragraph" w:styleId="4">
    <w:name w:val="heading 2"/>
    <w:basedOn w:val="1"/>
    <w:next w:val="1"/>
    <w:link w:val="20"/>
    <w:unhideWhenUsed/>
    <w:qFormat/>
    <w:uiPriority w:val="0"/>
    <w:pPr>
      <w:adjustRightInd w:val="0"/>
      <w:ind w:firstLine="632" w:firstLineChars="200"/>
      <w:outlineLvl w:val="1"/>
    </w:pPr>
    <w:rPr>
      <w:rFonts w:eastAsia="方正黑体_GBK"/>
    </w:rPr>
  </w:style>
  <w:style w:type="paragraph" w:styleId="5">
    <w:name w:val="heading 3"/>
    <w:basedOn w:val="1"/>
    <w:next w:val="1"/>
    <w:unhideWhenUsed/>
    <w:qFormat/>
    <w:uiPriority w:val="0"/>
    <w:pPr>
      <w:adjustRightInd w:val="0"/>
      <w:ind w:firstLine="632" w:firstLineChars="200"/>
      <w:outlineLvl w:val="2"/>
    </w:pPr>
    <w:rPr>
      <w:rFonts w:eastAsia="方正楷体_GBK"/>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6">
    <w:name w:val="Normal Indent"/>
    <w:basedOn w:val="1"/>
    <w:qFormat/>
    <w:uiPriority w:val="0"/>
    <w:pPr>
      <w:ind w:left="200" w:leftChars="200"/>
    </w:pPr>
    <w:rPr>
      <w:kern w:val="0"/>
    </w:rPr>
  </w:style>
  <w:style w:type="paragraph" w:styleId="7">
    <w:name w:val="Body Text"/>
    <w:basedOn w:val="1"/>
    <w:next w:val="1"/>
    <w:qFormat/>
    <w:uiPriority w:val="0"/>
    <w:pPr>
      <w:ind w:left="100" w:leftChars="100" w:right="100" w:rightChars="100"/>
    </w:pPr>
  </w:style>
  <w:style w:type="paragraph" w:styleId="8">
    <w:name w:val="Body Text Indent"/>
    <w:basedOn w:val="1"/>
    <w:link w:val="31"/>
    <w:qFormat/>
    <w:uiPriority w:val="0"/>
    <w:pPr>
      <w:spacing w:after="120"/>
      <w:ind w:left="420" w:leftChars="200"/>
    </w:pPr>
  </w:style>
  <w:style w:type="paragraph" w:styleId="9">
    <w:name w:val="footer"/>
    <w:basedOn w:val="1"/>
    <w:next w:val="10"/>
    <w:link w:val="30"/>
    <w:qFormat/>
    <w:uiPriority w:val="99"/>
    <w:pPr>
      <w:tabs>
        <w:tab w:val="center" w:pos="4153"/>
        <w:tab w:val="right" w:pos="8306"/>
      </w:tabs>
      <w:snapToGrid w:val="0"/>
      <w:jc w:val="left"/>
    </w:pPr>
    <w:rPr>
      <w:sz w:val="18"/>
    </w:rPr>
  </w:style>
  <w:style w:type="paragraph" w:customStyle="1" w:styleId="10">
    <w:name w:val="索引 51"/>
    <w:basedOn w:val="1"/>
    <w:next w:val="1"/>
    <w:qFormat/>
    <w:uiPriority w:val="0"/>
    <w:pPr>
      <w:ind w:left="1680"/>
    </w:pPr>
  </w:style>
  <w:style w:type="paragraph" w:styleId="11">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Autospacing="1" w:afterAutospacing="1"/>
      <w:jc w:val="left"/>
    </w:pPr>
    <w:rPr>
      <w:kern w:val="0"/>
      <w:sz w:val="24"/>
    </w:rPr>
  </w:style>
  <w:style w:type="paragraph" w:styleId="13">
    <w:name w:val="Body Text First Indent"/>
    <w:basedOn w:val="7"/>
    <w:qFormat/>
    <w:uiPriority w:val="0"/>
    <w:pPr>
      <w:ind w:firstLine="420" w:firstLineChars="100"/>
    </w:pPr>
  </w:style>
  <w:style w:type="paragraph" w:customStyle="1" w:styleId="16">
    <w:name w:val="Heading1"/>
    <w:next w:val="1"/>
    <w:qFormat/>
    <w:uiPriority w:val="0"/>
    <w:pPr>
      <w:keepNext/>
      <w:keepLines/>
      <w:widowControl w:val="0"/>
      <w:spacing w:line="576" w:lineRule="auto"/>
      <w:textAlignment w:val="baseline"/>
    </w:pPr>
    <w:rPr>
      <w:rFonts w:ascii="Times New Roman" w:hAnsi="Times New Roman" w:eastAsia="Times New Roman" w:cs="Times New Roman"/>
      <w:b/>
      <w:bCs/>
      <w:kern w:val="44"/>
      <w:sz w:val="44"/>
      <w:szCs w:val="44"/>
      <w:lang w:val="en-US" w:eastAsia="zh-CN" w:bidi="ar-SA"/>
    </w:rPr>
  </w:style>
  <w:style w:type="paragraph" w:customStyle="1" w:styleId="17">
    <w:name w:val="正文缩进2"/>
    <w:qFormat/>
    <w:uiPriority w:val="0"/>
    <w:pPr>
      <w:widowControl w:val="0"/>
      <w:jc w:val="both"/>
    </w:pPr>
    <w:rPr>
      <w:rFonts w:ascii="Times New Roman" w:hAnsi="Times New Roman" w:eastAsia="宋体" w:cs="Times New Roman"/>
      <w:sz w:val="24"/>
      <w:szCs w:val="24"/>
      <w:lang w:val="en-US" w:eastAsia="zh-CN" w:bidi="ar-SA"/>
    </w:rPr>
  </w:style>
  <w:style w:type="character" w:customStyle="1" w:styleId="18">
    <w:name w:val="正文文本 (3)_"/>
    <w:link w:val="19"/>
    <w:qFormat/>
    <w:uiPriority w:val="0"/>
    <w:rPr>
      <w:rFonts w:ascii="宋体" w:hAnsi="宋体"/>
      <w:kern w:val="0"/>
      <w:sz w:val="26"/>
      <w:szCs w:val="20"/>
    </w:rPr>
  </w:style>
  <w:style w:type="paragraph" w:customStyle="1" w:styleId="19">
    <w:name w:val="正文文本 (3)"/>
    <w:basedOn w:val="1"/>
    <w:link w:val="18"/>
    <w:qFormat/>
    <w:uiPriority w:val="0"/>
    <w:pPr>
      <w:shd w:val="clear" w:color="auto" w:fill="FFFFFF"/>
      <w:spacing w:line="586" w:lineRule="exact"/>
      <w:jc w:val="distribute"/>
    </w:pPr>
    <w:rPr>
      <w:rFonts w:ascii="宋体" w:hAnsi="宋体"/>
      <w:kern w:val="0"/>
      <w:sz w:val="26"/>
      <w:szCs w:val="20"/>
    </w:rPr>
  </w:style>
  <w:style w:type="character" w:customStyle="1" w:styleId="20">
    <w:name w:val="标题 2 Char"/>
    <w:link w:val="4"/>
    <w:qFormat/>
    <w:uiPriority w:val="0"/>
    <w:rPr>
      <w:rFonts w:ascii="Times New Roman" w:hAnsi="Times New Roman" w:eastAsia="方正黑体_GBK" w:cs="Times New Roman"/>
      <w:kern w:val="2"/>
      <w:sz w:val="32"/>
      <w:lang w:val="en-US" w:eastAsia="zh-CN" w:bidi="ar-SA"/>
    </w:rPr>
  </w:style>
  <w:style w:type="character" w:customStyle="1" w:styleId="21">
    <w:name w:val="font71"/>
    <w:basedOn w:val="15"/>
    <w:qFormat/>
    <w:uiPriority w:val="0"/>
    <w:rPr>
      <w:rFonts w:hint="eastAsia" w:ascii="方正仿宋_GBK" w:hAnsi="方正仿宋_GBK" w:eastAsia="方正仿宋_GBK" w:cs="方正仿宋_GBK"/>
      <w:color w:val="000000"/>
      <w:kern w:val="0"/>
      <w:sz w:val="21"/>
      <w:szCs w:val="21"/>
      <w:u w:val="none"/>
    </w:rPr>
  </w:style>
  <w:style w:type="character" w:customStyle="1" w:styleId="22">
    <w:name w:val="font21"/>
    <w:basedOn w:val="15"/>
    <w:qFormat/>
    <w:uiPriority w:val="0"/>
    <w:rPr>
      <w:rFonts w:hint="eastAsia" w:ascii="方正仿宋_GBK" w:hAnsi="方正仿宋_GBK" w:eastAsia="方正仿宋_GBK" w:cs="方正仿宋_GBK"/>
      <w:b/>
      <w:color w:val="FF0000"/>
      <w:kern w:val="0"/>
      <w:sz w:val="21"/>
      <w:szCs w:val="21"/>
      <w:u w:val="none"/>
    </w:rPr>
  </w:style>
  <w:style w:type="character" w:customStyle="1" w:styleId="23">
    <w:name w:val="font41"/>
    <w:basedOn w:val="15"/>
    <w:qFormat/>
    <w:uiPriority w:val="0"/>
    <w:rPr>
      <w:rFonts w:hint="eastAsia" w:ascii="方正仿宋_GBK" w:hAnsi="方正仿宋_GBK" w:eastAsia="方正仿宋_GBK" w:cs="方正仿宋_GBK"/>
      <w:color w:val="000000"/>
      <w:sz w:val="24"/>
      <w:szCs w:val="24"/>
      <w:u w:val="none"/>
    </w:rPr>
  </w:style>
  <w:style w:type="character" w:customStyle="1" w:styleId="24">
    <w:name w:val="font81"/>
    <w:basedOn w:val="15"/>
    <w:qFormat/>
    <w:uiPriority w:val="0"/>
    <w:rPr>
      <w:rFonts w:hint="eastAsia" w:ascii="方正仿宋_GBK" w:hAnsi="方正仿宋_GBK" w:eastAsia="方正仿宋_GBK" w:cs="方正仿宋_GBK"/>
      <w:color w:val="FF0000"/>
      <w:kern w:val="0"/>
      <w:sz w:val="21"/>
      <w:szCs w:val="21"/>
      <w:u w:val="none"/>
    </w:rPr>
  </w:style>
  <w:style w:type="character" w:customStyle="1" w:styleId="25">
    <w:name w:val="font01"/>
    <w:basedOn w:val="15"/>
    <w:qFormat/>
    <w:uiPriority w:val="0"/>
    <w:rPr>
      <w:rFonts w:hint="eastAsia" w:ascii="方正仿宋_GBK" w:hAnsi="方正仿宋_GBK" w:eastAsia="方正仿宋_GBK" w:cs="方正仿宋_GBK"/>
      <w:b/>
      <w:color w:val="FF0000"/>
      <w:kern w:val="0"/>
      <w:sz w:val="21"/>
      <w:szCs w:val="21"/>
      <w:u w:val="none"/>
    </w:rPr>
  </w:style>
  <w:style w:type="character" w:customStyle="1" w:styleId="26">
    <w:name w:val="font11"/>
    <w:basedOn w:val="15"/>
    <w:qFormat/>
    <w:uiPriority w:val="0"/>
    <w:rPr>
      <w:rFonts w:hint="eastAsia" w:ascii="方正仿宋_GBK" w:hAnsi="方正仿宋_GBK" w:eastAsia="方正仿宋_GBK" w:cs="方正仿宋_GBK"/>
      <w:color w:val="000000"/>
      <w:sz w:val="24"/>
      <w:szCs w:val="24"/>
      <w:u w:val="none"/>
    </w:rPr>
  </w:style>
  <w:style w:type="table" w:customStyle="1" w:styleId="27">
    <w:name w:val="Table Normal"/>
    <w:unhideWhenUsed/>
    <w:qFormat/>
    <w:uiPriority w:val="0"/>
    <w:tblPr>
      <w:tblCellMar>
        <w:top w:w="0" w:type="dxa"/>
        <w:left w:w="0" w:type="dxa"/>
        <w:bottom w:w="0" w:type="dxa"/>
        <w:right w:w="0" w:type="dxa"/>
      </w:tblCellMar>
    </w:tblPr>
  </w:style>
  <w:style w:type="paragraph" w:customStyle="1" w:styleId="28">
    <w:name w:val="Table Text"/>
    <w:basedOn w:val="1"/>
    <w:semiHidden/>
    <w:qFormat/>
    <w:uiPriority w:val="0"/>
    <w:rPr>
      <w:rFonts w:ascii="微软雅黑" w:hAnsi="微软雅黑" w:eastAsia="微软雅黑" w:cs="微软雅黑"/>
      <w:sz w:val="28"/>
      <w:szCs w:val="28"/>
      <w:lang w:eastAsia="en-US"/>
    </w:rPr>
  </w:style>
  <w:style w:type="character" w:customStyle="1" w:styleId="29">
    <w:name w:val="页眉 Char"/>
    <w:basedOn w:val="15"/>
    <w:link w:val="11"/>
    <w:qFormat/>
    <w:uiPriority w:val="0"/>
    <w:rPr>
      <w:rFonts w:ascii="Times New Roman" w:hAnsi="Times New Roman" w:eastAsia="方正仿宋_GBK" w:cs="Times New Roman"/>
      <w:kern w:val="2"/>
      <w:sz w:val="18"/>
      <w:szCs w:val="18"/>
    </w:rPr>
  </w:style>
  <w:style w:type="character" w:customStyle="1" w:styleId="30">
    <w:name w:val="页脚 Char"/>
    <w:basedOn w:val="15"/>
    <w:link w:val="9"/>
    <w:qFormat/>
    <w:uiPriority w:val="99"/>
    <w:rPr>
      <w:rFonts w:ascii="Times New Roman" w:hAnsi="Times New Roman" w:eastAsia="方正仿宋_GBK" w:cs="Times New Roman"/>
      <w:kern w:val="2"/>
      <w:sz w:val="18"/>
      <w:szCs w:val="22"/>
    </w:rPr>
  </w:style>
  <w:style w:type="character" w:customStyle="1" w:styleId="31">
    <w:name w:val="正文文本缩进 Char"/>
    <w:basedOn w:val="15"/>
    <w:link w:val="8"/>
    <w:qFormat/>
    <w:uiPriority w:val="0"/>
    <w:rPr>
      <w:rFonts w:ascii="Times New Roman" w:hAnsi="Times New Roman" w:eastAsia="方正仿宋_GBK" w:cs="Times New Roman"/>
      <w:kern w:val="2"/>
      <w:sz w:val="32"/>
      <w:szCs w:val="22"/>
    </w:rPr>
  </w:style>
  <w:style w:type="paragraph" w:customStyle="1" w:styleId="32">
    <w:name w:val="引文目录标题1"/>
    <w:basedOn w:val="1"/>
    <w:next w:val="1"/>
    <w:qFormat/>
    <w:uiPriority w:val="0"/>
    <w:rPr>
      <w:rFonts w:ascii="Arial" w:hAnsi="Arial" w:cs="Arial"/>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customShpInfo spid="_x0000_s2052"/>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9A2575-6709-44AE-AD95-B01000454204}">
  <ds:schemaRefs/>
</ds:datastoreItem>
</file>

<file path=docProps/app.xml><?xml version="1.0" encoding="utf-8"?>
<Properties xmlns="http://schemas.openxmlformats.org/officeDocument/2006/extended-properties" xmlns:vt="http://schemas.openxmlformats.org/officeDocument/2006/docPropsVTypes">
  <Template>Normal</Template>
  <Pages>36</Pages>
  <Words>18969</Words>
  <Characters>1794</Characters>
  <Lines>14</Lines>
  <Paragraphs>41</Paragraphs>
  <TotalTime>7</TotalTime>
  <ScaleCrop>false</ScaleCrop>
  <LinksUpToDate>false</LinksUpToDate>
  <CharactersWithSpaces>20722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2023-11-30T06:27:00Z</dcterms:created>
  <dc:creator>徐秋艳</dc:creator>
  <cp:lastModifiedBy>峰</cp:lastModifiedBy>
  <cp:lastPrinted>2023-11-30T06:38:00Z</cp:lastPrinted>
  <dcterms:modified xsi:type="dcterms:W3CDTF">2023-12-01T02:39:27Z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E345A29DFCF54DAF960630166014F5CA</vt:lpwstr>
  </property>
</Properties>
</file>