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方正小标宋_GBK" w:hAnsi="方正小标宋_GBK" w:eastAsia="方正小标宋_GBK" w:cs="方正小标宋_GBK"/>
          <w:vanish/>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方正小标宋_GBK" w:hAnsi="方正小标宋_GBK" w:eastAsia="方正小标宋_GBK" w:cs="方正小标宋_GBK"/>
          <w:vanish/>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酉阳土家族苗族自治县人民政府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关于公布酉阳自治县国有建设用地使用权土地级别和基准地价的通知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酉阳府发〔2016〕23号</w:t>
      </w:r>
    </w:p>
    <w:p>
      <w:pPr>
        <w:pStyle w:val="8"/>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各乡镇人民政府，各街道办事处，县府各部门，有关单位：</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中华人民共和国城市房地产管理法》、《重庆市国有建设用地使用权出让管理实施办法》（渝府发〔2008〕119号）、《重庆市国土房管局关于部署开展国有建设用地使用权基准地价调整更新工作的通知》（渝国土房管〔2016〕395号）和《重庆市国土房管局关于印发区县（自治县）国有建设用地使用权基准地价平衡调整方案的通知》（渝国土房管〔2016〕649号）的要求，我县编制形成酉阳自治县国有建设用地使用权土地级别和基准地价调整更新成果，并经2016年县政府第72次常务会议审议通过，现予以公布，并就有关事项通知如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一、基准地价是政府管理和调控土地市场的基本手段，是制定土地税费、核算土地资产收益的主要依据，县府有关部门和有关单位应认真遵照执行。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二、本通知自2016年9月25日起执行，《酉阳土家族苗族自治县人民政府关于转发重庆市人民政府&lt;关于颁布重庆市国有土地使用权基准地价和公示地价&gt;的通知》（酉阳府发〔2000〕109号）同步废止。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（一）2016年9月25日前（不含 9月25日）县国土房管局受理的业务审批件，仍按渝国土房管发〔2007〕779号文件公布的土地级别和《酉阳土家族苗族自治县人民政府关于转发重庆市人民政府&lt;关于颁布重庆市国有土地使用权基准地价和公示地价&gt;的通知》（酉阳府发〔2000〕109号）的相关规定执行（以行政审批业务受理凭证开具时间为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（二）2016年9月25日后（含9月25日）县国土房管局受理的业务审批件，均按本通知公布的土地级别执行。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三、县府有关部门和有关单位要全面做好相关政策的衔接工作，施行中的具体问题由县国土房管局负责解释。</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四、若个别区域土地级别的影响因素发生明显变化，土地级别需作调整或执行中的其他问题，请各有关部门和单位及时向县人民政府反馈。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五、各有关部门和单位务必严格执行本通知的有关要求，凡弄虚作假、违反政策的，将从严追究责任单位和责任人责任。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附件：1.酉阳自治县国有建设用地使用权基准地价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2.酉阳自治县国有建设用地土地级别册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3.酉阳自治县国有建设用地使用权基准地价说明</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酉阳土家族苗族自治县人民政府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right"/>
        <w:textAlignment w:val="auto"/>
        <w:rPr>
          <w:rFonts w:hint="eastAsia" w:ascii="仿宋" w:hAnsi="仿宋" w:eastAsia="仿宋" w:cs="仿宋"/>
          <w:sz w:val="31"/>
          <w:szCs w:val="31"/>
        </w:rPr>
      </w:pPr>
      <w:r>
        <w:rPr>
          <w:rFonts w:hint="eastAsia" w:ascii="方正仿宋_GBK" w:hAnsi="方正仿宋_GBK" w:eastAsia="方正仿宋_GBK" w:cs="方正仿宋_GBK"/>
          <w:sz w:val="32"/>
          <w:szCs w:val="32"/>
        </w:rPr>
        <w:t>2016年9月23日       </w:t>
      </w:r>
      <w:r>
        <w:rPr>
          <w:rFonts w:hint="eastAsia" w:ascii="仿宋" w:hAnsi="仿宋" w:eastAsia="仿宋" w:cs="仿宋"/>
          <w:sz w:val="31"/>
          <w:szCs w:val="31"/>
        </w:rPr>
        <w:t xml:space="preserve">   </w:t>
      </w:r>
    </w:p>
    <w:p>
      <w:pPr>
        <w:pStyle w:val="8"/>
        <w:keepNext w:val="0"/>
        <w:keepLines w:val="0"/>
        <w:widowControl/>
        <w:suppressLineNumbers w:val="0"/>
        <w:spacing w:before="0" w:beforeAutospacing="0" w:after="0" w:afterAutospacing="0" w:line="570" w:lineRule="atLeas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36"/>
          <w:szCs w:val="36"/>
        </w:rPr>
        <w:t>酉阳自治县国有建设用地使用权基准地价</w:t>
      </w:r>
    </w:p>
    <w:p>
      <w:pPr>
        <w:pStyle w:val="8"/>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单位：元/平方米（建筑面积）</w:t>
      </w:r>
    </w:p>
    <w:tbl>
      <w:tblPr>
        <w:tblStyle w:val="9"/>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97"/>
        <w:gridCol w:w="2059"/>
        <w:gridCol w:w="2059"/>
        <w:gridCol w:w="2049"/>
        <w:gridCol w:w="20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vMerge w:val="restart"/>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级别</w:t>
            </w:r>
          </w:p>
        </w:tc>
        <w:tc>
          <w:tcPr>
            <w:tcW w:w="0" w:type="auto"/>
            <w:gridSpan w:val="4"/>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土地用途及基准地价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商业（40年）</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办公（40年）</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住宅（70年）</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工业（50年）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1150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980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890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760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650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680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370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280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w:t>
            </w:r>
          </w:p>
        </w:tc>
      </w:tr>
    </w:tbl>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备注：1.基准地价期日为2016年1月1日。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2.基准地价对应容积率为：商业、办公3.0、住宅2.5、工业1.0。</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3.土地使用权年限为：商业、办公40年，住宅70年，工业50年。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4.开发程度为：商业、办公、住宅“六通一平”，指宗地外通路、通电、通讯、通上水、通下水、通燃气及宗地内场地平整；工业“五通一平”，指宗地外通路、通电、通讯、通上水、通下水及宗地内场地平整。</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ascii="黑体" w:hAnsi="宋体" w:eastAsia="黑体" w:cs="黑体"/>
          <w:sz w:val="31"/>
          <w:szCs w:val="31"/>
        </w:rPr>
      </w:pPr>
    </w:p>
    <w:p>
      <w:pPr>
        <w:pStyle w:val="8"/>
        <w:keepNext w:val="0"/>
        <w:keepLines w:val="0"/>
        <w:widowControl/>
        <w:suppressLineNumbers w:val="0"/>
        <w:spacing w:before="0" w:beforeAutospacing="0" w:after="0" w:afterAutospacing="0" w:line="570" w:lineRule="atLeast"/>
        <w:jc w:val="left"/>
        <w:rPr>
          <w:rFonts w:ascii="黑体" w:hAnsi="宋体" w:eastAsia="黑体" w:cs="黑体"/>
          <w:sz w:val="31"/>
          <w:szCs w:val="31"/>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36"/>
          <w:szCs w:val="36"/>
        </w:rPr>
        <w:t>酉阳自治县国有建设用地土地级别册</w:t>
      </w:r>
    </w:p>
    <w:tbl>
      <w:tblPr>
        <w:tblStyle w:val="9"/>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67"/>
        <w:gridCol w:w="6040"/>
        <w:gridCol w:w="549"/>
        <w:gridCol w:w="549"/>
        <w:gridCol w:w="550"/>
        <w:gridCol w:w="5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Header/>
          <w:tblCellSpacing w:w="0" w:type="dxa"/>
          <w:jc w:val="center"/>
        </w:trPr>
        <w:tc>
          <w:tcPr>
            <w:tcW w:w="0" w:type="auto"/>
            <w:vMerge w:val="restart"/>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序号</w:t>
            </w:r>
          </w:p>
        </w:tc>
        <w:tc>
          <w:tcPr>
            <w:tcW w:w="0" w:type="auto"/>
            <w:vMerge w:val="restart"/>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土地坐落</w:t>
            </w:r>
          </w:p>
        </w:tc>
        <w:tc>
          <w:tcPr>
            <w:tcW w:w="0" w:type="auto"/>
            <w:gridSpan w:val="4"/>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土地级别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Header/>
          <w:tblCellSpacing w:w="0" w:type="dxa"/>
          <w:jc w:val="center"/>
        </w:trPr>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rPr>
            </w:pPr>
          </w:p>
        </w:tc>
        <w:tc>
          <w:tcPr>
            <w:tcW w:w="0" w:type="auto"/>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rPr>
            </w:pP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商业</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办公</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住宅</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工业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县城规划区范围内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桃花源大道（城南公交车总站到城北怡豪路）</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酉兴路东段（城北车站至鲤鱼桥）</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城南车站至环城路地段</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城东大道（原饮料厂至酉州商业城地段）</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城北怡豪路至阳光溪谷地段（含龙泉府邸、龙湾国际、县财政局新大楼地段）</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酉州商业城至土家八千地段</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城北车站三叉路交界处至实验中学（东风坝）</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城南公交车总站向南的城镇规划区范围内</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东、西环城路及石柱溪片区地段</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酉兴路东段（怡豪大酒店至鲤鱼桥）</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土家八千向南的城镇规划区范围内</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小坝组团规划区范围内地块</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板溪组团规划区范围内</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渤海组团规划区范围内</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城北二酉山片区</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钟多街道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县城规划区外周边国有建设用地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17</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桃花源街道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县城规划区外周边国有建设用地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19</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板溪镇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县城规划区外周边地块</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龙潭镇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酉阳一中至龙潭中学临街范围内</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麻旺镇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麻旺物流园及麻旺镇老街国有建设用地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27</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28</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29</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龚滩镇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集镇移民新区范围内国有建设用地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酉酬镇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大溪镇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37</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38</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39</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黑水镇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丁市镇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李溪镇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47</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48</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苍岭镇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49</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小河镇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兴隆镇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57</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酉水河镇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58</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59</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泔溪镇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集镇规划区外周边国有建设用地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涂市乡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铜鼓乡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67</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可大乡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68</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69</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五福乡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偏柏乡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木叶乡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毛坝乡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77</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花田乡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78</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79</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后坪乡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天馆乡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宜居乡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万木乡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87</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两罾乡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88</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89</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板桥乡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官清乡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南腰界乡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车田乡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97</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腴地乡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98</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99</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清泉乡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101</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庙溪乡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102</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103</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双泉乡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104</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浪坪乡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107</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gridSpan w:val="6"/>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楠木乡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108</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集镇规划区范围内国有建设用地</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109</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其他未列区域</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0" w:type="auto"/>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r>
    </w:tbl>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r>
        <w:rPr>
          <w:rFonts w:hint="eastAsia" w:ascii="仿宋" w:hAnsi="仿宋" w:eastAsia="仿宋" w:cs="仿宋"/>
          <w:sz w:val="31"/>
          <w:szCs w:val="31"/>
        </w:rPr>
        <w:t> </w:t>
      </w:r>
      <w:r>
        <w:rPr>
          <w:rFonts w:hint="eastAsia" w:ascii="方正黑体_GBK" w:hAnsi="方正黑体_GBK" w:eastAsia="方正黑体_GBK" w:cs="方正黑体_GBK"/>
          <w:sz w:val="32"/>
          <w:szCs w:val="32"/>
        </w:rPr>
        <w:t>附件3</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酉阳自治县国有建设用地使用权基准地价说明</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一、适用范围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重庆市酉阳自治县国有建设用地使用权基准地价（以下简称基准地价）适用于全县城乡规划区范围内的国有建设用地。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二、基准地价内涵</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准地价的内涵为城镇国有建设用地使用权不同级别、不同用途、设定容积率和土地开发程度下，特定出让年限的区域平均价格。基准地价的价格表现形式为楼面地价，是指单位建筑面积分摊的完整国有建设用地使用权的平均价格（单位：元/平方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（一）基准地价容积率</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商业、办公为3.0，住宅为2.5，工业为1.0。</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（二）基准地价土地开发程度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商业、办公、住宅为“六通一平”，指宗地外通路、通电、通讯、通上水、通下水、通燃气及宗地内场地平整；工业为“五通一平”，指宗地外通路、通电、通讯、通上水、通下水及宗地内场地平整。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（三）基准地价使用年限</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商业、办公40年，住宅70年，工业50年。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（四）基准地价期日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2016年1月1日。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三、土地用途分类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基准地价土地用途分为商业、办公、住宅和工业四类。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（一）商业类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包括批发零售用地（包括商场、商铺、商店、超市、各类批发（零售）市场等用地）；住宿餐饮用地（包括宾馆、旅馆、招待所、服务型公寓、自驾车和房车营地、度假村、酒店、饭店、餐厅、酒吧等用地）；金融保险用地（指银行、证券期货交易所、保险公司等金融活动场所用地）；娱乐康体用地（包括剧院、音乐厅、电影院、歌舞厅、网吧、大型游乐设施、影视城及仿古城等人造景观用地、高尔夫、赛马场、溜冰场、跳伞场、摩托车场、射击场，以及通用航空、水上运动的陆域部分等用地）；其他商服用地（包括洗车场、洗染店、废旧物资回收站、维修网点、照相馆、理发美容店、洗浴场所、业余学校、民营培训机构、私人诊所、宠物医院、汽车维修站、加油站、加气站、充电站、停车场（库）及独立地段的电信、邮政、供水、燃气、供电、供热等其他公用设施营业网点用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殡葬用地（包括殡仪馆、火葬场、骨灰寄存堂、陵园、墓地等殡葬场所用地）参照商业用途确定。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（二）办公类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包括商务办公用地（指企业、服务业等办公场所用地，包括写字楼、商业性办公楼、企业厂区外独立的办公楼以及贸易、设计、咨询等技术服务办公用地）；艺术传媒用地（指文艺团体、影视制作、广告传媒等用地，包括广播电视、电视台、电影厂、报社、杂志社、通讯社、出版社等）；行政办公用地（指党政机关、社会团体、事业单位等机关团体用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文化设施用地（包括公共图书馆、博物馆、档案馆、科技馆、纪念馆、美术馆和展览馆、会展中心、综合文化活动中心、文化馆、青少年宫、儿童活动中心、老年活动中心等设施用地）；教育科研用地（包括高等院校、中等专业学校、中学、小学、科研事业单位用地）；体育用地（包括体育场馆、体育训练基地等用地）；医疗卫生用地（包括医疗保健、卫生防疫、康复急救、医检药检设施等用地）；社会福利设施用地（包括福利院、养老院、孤儿院等用地）；监教安保用地（包括监狱、看守所、拘留所、劳改劳教场所、戒毒所和安全保卫设施等用地）；外事用地（包括外国驻华使馆、领事馆、办事处、国际机构等用地）及宗教用地（包括庙宇、寺院、道观、教堂等宗教活动场所用地）参照办公用途确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（三）住宅类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指用于一类居住、二类居住、三类居住用地中的住宅用地（包括普通住宅、公寓、别墅等）。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（四）工业类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包括工业用地（指工矿企业的生产车间、库房及其附属设施等用地）；物流仓储用地（指物资储备、中转、配送等用地）；采矿用地（指采矿、采石、采砂（沙）场、盐田、砖瓦窑等地面生产用地及尾矿堆放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用设施用地（指用于城乡基础设施的用地，包括供水、供电、供燃气、供热、邮政、广播电视通信、消防、防洪、排水、环卫等设施用地）及交通水利设施用地（包括铁路、公路、港口码头、机场、管道运输、城市道路、轨道交通、交通枢纽、交通站场、水工建筑等设施用地）参照工业用途确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其他未列入上述范围的用地，其用途类别可参照相关或相近用地用途类别确定。办公类、住宅类、工业类用地中的配套经营性设施用地，应参照商业用途确定。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四、基准地价的应用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运用基准地价系数修正法进行宗地价格评估时应适用对应用途级别的基准地价，并根据宗地实际情况进行土地用途、期日、年期、容积率、区域和个别因素及土地开发程度等进行修正。评估多用途混合的宗地价格时，应按各具体用途分别修正后加权测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（一）宗地价格计算公式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1．地上计容部分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楼面地价＝适用的基准地价×土地用途修正系数×期日修正系数×年期修正系数×容积率修正系数×区域和个别因素修正系数±土地开发程度修正值</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宗地单价＝楼面地价×R</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备注：工业用地R为1；商业、办公、住宅用地设定容积率小于1时，R取1。</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2．地下不计容部分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楼面地价＝适用的基准地价×相应用途地下空间修正系数×期日修正系数×年期修正系数×区域和个别因素修正系数±土地开发程度修正值</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宗地单价＝楼面地价×建筑面积/宗地面积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2"/>
          <w:szCs w:val="32"/>
        </w:rPr>
      </w:pPr>
      <w:r>
        <w:rPr>
          <w:rFonts w:hint="eastAsia" w:ascii="方正楷体_GBK" w:hAnsi="方正楷体_GBK" w:eastAsia="方正楷体_GBK" w:cs="方正楷体_GBK"/>
          <w:sz w:val="32"/>
          <w:szCs w:val="32"/>
        </w:rPr>
        <w:t>（二）宗地价格测算中有关参数的确定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1．适用的基准地价确定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根据宗地的法定用途，按照本说明第三条规定的基准地价分类，确定适用的基准地价用途后，根据国土部门公布执行的土地级别，确定对应用途级别应适用的基准地价。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2．用途修正系数确定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宗地需要进行用途修正的，地上计容部分应按照《土地用途修正系数表》确定用途修正系数；地下不计容部分应根据《地下空间修正系数表》相应用途比准类别确定相应用途地下空间修正系数。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3．期日修正系数确定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期日修正系数＝宗地估价期日的地价指数÷基准地价期日的地价指数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宗地估价期日的地价指数以重庆市地价动态监测成果公布的地价指数、地价增长率为准。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4．年期修正系数确定</w:t>
      </w:r>
    </w:p>
    <w:p>
      <w:pPr>
        <w:pStyle w:val="8"/>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3200400" cy="676275"/>
            <wp:effectExtent l="0" t="0" r="0" b="9525"/>
            <wp:docPr id="1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IMG_256"/>
                    <pic:cNvPicPr>
                      <a:picLocks noChangeAspect="1"/>
                    </pic:cNvPicPr>
                  </pic:nvPicPr>
                  <pic:blipFill>
                    <a:blip r:embed="rId6"/>
                    <a:stretch>
                      <a:fillRect/>
                    </a:stretch>
                  </pic:blipFill>
                  <pic:spPr>
                    <a:xfrm>
                      <a:off x="0" y="0"/>
                      <a:ext cx="3200400" cy="676275"/>
                    </a:xfrm>
                    <a:prstGeom prst="rect">
                      <a:avLst/>
                    </a:prstGeom>
                    <a:noFill/>
                    <a:ln w="9525">
                      <a:noFill/>
                    </a:ln>
                  </pic:spPr>
                </pic:pic>
              </a:graphicData>
            </a:graphic>
          </wp:inline>
        </w:drawing>
      </w:r>
      <w:r>
        <w:rPr>
          <w:rFonts w:hint="eastAsia" w:ascii="仿宋" w:hAnsi="仿宋" w:eastAsia="仿宋" w:cs="仿宋"/>
          <w:vanish/>
          <w:sz w:val="32"/>
          <w:szCs w:val="32"/>
        </w:rPr>
        <w:drawing>
          <wp:inline distT="0" distB="0" distL="114300" distR="114300">
            <wp:extent cx="142875" cy="142875"/>
            <wp:effectExtent l="0" t="0" r="0" b="0"/>
            <wp:docPr id="18" name="图片 2" descr="点击并拖拽以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点击并拖拽以移动"/>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hint="eastAsia" w:ascii="仿宋" w:hAnsi="仿宋" w:eastAsia="仿宋" w:cs="仿宋"/>
          <w:sz w:val="32"/>
          <w:szCs w:val="32"/>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drawing>
          <wp:inline distT="0" distB="0" distL="114300" distR="114300">
            <wp:extent cx="104775" cy="238125"/>
            <wp:effectExtent l="0" t="0" r="9525" b="9525"/>
            <wp:docPr id="1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IMG_258"/>
                    <pic:cNvPicPr>
                      <a:picLocks noChangeAspect="1"/>
                    </pic:cNvPicPr>
                  </pic:nvPicPr>
                  <pic:blipFill>
                    <a:blip r:embed="rId8"/>
                    <a:stretch>
                      <a:fillRect/>
                    </a:stretch>
                  </pic:blipFill>
                  <pic:spPr>
                    <a:xfrm>
                      <a:off x="0" y="0"/>
                      <a:ext cx="104775" cy="238125"/>
                    </a:xfrm>
                    <a:prstGeom prst="rect">
                      <a:avLst/>
                    </a:prstGeom>
                    <a:noFill/>
                    <a:ln w="9525">
                      <a:noFill/>
                    </a:ln>
                  </pic:spPr>
                </pic:pic>
              </a:graphicData>
            </a:graphic>
          </wp:inline>
        </w:drawing>
      </w:r>
      <w:r>
        <w:rPr>
          <w:rFonts w:hint="eastAsia" w:ascii="方正仿宋_GBK" w:hAnsi="方正仿宋_GBK" w:eastAsia="方正仿宋_GBK" w:cs="方正仿宋_GBK"/>
          <w:vanish/>
          <w:sz w:val="32"/>
          <w:szCs w:val="32"/>
        </w:rPr>
        <w:drawing>
          <wp:inline distT="0" distB="0" distL="114300" distR="114300">
            <wp:extent cx="142875" cy="142875"/>
            <wp:effectExtent l="0" t="0" r="0" b="0"/>
            <wp:docPr id="14" name="图片 4" descr="点击并拖拽以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点击并拖拽以移动"/>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为土地还原率（商业、办公、住宅、工业分别为7.5%、7.18%、6.51%、5.81%）；</w:t>
      </w:r>
      <w:r>
        <w:rPr>
          <w:rFonts w:hint="eastAsia" w:ascii="方正仿宋_GBK" w:hAnsi="方正仿宋_GBK" w:eastAsia="方正仿宋_GBK" w:cs="方正仿宋_GBK"/>
          <w:sz w:val="32"/>
          <w:szCs w:val="32"/>
        </w:rPr>
        <w:drawing>
          <wp:inline distT="0" distB="0" distL="114300" distR="114300">
            <wp:extent cx="123825" cy="238125"/>
            <wp:effectExtent l="0" t="0" r="9525" b="9525"/>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9"/>
                    <a:stretch>
                      <a:fillRect/>
                    </a:stretch>
                  </pic:blipFill>
                  <pic:spPr>
                    <a:xfrm>
                      <a:off x="0" y="0"/>
                      <a:ext cx="123825" cy="238125"/>
                    </a:xfrm>
                    <a:prstGeom prst="rect">
                      <a:avLst/>
                    </a:prstGeom>
                    <a:noFill/>
                    <a:ln w="9525">
                      <a:noFill/>
                    </a:ln>
                  </pic:spPr>
                </pic:pic>
              </a:graphicData>
            </a:graphic>
          </wp:inline>
        </w:drawing>
      </w:r>
      <w:r>
        <w:rPr>
          <w:rFonts w:hint="eastAsia" w:ascii="方正仿宋_GBK" w:hAnsi="方正仿宋_GBK" w:eastAsia="方正仿宋_GBK" w:cs="方正仿宋_GBK"/>
          <w:vanish/>
          <w:sz w:val="32"/>
          <w:szCs w:val="32"/>
        </w:rPr>
        <w:drawing>
          <wp:inline distT="0" distB="0" distL="114300" distR="114300">
            <wp:extent cx="142875" cy="142875"/>
            <wp:effectExtent l="0" t="0" r="0" b="0"/>
            <wp:docPr id="16" name="图片 6" descr="点击并拖拽以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点击并拖拽以移动"/>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为宗地剩余使用年限；</w:t>
      </w:r>
      <w:r>
        <w:rPr>
          <w:rFonts w:hint="eastAsia" w:ascii="方正仿宋_GBK" w:hAnsi="方正仿宋_GBK" w:eastAsia="方正仿宋_GBK" w:cs="方正仿宋_GBK"/>
          <w:sz w:val="32"/>
          <w:szCs w:val="32"/>
        </w:rPr>
        <w:drawing>
          <wp:inline distT="0" distB="0" distL="114300" distR="114300">
            <wp:extent cx="171450" cy="238125"/>
            <wp:effectExtent l="0" t="0" r="0" b="9525"/>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10"/>
                    <a:stretch>
                      <a:fillRect/>
                    </a:stretch>
                  </pic:blipFill>
                  <pic:spPr>
                    <a:xfrm>
                      <a:off x="0" y="0"/>
                      <a:ext cx="171450" cy="238125"/>
                    </a:xfrm>
                    <a:prstGeom prst="rect">
                      <a:avLst/>
                    </a:prstGeom>
                    <a:noFill/>
                    <a:ln w="9525">
                      <a:noFill/>
                    </a:ln>
                  </pic:spPr>
                </pic:pic>
              </a:graphicData>
            </a:graphic>
          </wp:inline>
        </w:drawing>
      </w:r>
      <w:r>
        <w:rPr>
          <w:rFonts w:hint="eastAsia" w:ascii="方正仿宋_GBK" w:hAnsi="方正仿宋_GBK" w:eastAsia="方正仿宋_GBK" w:cs="方正仿宋_GBK"/>
          <w:vanish/>
          <w:sz w:val="32"/>
          <w:szCs w:val="32"/>
        </w:rPr>
        <w:drawing>
          <wp:inline distT="0" distB="0" distL="114300" distR="114300">
            <wp:extent cx="142875" cy="142875"/>
            <wp:effectExtent l="0" t="0" r="0" b="0"/>
            <wp:docPr id="7" name="图片 8" descr="点击并拖拽以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点击并拖拽以移动"/>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为基准地价规定的相应用途土地使用年限。</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5．容积率修正系数确定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按照宗地的设定容积率（R），根据《容积率修正系数表》确定容积率修正系数。商业、办公、住宅容积率小于1时，按容积率1确定修正系数，容积率大于5.0时，按容积率5.0确定修正系数；工业用地不进行容积率修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当R</w:t>
      </w:r>
      <w:r>
        <w:rPr>
          <w:rFonts w:hint="eastAsia" w:ascii="方正仿宋_GBK" w:hAnsi="方正仿宋_GBK" w:eastAsia="方正仿宋_GBK" w:cs="方正仿宋_GBK"/>
          <w:color w:val="000000"/>
          <w:sz w:val="32"/>
          <w:szCs w:val="32"/>
          <w:vertAlign w:val="subscript"/>
        </w:rPr>
        <w:t>1</w:t>
      </w:r>
      <w:r>
        <w:rPr>
          <w:rFonts w:hint="eastAsia" w:ascii="方正仿宋_GBK" w:hAnsi="方正仿宋_GBK" w:eastAsia="方正仿宋_GBK" w:cs="方正仿宋_GBK"/>
          <w:color w:val="000000"/>
          <w:sz w:val="32"/>
          <w:szCs w:val="32"/>
        </w:rPr>
        <w:t>&lt;R&lt;R</w:t>
      </w:r>
      <w:r>
        <w:rPr>
          <w:rFonts w:hint="eastAsia" w:ascii="方正仿宋_GBK" w:hAnsi="方正仿宋_GBK" w:eastAsia="方正仿宋_GBK" w:cs="方正仿宋_GBK"/>
          <w:color w:val="000000"/>
          <w:sz w:val="32"/>
          <w:szCs w:val="32"/>
          <w:vertAlign w:val="subscript"/>
        </w:rPr>
        <w:t>2</w:t>
      </w:r>
      <w:r>
        <w:rPr>
          <w:rFonts w:hint="eastAsia" w:ascii="方正仿宋_GBK" w:hAnsi="方正仿宋_GBK" w:eastAsia="方正仿宋_GBK" w:cs="方正仿宋_GBK"/>
          <w:color w:val="000000"/>
          <w:sz w:val="32"/>
          <w:szCs w:val="32"/>
        </w:rPr>
        <w:t>（R</w:t>
      </w:r>
      <w:r>
        <w:rPr>
          <w:rFonts w:hint="eastAsia" w:ascii="方正仿宋_GBK" w:hAnsi="方正仿宋_GBK" w:eastAsia="方正仿宋_GBK" w:cs="方正仿宋_GBK"/>
          <w:color w:val="000000"/>
          <w:sz w:val="32"/>
          <w:szCs w:val="32"/>
          <w:vertAlign w:val="subscript"/>
        </w:rPr>
        <w:t>1</w:t>
      </w:r>
      <w:r>
        <w:rPr>
          <w:rFonts w:hint="eastAsia" w:ascii="方正仿宋_GBK" w:hAnsi="方正仿宋_GBK" w:eastAsia="方正仿宋_GBK" w:cs="方正仿宋_GBK"/>
          <w:color w:val="000000"/>
          <w:sz w:val="32"/>
          <w:szCs w:val="32"/>
        </w:rPr>
        <w:t>、R</w:t>
      </w:r>
      <w:r>
        <w:rPr>
          <w:rFonts w:hint="eastAsia" w:ascii="方正仿宋_GBK" w:hAnsi="方正仿宋_GBK" w:eastAsia="方正仿宋_GBK" w:cs="方正仿宋_GBK"/>
          <w:color w:val="000000"/>
          <w:sz w:val="32"/>
          <w:szCs w:val="32"/>
          <w:vertAlign w:val="subscript"/>
        </w:rPr>
        <w:t>2</w:t>
      </w:r>
      <w:r>
        <w:rPr>
          <w:rFonts w:hint="eastAsia" w:ascii="方正仿宋_GBK" w:hAnsi="方正仿宋_GBK" w:eastAsia="方正仿宋_GBK" w:cs="方正仿宋_GBK"/>
          <w:color w:val="000000"/>
          <w:sz w:val="32"/>
          <w:szCs w:val="32"/>
        </w:rPr>
        <w:t>为上述《容积率修正系数表》中所列的相邻容积率）时，按下列公式计算容积率修正系数（X）：</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X＝X</w:t>
      </w:r>
      <w:r>
        <w:rPr>
          <w:rFonts w:hint="eastAsia" w:ascii="方正仿宋_GBK" w:hAnsi="方正仿宋_GBK" w:eastAsia="方正仿宋_GBK" w:cs="方正仿宋_GBK"/>
          <w:color w:val="000000"/>
          <w:sz w:val="32"/>
          <w:szCs w:val="32"/>
          <w:vertAlign w:val="subscript"/>
        </w:rPr>
        <w:t>1</w:t>
      </w:r>
      <w:r>
        <w:rPr>
          <w:rFonts w:hint="eastAsia" w:ascii="方正仿宋_GBK" w:hAnsi="方正仿宋_GBK" w:eastAsia="方正仿宋_GBK" w:cs="方正仿宋_GBK"/>
          <w:color w:val="000000"/>
          <w:sz w:val="32"/>
          <w:szCs w:val="32"/>
        </w:rPr>
        <w:t>+（X</w:t>
      </w:r>
      <w:r>
        <w:rPr>
          <w:rFonts w:hint="eastAsia" w:ascii="方正仿宋_GBK" w:hAnsi="方正仿宋_GBK" w:eastAsia="方正仿宋_GBK" w:cs="方正仿宋_GBK"/>
          <w:color w:val="000000"/>
          <w:sz w:val="32"/>
          <w:szCs w:val="32"/>
          <w:vertAlign w:val="subscript"/>
        </w:rPr>
        <w:t>2</w:t>
      </w:r>
      <w:r>
        <w:rPr>
          <w:rFonts w:hint="eastAsia" w:ascii="方正仿宋_GBK" w:hAnsi="方正仿宋_GBK" w:eastAsia="方正仿宋_GBK" w:cs="方正仿宋_GBK"/>
          <w:color w:val="000000"/>
          <w:sz w:val="32"/>
          <w:szCs w:val="32"/>
        </w:rPr>
        <w:t>-X</w:t>
      </w:r>
      <w:r>
        <w:rPr>
          <w:rFonts w:hint="eastAsia" w:ascii="方正仿宋_GBK" w:hAnsi="方正仿宋_GBK" w:eastAsia="方正仿宋_GBK" w:cs="方正仿宋_GBK"/>
          <w:color w:val="000000"/>
          <w:sz w:val="32"/>
          <w:szCs w:val="32"/>
          <w:vertAlign w:val="subscript"/>
        </w:rPr>
        <w:t>1</w:t>
      </w:r>
      <w:r>
        <w:rPr>
          <w:rFonts w:hint="eastAsia" w:ascii="方正仿宋_GBK" w:hAnsi="方正仿宋_GBK" w:eastAsia="方正仿宋_GBK" w:cs="方正仿宋_GBK"/>
          <w:color w:val="000000"/>
          <w:sz w:val="32"/>
          <w:szCs w:val="32"/>
        </w:rPr>
        <w:t>）×（R-R</w:t>
      </w:r>
      <w:r>
        <w:rPr>
          <w:rFonts w:hint="eastAsia" w:ascii="方正仿宋_GBK" w:hAnsi="方正仿宋_GBK" w:eastAsia="方正仿宋_GBK" w:cs="方正仿宋_GBK"/>
          <w:color w:val="000000"/>
          <w:sz w:val="32"/>
          <w:szCs w:val="32"/>
          <w:vertAlign w:val="subscript"/>
        </w:rPr>
        <w:t>1</w:t>
      </w:r>
      <w:r>
        <w:rPr>
          <w:rFonts w:hint="eastAsia" w:ascii="方正仿宋_GBK" w:hAnsi="方正仿宋_GBK" w:eastAsia="方正仿宋_GBK" w:cs="方正仿宋_GBK"/>
          <w:color w:val="000000"/>
          <w:sz w:val="32"/>
          <w:szCs w:val="32"/>
        </w:rPr>
        <w:t>）/（R</w:t>
      </w:r>
      <w:r>
        <w:rPr>
          <w:rFonts w:hint="eastAsia" w:ascii="方正仿宋_GBK" w:hAnsi="方正仿宋_GBK" w:eastAsia="方正仿宋_GBK" w:cs="方正仿宋_GBK"/>
          <w:color w:val="000000"/>
          <w:sz w:val="32"/>
          <w:szCs w:val="32"/>
          <w:vertAlign w:val="subscript"/>
        </w:rPr>
        <w:t>2</w:t>
      </w:r>
      <w:r>
        <w:rPr>
          <w:rFonts w:hint="eastAsia" w:ascii="方正仿宋_GBK" w:hAnsi="方正仿宋_GBK" w:eastAsia="方正仿宋_GBK" w:cs="方正仿宋_GBK"/>
          <w:color w:val="000000"/>
          <w:sz w:val="32"/>
          <w:szCs w:val="32"/>
        </w:rPr>
        <w:t>-R</w:t>
      </w:r>
      <w:r>
        <w:rPr>
          <w:rFonts w:hint="eastAsia" w:ascii="方正仿宋_GBK" w:hAnsi="方正仿宋_GBK" w:eastAsia="方正仿宋_GBK" w:cs="方正仿宋_GBK"/>
          <w:color w:val="000000"/>
          <w:sz w:val="32"/>
          <w:szCs w:val="32"/>
          <w:vertAlign w:val="subscript"/>
        </w:rPr>
        <w:t>1</w:t>
      </w:r>
      <w:r>
        <w:rPr>
          <w:rFonts w:hint="eastAsia" w:ascii="方正仿宋_GBK" w:hAnsi="方正仿宋_GBK" w:eastAsia="方正仿宋_GBK" w:cs="方正仿宋_GBK"/>
          <w:color w:val="000000"/>
          <w:sz w:val="32"/>
          <w:szCs w:val="32"/>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X</w:t>
      </w:r>
      <w:r>
        <w:rPr>
          <w:rFonts w:hint="eastAsia" w:ascii="方正仿宋_GBK" w:hAnsi="方正仿宋_GBK" w:eastAsia="方正仿宋_GBK" w:cs="方正仿宋_GBK"/>
          <w:color w:val="000000"/>
          <w:sz w:val="32"/>
          <w:szCs w:val="32"/>
          <w:vertAlign w:val="subscript"/>
        </w:rPr>
        <w:t>1</w:t>
      </w:r>
      <w:r>
        <w:rPr>
          <w:rFonts w:hint="eastAsia" w:ascii="方正仿宋_GBK" w:hAnsi="方正仿宋_GBK" w:eastAsia="方正仿宋_GBK" w:cs="方正仿宋_GBK"/>
          <w:color w:val="000000"/>
          <w:sz w:val="32"/>
          <w:szCs w:val="32"/>
        </w:rPr>
        <w:t>、X</w:t>
      </w:r>
      <w:r>
        <w:rPr>
          <w:rFonts w:hint="eastAsia" w:ascii="方正仿宋_GBK" w:hAnsi="方正仿宋_GBK" w:eastAsia="方正仿宋_GBK" w:cs="方正仿宋_GBK"/>
          <w:color w:val="000000"/>
          <w:sz w:val="32"/>
          <w:szCs w:val="32"/>
          <w:vertAlign w:val="subscript"/>
        </w:rPr>
        <w:t>2</w:t>
      </w:r>
      <w:r>
        <w:rPr>
          <w:rFonts w:hint="eastAsia" w:ascii="方正仿宋_GBK" w:hAnsi="方正仿宋_GBK" w:eastAsia="方正仿宋_GBK" w:cs="方正仿宋_GBK"/>
          <w:color w:val="000000"/>
          <w:sz w:val="32"/>
          <w:szCs w:val="32"/>
        </w:rPr>
        <w:t>为R</w:t>
      </w:r>
      <w:r>
        <w:rPr>
          <w:rFonts w:hint="eastAsia" w:ascii="方正仿宋_GBK" w:hAnsi="方正仿宋_GBK" w:eastAsia="方正仿宋_GBK" w:cs="方正仿宋_GBK"/>
          <w:color w:val="000000"/>
          <w:sz w:val="32"/>
          <w:szCs w:val="32"/>
          <w:vertAlign w:val="subscript"/>
        </w:rPr>
        <w:t>1</w:t>
      </w:r>
      <w:r>
        <w:rPr>
          <w:rFonts w:hint="eastAsia" w:ascii="方正仿宋_GBK" w:hAnsi="方正仿宋_GBK" w:eastAsia="方正仿宋_GBK" w:cs="方正仿宋_GBK"/>
          <w:color w:val="000000"/>
          <w:sz w:val="32"/>
          <w:szCs w:val="32"/>
        </w:rPr>
        <w:t>、R</w:t>
      </w:r>
      <w:r>
        <w:rPr>
          <w:rFonts w:hint="eastAsia" w:ascii="方正仿宋_GBK" w:hAnsi="方正仿宋_GBK" w:eastAsia="方正仿宋_GBK" w:cs="方正仿宋_GBK"/>
          <w:color w:val="000000"/>
          <w:sz w:val="32"/>
          <w:szCs w:val="32"/>
          <w:vertAlign w:val="subscript"/>
        </w:rPr>
        <w:t>2</w:t>
      </w:r>
      <w:r>
        <w:rPr>
          <w:rFonts w:hint="eastAsia" w:ascii="方正仿宋_GBK" w:hAnsi="方正仿宋_GBK" w:eastAsia="方正仿宋_GBK" w:cs="方正仿宋_GBK"/>
          <w:color w:val="000000"/>
          <w:sz w:val="32"/>
          <w:szCs w:val="32"/>
        </w:rPr>
        <w:t>所对应的容积率修正系数。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6．土地开发程度修正值确定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当宗地的土地开发程度与基准地价设定的土地开发程度不一致时，应根据《土地开发程度修正值表》确定开发程度修正值。</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上述《土地开发程度修正值表》中的土地开发程度修正值为土地面积单价，应用中应按下列公式换算为建筑面积单价：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宗地地上计容部分的土地开发程度修正值（建筑面积单价）＝土地开发程度修正值（土地面积单价）÷宗地容积率</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宗地地下不计容部分的土地开发程度修正值（建筑面积单价）＝土地开发程度修正值（土地面积单价）÷（宗地地下不计容建筑面积÷宗地土地面积）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宗地同时具有地上计容部分和地下不计容部分的，评估时只计算宗地地上计容部分的土地开发程度修正值，地下不计容部分的土地开发程度不作修正。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7．区域和个别因素修正系数的确定</w:t>
      </w:r>
    </w:p>
    <w:p>
      <w:pPr>
        <w:pStyle w:val="8"/>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3343275" cy="666750"/>
            <wp:effectExtent l="0" t="0" r="9525" b="0"/>
            <wp:docPr id="1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64"/>
                    <pic:cNvPicPr>
                      <a:picLocks noChangeAspect="1"/>
                    </pic:cNvPicPr>
                  </pic:nvPicPr>
                  <pic:blipFill>
                    <a:blip r:embed="rId11"/>
                    <a:stretch>
                      <a:fillRect/>
                    </a:stretch>
                  </pic:blipFill>
                  <pic:spPr>
                    <a:xfrm>
                      <a:off x="0" y="0"/>
                      <a:ext cx="3343275" cy="666750"/>
                    </a:xfrm>
                    <a:prstGeom prst="rect">
                      <a:avLst/>
                    </a:prstGeom>
                    <a:noFill/>
                    <a:ln w="9525">
                      <a:noFill/>
                    </a:ln>
                  </pic:spPr>
                </pic:pic>
              </a:graphicData>
            </a:graphic>
          </wp:inline>
        </w:drawing>
      </w:r>
      <w:r>
        <w:rPr>
          <w:rFonts w:hint="eastAsia" w:ascii="仿宋" w:hAnsi="仿宋" w:eastAsia="仿宋" w:cs="仿宋"/>
          <w:vanish/>
          <w:sz w:val="32"/>
          <w:szCs w:val="32"/>
        </w:rPr>
        <w:drawing>
          <wp:inline distT="0" distB="0" distL="114300" distR="114300">
            <wp:extent cx="142875" cy="142875"/>
            <wp:effectExtent l="0" t="0" r="0" b="0"/>
            <wp:docPr id="3" name="图片 10" descr="点击并拖拽以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点击并拖拽以移动"/>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hint="eastAsia" w:ascii="仿宋" w:hAnsi="仿宋" w:eastAsia="仿宋" w:cs="仿宋"/>
          <w:sz w:val="32"/>
          <w:szCs w:val="32"/>
        </w:rPr>
        <w:t>​</w:t>
      </w:r>
    </w:p>
    <w:p>
      <w:pPr>
        <w:pStyle w:val="8"/>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按照《区域和个别因素修正系数表》，根据宗地各种因素情况确定每种因素的修正系数，应用上述公式测算宗地的区域和个别因素修正系数。</w:t>
      </w:r>
      <w:r>
        <w:rPr>
          <w:rFonts w:hint="eastAsia" w:ascii="方正仿宋_GBK" w:hAnsi="方正仿宋_GBK" w:eastAsia="方正仿宋_GBK" w:cs="方正仿宋_GBK"/>
          <w:sz w:val="32"/>
          <w:szCs w:val="32"/>
        </w:rPr>
        <w:drawing>
          <wp:inline distT="0" distB="0" distL="114300" distR="114300">
            <wp:extent cx="190500" cy="238125"/>
            <wp:effectExtent l="0" t="0" r="0" b="9525"/>
            <wp:docPr id="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IMG_266"/>
                    <pic:cNvPicPr>
                      <a:picLocks noChangeAspect="1"/>
                    </pic:cNvPicPr>
                  </pic:nvPicPr>
                  <pic:blipFill>
                    <a:blip r:embed="rId12"/>
                    <a:stretch>
                      <a:fillRect/>
                    </a:stretch>
                  </pic:blipFill>
                  <pic:spPr>
                    <a:xfrm>
                      <a:off x="0" y="0"/>
                      <a:ext cx="190500" cy="238125"/>
                    </a:xfrm>
                    <a:prstGeom prst="rect">
                      <a:avLst/>
                    </a:prstGeom>
                    <a:noFill/>
                    <a:ln w="9525">
                      <a:noFill/>
                    </a:ln>
                  </pic:spPr>
                </pic:pic>
              </a:graphicData>
            </a:graphic>
          </wp:inline>
        </w:drawing>
      </w:r>
      <w:r>
        <w:rPr>
          <w:rFonts w:hint="eastAsia" w:ascii="方正仿宋_GBK" w:hAnsi="方正仿宋_GBK" w:eastAsia="方正仿宋_GBK" w:cs="方正仿宋_GBK"/>
          <w:vanish/>
          <w:sz w:val="32"/>
          <w:szCs w:val="32"/>
        </w:rPr>
        <w:drawing>
          <wp:inline distT="0" distB="0" distL="114300" distR="114300">
            <wp:extent cx="142875" cy="142875"/>
            <wp:effectExtent l="0" t="0" r="0" b="0"/>
            <wp:docPr id="10" name="图片 12" descr="点击并拖拽以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点击并拖拽以移动"/>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为第</w:t>
      </w:r>
      <w:r>
        <w:rPr>
          <w:rFonts w:hint="eastAsia" w:ascii="方正仿宋_GBK" w:hAnsi="方正仿宋_GBK" w:eastAsia="方正仿宋_GBK" w:cs="方正仿宋_GBK"/>
          <w:sz w:val="32"/>
          <w:szCs w:val="32"/>
        </w:rPr>
        <w:drawing>
          <wp:inline distT="0" distB="0" distL="114300" distR="114300">
            <wp:extent cx="66675" cy="238125"/>
            <wp:effectExtent l="0" t="0" r="9525" b="9525"/>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3"/>
                    <a:stretch>
                      <a:fillRect/>
                    </a:stretch>
                  </pic:blipFill>
                  <pic:spPr>
                    <a:xfrm>
                      <a:off x="0" y="0"/>
                      <a:ext cx="66675" cy="238125"/>
                    </a:xfrm>
                    <a:prstGeom prst="rect">
                      <a:avLst/>
                    </a:prstGeom>
                    <a:noFill/>
                    <a:ln w="9525">
                      <a:noFill/>
                    </a:ln>
                  </pic:spPr>
                </pic:pic>
              </a:graphicData>
            </a:graphic>
          </wp:inline>
        </w:drawing>
      </w:r>
      <w:r>
        <w:rPr>
          <w:rFonts w:hint="eastAsia" w:ascii="方正仿宋_GBK" w:hAnsi="方正仿宋_GBK" w:eastAsia="方正仿宋_GBK" w:cs="方正仿宋_GBK"/>
          <w:vanish/>
          <w:sz w:val="32"/>
          <w:szCs w:val="32"/>
        </w:rPr>
        <w:drawing>
          <wp:inline distT="0" distB="0" distL="114300" distR="114300">
            <wp:extent cx="142875" cy="142875"/>
            <wp:effectExtent l="0" t="0" r="0" b="0"/>
            <wp:docPr id="11" name="图片 14" descr="点击并拖拽以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点击并拖拽以移动"/>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种因素的修正系数。</w:t>
      </w:r>
    </w:p>
    <w:p>
      <w:pPr>
        <w:pStyle w:val="8"/>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附表：3-1．土地用途修正系数表</w:t>
      </w:r>
    </w:p>
    <w:p>
      <w:pPr>
        <w:pStyle w:val="8"/>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3-2．地下空间修正系数表</w:t>
      </w:r>
    </w:p>
    <w:p>
      <w:pPr>
        <w:pStyle w:val="8"/>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3-3．容积率修正系数表</w:t>
      </w:r>
    </w:p>
    <w:p>
      <w:pPr>
        <w:pStyle w:val="8"/>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3-4．土地开发程度修正值表</w:t>
      </w:r>
    </w:p>
    <w:p>
      <w:pPr>
        <w:pStyle w:val="8"/>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2"/>
          <w:szCs w:val="32"/>
        </w:rPr>
      </w:pPr>
      <w:r>
        <w:rPr>
          <w:rFonts w:hint="eastAsia" w:ascii="仿宋" w:hAnsi="仿宋" w:eastAsia="仿宋" w:cs="仿宋"/>
          <w:color w:val="000000"/>
          <w:sz w:val="32"/>
          <w:szCs w:val="32"/>
        </w:rPr>
        <w:t>3-5．区域和个别因素修正系数表</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附表3-1</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36"/>
          <w:szCs w:val="36"/>
        </w:rPr>
        <w:t>土地用途修正系数表</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91"/>
        <w:gridCol w:w="1315"/>
        <w:gridCol w:w="5358"/>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6" w:hRule="atLeast"/>
        </w:trPr>
        <w:tc>
          <w:tcPr>
            <w:tcW w:w="96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用途</w:t>
            </w:r>
          </w:p>
        </w:tc>
        <w:tc>
          <w:tcPr>
            <w:tcW w:w="14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用途类别划　　分</w:t>
            </w: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范围</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用途修正系　　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1" w:hRule="atLeast"/>
        </w:trPr>
        <w:tc>
          <w:tcPr>
            <w:tcW w:w="96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商业</w:t>
            </w:r>
          </w:p>
        </w:tc>
        <w:tc>
          <w:tcPr>
            <w:tcW w:w="14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基准类别</w:t>
            </w: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批发零售用地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20" w:hRule="atLeast"/>
        </w:trPr>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其他类别</w:t>
            </w: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商业用地（特指规划用地分类中未明确具体小类用途的B1用地）、居住用地中配建的商业设施用地、其他用地中的配套经营性设施用地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4" w:hRule="atLeast"/>
        </w:trPr>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金融保险用地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住宿餐饮用地、娱乐康体用地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其他商服用地（特指加油站、加气站用地）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其他商服用地（特指停车场（库）用地）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37" w:hRule="atLeast"/>
        </w:trPr>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其他商服用地（特指加油站、加气站及停车场（库）以外的其他商服用地）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殡葬用地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96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办公</w:t>
            </w:r>
          </w:p>
        </w:tc>
        <w:tc>
          <w:tcPr>
            <w:tcW w:w="14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基准类别</w:t>
            </w: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商务办公用地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8" w:hRule="atLeast"/>
        </w:trPr>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其他类别</w:t>
            </w: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商务用地（特指规划用地分类中未明确具体小类用途的B2用地）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6" w:hRule="atLeast"/>
        </w:trPr>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艺术传媒用地、行政办公用地、教育科研用地（特指科研事业单位用地）、医疗卫生用地、外事用地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6" w:hRule="atLeast"/>
        </w:trPr>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文化设施用地（特指展览馆、会展中心等用地）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33" w:hRule="atLeast"/>
        </w:trPr>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文化设施用地（特指展览馆、会展中心以外的文化设施用地）、教育科研用地（特指高等院校、中等专业学校、中小学、特殊教育学校用地）、体育用地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社会福利设施用地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9" w:hRule="atLeast"/>
        </w:trPr>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监教安保用地、宗教用地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96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住宅</w:t>
            </w:r>
          </w:p>
        </w:tc>
        <w:tc>
          <w:tcPr>
            <w:tcW w:w="14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基准类别</w:t>
            </w: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二类居住用地中的住宅用地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trPr>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其他类别</w:t>
            </w: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一类居住用地中的住宅用地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1" w:hRule="atLeast"/>
        </w:trPr>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三类居住用地中的住宅用地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trPr>
        <w:tc>
          <w:tcPr>
            <w:tcW w:w="96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工业</w:t>
            </w:r>
          </w:p>
        </w:tc>
        <w:tc>
          <w:tcPr>
            <w:tcW w:w="14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基准类别</w:t>
            </w: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工业用地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trPr>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其他类别</w:t>
            </w: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物流仓储用地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5" w:hRule="atLeast"/>
        </w:trPr>
        <w:tc>
          <w:tcPr>
            <w:tcW w:w="9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44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采矿用地、公用设施用地、交通水利设施用地</w:t>
            </w:r>
          </w:p>
        </w:tc>
        <w:tc>
          <w:tcPr>
            <w:tcW w:w="141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p>
        </w:tc>
      </w:tr>
    </w:tbl>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备注：表中未注明具体内涵的用途按照本说明中土地用途分类的内涵界定。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附表3-2</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容积率修正系数表</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242"/>
        <w:gridCol w:w="2294"/>
        <w:gridCol w:w="2342"/>
        <w:gridCol w:w="1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容积率</w:t>
            </w:r>
          </w:p>
        </w:tc>
        <w:tc>
          <w:tcPr>
            <w:tcW w:w="234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商　业</w:t>
            </w:r>
          </w:p>
        </w:tc>
        <w:tc>
          <w:tcPr>
            <w:tcW w:w="23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办　公</w:t>
            </w:r>
          </w:p>
        </w:tc>
        <w:tc>
          <w:tcPr>
            <w:tcW w:w="203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住　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p>
        </w:tc>
        <w:tc>
          <w:tcPr>
            <w:tcW w:w="234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1.84</w:t>
            </w:r>
          </w:p>
        </w:tc>
        <w:tc>
          <w:tcPr>
            <w:tcW w:w="23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1.71</w:t>
            </w:r>
          </w:p>
        </w:tc>
        <w:tc>
          <w:tcPr>
            <w:tcW w:w="203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1.5</w:t>
            </w:r>
          </w:p>
        </w:tc>
        <w:tc>
          <w:tcPr>
            <w:tcW w:w="234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1.44</w:t>
            </w:r>
          </w:p>
        </w:tc>
        <w:tc>
          <w:tcPr>
            <w:tcW w:w="23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1.2</w:t>
            </w:r>
          </w:p>
        </w:tc>
        <w:tc>
          <w:tcPr>
            <w:tcW w:w="203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w:t>
            </w:r>
          </w:p>
        </w:tc>
        <w:tc>
          <w:tcPr>
            <w:tcW w:w="234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1.16</w:t>
            </w:r>
          </w:p>
        </w:tc>
        <w:tc>
          <w:tcPr>
            <w:tcW w:w="23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1.07</w:t>
            </w:r>
          </w:p>
        </w:tc>
        <w:tc>
          <w:tcPr>
            <w:tcW w:w="203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2.5</w:t>
            </w:r>
          </w:p>
        </w:tc>
        <w:tc>
          <w:tcPr>
            <w:tcW w:w="234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1.06</w:t>
            </w:r>
          </w:p>
        </w:tc>
        <w:tc>
          <w:tcPr>
            <w:tcW w:w="23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1.04</w:t>
            </w:r>
          </w:p>
        </w:tc>
        <w:tc>
          <w:tcPr>
            <w:tcW w:w="203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w:t>
            </w:r>
          </w:p>
        </w:tc>
        <w:tc>
          <w:tcPr>
            <w:tcW w:w="234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p>
        </w:tc>
        <w:tc>
          <w:tcPr>
            <w:tcW w:w="23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p>
        </w:tc>
        <w:tc>
          <w:tcPr>
            <w:tcW w:w="203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3.5</w:t>
            </w:r>
          </w:p>
        </w:tc>
        <w:tc>
          <w:tcPr>
            <w:tcW w:w="234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0.95</w:t>
            </w:r>
          </w:p>
        </w:tc>
        <w:tc>
          <w:tcPr>
            <w:tcW w:w="23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0.94</w:t>
            </w:r>
          </w:p>
        </w:tc>
        <w:tc>
          <w:tcPr>
            <w:tcW w:w="203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4</w:t>
            </w:r>
          </w:p>
        </w:tc>
        <w:tc>
          <w:tcPr>
            <w:tcW w:w="234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0.9</w:t>
            </w:r>
          </w:p>
        </w:tc>
        <w:tc>
          <w:tcPr>
            <w:tcW w:w="23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0.89</w:t>
            </w:r>
          </w:p>
        </w:tc>
        <w:tc>
          <w:tcPr>
            <w:tcW w:w="203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4.5</w:t>
            </w:r>
          </w:p>
        </w:tc>
        <w:tc>
          <w:tcPr>
            <w:tcW w:w="234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0.86</w:t>
            </w:r>
          </w:p>
        </w:tc>
        <w:tc>
          <w:tcPr>
            <w:tcW w:w="23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0.85</w:t>
            </w:r>
          </w:p>
        </w:tc>
        <w:tc>
          <w:tcPr>
            <w:tcW w:w="203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≥5</w:t>
            </w:r>
          </w:p>
        </w:tc>
        <w:tc>
          <w:tcPr>
            <w:tcW w:w="234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0.8</w:t>
            </w:r>
          </w:p>
        </w:tc>
        <w:tc>
          <w:tcPr>
            <w:tcW w:w="23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0.79</w:t>
            </w:r>
          </w:p>
        </w:tc>
        <w:tc>
          <w:tcPr>
            <w:tcW w:w="203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0.85</w:t>
            </w:r>
          </w:p>
        </w:tc>
      </w:tr>
    </w:tbl>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附表3-3</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地下空间修正系数表</w:t>
      </w:r>
    </w:p>
    <w:tbl>
      <w:tblPr>
        <w:tblStyle w:val="9"/>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autofit"/>
        <w:tblCellMar>
          <w:top w:w="15" w:type="dxa"/>
          <w:left w:w="15" w:type="dxa"/>
          <w:bottom w:w="15" w:type="dxa"/>
          <w:right w:w="15" w:type="dxa"/>
        </w:tblCellMar>
      </w:tblPr>
      <w:tblGrid>
        <w:gridCol w:w="2577"/>
        <w:gridCol w:w="1262"/>
        <w:gridCol w:w="1262"/>
        <w:gridCol w:w="1258"/>
        <w:gridCol w:w="1258"/>
        <w:gridCol w:w="12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936" w:hRule="atLeast"/>
        </w:trPr>
        <w:tc>
          <w:tcPr>
            <w:tcW w:w="2645" w:type="dxa"/>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楼　层</w:t>
            </w:r>
          </w:p>
        </w:tc>
        <w:tc>
          <w:tcPr>
            <w:tcW w:w="1283" w:type="dxa"/>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商业</w:t>
            </w:r>
          </w:p>
        </w:tc>
        <w:tc>
          <w:tcPr>
            <w:tcW w:w="1283" w:type="dxa"/>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办公</w:t>
            </w:r>
          </w:p>
        </w:tc>
        <w:tc>
          <w:tcPr>
            <w:tcW w:w="1283" w:type="dxa"/>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住宅</w:t>
            </w:r>
          </w:p>
        </w:tc>
        <w:tc>
          <w:tcPr>
            <w:tcW w:w="1283" w:type="dxa"/>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工业</w:t>
            </w:r>
          </w:p>
        </w:tc>
        <w:tc>
          <w:tcPr>
            <w:tcW w:w="1283" w:type="dxa"/>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车库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580" w:hRule="atLeast"/>
        </w:trPr>
        <w:tc>
          <w:tcPr>
            <w:tcW w:w="2645" w:type="dxa"/>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负一层</w:t>
            </w:r>
          </w:p>
        </w:tc>
        <w:tc>
          <w:tcPr>
            <w:tcW w:w="1283" w:type="dxa"/>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0.5</w:t>
            </w:r>
          </w:p>
        </w:tc>
        <w:tc>
          <w:tcPr>
            <w:tcW w:w="1283" w:type="dxa"/>
            <w:vMerge w:val="restart"/>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0.25</w:t>
            </w:r>
          </w:p>
        </w:tc>
        <w:tc>
          <w:tcPr>
            <w:tcW w:w="1283" w:type="dxa"/>
            <w:vMerge w:val="restart"/>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0.2</w:t>
            </w:r>
          </w:p>
        </w:tc>
        <w:tc>
          <w:tcPr>
            <w:tcW w:w="1283" w:type="dxa"/>
            <w:vMerge w:val="restart"/>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0.3</w:t>
            </w:r>
          </w:p>
        </w:tc>
        <w:tc>
          <w:tcPr>
            <w:tcW w:w="1283" w:type="dxa"/>
            <w:vMerge w:val="restart"/>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80" w:hRule="atLeast"/>
        </w:trPr>
        <w:tc>
          <w:tcPr>
            <w:tcW w:w="2645" w:type="dxa"/>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负二层及以下</w:t>
            </w:r>
          </w:p>
        </w:tc>
        <w:tc>
          <w:tcPr>
            <w:tcW w:w="1283" w:type="dxa"/>
            <w:tcBorders>
              <w:tl2br w:val="nil"/>
              <w:tr2bl w:val="nil"/>
            </w:tcBorders>
            <w:shd w:val="clear" w:color="auto" w:fill="auto"/>
            <w:vAlign w:val="top"/>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0.25</w:t>
            </w:r>
          </w:p>
        </w:tc>
        <w:tc>
          <w:tcPr>
            <w:tcW w:w="1283" w:type="dxa"/>
            <w:vMerge w:val="continue"/>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1283" w:type="dxa"/>
            <w:vMerge w:val="continue"/>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1283" w:type="dxa"/>
            <w:vMerge w:val="continue"/>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1283" w:type="dxa"/>
            <w:vMerge w:val="continue"/>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r>
    </w:tbl>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备注：地下空间指地下不计容建筑部分。</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附表3-4</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36"/>
          <w:szCs w:val="36"/>
        </w:rPr>
        <w:t>土地开发程度修正值表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单位：元/平方米（土地面积）</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25"/>
        <w:gridCol w:w="908"/>
        <w:gridCol w:w="1011"/>
        <w:gridCol w:w="1036"/>
        <w:gridCol w:w="790"/>
        <w:gridCol w:w="818"/>
        <w:gridCol w:w="1009"/>
        <w:gridCol w:w="959"/>
        <w:gridCol w:w="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158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开发程度</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通路</w:t>
            </w:r>
          </w:p>
        </w:tc>
        <w:tc>
          <w:tcPr>
            <w:tcW w:w="11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通上水</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通下水</w:t>
            </w:r>
          </w:p>
        </w:tc>
        <w:tc>
          <w:tcPr>
            <w:tcW w:w="85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通电</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通讯</w:t>
            </w:r>
          </w:p>
        </w:tc>
        <w:tc>
          <w:tcPr>
            <w:tcW w:w="110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通燃气</w:t>
            </w:r>
          </w:p>
        </w:tc>
        <w:tc>
          <w:tcPr>
            <w:tcW w:w="105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场地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平整</w:t>
            </w:r>
          </w:p>
        </w:tc>
        <w:tc>
          <w:tcPr>
            <w:tcW w:w="97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6" w:hRule="atLeast"/>
        </w:trPr>
        <w:tc>
          <w:tcPr>
            <w:tcW w:w="158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开发费用</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20</w:t>
            </w:r>
          </w:p>
        </w:tc>
        <w:tc>
          <w:tcPr>
            <w:tcW w:w="110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10</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15</w:t>
            </w:r>
          </w:p>
        </w:tc>
        <w:tc>
          <w:tcPr>
            <w:tcW w:w="85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15</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10</w:t>
            </w:r>
          </w:p>
        </w:tc>
        <w:tc>
          <w:tcPr>
            <w:tcW w:w="110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15</w:t>
            </w:r>
          </w:p>
        </w:tc>
        <w:tc>
          <w:tcPr>
            <w:tcW w:w="105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20</w:t>
            </w:r>
          </w:p>
        </w:tc>
        <w:tc>
          <w:tcPr>
            <w:tcW w:w="97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105</w:t>
            </w:r>
          </w:p>
        </w:tc>
      </w:tr>
    </w:tbl>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r>
        <w:rPr>
          <w:rFonts w:hint="eastAsia" w:ascii="仿宋" w:hAnsi="仿宋" w:eastAsia="仿宋" w:cs="仿宋"/>
          <w:sz w:val="31"/>
          <w:szCs w:val="31"/>
        </w:rPr>
        <w:t> </w:t>
      </w:r>
      <w:r>
        <w:rPr>
          <w:rFonts w:hint="eastAsia" w:ascii="方正黑体_GBK" w:hAnsi="方正黑体_GBK" w:eastAsia="方正黑体_GBK" w:cs="方正黑体_GBK"/>
          <w:sz w:val="32"/>
          <w:szCs w:val="32"/>
        </w:rPr>
        <w:t>附表3-5</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区域和个别因素修正系数表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表5-1：商业用地基准地价修正因素指标说明表</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72"/>
        <w:gridCol w:w="461"/>
        <w:gridCol w:w="1448"/>
        <w:gridCol w:w="862"/>
        <w:gridCol w:w="1579"/>
        <w:gridCol w:w="1579"/>
        <w:gridCol w:w="1530"/>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9" w:hRule="atLeast"/>
        </w:trPr>
        <w:tc>
          <w:tcPr>
            <w:tcW w:w="3444"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宗地修正因素</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优</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较优</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较差</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9" w:hRule="atLeast"/>
        </w:trPr>
        <w:tc>
          <w:tcPr>
            <w:tcW w:w="659"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区域因素</w:t>
            </w:r>
          </w:p>
        </w:tc>
        <w:tc>
          <w:tcPr>
            <w:tcW w:w="632"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商服繁华度</w:t>
            </w:r>
          </w:p>
        </w:tc>
        <w:tc>
          <w:tcPr>
            <w:tcW w:w="21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距离商服中心距离（m）</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150-1000</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1000-1500</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1500-2000</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商业网点密度</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密集</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较密集</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较不密集</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不密集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32"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交通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条件</w:t>
            </w:r>
          </w:p>
        </w:tc>
        <w:tc>
          <w:tcPr>
            <w:tcW w:w="21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临街道路类型</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50米内有主干道</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100米内有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主干道</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200米内有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主干道</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200米内有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次干道</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200米外有次干道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62" w:hRule="atLeast"/>
        </w:trPr>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公交线路数（条）</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9" w:hRule="atLeast"/>
        </w:trPr>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距火车站的距离（m）</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1000-1500</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1500-2000</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2000-3000</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2" w:hRule="atLeast"/>
        </w:trPr>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距机场的距离（m）</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1000-2000</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2000-3000</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3000-4000</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距长途汽车站的距离（m）</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1000-1500</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1500-2000</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2000-3000</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1" w:hRule="atLeast"/>
        </w:trPr>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距高速公路出口的距离（m）</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1000-1500</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1500-2000</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2000-3000</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9" w:hRule="atLeast"/>
        </w:trPr>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32"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设施</w:t>
            </w:r>
          </w:p>
        </w:tc>
        <w:tc>
          <w:tcPr>
            <w:tcW w:w="21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供水保证度（%）</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90-95</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85-90</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70-85</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5" w:hRule="atLeast"/>
        </w:trPr>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供电保证度（%）</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90-95</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85-90</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75-85</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通讯保证度（%）</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90-95</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85-90</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75-85</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78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人口状况（客流万人次/日）</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6-10</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3-6</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78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规划状况</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有利</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较有利</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无影响</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较不利</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59"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个别</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因素</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278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距公交站点的距离（m）</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100-300</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300-800</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800-1500</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7" w:hRule="atLeast"/>
        </w:trPr>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78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宗地临街状况</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三面临街</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两面临街</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一面临街</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袋地</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袋地（严重影响利用）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78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宗地宽深比</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1.2-1.6</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0.8-1.2</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0.5-0.8</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78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宗地的整形度</w:t>
            </w:r>
          </w:p>
        </w:tc>
        <w:tc>
          <w:tcPr>
            <w:tcW w:w="110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规则</w:t>
            </w:r>
          </w:p>
        </w:tc>
        <w:tc>
          <w:tcPr>
            <w:tcW w:w="14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较规则</w:t>
            </w:r>
          </w:p>
        </w:tc>
        <w:tc>
          <w:tcPr>
            <w:tcW w:w="134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w:t>
            </w:r>
          </w:p>
        </w:tc>
        <w:tc>
          <w:tcPr>
            <w:tcW w:w="13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较不规则</w:t>
            </w:r>
          </w:p>
        </w:tc>
        <w:tc>
          <w:tcPr>
            <w:tcW w:w="131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不规则</w:t>
            </w:r>
          </w:p>
        </w:tc>
      </w:tr>
    </w:tbl>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表5-2：</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36"/>
          <w:szCs w:val="36"/>
        </w:rPr>
        <w:t>商业用地基准地价修正系数表</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14"/>
        <w:gridCol w:w="993"/>
        <w:gridCol w:w="2409"/>
        <w:gridCol w:w="821"/>
        <w:gridCol w:w="952"/>
        <w:gridCol w:w="916"/>
        <w:gridCol w:w="974"/>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60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宗地修正因素</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优</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较优</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较差</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区域因素</w:t>
            </w:r>
          </w:p>
        </w:tc>
        <w:tc>
          <w:tcPr>
            <w:tcW w:w="109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商服</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繁华度</w:t>
            </w:r>
          </w:p>
        </w:tc>
        <w:tc>
          <w:tcPr>
            <w:tcW w:w="2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距离商服中心距离</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2.7</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-2.7</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商业网点密度</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3.7</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9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交通条件</w:t>
            </w:r>
          </w:p>
        </w:tc>
        <w:tc>
          <w:tcPr>
            <w:tcW w:w="2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临街道路类型</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公交线路数</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距火车站的距离</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距机场的距离</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距长途汽车站距离</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距高速公路出口距离</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0.4</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0.2</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-0.2</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9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基础设施</w:t>
            </w:r>
          </w:p>
        </w:tc>
        <w:tc>
          <w:tcPr>
            <w:tcW w:w="2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供水保证度</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供电保证度</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通讯保证度</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83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人口状况</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83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规划状况</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个别因素</w:t>
            </w:r>
          </w:p>
        </w:tc>
        <w:tc>
          <w:tcPr>
            <w:tcW w:w="383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距公交站点的距离</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83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宗地临街状况</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83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宗地宽深比</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7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83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宗地的整形度</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609"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调整幅度合计</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28.6</w:t>
            </w:r>
          </w:p>
        </w:tc>
        <w:tc>
          <w:tcPr>
            <w:tcW w:w="9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15.1</w:t>
            </w:r>
          </w:p>
        </w:tc>
        <w:tc>
          <w:tcPr>
            <w:tcW w:w="99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9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-14.6</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-28.1</w:t>
            </w:r>
          </w:p>
        </w:tc>
      </w:tr>
    </w:tbl>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p>
    <w:p>
      <w:pPr>
        <w:pStyle w:val="8"/>
        <w:keepNext w:val="0"/>
        <w:keepLines w:val="0"/>
        <w:widowControl/>
        <w:suppressLineNumbers w:val="0"/>
        <w:spacing w:before="0" w:beforeAutospacing="0" w:after="0" w:afterAutospacing="0" w:line="570" w:lineRule="atLeast"/>
        <w:jc w:val="left"/>
        <w:rPr>
          <w:rFonts w:hint="eastAsia" w:ascii="方正黑体_GBK" w:hAnsi="方正黑体_GBK" w:eastAsia="方正黑体_GBK" w:cs="方正黑体_GBK"/>
          <w:sz w:val="32"/>
          <w:szCs w:val="32"/>
        </w:rPr>
      </w:pPr>
      <w:r>
        <w:rPr>
          <w:rFonts w:hint="eastAsia" w:ascii="仿宋" w:hAnsi="仿宋" w:eastAsia="仿宋" w:cs="仿宋"/>
          <w:sz w:val="31"/>
          <w:szCs w:val="31"/>
        </w:rPr>
        <w:t> </w:t>
      </w:r>
      <w:r>
        <w:rPr>
          <w:rFonts w:hint="eastAsia" w:ascii="方正黑体_GBK" w:hAnsi="方正黑体_GBK" w:eastAsia="方正黑体_GBK" w:cs="方正黑体_GBK"/>
          <w:sz w:val="32"/>
          <w:szCs w:val="32"/>
        </w:rPr>
        <w:t>表5-3：</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办公用地基准地价修正因素指标说明表</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33"/>
        <w:gridCol w:w="430"/>
        <w:gridCol w:w="1095"/>
        <w:gridCol w:w="1238"/>
        <w:gridCol w:w="1579"/>
        <w:gridCol w:w="1599"/>
        <w:gridCol w:w="1530"/>
        <w:gridCol w:w="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675"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宗地修正因素</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优</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较优</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较差</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区域因素</w:t>
            </w:r>
          </w:p>
        </w:tc>
        <w:tc>
          <w:tcPr>
            <w:tcW w:w="64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商服繁华度</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距商务中心距离（m）</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150-1000</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1000-1500</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1500-2000</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4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程度</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密集</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较密集</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较不密集</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不密集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4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交通条件</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道路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类型</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50米内有主干道</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100米内有主干道</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200米内有主干道</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200米内有次干道</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200米外有次干道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4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停车场地（m</w:t>
            </w:r>
            <w:r>
              <w:rPr>
                <w:rFonts w:hint="eastAsia" w:ascii="方正仿宋_GBK" w:hAnsi="方正仿宋_GBK" w:eastAsia="方正仿宋_GBK" w:cs="方正仿宋_GBK"/>
                <w:sz w:val="32"/>
                <w:szCs w:val="32"/>
                <w:vertAlign w:val="superscript"/>
              </w:rPr>
              <w:t>2</w:t>
            </w:r>
            <w:r>
              <w:rPr>
                <w:rFonts w:hint="eastAsia" w:ascii="方正仿宋_GBK" w:hAnsi="方正仿宋_GBK" w:eastAsia="方正仿宋_GBK" w:cs="方正仿宋_GBK"/>
                <w:sz w:val="32"/>
                <w:szCs w:val="32"/>
              </w:rPr>
              <w:t>）</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自备且&gt;1000</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自备，600-1000</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自备，&lt;600</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附近有停车场</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4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公交线路数（条）</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4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距火车站的距离（m）</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1000-1500</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1500-2000</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2000-3000</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4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距机场的距离（m）</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1000-2000</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2000-3000</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3000-4000</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4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距长途汽车站的距离（m）</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1000-1500</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1500-2000</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2000-3000</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4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距高速公路出口的距离（m）</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1000-1500</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1500-2000</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2000-3000</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4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基础设施条件</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供水保证度（%）</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90-95</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85-90</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70-85</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4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供电保证度（%）</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90-95</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85-90</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75-85</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64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通讯保证度（%）</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90-95</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85-90</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75-85</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01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规划状况</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有利</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较有利</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无影响</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较不利</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5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个别因素</w:t>
            </w:r>
          </w:p>
        </w:tc>
        <w:tc>
          <w:tcPr>
            <w:tcW w:w="201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距公交站点的距离（m）</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100-300</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300-800</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800-1500</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01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距水景、绿地资源距离（m）</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&lt;300</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300-500</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500-1000</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1000-2000</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01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噪声、大气污染</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轻微污染</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较重污染</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严重污染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01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宗地坡度</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5-10</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10-15</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15-25</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5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01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地质灾害</w:t>
            </w:r>
          </w:p>
        </w:tc>
        <w:tc>
          <w:tcPr>
            <w:tcW w:w="13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tc>
        <w:tc>
          <w:tcPr>
            <w:tcW w:w="15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不易发区</w:t>
            </w:r>
          </w:p>
        </w:tc>
        <w:tc>
          <w:tcPr>
            <w:tcW w:w="165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低易发区</w:t>
            </w:r>
          </w:p>
        </w:tc>
        <w:tc>
          <w:tcPr>
            <w:tcW w:w="1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中易发区</w:t>
            </w:r>
          </w:p>
        </w:tc>
        <w:tc>
          <w:tcPr>
            <w:tcW w:w="135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高易发区</w:t>
            </w:r>
          </w:p>
        </w:tc>
      </w:tr>
    </w:tbl>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表5-4：</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36"/>
          <w:szCs w:val="36"/>
        </w:rPr>
        <w:t>办公用地基准地价修正系数表</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30"/>
        <w:gridCol w:w="740"/>
        <w:gridCol w:w="2651"/>
        <w:gridCol w:w="813"/>
        <w:gridCol w:w="822"/>
        <w:gridCol w:w="997"/>
        <w:gridCol w:w="1136"/>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505"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宗地修正因素</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优</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较优</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较差</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区域因素</w:t>
            </w:r>
          </w:p>
        </w:tc>
        <w:tc>
          <w:tcPr>
            <w:tcW w:w="80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商服</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繁华度</w:t>
            </w:r>
          </w:p>
        </w:tc>
        <w:tc>
          <w:tcPr>
            <w:tcW w:w="30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距商务中心距离</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2.7</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-2.7</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0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商务集聚程度</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3.7</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0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交通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条件</w:t>
            </w:r>
          </w:p>
        </w:tc>
        <w:tc>
          <w:tcPr>
            <w:tcW w:w="30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临街道路类型</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0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停车场地</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0.8</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-0.8</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0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公交线路数</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0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距火车站的距离</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0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距机场的距离</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0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距长途汽车站的距离</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0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距高速公路出口的距离</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0.4</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0.2</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-0.2</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0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基础设施条件</w:t>
            </w:r>
          </w:p>
        </w:tc>
        <w:tc>
          <w:tcPr>
            <w:tcW w:w="30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供水保证度</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0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供电保证度</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0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通讯保证度</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82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规划状况</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个别因素</w:t>
            </w:r>
          </w:p>
        </w:tc>
        <w:tc>
          <w:tcPr>
            <w:tcW w:w="382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距公交站点的距离</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82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距水景、绿地资源距离</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3.5</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82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噪声、大气污染</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82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宗地坡度</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7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82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地质灾害</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505"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调整幅度合计</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29.6</w:t>
            </w:r>
          </w:p>
        </w:tc>
        <w:tc>
          <w:tcPr>
            <w:tcW w:w="84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16.4</w:t>
            </w:r>
          </w:p>
        </w:tc>
        <w:tc>
          <w:tcPr>
            <w:tcW w:w="10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118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-12.9</w:t>
            </w:r>
          </w:p>
        </w:tc>
        <w:tc>
          <w:tcPr>
            <w:tcW w:w="11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-24.6</w:t>
            </w:r>
          </w:p>
        </w:tc>
      </w:tr>
    </w:tbl>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表5-5：</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住宅用地基准地价修正因素指标说明表</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75"/>
        <w:gridCol w:w="384"/>
        <w:gridCol w:w="1080"/>
        <w:gridCol w:w="1373"/>
        <w:gridCol w:w="1579"/>
        <w:gridCol w:w="1579"/>
        <w:gridCol w:w="1538"/>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0" w:hRule="atLeast"/>
        </w:trPr>
        <w:tc>
          <w:tcPr>
            <w:tcW w:w="2626"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宗地修正因素</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优</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较优</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较差</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区域因素</w:t>
            </w:r>
          </w:p>
        </w:tc>
        <w:tc>
          <w:tcPr>
            <w:tcW w:w="59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繁华程度</w:t>
            </w: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距商业中心距离（m）</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500-1000</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＜500或1000-1500</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1500-2500</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2500-4000</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商服网点密度</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较密集</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密集</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较不密集</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不密集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公交线路数（条）</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道路级别（宽度m）</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15-20</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9-15</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5-9</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停车场地（m</w:t>
            </w:r>
            <w:r>
              <w:rPr>
                <w:rFonts w:hint="eastAsia" w:ascii="方正仿宋_GBK" w:hAnsi="方正仿宋_GBK" w:eastAsia="方正仿宋_GBK" w:cs="方正仿宋_GBK"/>
                <w:sz w:val="32"/>
                <w:szCs w:val="32"/>
                <w:vertAlign w:val="superscript"/>
              </w:rPr>
              <w:t>2</w:t>
            </w:r>
            <w:r>
              <w:rPr>
                <w:rFonts w:hint="eastAsia" w:ascii="方正仿宋_GBK" w:hAnsi="方正仿宋_GBK" w:eastAsia="方正仿宋_GBK" w:cs="方正仿宋_GBK"/>
                <w:sz w:val="32"/>
                <w:szCs w:val="32"/>
              </w:rPr>
              <w:t>）</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自备且&gt;1000</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自备，600-1000</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自备，&lt;600</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附近有停车场</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距长途汽车站的距离（km）</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3-5</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5-10</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10-15</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9"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基础设施</w:t>
            </w: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水保有度</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全年&gt;98</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95-98</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90-95</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85-89</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　力</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保有度</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全年&gt;97</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94-97</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90-93</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80-89</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天然气</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保有度</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全年&gt;96</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94-96</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90-93</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80-89</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 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保有度</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&gt;99</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98-99</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95-98</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90-95</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公用设施</w:t>
            </w: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与学校、幼儿园的距离（m）</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&lt;500</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500-1000</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1000-1500</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1500-2000</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与超市、农贸市场的距离（m）</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&lt;500</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500-1000</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1000-2000</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2000-3000</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与医院、公园、体育场馆距离（m）</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&lt;500</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500-1000</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1000-2000</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2000-3000</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人口状况</w:t>
            </w: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人口密度（万人/km</w:t>
            </w:r>
            <w:r>
              <w:rPr>
                <w:rFonts w:hint="eastAsia" w:ascii="方正仿宋_GBK" w:hAnsi="方正仿宋_GBK" w:eastAsia="方正仿宋_GBK" w:cs="方正仿宋_GBK"/>
                <w:sz w:val="32"/>
                <w:szCs w:val="32"/>
                <w:vertAlign w:val="superscript"/>
              </w:rPr>
              <w:t>2</w:t>
            </w:r>
            <w:r>
              <w:rPr>
                <w:rFonts w:hint="eastAsia" w:ascii="方正仿宋_GBK" w:hAnsi="方正仿宋_GBK" w:eastAsia="方正仿宋_GBK" w:cs="方正仿宋_GBK"/>
                <w:sz w:val="32"/>
                <w:szCs w:val="32"/>
              </w:rPr>
              <w:t>）</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2-2.5</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＞2.5或1.5-2</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0.8-1.5</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0.5-0.8</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5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城市规划</w:t>
            </w:r>
          </w:p>
        </w:tc>
        <w:tc>
          <w:tcPr>
            <w:tcW w:w="15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城市规划</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低密度高档住宅区</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教学、科研、机关宿舍区及住宅小区</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普通住宅区</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工矿区配套住宅</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尚未开发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2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个别因素</w:t>
            </w:r>
          </w:p>
        </w:tc>
        <w:tc>
          <w:tcPr>
            <w:tcW w:w="209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至公交站点的距离（m）</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&lt;200</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200-500</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501-800</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801-1000</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09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水景、绿地资源（m）</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&lt;300</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300-500</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500-1000</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1000-2000</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3"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09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噪声、大气污染</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轻微污染</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较重污染</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严重污染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09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宗地坡度</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5-10</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10-15</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15-25</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7" w:hRule="atLeast"/>
        </w:trPr>
        <w:tc>
          <w:tcPr>
            <w:tcW w:w="5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09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地质灾害</w:t>
            </w:r>
          </w:p>
        </w:tc>
        <w:tc>
          <w:tcPr>
            <w:tcW w:w="13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不易发区</w:t>
            </w:r>
          </w:p>
        </w:tc>
        <w:tc>
          <w:tcPr>
            <w:tcW w:w="153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低易发区</w:t>
            </w:r>
          </w:p>
        </w:tc>
        <w:tc>
          <w:tcPr>
            <w:tcW w:w="15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中易发区</w:t>
            </w:r>
          </w:p>
        </w:tc>
        <w:tc>
          <w:tcPr>
            <w:tcW w:w="157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高易发区</w:t>
            </w:r>
          </w:p>
        </w:tc>
      </w:tr>
    </w:tbl>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表5-6：</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36"/>
          <w:szCs w:val="36"/>
        </w:rPr>
        <w:t>住宅用地基准地价修正系数表</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97"/>
        <w:gridCol w:w="680"/>
        <w:gridCol w:w="2185"/>
        <w:gridCol w:w="1163"/>
        <w:gridCol w:w="916"/>
        <w:gridCol w:w="1026"/>
        <w:gridCol w:w="1242"/>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0" w:hRule="atLeast"/>
        </w:trPr>
        <w:tc>
          <w:tcPr>
            <w:tcW w:w="3794"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宗地修正因素</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优</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较优</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较差</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4" w:hRule="atLeast"/>
        </w:trPr>
        <w:tc>
          <w:tcPr>
            <w:tcW w:w="63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区域因素</w:t>
            </w:r>
          </w:p>
        </w:tc>
        <w:tc>
          <w:tcPr>
            <w:tcW w:w="732"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繁华</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程度</w:t>
            </w: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距商业中心距离</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-0.8</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3"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商服网点密度</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公交线路数</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道路级别</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9"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停车场地</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0.8</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-0.8</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距长途汽车站的距离</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2"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设施</w:t>
            </w: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水保有度</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1"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电力保有度</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0.7</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天然气保有度</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7"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通讯保有度</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-0.3</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设施</w:t>
            </w: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学校、幼儿园</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超市、农贸市场</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0.8</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医院、公园、体育场馆</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状况</w:t>
            </w: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人口密度</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0.8</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-0.8</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73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规划</w:t>
            </w:r>
          </w:p>
        </w:tc>
        <w:tc>
          <w:tcPr>
            <w:tcW w:w="242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城市规划</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7" w:hRule="atLeast"/>
        </w:trPr>
        <w:tc>
          <w:tcPr>
            <w:tcW w:w="63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个别因素</w:t>
            </w:r>
          </w:p>
        </w:tc>
        <w:tc>
          <w:tcPr>
            <w:tcW w:w="3158"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至公交站点的距离</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3"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158"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水景、绿地资源</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0.8</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5"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158"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噪声、大气污染</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0.6</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5"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158"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宗地坡度</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1" w:hRule="atLeast"/>
        </w:trPr>
        <w:tc>
          <w:tcPr>
            <w:tcW w:w="63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158"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地质灾害</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9" w:hRule="atLeast"/>
        </w:trPr>
        <w:tc>
          <w:tcPr>
            <w:tcW w:w="3794"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调整幅度</w:t>
            </w:r>
          </w:p>
        </w:tc>
        <w:tc>
          <w:tcPr>
            <w:tcW w:w="125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25.5</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14.2</w:t>
            </w:r>
          </w:p>
        </w:tc>
        <w:tc>
          <w:tcPr>
            <w:tcW w:w="113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3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-12.8</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w:t>
            </w:r>
          </w:p>
        </w:tc>
      </w:tr>
    </w:tbl>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ascii="黑体" w:hAnsi="宋体" w:eastAsia="黑体" w:cs="黑体"/>
          <w:sz w:val="31"/>
          <w:szCs w:val="31"/>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表5-7：</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工业用地基准地价修正因素指标说明表</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91"/>
        <w:gridCol w:w="831"/>
        <w:gridCol w:w="2111"/>
        <w:gridCol w:w="1035"/>
        <w:gridCol w:w="1108"/>
        <w:gridCol w:w="1061"/>
        <w:gridCol w:w="1185"/>
        <w:gridCol w:w="1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406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宗地修正因素</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优</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较优</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一般</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较差</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54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区域因素</w:t>
            </w:r>
          </w:p>
        </w:tc>
        <w:tc>
          <w:tcPr>
            <w:tcW w:w="100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交通条件</w:t>
            </w: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临道路类型</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交通型主干道</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混合型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主干道</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生活型主干道或交通型次干道</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生活型次干道</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支路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54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区域内部道路级别（宽度m）</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10-20</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5-10</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&lt;5</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54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距最近货运火车站的距离（km）</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有铁路专线</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&lt;10</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10-20</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20-40</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54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长途车站距离（km）</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5-10</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10-20</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0" w:hRule="atLeast"/>
        </w:trPr>
        <w:tc>
          <w:tcPr>
            <w:tcW w:w="54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距机场的距离（km）</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5-20</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20-30</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30-40</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54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距高速公路出入口的距离（km）</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&lt;5</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5-10</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10-15</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15-20</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54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0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基础设施条件</w:t>
            </w: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动力能源保证度（%）</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&gt;98</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95-98</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90-95</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85-90</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3" w:hRule="atLeast"/>
        </w:trPr>
        <w:tc>
          <w:tcPr>
            <w:tcW w:w="54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供水保证度（%）</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&gt;98</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95-98</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90-95</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85-90</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54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排水设施完善度（%）</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排水畅通、常年不漫水</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畅通、年内2-3次漫水</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偶尔阻塞、年内2-3次漫水</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偶尔阻塞、年内5-9次漫水</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常阻塞、常漫水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54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通讯保证度（%）</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&gt;98</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95-98</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90-95</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85-90</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54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0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产业集聚度</w:t>
            </w: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产业集聚类型</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高新技术，联系紧密</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高新技术，产业联系一般；一般产业，联系紧密</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高新技术，联系松散；一般产业，联系一般</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一般产业，联系松散</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独立分布区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54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10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企业规模（m</w:t>
            </w:r>
            <w:r>
              <w:rPr>
                <w:rFonts w:hint="eastAsia" w:ascii="方正仿宋_GBK" w:hAnsi="方正仿宋_GBK" w:eastAsia="方正仿宋_GBK" w:cs="方正仿宋_GBK"/>
                <w:sz w:val="32"/>
                <w:szCs w:val="32"/>
                <w:vertAlign w:val="superscript"/>
              </w:rPr>
              <w:t>2</w:t>
            </w:r>
            <w:r>
              <w:rPr>
                <w:rFonts w:hint="eastAsia" w:ascii="方正仿宋_GBK" w:hAnsi="方正仿宋_GBK" w:eastAsia="方正仿宋_GBK" w:cs="方正仿宋_GBK"/>
                <w:sz w:val="32"/>
                <w:szCs w:val="32"/>
              </w:rPr>
              <w:t>）</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＞10万</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3万-10万</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8千-3万</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3千-8千</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 w:hRule="atLeast"/>
        </w:trPr>
        <w:tc>
          <w:tcPr>
            <w:tcW w:w="54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351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城市规划</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有利</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较有利</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无影响</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较不利</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5" w:hRule="atLeast"/>
        </w:trPr>
        <w:tc>
          <w:tcPr>
            <w:tcW w:w="1550" w:type="dxa"/>
            <w:gridSpan w:val="2"/>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个别因素</w:t>
            </w: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宗地坡度</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&lt;5度</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5-10</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10-15</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15-25</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&gt;25度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trPr>
        <w:tc>
          <w:tcPr>
            <w:tcW w:w="1550"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地质灾害</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不易发区</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低易发区</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中易发区</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高易发区、极易发区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9" w:hRule="atLeast"/>
        </w:trPr>
        <w:tc>
          <w:tcPr>
            <w:tcW w:w="1550"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5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区域内污染状况</w:t>
            </w:r>
          </w:p>
        </w:tc>
        <w:tc>
          <w:tcPr>
            <w:tcW w:w="11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tc>
        <w:tc>
          <w:tcPr>
            <w:tcW w:w="118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轻微</w:t>
            </w:r>
          </w:p>
        </w:tc>
        <w:tc>
          <w:tcPr>
            <w:tcW w:w="10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w:t>
            </w:r>
          </w:p>
        </w:tc>
        <w:tc>
          <w:tcPr>
            <w:tcW w:w="128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较重</w:t>
            </w:r>
          </w:p>
        </w:tc>
        <w:tc>
          <w:tcPr>
            <w:tcW w:w="119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严重</w:t>
            </w:r>
          </w:p>
        </w:tc>
      </w:tr>
    </w:tbl>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rPr>
        <w:t>表5-8：</w:t>
      </w:r>
    </w:p>
    <w:p>
      <w:pPr>
        <w:pStyle w:val="8"/>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sz w:val="31"/>
          <w:szCs w:val="31"/>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工业用地基准地价修正系数表</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87"/>
        <w:gridCol w:w="765"/>
        <w:gridCol w:w="1921"/>
        <w:gridCol w:w="1140"/>
        <w:gridCol w:w="1160"/>
        <w:gridCol w:w="1058"/>
        <w:gridCol w:w="1112"/>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Header/>
        </w:trPr>
        <w:tc>
          <w:tcPr>
            <w:tcW w:w="3475"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宗地修正因素</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优</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较优</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一般</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较差</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0" w:hRule="atLeast"/>
        </w:trPr>
        <w:tc>
          <w:tcPr>
            <w:tcW w:w="50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区域因素</w:t>
            </w:r>
          </w:p>
        </w:tc>
        <w:tc>
          <w:tcPr>
            <w:tcW w:w="82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交通条件</w:t>
            </w: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临道路类型</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2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区域内部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道路级别</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2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距最近货运火车站的距离</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 w:hRule="atLeast"/>
        </w:trPr>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2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长途车站距离</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2" w:hRule="atLeast"/>
        </w:trPr>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2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距机场的距离</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2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距高速公路出入口的距离</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9" w:hRule="atLeast"/>
        </w:trPr>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2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基础设施条件</w:t>
            </w: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动力能源</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保证度</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3.5</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 w:hRule="atLeast"/>
        </w:trPr>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2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供水保证度</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2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排水设施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完善度</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5" w:hRule="atLeast"/>
        </w:trPr>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2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通讯保证度</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2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产业集聚度</w:t>
            </w: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产业集聚类型</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2" w:hRule="atLeast"/>
        </w:trPr>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82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企业规模</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1" w:hRule="atLeast"/>
        </w:trPr>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968"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城市规划</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0" w:hRule="atLeast"/>
        </w:trPr>
        <w:tc>
          <w:tcPr>
            <w:tcW w:w="1331" w:type="dxa"/>
            <w:gridSpan w:val="2"/>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个别因素</w:t>
            </w: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宗地坡度</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1" w:hRule="atLeast"/>
        </w:trPr>
        <w:tc>
          <w:tcPr>
            <w:tcW w:w="1331"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地质灾害</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9" w:hRule="atLeast"/>
        </w:trPr>
        <w:tc>
          <w:tcPr>
            <w:tcW w:w="1331"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tc>
        <w:tc>
          <w:tcPr>
            <w:tcW w:w="214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区域内污染状况</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-0.5</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1" w:hRule="atLeast"/>
        </w:trPr>
        <w:tc>
          <w:tcPr>
            <w:tcW w:w="3475"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合计</w:t>
            </w:r>
          </w:p>
        </w:tc>
        <w:tc>
          <w:tcPr>
            <w:tcW w:w="12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29.5</w:t>
            </w:r>
          </w:p>
        </w:tc>
        <w:tc>
          <w:tcPr>
            <w:tcW w:w="12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16</w:t>
            </w:r>
          </w:p>
        </w:tc>
        <w:tc>
          <w:tcPr>
            <w:tcW w:w="115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0</w:t>
            </w:r>
          </w:p>
        </w:tc>
        <w:tc>
          <w:tcPr>
            <w:tcW w:w="11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-16</w:t>
            </w:r>
          </w:p>
        </w:tc>
        <w:tc>
          <w:tcPr>
            <w:tcW w:w="129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-29.5</w:t>
            </w:r>
          </w:p>
        </w:tc>
      </w:tr>
    </w:tbl>
    <w:p>
      <w:pPr>
        <w:keepNext w:val="0"/>
        <w:keepLines w:val="0"/>
        <w:widowControl/>
        <w:suppressLineNumbers w:val="0"/>
        <w:jc w:val="left"/>
        <w:rPr>
          <w:rFonts w:hint="eastAsia" w:ascii="方正小标宋_GBK" w:hAnsi="方正小标宋_GBK" w:eastAsia="方正小标宋_GBK" w:cs="方正小标宋_GBK"/>
          <w:b w:val="0"/>
          <w:bCs w:val="0"/>
          <w:i w:val="0"/>
          <w:color w:val="000000"/>
          <w:kern w:val="0"/>
          <w:sz w:val="36"/>
          <w:szCs w:val="36"/>
          <w:u w:val="none"/>
          <w:lang w:val="en-US" w:eastAsia="zh-CN" w:bidi="ar"/>
        </w:rPr>
      </w:pPr>
      <w:r>
        <w:rPr>
          <w:rFonts w:ascii="宋体" w:hAnsi="宋体" w:eastAsia="宋体" w:cs="宋体"/>
          <w:kern w:val="0"/>
          <w:sz w:val="24"/>
          <w:szCs w:val="24"/>
          <w:lang w:val="en-US" w:eastAsia="zh-CN" w:bidi="ar"/>
        </w:rPr>
        <w:t>​</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altName w:val="Microsoft Sans Serif"/>
    <w:panose1 w:val="020B0604020202020204"/>
    <w:charset w:val="00"/>
    <w:family w:val="roman"/>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770" w:leftChars="1803" w:firstLine="7398" w:firstLineChars="2312"/>
      <w:jc w:val="right"/>
      <w:rPr>
        <w:rFonts w:hint="eastAsia"/>
        <w:color w:val="FAFAFA"/>
        <w:sz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酉阳土家族苗族自治县人民政府办公室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酉阳土家族苗族自治县人民政府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ZGUyYzJhYjVlODJiZjNhZDljYmFiN2JlODRmZjIifQ=="/>
  </w:docVars>
  <w:rsids>
    <w:rsidRoot w:val="00172A27"/>
    <w:rsid w:val="019E71BD"/>
    <w:rsid w:val="037C4D5B"/>
    <w:rsid w:val="041C42DA"/>
    <w:rsid w:val="04B679C3"/>
    <w:rsid w:val="05F07036"/>
    <w:rsid w:val="06E00104"/>
    <w:rsid w:val="080F63D8"/>
    <w:rsid w:val="09341458"/>
    <w:rsid w:val="098254C2"/>
    <w:rsid w:val="0A766EDE"/>
    <w:rsid w:val="0AD64BE8"/>
    <w:rsid w:val="0B0912D7"/>
    <w:rsid w:val="0E025194"/>
    <w:rsid w:val="12AC7196"/>
    <w:rsid w:val="14D50B11"/>
    <w:rsid w:val="152D2DCA"/>
    <w:rsid w:val="187168EA"/>
    <w:rsid w:val="196673CA"/>
    <w:rsid w:val="1B2F4AEE"/>
    <w:rsid w:val="1CF734C9"/>
    <w:rsid w:val="1DEC284C"/>
    <w:rsid w:val="1E6523AC"/>
    <w:rsid w:val="22440422"/>
    <w:rsid w:val="22BB4BBB"/>
    <w:rsid w:val="2AEB3417"/>
    <w:rsid w:val="2C332B71"/>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8805DFD"/>
    <w:rsid w:val="5DC34279"/>
    <w:rsid w:val="5FCD688E"/>
    <w:rsid w:val="5FF9BDAA"/>
    <w:rsid w:val="5FFE5333"/>
    <w:rsid w:val="608816D1"/>
    <w:rsid w:val="60EF4E7F"/>
    <w:rsid w:val="648B0A32"/>
    <w:rsid w:val="665233C1"/>
    <w:rsid w:val="69AC0D42"/>
    <w:rsid w:val="6AD9688B"/>
    <w:rsid w:val="6BC756D0"/>
    <w:rsid w:val="6D0E3F22"/>
    <w:rsid w:val="6DD60F3C"/>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emiHidden/>
    <w:qFormat/>
    <w:uiPriority w:val="0"/>
    <w:pPr>
      <w:tabs>
        <w:tab w:val="right" w:leader="dot" w:pos="9060"/>
      </w:tabs>
      <w:spacing w:before="120" w:after="120"/>
    </w:pPr>
    <w:rPr>
      <w:rFonts w:ascii="仿宋_GB2312" w:eastAsia="仿宋_GB2312"/>
      <w:b/>
      <w:caps/>
      <w:w w:val="65"/>
      <w:kern w:val="0"/>
      <w:szCs w:val="32"/>
    </w:rPr>
  </w:style>
  <w:style w:type="paragraph" w:styleId="7">
    <w:name w:val="Body Text 2"/>
    <w:basedOn w:val="1"/>
    <w:qFormat/>
    <w:uiPriority w:val="0"/>
    <w:pPr>
      <w:widowControl/>
      <w:jc w:val="left"/>
    </w:pPr>
    <w:rPr>
      <w:rFonts w:eastAsia="宋体"/>
      <w:kern w:val="0"/>
      <w:sz w:val="24"/>
      <w:szCs w:val="20"/>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No Spacing"/>
    <w:qFormat/>
    <w:uiPriority w:val="0"/>
    <w:rPr>
      <w:rFonts w:ascii="Calibri" w:hAnsi="Calibri" w:eastAsia="方正仿宋_GBK" w:cs="Calibri"/>
      <w:sz w:val="32"/>
      <w:szCs w:val="22"/>
      <w:lang w:val="en-US" w:eastAsia="en-US" w:bidi="ar-SA"/>
    </w:rPr>
  </w:style>
  <w:style w:type="character" w:customStyle="1" w:styleId="14">
    <w:name w:val="font01"/>
    <w:basedOn w:val="10"/>
    <w:qFormat/>
    <w:uiPriority w:val="0"/>
    <w:rPr>
      <w:rFonts w:hint="default" w:ascii="Times New Roman" w:hAnsi="Times New Roman" w:cs="Times New Roman"/>
      <w:color w:val="000000"/>
      <w:sz w:val="22"/>
      <w:szCs w:val="22"/>
      <w:u w:val="none"/>
    </w:rPr>
  </w:style>
  <w:style w:type="character" w:customStyle="1" w:styleId="15">
    <w:name w:val="font31"/>
    <w:basedOn w:val="10"/>
    <w:qFormat/>
    <w:uiPriority w:val="0"/>
    <w:rPr>
      <w:rFonts w:hint="eastAsia" w:ascii="方正黑体_GBK" w:hAnsi="方正黑体_GBK" w:eastAsia="方正黑体_GBK" w:cs="方正黑体_GBK"/>
      <w:color w:val="000000"/>
      <w:sz w:val="22"/>
      <w:szCs w:val="22"/>
      <w:u w:val="none"/>
    </w:rPr>
  </w:style>
  <w:style w:type="character" w:customStyle="1" w:styleId="16">
    <w:name w:val="font21"/>
    <w:basedOn w:val="10"/>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9394</Words>
  <Characters>9689</Characters>
  <Lines>1</Lines>
  <Paragraphs>1</Paragraphs>
  <TotalTime>6</TotalTime>
  <ScaleCrop>false</ScaleCrop>
  <LinksUpToDate>false</LinksUpToDate>
  <CharactersWithSpaces>9818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工作的%动物</cp:lastModifiedBy>
  <cp:lastPrinted>2022-05-12T00:46:00Z</cp:lastPrinted>
  <dcterms:modified xsi:type="dcterms:W3CDTF">2022-06-14T08:34:28Z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