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600" w:lineRule="exact"/>
        <w:jc w:val="center"/>
        <w:rPr>
          <w:rFonts w:eastAsia="方正小标宋_GBK" w:cs="Times New Roman"/>
          <w:sz w:val="44"/>
          <w:szCs w:val="44"/>
        </w:rPr>
      </w:pPr>
      <w:r>
        <w:rPr>
          <w:rFonts w:ascii="方正小标宋_GBK" w:hAnsi="方正小标宋_GBK" w:eastAsia="方正小标宋_GBK" w:cs="方正小标宋_GBK"/>
          <w:sz w:val="44"/>
          <w:szCs w:val="44"/>
        </w:rPr>
        <w:t>酉阳自治县</w:t>
      </w:r>
      <w:r>
        <w:rPr>
          <w:rFonts w:eastAsia="方正小标宋_GBK" w:cs="Times New Roman"/>
          <w:sz w:val="44"/>
          <w:szCs w:val="44"/>
        </w:rPr>
        <w:t>2025</w:t>
      </w:r>
      <w:r>
        <w:rPr>
          <w:rFonts w:ascii="方正小标宋_GBK" w:hAnsi="方正小标宋_GBK" w:eastAsia="方正小标宋_GBK" w:cs="方正小标宋_GBK"/>
          <w:sz w:val="44"/>
          <w:szCs w:val="44"/>
        </w:rPr>
        <w:t>年</w:t>
      </w:r>
      <w:r>
        <w:rPr>
          <w:rFonts w:eastAsia="方正小标宋_GBK" w:cs="Times New Roman"/>
          <w:sz w:val="44"/>
          <w:szCs w:val="44"/>
        </w:rPr>
        <w:t>1—6</w:t>
      </w:r>
      <w:r>
        <w:rPr>
          <w:rFonts w:ascii="方正小标宋_GBK" w:hAnsi="方正小标宋_GBK" w:eastAsia="方正小标宋_GBK" w:cs="方正小标宋_GBK"/>
          <w:sz w:val="44"/>
          <w:szCs w:val="44"/>
        </w:rPr>
        <w:t>月预算执行</w:t>
      </w:r>
    </w:p>
    <w:p>
      <w:pPr>
        <w:snapToGrid w:val="0"/>
        <w:spacing w:line="600" w:lineRule="exact"/>
        <w:jc w:val="center"/>
        <w:rPr>
          <w:rFonts w:eastAsia="方正小标宋_GBK" w:cs="Times New Roman"/>
          <w:sz w:val="44"/>
          <w:szCs w:val="44"/>
        </w:rPr>
      </w:pPr>
      <w:r>
        <w:rPr>
          <w:rFonts w:ascii="方正小标宋_GBK" w:hAnsi="方正小标宋_GBK" w:eastAsia="方正小标宋_GBK" w:cs="方正小标宋_GBK"/>
          <w:sz w:val="44"/>
          <w:szCs w:val="44"/>
        </w:rPr>
        <w:t>情况报告</w:t>
      </w:r>
    </w:p>
    <w:p>
      <w:pPr>
        <w:widowControl/>
        <w:spacing w:line="600" w:lineRule="exac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p>
    <w:p>
      <w:pPr>
        <w:spacing w:line="600" w:lineRule="exact"/>
        <w:ind w:firstLine="640" w:firstLineChars="200"/>
        <w:rPr>
          <w:rFonts w:eastAsia="方正黑体_GBK" w:cs="Times New Roman"/>
          <w:sz w:val="32"/>
          <w:szCs w:val="32"/>
        </w:rPr>
      </w:pPr>
      <w:r>
        <w:rPr>
          <w:rFonts w:ascii="方正黑体_GBK" w:hAnsi="方正黑体_GBK" w:eastAsia="方正黑体_GBK" w:cs="方正黑体_GBK"/>
          <w:sz w:val="32"/>
          <w:szCs w:val="32"/>
        </w:rPr>
        <w:t>一、半年收支预算执行情况</w:t>
      </w:r>
    </w:p>
    <w:p>
      <w:pPr>
        <w:spacing w:line="600" w:lineRule="exact"/>
        <w:ind w:firstLine="640" w:firstLineChars="200"/>
        <w:rPr>
          <w:rFonts w:eastAsia="方正楷体_GBK" w:cs="Times New Roman"/>
          <w:sz w:val="32"/>
          <w:szCs w:val="32"/>
        </w:rPr>
      </w:pPr>
      <w:r>
        <w:rPr>
          <w:rFonts w:ascii="方正楷体_GBK" w:hAnsi="方正楷体_GBK" w:eastAsia="方正楷体_GBK" w:cs="方正楷体_GBK"/>
          <w:sz w:val="32"/>
          <w:szCs w:val="32"/>
        </w:rPr>
        <w:t>（一）一般公共预算完成情况。</w:t>
      </w:r>
    </w:p>
    <w:p>
      <w:pPr>
        <w:spacing w:line="600" w:lineRule="exact"/>
        <w:ind w:firstLine="640" w:firstLineChars="200"/>
        <w:rPr>
          <w:rFonts w:eastAsia="方正仿宋_GBK" w:cs="Times New Roman"/>
          <w:sz w:val="32"/>
          <w:szCs w:val="32"/>
        </w:rPr>
      </w:pPr>
      <w:r>
        <w:rPr>
          <w:rFonts w:eastAsia="方正仿宋_GBK" w:cs="Times New Roman"/>
          <w:sz w:val="32"/>
          <w:szCs w:val="32"/>
        </w:rPr>
        <w:t>1—6</w:t>
      </w:r>
      <w:r>
        <w:rPr>
          <w:rFonts w:ascii="方正仿宋_GBK" w:hAnsi="方正仿宋_GBK" w:eastAsia="方正仿宋_GBK" w:cs="方正仿宋_GBK"/>
          <w:sz w:val="32"/>
          <w:szCs w:val="32"/>
        </w:rPr>
        <w:t>月，全县一般公共预算收入完成</w:t>
      </w:r>
      <w:r>
        <w:rPr>
          <w:rFonts w:eastAsia="方正仿宋_GBK" w:cs="Times New Roman"/>
          <w:sz w:val="32"/>
          <w:szCs w:val="32"/>
        </w:rPr>
        <w:t>25.3</w:t>
      </w:r>
      <w:r>
        <w:rPr>
          <w:rFonts w:ascii="方正仿宋_GBK" w:hAnsi="方正仿宋_GBK" w:eastAsia="方正仿宋_GBK" w:cs="方正仿宋_GBK"/>
          <w:sz w:val="32"/>
          <w:szCs w:val="32"/>
        </w:rPr>
        <w:t>亿元，增长</w:t>
      </w:r>
      <w:r>
        <w:rPr>
          <w:rFonts w:eastAsia="方正仿宋_GBK" w:cs="Times New Roman"/>
          <w:sz w:val="32"/>
          <w:szCs w:val="32"/>
        </w:rPr>
        <w:t>62.9%</w:t>
      </w:r>
      <w:r>
        <w:rPr>
          <w:rFonts w:ascii="方正仿宋_GBK" w:hAnsi="方正仿宋_GBK" w:eastAsia="方正仿宋_GBK" w:cs="方正仿宋_GBK"/>
          <w:sz w:val="32"/>
          <w:szCs w:val="32"/>
        </w:rPr>
        <w:t>，完成预算的</w:t>
      </w:r>
      <w:r>
        <w:rPr>
          <w:rFonts w:eastAsia="方正仿宋_GBK" w:cs="Times New Roman"/>
          <w:sz w:val="32"/>
          <w:szCs w:val="32"/>
        </w:rPr>
        <w:t>58.6%</w:t>
      </w:r>
      <w:r>
        <w:rPr>
          <w:rFonts w:ascii="方正仿宋_GBK" w:hAnsi="方正仿宋_GBK" w:eastAsia="方正仿宋_GBK" w:cs="方正仿宋_GBK"/>
          <w:sz w:val="32"/>
          <w:szCs w:val="32"/>
        </w:rPr>
        <w:t>。其中：税收收入</w:t>
      </w:r>
      <w:r>
        <w:rPr>
          <w:rFonts w:eastAsia="方正仿宋_GBK" w:cs="Times New Roman"/>
          <w:sz w:val="32"/>
          <w:szCs w:val="32"/>
        </w:rPr>
        <w:t>5.5</w:t>
      </w:r>
      <w:r>
        <w:rPr>
          <w:rFonts w:ascii="方正仿宋_GBK" w:hAnsi="方正仿宋_GBK" w:eastAsia="方正仿宋_GBK" w:cs="方正仿宋_GBK"/>
          <w:sz w:val="32"/>
          <w:szCs w:val="32"/>
        </w:rPr>
        <w:t>亿元，增长</w:t>
      </w:r>
      <w:r>
        <w:rPr>
          <w:rFonts w:eastAsia="方正仿宋_GBK" w:cs="Times New Roman"/>
          <w:sz w:val="32"/>
          <w:szCs w:val="32"/>
        </w:rPr>
        <w:t>23.8%</w:t>
      </w:r>
      <w:r>
        <w:rPr>
          <w:rFonts w:ascii="方正仿宋_GBK" w:hAnsi="方正仿宋_GBK" w:eastAsia="方正仿宋_GBK" w:cs="方正仿宋_GBK"/>
          <w:sz w:val="32"/>
          <w:szCs w:val="32"/>
        </w:rPr>
        <w:t>，完成预算</w:t>
      </w:r>
      <w:r>
        <w:rPr>
          <w:rFonts w:eastAsia="方正仿宋_GBK" w:cs="Times New Roman"/>
          <w:sz w:val="32"/>
          <w:szCs w:val="32"/>
        </w:rPr>
        <w:t>的54.5%</w:t>
      </w:r>
      <w:r>
        <w:rPr>
          <w:rFonts w:hint="eastAsia" w:eastAsia="方正仿宋_GBK" w:cs="Times New Roman"/>
          <w:sz w:val="32"/>
          <w:szCs w:val="32"/>
        </w:rPr>
        <w:t>。主要税种情况：土地增值税完成2.3亿元，增长314.2%；增值税完成1.1亿元，下降18.8%；城镇土地使用税完成0.6亿元，增长10.4%。</w:t>
      </w:r>
      <w:r>
        <w:rPr>
          <w:rFonts w:eastAsia="方正仿宋_GBK" w:cs="Times New Roman"/>
          <w:sz w:val="32"/>
          <w:szCs w:val="32"/>
        </w:rPr>
        <w:t>非税收入19.8亿元，增长78.8%，完成预算的59.9%，主要是</w:t>
      </w:r>
      <w:r>
        <w:rPr>
          <w:rFonts w:hint="eastAsia" w:eastAsia="方正仿宋_GBK" w:cs="Times New Roman"/>
          <w:sz w:val="32"/>
          <w:szCs w:val="32"/>
        </w:rPr>
        <w:t>国有资源（资产）有偿使用收入完成18.5亿元，增长79.7%。</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1—6</w:t>
      </w:r>
      <w:r>
        <w:rPr>
          <w:rFonts w:ascii="方正仿宋_GBK" w:hAnsi="方正仿宋_GBK" w:eastAsia="方正仿宋_GBK" w:cs="方正仿宋_GBK"/>
          <w:color w:val="000000"/>
          <w:sz w:val="32"/>
          <w:szCs w:val="32"/>
        </w:rPr>
        <w:t>月，全县一般公共预算支出完成</w:t>
      </w:r>
      <w:r>
        <w:rPr>
          <w:rFonts w:eastAsia="方正仿宋_GBK" w:cs="Times New Roman"/>
          <w:color w:val="000000"/>
          <w:sz w:val="32"/>
          <w:szCs w:val="32"/>
        </w:rPr>
        <w:t>49.8</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8.8%</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42%</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主要支出科目情况：</w:t>
      </w:r>
      <w:r>
        <w:rPr>
          <w:rFonts w:ascii="方正仿宋_GBK" w:hAnsi="方正仿宋_GBK" w:eastAsia="方正仿宋_GBK" w:cs="方正仿宋_GBK"/>
          <w:color w:val="000000"/>
          <w:sz w:val="32"/>
          <w:szCs w:val="32"/>
        </w:rPr>
        <w:t>一般公共服务</w:t>
      </w:r>
      <w:r>
        <w:rPr>
          <w:rFonts w:hint="eastAsia" w:ascii="方正仿宋_GBK" w:hAnsi="方正仿宋_GBK" w:eastAsia="方正仿宋_GBK" w:cs="方正仿宋_GBK"/>
          <w:color w:val="000000"/>
          <w:sz w:val="32"/>
          <w:szCs w:val="32"/>
        </w:rPr>
        <w:t>支出</w:t>
      </w:r>
      <w:r>
        <w:rPr>
          <w:rFonts w:eastAsia="方正仿宋_GBK" w:cs="Times New Roman"/>
          <w:color w:val="000000"/>
          <w:sz w:val="32"/>
          <w:szCs w:val="32"/>
        </w:rPr>
        <w:t>3.3</w:t>
      </w:r>
      <w:r>
        <w:rPr>
          <w:rFonts w:ascii="方正仿宋_GBK" w:hAnsi="方正仿宋_GBK" w:eastAsia="方正仿宋_GBK" w:cs="方正仿宋_GBK"/>
          <w:color w:val="000000"/>
          <w:sz w:val="32"/>
          <w:szCs w:val="32"/>
        </w:rPr>
        <w:t>亿元，增长</w:t>
      </w:r>
      <w:r>
        <w:rPr>
          <w:rFonts w:eastAsia="方正仿宋_GBK" w:cs="Times New Roman"/>
          <w:color w:val="000000"/>
          <w:sz w:val="32"/>
          <w:szCs w:val="32"/>
        </w:rPr>
        <w:t>13.8%</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41.5%</w:t>
      </w:r>
      <w:r>
        <w:rPr>
          <w:rFonts w:ascii="方正仿宋_GBK" w:hAnsi="方正仿宋_GBK" w:eastAsia="方正仿宋_GBK" w:cs="方正仿宋_GBK"/>
          <w:color w:val="000000"/>
          <w:sz w:val="32"/>
          <w:szCs w:val="32"/>
        </w:rPr>
        <w:t>；教育支出</w:t>
      </w:r>
      <w:r>
        <w:rPr>
          <w:rFonts w:eastAsia="方正仿宋_GBK" w:cs="Times New Roman"/>
          <w:color w:val="000000"/>
          <w:sz w:val="32"/>
          <w:szCs w:val="32"/>
        </w:rPr>
        <w:t>8.4</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12.3%</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39.6%</w:t>
      </w:r>
      <w:r>
        <w:rPr>
          <w:rFonts w:ascii="方正仿宋_GBK" w:hAnsi="方正仿宋_GBK" w:eastAsia="方正仿宋_GBK" w:cs="方正仿宋_GBK"/>
          <w:color w:val="000000"/>
          <w:sz w:val="32"/>
          <w:szCs w:val="32"/>
        </w:rPr>
        <w:t>；社会保障和就业支出</w:t>
      </w:r>
      <w:r>
        <w:rPr>
          <w:rFonts w:eastAsia="方正仿宋_GBK" w:cs="Times New Roman"/>
          <w:color w:val="000000"/>
          <w:sz w:val="32"/>
          <w:szCs w:val="32"/>
        </w:rPr>
        <w:t>7.9</w:t>
      </w:r>
      <w:r>
        <w:rPr>
          <w:rFonts w:ascii="方正仿宋_GBK" w:hAnsi="方正仿宋_GBK" w:eastAsia="方正仿宋_GBK" w:cs="方正仿宋_GBK"/>
          <w:color w:val="000000"/>
          <w:sz w:val="32"/>
          <w:szCs w:val="32"/>
        </w:rPr>
        <w:t>亿元，增长</w:t>
      </w:r>
      <w:r>
        <w:rPr>
          <w:rFonts w:eastAsia="方正仿宋_GBK" w:cs="Times New Roman"/>
          <w:color w:val="000000"/>
          <w:sz w:val="32"/>
          <w:szCs w:val="32"/>
        </w:rPr>
        <w:t>24.6%</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64.3%</w:t>
      </w:r>
      <w:r>
        <w:rPr>
          <w:rFonts w:ascii="方正仿宋_GBK" w:hAnsi="方正仿宋_GBK" w:eastAsia="方正仿宋_GBK" w:cs="方正仿宋_GBK"/>
          <w:color w:val="000000"/>
          <w:sz w:val="32"/>
          <w:szCs w:val="32"/>
        </w:rPr>
        <w:t>；卫生健康支出</w:t>
      </w:r>
      <w:r>
        <w:rPr>
          <w:rFonts w:eastAsia="方正仿宋_GBK" w:cs="Times New Roman"/>
          <w:color w:val="000000"/>
          <w:sz w:val="32"/>
          <w:szCs w:val="32"/>
        </w:rPr>
        <w:t>2.3</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10.8%</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29.4%</w:t>
      </w:r>
      <w:r>
        <w:rPr>
          <w:rFonts w:ascii="方正仿宋_GBK" w:hAnsi="方正仿宋_GBK" w:eastAsia="方正仿宋_GBK" w:cs="方正仿宋_GBK"/>
          <w:color w:val="000000"/>
          <w:sz w:val="32"/>
          <w:szCs w:val="32"/>
        </w:rPr>
        <w:t>；城乡社区支出</w:t>
      </w:r>
      <w:r>
        <w:rPr>
          <w:rFonts w:eastAsia="方正仿宋_GBK" w:cs="Times New Roman"/>
          <w:color w:val="000000"/>
          <w:sz w:val="32"/>
          <w:szCs w:val="32"/>
        </w:rPr>
        <w:t>8.6</w:t>
      </w:r>
      <w:r>
        <w:rPr>
          <w:rFonts w:ascii="方正仿宋_GBK" w:hAnsi="方正仿宋_GBK" w:eastAsia="方正仿宋_GBK" w:cs="方正仿宋_GBK"/>
          <w:color w:val="000000"/>
          <w:sz w:val="32"/>
          <w:szCs w:val="32"/>
        </w:rPr>
        <w:t>亿元，增长</w:t>
      </w:r>
      <w:r>
        <w:rPr>
          <w:rFonts w:eastAsia="方正仿宋_GBK" w:cs="Times New Roman"/>
          <w:color w:val="000000"/>
          <w:sz w:val="32"/>
          <w:szCs w:val="32"/>
        </w:rPr>
        <w:t>46.3%</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84%</w:t>
      </w:r>
      <w:r>
        <w:rPr>
          <w:rFonts w:ascii="方正仿宋_GBK" w:hAnsi="方正仿宋_GBK" w:eastAsia="方正仿宋_GBK" w:cs="方正仿宋_GBK"/>
          <w:color w:val="000000"/>
          <w:sz w:val="32"/>
          <w:szCs w:val="32"/>
        </w:rPr>
        <w:t>；农林水支出</w:t>
      </w:r>
      <w:r>
        <w:rPr>
          <w:rFonts w:eastAsia="方正仿宋_GBK" w:cs="Times New Roman"/>
          <w:color w:val="000000"/>
          <w:sz w:val="32"/>
          <w:szCs w:val="32"/>
        </w:rPr>
        <w:t>3.5</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66.6%</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16.3%</w:t>
      </w:r>
      <w:r>
        <w:rPr>
          <w:rFonts w:ascii="方正仿宋_GBK" w:hAnsi="方正仿宋_GBK" w:eastAsia="方正仿宋_GBK" w:cs="方正仿宋_GBK"/>
          <w:color w:val="000000"/>
          <w:sz w:val="32"/>
          <w:szCs w:val="32"/>
        </w:rPr>
        <w:t>；资源勘探信息支出</w:t>
      </w:r>
      <w:r>
        <w:rPr>
          <w:rFonts w:eastAsia="方正仿宋_GBK" w:cs="Times New Roman"/>
          <w:color w:val="000000"/>
          <w:sz w:val="32"/>
          <w:szCs w:val="32"/>
        </w:rPr>
        <w:t>9.4</w:t>
      </w:r>
      <w:r>
        <w:rPr>
          <w:rFonts w:ascii="方正仿宋_GBK" w:hAnsi="方正仿宋_GBK" w:eastAsia="方正仿宋_GBK" w:cs="方正仿宋_GBK"/>
          <w:color w:val="000000"/>
          <w:sz w:val="32"/>
          <w:szCs w:val="32"/>
        </w:rPr>
        <w:t>亿元，增长</w:t>
      </w:r>
      <w:r>
        <w:rPr>
          <w:rFonts w:eastAsia="方正仿宋_GBK" w:cs="Times New Roman"/>
          <w:color w:val="000000"/>
          <w:sz w:val="32"/>
          <w:szCs w:val="32"/>
        </w:rPr>
        <w:t>58.8%</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82.</w:t>
      </w:r>
      <w:r>
        <w:rPr>
          <w:rFonts w:hint="eastAsia" w:eastAsia="方正仿宋_GBK" w:cs="Times New Roman"/>
          <w:color w:val="000000"/>
          <w:sz w:val="32"/>
          <w:szCs w:val="32"/>
        </w:rPr>
        <w:t>2</w:t>
      </w:r>
      <w:r>
        <w:rPr>
          <w:rFonts w:eastAsia="方正仿宋_GBK" w:cs="Times New Roman"/>
          <w:color w:val="000000"/>
          <w:sz w:val="32"/>
          <w:szCs w:val="32"/>
        </w:rPr>
        <w:t>%</w:t>
      </w:r>
      <w:r>
        <w:rPr>
          <w:rFonts w:ascii="方正仿宋_GBK" w:hAnsi="方正仿宋_GBK" w:eastAsia="方正仿宋_GBK" w:cs="方正仿宋_GBK"/>
          <w:color w:val="000000"/>
          <w:sz w:val="32"/>
          <w:szCs w:val="32"/>
        </w:rPr>
        <w:t>。</w:t>
      </w:r>
    </w:p>
    <w:p>
      <w:pPr>
        <w:spacing w:line="600" w:lineRule="exact"/>
        <w:ind w:firstLine="640" w:firstLineChars="200"/>
        <w:rPr>
          <w:rFonts w:eastAsia="方正楷体_GBK" w:cs="Times New Roman"/>
          <w:sz w:val="32"/>
          <w:szCs w:val="32"/>
        </w:rPr>
      </w:pPr>
      <w:r>
        <w:rPr>
          <w:rFonts w:ascii="方正楷体_GBK" w:hAnsi="方正楷体_GBK" w:eastAsia="方正楷体_GBK" w:cs="方正楷体_GBK"/>
          <w:sz w:val="32"/>
          <w:szCs w:val="32"/>
        </w:rPr>
        <w:t>（二）政府性基金预算完成情况。</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1—6</w:t>
      </w:r>
      <w:r>
        <w:rPr>
          <w:rFonts w:ascii="方正仿宋_GBK" w:hAnsi="方正仿宋_GBK" w:eastAsia="方正仿宋_GBK" w:cs="方正仿宋_GBK"/>
          <w:color w:val="000000"/>
          <w:sz w:val="32"/>
          <w:szCs w:val="32"/>
        </w:rPr>
        <w:t>月，全县政府性基金预算收入完成</w:t>
      </w:r>
      <w:r>
        <w:rPr>
          <w:rFonts w:eastAsia="方正仿宋_GBK" w:cs="Times New Roman"/>
          <w:color w:val="000000"/>
          <w:sz w:val="32"/>
          <w:szCs w:val="32"/>
        </w:rPr>
        <w:t>0.2</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95.1%</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1.1</w:t>
      </w:r>
      <w:r>
        <w:rPr>
          <w:rFonts w:ascii="方正仿宋_GBK" w:hAnsi="方正仿宋_GBK" w:eastAsia="方正仿宋_GBK" w:cs="方正仿宋_GBK"/>
          <w:color w:val="000000"/>
          <w:sz w:val="32"/>
          <w:szCs w:val="32"/>
        </w:rPr>
        <w:t>%</w:t>
      </w:r>
      <w:r>
        <w:rPr>
          <w:rFonts w:eastAsia="方正仿宋_GBK" w:cs="Times New Roman"/>
          <w:color w:val="000000"/>
          <w:sz w:val="32"/>
          <w:szCs w:val="32"/>
        </w:rPr>
        <w:t>，主要是其他政府性基金专项债务对应收入完成2500万元；城市基础设施配套费收入完成1821万元，下降30.7%；国有土地使用权出让收入完成-1947万元（以前年度退库影响）。</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1—6月，全县政府性基金预算支出完成3.1亿元，下降54.1%，完成预算的15.3%，主要是城乡社区支出1.4亿元，下降78.7%；其他支出1.6亿元，增长774.9%。</w:t>
      </w:r>
    </w:p>
    <w:p>
      <w:pPr>
        <w:spacing w:line="600" w:lineRule="exact"/>
        <w:ind w:firstLine="640" w:firstLineChars="200"/>
        <w:rPr>
          <w:rFonts w:eastAsia="方正楷体_GBK" w:cs="Times New Roman"/>
          <w:sz w:val="32"/>
          <w:szCs w:val="32"/>
        </w:rPr>
      </w:pPr>
      <w:r>
        <w:rPr>
          <w:rFonts w:ascii="方正楷体_GBK" w:hAnsi="方正楷体_GBK" w:eastAsia="方正楷体_GBK" w:cs="方正楷体_GBK"/>
          <w:sz w:val="32"/>
          <w:szCs w:val="32"/>
        </w:rPr>
        <w:t>（三）国有资本经营预算完成情况。</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1—6</w:t>
      </w:r>
      <w:r>
        <w:rPr>
          <w:rFonts w:ascii="方正仿宋_GBK" w:hAnsi="方正仿宋_GBK" w:eastAsia="方正仿宋_GBK" w:cs="方正仿宋_GBK"/>
          <w:color w:val="000000"/>
          <w:sz w:val="32"/>
          <w:szCs w:val="32"/>
        </w:rPr>
        <w:t>月，全县国有资本经营预算收入完成</w:t>
      </w:r>
      <w:r>
        <w:rPr>
          <w:rFonts w:eastAsia="方正仿宋_GBK" w:cs="Times New Roman"/>
          <w:color w:val="000000"/>
          <w:sz w:val="32"/>
          <w:szCs w:val="32"/>
        </w:rPr>
        <w:t>0.9</w:t>
      </w:r>
      <w:r>
        <w:rPr>
          <w:rFonts w:ascii="方正仿宋_GBK" w:hAnsi="方正仿宋_GBK" w:eastAsia="方正仿宋_GBK" w:cs="方正仿宋_GBK"/>
          <w:color w:val="000000"/>
          <w:sz w:val="32"/>
          <w:szCs w:val="32"/>
        </w:rPr>
        <w:t>亿元，下降</w:t>
      </w:r>
      <w:r>
        <w:rPr>
          <w:rFonts w:eastAsia="方正仿宋_GBK" w:cs="Times New Roman"/>
          <w:color w:val="000000"/>
          <w:sz w:val="32"/>
          <w:szCs w:val="32"/>
        </w:rPr>
        <w:t>76.3%</w:t>
      </w:r>
      <w:r>
        <w:rPr>
          <w:rFonts w:ascii="方正仿宋_GBK" w:hAnsi="方正仿宋_GBK" w:eastAsia="方正仿宋_GBK" w:cs="方正仿宋_GBK"/>
          <w:color w:val="000000"/>
          <w:sz w:val="32"/>
          <w:szCs w:val="32"/>
        </w:rPr>
        <w:t>，完成预算的</w:t>
      </w:r>
      <w:r>
        <w:rPr>
          <w:rFonts w:eastAsia="方正仿宋_GBK" w:cs="Times New Roman"/>
          <w:color w:val="000000"/>
          <w:sz w:val="32"/>
          <w:szCs w:val="32"/>
        </w:rPr>
        <w:t>25.4%</w:t>
      </w:r>
      <w:r>
        <w:rPr>
          <w:rFonts w:ascii="方正仿宋_GBK" w:hAnsi="方正仿宋_GBK" w:eastAsia="方正仿宋_GBK" w:cs="方正仿宋_GBK"/>
          <w:color w:val="000000"/>
          <w:sz w:val="32"/>
          <w:szCs w:val="32"/>
        </w:rPr>
        <w:t>。</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1—6</w:t>
      </w:r>
      <w:r>
        <w:rPr>
          <w:rFonts w:ascii="方正仿宋_GBK" w:hAnsi="方正仿宋_GBK" w:eastAsia="方正仿宋_GBK" w:cs="方正仿宋_GBK"/>
          <w:color w:val="000000"/>
          <w:sz w:val="32"/>
          <w:szCs w:val="32"/>
        </w:rPr>
        <w:t>月，全县国有资本经营预算未发生支出。</w:t>
      </w:r>
    </w:p>
    <w:p>
      <w:pPr>
        <w:spacing w:line="600" w:lineRule="exact"/>
        <w:ind w:firstLine="640" w:firstLineChars="200"/>
        <w:rPr>
          <w:rFonts w:eastAsia="方正楷体_GBK" w:cs="Times New Roman"/>
          <w:sz w:val="32"/>
          <w:szCs w:val="32"/>
        </w:rPr>
      </w:pPr>
      <w:r>
        <w:rPr>
          <w:rFonts w:ascii="方正楷体_GBK" w:hAnsi="方正楷体_GBK" w:eastAsia="方正楷体_GBK" w:cs="方正楷体_GBK"/>
          <w:sz w:val="32"/>
          <w:szCs w:val="32"/>
        </w:rPr>
        <w:t>（四）重要事项的情况报告。</w:t>
      </w:r>
    </w:p>
    <w:p>
      <w:pPr>
        <w:spacing w:line="600" w:lineRule="exact"/>
        <w:ind w:firstLine="643" w:firstLineChars="200"/>
        <w:rPr>
          <w:rFonts w:cs="Times New Roman"/>
          <w:sz w:val="32"/>
          <w:szCs w:val="32"/>
        </w:rPr>
      </w:pPr>
      <w:r>
        <w:rPr>
          <w:rFonts w:eastAsia="方正仿宋_GBK" w:cs="Times New Roman"/>
          <w:b/>
          <w:sz w:val="32"/>
          <w:szCs w:val="32"/>
        </w:rPr>
        <w:t>1.</w:t>
      </w:r>
      <w:r>
        <w:rPr>
          <w:rFonts w:ascii="方正仿宋_GBK" w:hAnsi="方正仿宋_GBK" w:eastAsia="方正仿宋_GBK" w:cs="方正仿宋_GBK"/>
          <w:b/>
          <w:sz w:val="32"/>
          <w:szCs w:val="32"/>
        </w:rPr>
        <w:t>预备费使用情况</w:t>
      </w:r>
      <w:r>
        <w:rPr>
          <w:rFonts w:ascii="方正楷体_GBK" w:hAnsi="方正楷体_GBK" w:eastAsia="方正楷体_GBK" w:cs="方正楷体_GBK"/>
          <w:b/>
          <w:sz w:val="32"/>
          <w:szCs w:val="32"/>
        </w:rPr>
        <w:t>。</w:t>
      </w:r>
      <w:r>
        <w:rPr>
          <w:rFonts w:ascii="方正仿宋_GBK" w:hAnsi="方正仿宋_GBK" w:eastAsia="方正仿宋_GBK" w:cs="方正仿宋_GBK"/>
          <w:sz w:val="32"/>
          <w:szCs w:val="32"/>
        </w:rPr>
        <w:t>年初预算设置预备费</w:t>
      </w:r>
      <w:r>
        <w:rPr>
          <w:rFonts w:eastAsia="方正仿宋_GBK" w:cs="Times New Roman"/>
          <w:sz w:val="32"/>
          <w:szCs w:val="32"/>
        </w:rPr>
        <w:t>1</w:t>
      </w:r>
      <w:r>
        <w:rPr>
          <w:rFonts w:hint="eastAsia" w:eastAsia="方正仿宋_GBK" w:cs="Times New Roman"/>
          <w:sz w:val="32"/>
          <w:szCs w:val="32"/>
        </w:rPr>
        <w:t>3000</w:t>
      </w:r>
      <w:r>
        <w:rPr>
          <w:rFonts w:hint="eastAsia" w:ascii="方正仿宋_GBK" w:hAnsi="方正仿宋_GBK" w:eastAsia="方正仿宋_GBK" w:cs="方正仿宋_GBK"/>
          <w:sz w:val="32"/>
          <w:szCs w:val="32"/>
        </w:rPr>
        <w:t>万</w:t>
      </w:r>
      <w:r>
        <w:rPr>
          <w:rFonts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rPr>
        <w:t>截至</w:t>
      </w:r>
      <w:r>
        <w:rPr>
          <w:rFonts w:eastAsia="方正仿宋_GBK" w:cs="Times New Roman"/>
          <w:sz w:val="32"/>
          <w:szCs w:val="32"/>
        </w:rPr>
        <w:t>6</w:t>
      </w:r>
      <w:r>
        <w:rPr>
          <w:rFonts w:ascii="方正仿宋_GBK" w:hAnsi="方正仿宋_GBK" w:eastAsia="方正仿宋_GBK" w:cs="方正仿宋_GBK"/>
          <w:sz w:val="32"/>
          <w:szCs w:val="32"/>
        </w:rPr>
        <w:t>月底，已分配</w:t>
      </w:r>
      <w:r>
        <w:rPr>
          <w:rFonts w:hint="eastAsia" w:eastAsia="方正仿宋_GBK" w:cs="Times New Roman"/>
          <w:sz w:val="32"/>
          <w:szCs w:val="32"/>
        </w:rPr>
        <w:t>427.1万元</w:t>
      </w:r>
      <w:r>
        <w:rPr>
          <w:rFonts w:ascii="方正仿宋_GBK" w:hAnsi="方正仿宋_GBK" w:eastAsia="方正仿宋_GBK" w:cs="方正仿宋_GBK"/>
          <w:sz w:val="32"/>
          <w:szCs w:val="32"/>
        </w:rPr>
        <w:t>，主要用于新溪村一百二拾步应急抢险工程</w:t>
      </w:r>
      <w:r>
        <w:rPr>
          <w:rFonts w:hint="eastAsia" w:ascii="方正仿宋_GBK" w:hAnsi="方正仿宋_GBK" w:eastAsia="方正仿宋_GBK" w:cs="方正仿宋_GBK"/>
          <w:sz w:val="32"/>
          <w:szCs w:val="32"/>
        </w:rPr>
        <w:t>、张家坪河道违建应急拆除等项目。</w:t>
      </w:r>
    </w:p>
    <w:p>
      <w:pPr>
        <w:adjustRightInd w:val="0"/>
        <w:spacing w:line="600" w:lineRule="exact"/>
        <w:ind w:firstLine="643" w:firstLineChars="200"/>
        <w:rPr>
          <w:rFonts w:eastAsia="方正仿宋_GBK" w:cs="Times New Roman"/>
          <w:sz w:val="32"/>
          <w:szCs w:val="32"/>
        </w:rPr>
      </w:pPr>
      <w:r>
        <w:rPr>
          <w:rFonts w:eastAsia="方正楷体_GBK" w:cs="Times New Roman"/>
          <w:b/>
          <w:sz w:val="32"/>
          <w:szCs w:val="32"/>
        </w:rPr>
        <w:t>2.</w:t>
      </w:r>
      <w:r>
        <w:rPr>
          <w:rFonts w:eastAsia="方正仿宋_GBK" w:cs="Times New Roman"/>
          <w:b/>
          <w:sz w:val="32"/>
          <w:szCs w:val="32"/>
        </w:rPr>
        <w:t>直达资金情况。</w:t>
      </w:r>
      <w:r>
        <w:rPr>
          <w:rFonts w:eastAsia="方正仿宋_GBK" w:cs="Times New Roman"/>
          <w:sz w:val="32"/>
          <w:szCs w:val="32"/>
        </w:rPr>
        <w:t>截至6月底，市级下达直达资金12.1亿元，支付1.5亿元。其中：一般性转移支付9.2亿元，支付1.3亿元，主要用于</w:t>
      </w:r>
      <w:r>
        <w:rPr>
          <w:rFonts w:ascii="方正仿宋_GBK" w:hAnsi="方正仿宋_GBK" w:eastAsia="方正仿宋_GBK" w:cs="方正仿宋_GBK"/>
          <w:i w:val="0"/>
          <w:iCs w:val="0"/>
          <w:caps w:val="0"/>
          <w:color w:val="000000"/>
          <w:spacing w:val="0"/>
          <w:sz w:val="31"/>
          <w:szCs w:val="31"/>
        </w:rPr>
        <w:t>巩固拓展脱贫攻坚成果同乡村振兴有效衔接</w:t>
      </w:r>
      <w:r>
        <w:rPr>
          <w:rFonts w:hint="eastAsia" w:ascii="方正仿宋_GBK" w:hAnsi="方正仿宋_GBK" w:eastAsia="方正仿宋_GBK" w:cs="方正仿宋_GBK"/>
          <w:i w:val="0"/>
          <w:iCs w:val="0"/>
          <w:caps w:val="0"/>
          <w:color w:val="000000"/>
          <w:spacing w:val="0"/>
          <w:sz w:val="31"/>
          <w:szCs w:val="31"/>
        </w:rPr>
        <w:t>、</w:t>
      </w:r>
      <w:r>
        <w:rPr>
          <w:rFonts w:eastAsia="方正仿宋_GBK" w:cs="Times New Roman"/>
          <w:sz w:val="32"/>
          <w:szCs w:val="32"/>
        </w:rPr>
        <w:t>学生资助、就业服务等方面；专项转移支付2.9亿元，支付0.2亿元，主要用于水利发展、交通建设等方面。</w:t>
      </w:r>
    </w:p>
    <w:p>
      <w:pPr>
        <w:adjustRightInd w:val="0"/>
        <w:spacing w:line="600" w:lineRule="exact"/>
        <w:ind w:firstLine="643" w:firstLineChars="200"/>
        <w:rPr>
          <w:rFonts w:eastAsia="方正仿宋_GBK" w:cs="Times New Roman"/>
          <w:sz w:val="32"/>
          <w:szCs w:val="32"/>
        </w:rPr>
      </w:pPr>
      <w:r>
        <w:rPr>
          <w:rFonts w:ascii="方正仿宋_GBK" w:hAnsi="方正仿宋_GBK" w:eastAsia="方正仿宋_GBK" w:cs="方正仿宋_GBK"/>
          <w:b/>
          <w:sz w:val="32"/>
          <w:szCs w:val="32"/>
        </w:rPr>
        <w:t>3.地方政府债务情况。</w:t>
      </w:r>
      <w:r>
        <w:rPr>
          <w:rFonts w:eastAsia="方正仿宋_GBK" w:cs="Times New Roman"/>
          <w:sz w:val="32"/>
          <w:szCs w:val="32"/>
        </w:rPr>
        <w:t>市级下达我县政府债务限额248.3亿元，其中：一般债务限额88.91亿元、专项债务限额159.39亿元。截</w:t>
      </w:r>
      <w:r>
        <w:rPr>
          <w:rFonts w:hint="eastAsia" w:eastAsia="方正仿宋_GBK" w:cs="Times New Roman"/>
          <w:sz w:val="32"/>
          <w:szCs w:val="32"/>
        </w:rPr>
        <w:t>至</w:t>
      </w:r>
      <w:r>
        <w:rPr>
          <w:rFonts w:eastAsia="方正仿宋_GBK" w:cs="Times New Roman"/>
          <w:sz w:val="32"/>
          <w:szCs w:val="32"/>
        </w:rPr>
        <w:t>6月底，我县政府债务余额232.95亿元，其中：一般债务余额85.83亿元、专项债务余额147.12亿元。控制在债务限额以内，债务风险总体可控。1—6月，市级下达我县债券资金9.81亿元，其中：发行新增债券7.24亿元，资金用途为置换存量隐性债务；发行再融资债券2.57亿元，资金用途为置换到期政府债券。</w:t>
      </w:r>
    </w:p>
    <w:p>
      <w:pPr>
        <w:numPr>
          <w:ilvl w:val="0"/>
          <w:numId w:val="1"/>
        </w:numPr>
        <w:spacing w:line="600" w:lineRule="exact"/>
        <w:ind w:firstLine="640"/>
        <w:rPr>
          <w:rFonts w:eastAsia="方正黑体_GBK" w:cs="Times New Roman"/>
          <w:sz w:val="32"/>
          <w:szCs w:val="32"/>
        </w:rPr>
      </w:pPr>
      <w:r>
        <w:rPr>
          <w:rFonts w:ascii="方正黑体_GBK" w:hAnsi="方正黑体_GBK" w:eastAsia="方正黑体_GBK" w:cs="方正黑体_GBK"/>
          <w:sz w:val="32"/>
          <w:szCs w:val="32"/>
        </w:rPr>
        <w:t>上半年财政主要工作</w:t>
      </w:r>
    </w:p>
    <w:p>
      <w:pPr>
        <w:pStyle w:val="17"/>
        <w:spacing w:beforeAutospacing="0" w:afterAutospacing="0" w:line="600" w:lineRule="exact"/>
        <w:ind w:firstLine="640" w:firstLineChars="200"/>
        <w:jc w:val="both"/>
        <w:rPr>
          <w:rFonts w:eastAsia="方正仿宋_GBK"/>
          <w:color w:val="000000"/>
          <w:sz w:val="32"/>
          <w:szCs w:val="32"/>
        </w:rPr>
      </w:pPr>
      <w:r>
        <w:rPr>
          <w:rFonts w:ascii="方正仿宋_GBK" w:hAnsi="方正仿宋_GBK" w:eastAsia="方正仿宋_GBK" w:cs="方正仿宋_GBK"/>
          <w:color w:val="000000"/>
          <w:sz w:val="32"/>
          <w:szCs w:val="32"/>
        </w:rPr>
        <w:t>今年以来，在县委的坚强领导下和县人大及其常委会的监督支持下，全县坚持以习近平新时代中国特色社会主义思想为指导，全面贯彻落实党的二十大精神，坚持稳中求进工作总基调，牢牢把握稳进增效、改革创新、除险固安、强企富民工作导向，积极落实财政政策，切实保障和改善民生，服务经济社会发展，上半年财政运行总体平稳。</w:t>
      </w:r>
    </w:p>
    <w:p>
      <w:pPr>
        <w:spacing w:line="600" w:lineRule="exact"/>
        <w:ind w:firstLine="640" w:firstLineChars="200"/>
        <w:rPr>
          <w:rFonts w:eastAsia="方正仿宋_GBK" w:cs="Times New Roman"/>
          <w:color w:val="000000"/>
          <w:kern w:val="0"/>
          <w:sz w:val="32"/>
          <w:szCs w:val="32"/>
        </w:rPr>
      </w:pPr>
      <w:r>
        <w:rPr>
          <w:rFonts w:hint="eastAsia" w:ascii="方正楷体_GBK" w:hAnsi="方正楷体_GBK" w:eastAsia="方正楷体_GBK" w:cs="方正楷体_GBK"/>
          <w:color w:val="000000"/>
          <w:kern w:val="0"/>
          <w:sz w:val="32"/>
          <w:szCs w:val="32"/>
        </w:rPr>
        <w:t>一是深入挖掘增收潜力，财政收入实现“双过半”。</w:t>
      </w:r>
      <w:r>
        <w:rPr>
          <w:rFonts w:ascii="方正仿宋_GBK" w:hAnsi="方正仿宋_GBK" w:eastAsia="方正仿宋_GBK" w:cs="方正仿宋_GBK"/>
          <w:color w:val="000000"/>
          <w:kern w:val="0"/>
          <w:sz w:val="32"/>
          <w:szCs w:val="32"/>
        </w:rPr>
        <w:t>每月分析研判税源状况和征管形势，持续挖掘重点企业、重点行业增收潜力。充分立足酉阳特色资源禀赋，突破路劲依赖，引入金融活水，扎实推动资产盘活工作。上半年</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color w:val="000000"/>
          <w:kern w:val="0"/>
          <w:sz w:val="32"/>
          <w:szCs w:val="32"/>
        </w:rPr>
        <w:t>税收</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color w:val="000000"/>
          <w:kern w:val="0"/>
          <w:sz w:val="32"/>
          <w:szCs w:val="32"/>
        </w:rPr>
        <w:t>非税收入</w:t>
      </w:r>
      <w:r>
        <w:rPr>
          <w:rFonts w:hint="eastAsia" w:ascii="方正仿宋_GBK" w:hAnsi="方正仿宋_GBK" w:eastAsia="方正仿宋_GBK" w:cs="方正仿宋_GBK"/>
          <w:color w:val="000000"/>
          <w:kern w:val="0"/>
          <w:sz w:val="32"/>
          <w:szCs w:val="32"/>
        </w:rPr>
        <w:t>分别</w:t>
      </w:r>
      <w:r>
        <w:rPr>
          <w:rFonts w:ascii="方正仿宋_GBK" w:hAnsi="方正仿宋_GBK" w:eastAsia="方正仿宋_GBK" w:cs="方正仿宋_GBK"/>
          <w:color w:val="000000"/>
          <w:kern w:val="0"/>
          <w:sz w:val="32"/>
          <w:szCs w:val="32"/>
        </w:rPr>
        <w:t>完成预算的</w:t>
      </w:r>
      <w:r>
        <w:rPr>
          <w:rFonts w:eastAsia="方正仿宋_GBK" w:cs="Times New Roman"/>
          <w:color w:val="000000"/>
          <w:kern w:val="0"/>
          <w:sz w:val="32"/>
          <w:szCs w:val="32"/>
        </w:rPr>
        <w:t>5</w:t>
      </w:r>
      <w:r>
        <w:rPr>
          <w:rFonts w:hint="eastAsia" w:eastAsia="方正仿宋_GBK" w:cs="Times New Roman"/>
          <w:color w:val="000000"/>
          <w:kern w:val="0"/>
          <w:sz w:val="32"/>
          <w:szCs w:val="32"/>
        </w:rPr>
        <w:t>4.5</w:t>
      </w:r>
      <w:r>
        <w:rPr>
          <w:rFonts w:eastAsia="方正仿宋_GBK" w:cs="Times New Roman"/>
          <w:color w:val="000000"/>
          <w:kern w:val="0"/>
          <w:sz w:val="32"/>
          <w:szCs w:val="32"/>
        </w:rPr>
        <w:t>%</w:t>
      </w:r>
      <w:r>
        <w:rPr>
          <w:rFonts w:hint="eastAsia" w:eastAsia="方正仿宋_GBK" w:cs="Times New Roman"/>
          <w:color w:val="000000"/>
          <w:kern w:val="0"/>
          <w:sz w:val="32"/>
          <w:szCs w:val="32"/>
        </w:rPr>
        <w:t>、</w:t>
      </w:r>
      <w:r>
        <w:rPr>
          <w:rFonts w:eastAsia="方正仿宋_GBK" w:cs="Times New Roman"/>
          <w:color w:val="000000"/>
          <w:kern w:val="0"/>
          <w:sz w:val="32"/>
          <w:szCs w:val="32"/>
        </w:rPr>
        <w:t>59.9%</w:t>
      </w:r>
      <w:r>
        <w:rPr>
          <w:rFonts w:ascii="方正仿宋_GBK" w:hAnsi="方正仿宋_GBK" w:eastAsia="方正仿宋_GBK" w:cs="方正仿宋_GBK"/>
          <w:color w:val="000000"/>
          <w:kern w:val="0"/>
          <w:sz w:val="32"/>
          <w:szCs w:val="32"/>
        </w:rPr>
        <w:t>，实现进度</w:t>
      </w:r>
      <w:r>
        <w:rPr>
          <w:rFonts w:hint="eastAsia" w:ascii="方正仿宋_GBK" w:hAnsi="方正仿宋_GBK" w:eastAsia="方正仿宋_GBK" w:cs="方正仿宋_GBK"/>
          <w:color w:val="000000"/>
          <w:kern w:val="0"/>
          <w:sz w:val="32"/>
          <w:szCs w:val="32"/>
        </w:rPr>
        <w:t>双</w:t>
      </w:r>
      <w:r>
        <w:rPr>
          <w:rFonts w:ascii="方正仿宋_GBK" w:hAnsi="方正仿宋_GBK" w:eastAsia="方正仿宋_GBK" w:cs="方正仿宋_GBK"/>
          <w:color w:val="000000"/>
          <w:kern w:val="0"/>
          <w:sz w:val="32"/>
          <w:szCs w:val="32"/>
        </w:rPr>
        <w:t>“过半”，为全县收入基本盘奠定坚实基础。</w:t>
      </w:r>
    </w:p>
    <w:p>
      <w:pPr>
        <w:spacing w:line="600" w:lineRule="exact"/>
        <w:ind w:firstLine="640" w:firstLineChars="200"/>
        <w:rPr>
          <w:rFonts w:eastAsia="方正仿宋_GBK" w:cs="Times New Roman"/>
          <w:color w:val="000000"/>
          <w:kern w:val="0"/>
          <w:sz w:val="32"/>
          <w:szCs w:val="32"/>
        </w:rPr>
      </w:pPr>
      <w:r>
        <w:rPr>
          <w:rFonts w:ascii="方正楷体_GBK" w:hAnsi="方正楷体_GBK" w:eastAsia="方正楷体_GBK" w:cs="方正楷体_GBK"/>
          <w:color w:val="000000"/>
          <w:kern w:val="0"/>
          <w:sz w:val="32"/>
          <w:szCs w:val="32"/>
        </w:rPr>
        <w:t>二是加力争取上级补助，持续注入资金活力。</w:t>
      </w:r>
      <w:r>
        <w:rPr>
          <w:rFonts w:ascii="方正仿宋_GBK" w:hAnsi="方正仿宋_GBK" w:eastAsia="方正仿宋_GBK" w:cs="方正仿宋_GBK"/>
          <w:color w:val="000000"/>
          <w:kern w:val="0"/>
          <w:sz w:val="32"/>
          <w:szCs w:val="32"/>
        </w:rPr>
        <w:t>抢抓国家扩大内需政策机遇，紧盯国家政策导向和资金投向，高质量做好项目储备、申报、发行工作，财政部门及各主管部门持续加强向上汇报、对接工作，全力以赴争取各类上级资金补助，上半年争取到各类上级资金补助</w:t>
      </w:r>
      <w:r>
        <w:rPr>
          <w:rFonts w:eastAsia="方正仿宋_GBK" w:cs="Times New Roman"/>
          <w:color w:val="000000"/>
          <w:kern w:val="0"/>
          <w:sz w:val="32"/>
          <w:szCs w:val="32"/>
        </w:rPr>
        <w:t>46.9</w:t>
      </w:r>
      <w:r>
        <w:rPr>
          <w:rFonts w:ascii="方正仿宋_GBK" w:hAnsi="方正仿宋_GBK" w:eastAsia="方正仿宋_GBK" w:cs="方正仿宋_GBK"/>
          <w:color w:val="000000"/>
          <w:kern w:val="0"/>
          <w:sz w:val="32"/>
          <w:szCs w:val="32"/>
        </w:rPr>
        <w:t>亿元，同比增长</w:t>
      </w:r>
      <w:r>
        <w:rPr>
          <w:rFonts w:eastAsia="方正仿宋_GBK" w:cs="Times New Roman"/>
          <w:color w:val="000000"/>
          <w:kern w:val="0"/>
          <w:sz w:val="32"/>
          <w:szCs w:val="32"/>
        </w:rPr>
        <w:t>0.4%</w:t>
      </w:r>
      <w:r>
        <w:rPr>
          <w:rFonts w:ascii="方正仿宋_GBK" w:hAnsi="方正仿宋_GBK" w:eastAsia="方正仿宋_GBK" w:cs="方正仿宋_GBK"/>
          <w:color w:val="000000"/>
          <w:kern w:val="0"/>
          <w:sz w:val="32"/>
          <w:szCs w:val="32"/>
        </w:rPr>
        <w:t>。</w:t>
      </w:r>
    </w:p>
    <w:p>
      <w:pPr>
        <w:spacing w:line="600" w:lineRule="exact"/>
        <w:ind w:firstLine="640" w:firstLineChars="200"/>
        <w:rPr>
          <w:rFonts w:ascii="方正仿宋_GBK" w:hAnsi="方正仿宋_GBK" w:eastAsia="方正仿宋_GBK" w:cs="方正仿宋_GBK"/>
          <w:color w:val="000000"/>
          <w:kern w:val="0"/>
          <w:sz w:val="32"/>
          <w:szCs w:val="32"/>
        </w:rPr>
      </w:pPr>
      <w:r>
        <w:rPr>
          <w:rFonts w:ascii="方正楷体_GBK" w:hAnsi="方正楷体_GBK" w:eastAsia="方正楷体_GBK" w:cs="方正楷体_GBK"/>
          <w:color w:val="000000"/>
          <w:kern w:val="0"/>
          <w:sz w:val="32"/>
          <w:szCs w:val="32"/>
        </w:rPr>
        <w:t>三是优化结构加强保障，严格兜牢“三保”底线。</w:t>
      </w:r>
      <w:r>
        <w:rPr>
          <w:rFonts w:ascii="方正仿宋_GBK" w:hAnsi="方正仿宋_GBK" w:eastAsia="方正仿宋_GBK" w:cs="方正仿宋_GBK"/>
          <w:color w:val="000000"/>
          <w:kern w:val="0"/>
          <w:sz w:val="32"/>
          <w:szCs w:val="32"/>
        </w:rPr>
        <w:t>持续优化调整支出结构，将“三保”支出摆在财政支出中的优先顺序，切实保障民生支出，守护民生福祉，兜牢“三保”底线。上半年按需拨付低保、特困、残疾人、优抚等困难群体补助资金</w:t>
      </w:r>
      <w:r>
        <w:rPr>
          <w:rFonts w:eastAsia="方正仿宋_GBK" w:cs="Times New Roman"/>
          <w:color w:val="000000"/>
          <w:kern w:val="0"/>
          <w:sz w:val="32"/>
          <w:szCs w:val="32"/>
        </w:rPr>
        <w:t>2.4</w:t>
      </w:r>
      <w:r>
        <w:rPr>
          <w:rFonts w:ascii="方正仿宋_GBK" w:hAnsi="方正仿宋_GBK" w:eastAsia="方正仿宋_GBK" w:cs="方正仿宋_GBK"/>
          <w:color w:val="000000"/>
          <w:kern w:val="0"/>
          <w:sz w:val="32"/>
          <w:szCs w:val="32"/>
        </w:rPr>
        <w:t>亿元，惠及各类困难群体</w:t>
      </w:r>
      <w:r>
        <w:rPr>
          <w:rFonts w:eastAsia="方正仿宋_GBK" w:cs="Times New Roman"/>
          <w:color w:val="000000"/>
          <w:kern w:val="0"/>
          <w:sz w:val="32"/>
          <w:szCs w:val="32"/>
        </w:rPr>
        <w:t>6</w:t>
      </w:r>
      <w:r>
        <w:rPr>
          <w:rFonts w:ascii="方正仿宋_GBK" w:hAnsi="方正仿宋_GBK" w:eastAsia="方正仿宋_GBK" w:cs="方正仿宋_GBK"/>
          <w:color w:val="000000"/>
          <w:kern w:val="0"/>
          <w:sz w:val="32"/>
          <w:szCs w:val="32"/>
        </w:rPr>
        <w:t>万余人；按序时进度发放村干部、环卫人员、城管协管人员等政府购买服务人员工资。</w:t>
      </w:r>
    </w:p>
    <w:p>
      <w:pPr>
        <w:spacing w:line="600" w:lineRule="exact"/>
        <w:ind w:firstLine="640" w:firstLineChars="200"/>
        <w:rPr>
          <w:rFonts w:eastAsia="方正仿宋_GBK" w:cs="Times New Roman"/>
          <w:color w:val="000000"/>
          <w:kern w:val="0"/>
          <w:sz w:val="32"/>
          <w:szCs w:val="32"/>
        </w:rPr>
      </w:pPr>
      <w:r>
        <w:rPr>
          <w:rFonts w:ascii="方正楷体_GBK" w:hAnsi="方正楷体_GBK" w:eastAsia="方正楷体_GBK" w:cs="方正楷体_GBK"/>
          <w:color w:val="000000"/>
          <w:kern w:val="0"/>
          <w:sz w:val="32"/>
          <w:szCs w:val="32"/>
        </w:rPr>
        <w:t>四是建立完善长效机制，规范资金资产管理。</w:t>
      </w:r>
      <w:r>
        <w:rPr>
          <w:rFonts w:ascii="方正仿宋_GBK" w:hAnsi="方正仿宋_GBK" w:eastAsia="方正仿宋_GBK" w:cs="方正仿宋_GBK"/>
          <w:color w:val="000000"/>
          <w:kern w:val="0"/>
          <w:sz w:val="32"/>
          <w:szCs w:val="32"/>
        </w:rPr>
        <w:t>制定《酉阳自治县财政资金审批管理规定（试行）》，优化</w:t>
      </w:r>
      <w:r>
        <w:rPr>
          <w:rFonts w:hint="eastAsia" w:ascii="方正仿宋_GBK" w:hAnsi="方正仿宋_GBK" w:eastAsia="方正仿宋_GBK" w:cs="方正仿宋_GBK"/>
          <w:color w:val="000000"/>
          <w:kern w:val="0"/>
          <w:sz w:val="32"/>
          <w:szCs w:val="32"/>
        </w:rPr>
        <w:t>各类财政</w:t>
      </w:r>
      <w:r>
        <w:rPr>
          <w:rFonts w:ascii="方正仿宋_GBK" w:hAnsi="方正仿宋_GBK" w:eastAsia="方正仿宋_GBK" w:cs="方正仿宋_GBK"/>
          <w:color w:val="000000"/>
          <w:kern w:val="0"/>
          <w:sz w:val="32"/>
          <w:szCs w:val="32"/>
        </w:rPr>
        <w:t>资金使用审批程序，进一步规范财政资金使用管理，提高财政资金使用效益。制定《酉阳自治县行政事业单位国有资产处置管理暂行办法》，明确资产处置范围、权限和程序，规范全县行政事业单位国有资产处置行为，维护国有资产安全和完整。</w:t>
      </w:r>
    </w:p>
    <w:p>
      <w:pPr>
        <w:spacing w:line="600" w:lineRule="exact"/>
        <w:ind w:firstLine="640" w:firstLineChars="200"/>
        <w:rPr>
          <w:rFonts w:eastAsia="方正仿宋_GBK" w:cs="Times New Roman"/>
          <w:color w:val="000000"/>
          <w:kern w:val="0"/>
          <w:sz w:val="32"/>
          <w:szCs w:val="32"/>
        </w:rPr>
      </w:pPr>
      <w:r>
        <w:rPr>
          <w:rFonts w:ascii="方正楷体_GBK" w:hAnsi="方正楷体_GBK" w:eastAsia="方正楷体_GBK" w:cs="方正楷体_GBK"/>
          <w:color w:val="000000"/>
          <w:kern w:val="0"/>
          <w:sz w:val="32"/>
          <w:szCs w:val="32"/>
        </w:rPr>
        <w:t>五是严格控制“三公”经费，</w:t>
      </w:r>
      <w:r>
        <w:rPr>
          <w:rFonts w:hint="eastAsia" w:ascii="方正楷体_GBK" w:hAnsi="方正楷体_GBK" w:eastAsia="方正楷体_GBK" w:cs="方正楷体_GBK"/>
          <w:color w:val="000000"/>
          <w:kern w:val="0"/>
          <w:sz w:val="32"/>
          <w:szCs w:val="32"/>
        </w:rPr>
        <w:t>大力</w:t>
      </w:r>
      <w:r>
        <w:rPr>
          <w:rFonts w:ascii="方正楷体_GBK" w:hAnsi="方正楷体_GBK" w:eastAsia="方正楷体_GBK" w:cs="方正楷体_GBK"/>
          <w:color w:val="000000"/>
          <w:kern w:val="0"/>
          <w:sz w:val="32"/>
          <w:szCs w:val="32"/>
        </w:rPr>
        <w:t>推行</w:t>
      </w:r>
      <w:r>
        <w:rPr>
          <w:rFonts w:hint="eastAsia" w:ascii="方正楷体_GBK" w:hAnsi="方正楷体_GBK" w:eastAsia="方正楷体_GBK" w:cs="方正楷体_GBK"/>
          <w:color w:val="000000"/>
          <w:kern w:val="0"/>
          <w:sz w:val="32"/>
          <w:szCs w:val="32"/>
        </w:rPr>
        <w:t>资产</w:t>
      </w:r>
      <w:r>
        <w:rPr>
          <w:rFonts w:ascii="方正楷体_GBK" w:hAnsi="方正楷体_GBK" w:eastAsia="方正楷体_GBK" w:cs="方正楷体_GBK"/>
          <w:color w:val="000000"/>
          <w:kern w:val="0"/>
          <w:sz w:val="32"/>
          <w:szCs w:val="32"/>
        </w:rPr>
        <w:t>“公物仓”。</w:t>
      </w:r>
      <w:r>
        <w:rPr>
          <w:rFonts w:ascii="方正仿宋_GBK" w:hAnsi="方正仿宋_GBK" w:eastAsia="方正仿宋_GBK" w:cs="方正仿宋_GBK"/>
          <w:color w:val="000000"/>
          <w:kern w:val="0"/>
          <w:sz w:val="32"/>
          <w:szCs w:val="32"/>
        </w:rPr>
        <w:t>坚决贯彻党政机关习惯过紧日子要求，从严审批公务接待、公务车购置和运行等支出，大力压减会议费、培训费等常规性支出，上半年“三公”经费支出同比下降</w:t>
      </w:r>
      <w:r>
        <w:rPr>
          <w:rFonts w:eastAsia="方正仿宋_GBK" w:cs="Times New Roman"/>
          <w:color w:val="000000"/>
          <w:kern w:val="0"/>
          <w:sz w:val="32"/>
          <w:szCs w:val="32"/>
        </w:rPr>
        <w:t>45%</w:t>
      </w:r>
      <w:r>
        <w:rPr>
          <w:rFonts w:ascii="方正仿宋_GBK" w:hAnsi="方正仿宋_GBK" w:eastAsia="方正仿宋_GBK" w:cs="方正仿宋_GBK"/>
          <w:color w:val="000000"/>
          <w:kern w:val="0"/>
          <w:sz w:val="32"/>
          <w:szCs w:val="32"/>
        </w:rPr>
        <w:t>。实质化开展“公物仓”运行，打通资产再利用渠道，匹配调剂公务用车、办</w:t>
      </w:r>
      <w:bookmarkStart w:id="0" w:name="_GoBack"/>
      <w:bookmarkEnd w:id="0"/>
      <w:r>
        <w:rPr>
          <w:rFonts w:ascii="方正仿宋_GBK" w:hAnsi="方正仿宋_GBK" w:eastAsia="方正仿宋_GBK" w:cs="方正仿宋_GBK"/>
          <w:color w:val="000000"/>
          <w:kern w:val="0"/>
          <w:sz w:val="32"/>
          <w:szCs w:val="32"/>
        </w:rPr>
        <w:t>公电脑等</w:t>
      </w:r>
      <w:r>
        <w:rPr>
          <w:rFonts w:eastAsia="方正仿宋_GBK" w:cs="Times New Roman"/>
          <w:color w:val="000000"/>
          <w:kern w:val="0"/>
          <w:sz w:val="32"/>
          <w:szCs w:val="32"/>
        </w:rPr>
        <w:t>363</w:t>
      </w:r>
      <w:r>
        <w:rPr>
          <w:rFonts w:ascii="方正仿宋_GBK" w:hAnsi="方正仿宋_GBK" w:eastAsia="方正仿宋_GBK" w:cs="方正仿宋_GBK"/>
          <w:color w:val="000000"/>
          <w:kern w:val="0"/>
          <w:sz w:val="32"/>
          <w:szCs w:val="32"/>
        </w:rPr>
        <w:t>件物资，节约购置经费</w:t>
      </w:r>
      <w:r>
        <w:rPr>
          <w:rFonts w:eastAsia="方正仿宋_GBK" w:cs="Times New Roman"/>
          <w:color w:val="000000"/>
          <w:kern w:val="0"/>
          <w:sz w:val="32"/>
          <w:szCs w:val="32"/>
        </w:rPr>
        <w:t>168</w:t>
      </w:r>
      <w:r>
        <w:rPr>
          <w:rFonts w:ascii="方正仿宋_GBK" w:hAnsi="方正仿宋_GBK" w:eastAsia="方正仿宋_GBK" w:cs="方正仿宋_GBK"/>
          <w:color w:val="000000"/>
          <w:kern w:val="0"/>
          <w:sz w:val="32"/>
          <w:szCs w:val="32"/>
        </w:rPr>
        <w:t>万元，采取有偿转让、公开拍卖等方式，盘活公物仓闲置桌椅、电脑、多媒体设备</w:t>
      </w:r>
      <w:r>
        <w:rPr>
          <w:rFonts w:eastAsia="方正仿宋_GBK" w:cs="Times New Roman"/>
          <w:color w:val="000000"/>
          <w:kern w:val="0"/>
          <w:sz w:val="32"/>
          <w:szCs w:val="32"/>
        </w:rPr>
        <w:t>4252</w:t>
      </w:r>
      <w:r>
        <w:rPr>
          <w:rFonts w:ascii="方正仿宋_GBK" w:hAnsi="方正仿宋_GBK" w:eastAsia="方正仿宋_GBK" w:cs="方正仿宋_GBK"/>
          <w:color w:val="000000"/>
          <w:kern w:val="0"/>
          <w:sz w:val="32"/>
          <w:szCs w:val="32"/>
        </w:rPr>
        <w:t>件。</w:t>
      </w:r>
    </w:p>
    <w:p>
      <w:pPr>
        <w:spacing w:line="600" w:lineRule="exact"/>
        <w:ind w:firstLine="640" w:firstLineChars="200"/>
        <w:rPr>
          <w:rFonts w:ascii="方正仿宋_GBK" w:hAnsi="方正仿宋_GBK" w:eastAsia="方正仿宋_GBK" w:cs="方正仿宋_GBK"/>
          <w:color w:val="000000"/>
          <w:kern w:val="0"/>
          <w:sz w:val="32"/>
          <w:szCs w:val="32"/>
        </w:rPr>
      </w:pPr>
      <w:r>
        <w:rPr>
          <w:rFonts w:ascii="方正楷体_GBK" w:hAnsi="方正楷体_GBK" w:eastAsia="方正楷体_GBK" w:cs="方正楷体_GBK"/>
          <w:color w:val="000000"/>
          <w:kern w:val="0"/>
          <w:sz w:val="32"/>
          <w:szCs w:val="32"/>
        </w:rPr>
        <w:t>六是持续防风险促发展，</w:t>
      </w:r>
      <w:r>
        <w:rPr>
          <w:rFonts w:hint="eastAsia" w:ascii="方正楷体_GBK" w:hAnsi="方正楷体_GBK" w:eastAsia="方正楷体_GBK" w:cs="方正楷体_GBK"/>
          <w:color w:val="000000"/>
          <w:kern w:val="0"/>
          <w:sz w:val="32"/>
          <w:szCs w:val="32"/>
        </w:rPr>
        <w:t>严守财政风险底线</w:t>
      </w:r>
      <w:r>
        <w:rPr>
          <w:rFonts w:ascii="方正楷体_GBK" w:hAnsi="方正楷体_GBK" w:eastAsia="方正楷体_GBK" w:cs="方正楷体_GBK"/>
          <w:color w:val="000000"/>
          <w:kern w:val="0"/>
          <w:sz w:val="32"/>
          <w:szCs w:val="32"/>
        </w:rPr>
        <w:t>。</w:t>
      </w:r>
      <w:r>
        <w:rPr>
          <w:rFonts w:ascii="方正仿宋_GBK" w:hAnsi="方正仿宋_GBK" w:eastAsia="方正仿宋_GBK" w:cs="方正仿宋_GBK"/>
          <w:color w:val="000000"/>
          <w:kern w:val="0"/>
          <w:sz w:val="32"/>
          <w:szCs w:val="32"/>
        </w:rPr>
        <w:t>坚持点状排雷和整体除险相结合，全力统筹防风险和促发展，扎实推进地方债务风险防范化解工作，将政府债务、隐性债务、平台债务、国企债务全口径纳入统一监管，紧盯看牢国企高风险“非标”债务，多渠道筹集资金，确保不发生“爆雷”和“涉众”风险，</w:t>
      </w:r>
      <w:r>
        <w:rPr>
          <w:rFonts w:hint="eastAsia" w:ascii="方正仿宋_GBK" w:hAnsi="方正仿宋_GBK" w:eastAsia="方正仿宋_GBK" w:cs="方正仿宋_GBK"/>
          <w:color w:val="000000"/>
          <w:kern w:val="0"/>
          <w:sz w:val="32"/>
          <w:szCs w:val="32"/>
        </w:rPr>
        <w:t>严守不发生系统性风险底线。上半年化债工作目标完成进度较好，有序推动债务风险化解工作，其中</w:t>
      </w:r>
      <w:r>
        <w:rPr>
          <w:rFonts w:hint="eastAsia" w:eastAsia="方正仿宋_GBK" w:cs="Times New Roman"/>
          <w:color w:val="000000"/>
          <w:kern w:val="0"/>
          <w:sz w:val="32"/>
          <w:szCs w:val="32"/>
        </w:rPr>
        <w:t>隐债化解完成年度目标进度66.2%、融资平台金融债务化解进度97.2%、融资平台高息债务压降进度100%、融资平台双非债务压降超额完成。</w:t>
      </w:r>
    </w:p>
    <w:p>
      <w:pPr>
        <w:spacing w:line="600" w:lineRule="exact"/>
        <w:ind w:firstLine="640" w:firstLineChars="200"/>
        <w:rPr>
          <w:rFonts w:eastAsia="方正仿宋_GBK" w:cs="Times New Roman"/>
          <w:color w:val="000000"/>
          <w:kern w:val="0"/>
          <w:sz w:val="32"/>
          <w:szCs w:val="32"/>
        </w:rPr>
      </w:pPr>
      <w:r>
        <w:rPr>
          <w:rFonts w:ascii="方正仿宋_GBK" w:hAnsi="方正仿宋_GBK" w:eastAsia="方正仿宋_GBK" w:cs="方正仿宋_GBK"/>
          <w:color w:val="000000"/>
          <w:kern w:val="0"/>
          <w:sz w:val="32"/>
          <w:szCs w:val="32"/>
        </w:rPr>
        <w:t>总的来看，上半年全县财政运行整体平稳，但也要清醒地看到</w:t>
      </w:r>
      <w:r>
        <w:rPr>
          <w:rFonts w:hint="eastAsia" w:ascii="方正仿宋_GBK" w:hAnsi="方正仿宋_GBK" w:eastAsia="方正仿宋_GBK" w:cs="方正仿宋_GBK"/>
          <w:color w:val="000000"/>
          <w:kern w:val="0"/>
          <w:sz w:val="32"/>
          <w:szCs w:val="32"/>
        </w:rPr>
        <w:t>当前</w:t>
      </w:r>
      <w:r>
        <w:rPr>
          <w:rFonts w:ascii="方正仿宋_GBK" w:hAnsi="方正仿宋_GBK" w:eastAsia="方正仿宋_GBK" w:cs="方正仿宋_GBK"/>
          <w:color w:val="000000"/>
          <w:kern w:val="0"/>
          <w:sz w:val="32"/>
          <w:szCs w:val="32"/>
        </w:rPr>
        <w:t>财政运行仍处于紧平衡状态，财政工作</w:t>
      </w:r>
      <w:r>
        <w:rPr>
          <w:rFonts w:hint="eastAsia" w:ascii="方正仿宋_GBK" w:hAnsi="方正仿宋_GBK" w:eastAsia="方正仿宋_GBK" w:cs="方正仿宋_GBK"/>
          <w:color w:val="000000"/>
          <w:kern w:val="0"/>
          <w:sz w:val="32"/>
          <w:szCs w:val="32"/>
        </w:rPr>
        <w:t>依然</w:t>
      </w:r>
      <w:r>
        <w:rPr>
          <w:rFonts w:ascii="方正仿宋_GBK" w:hAnsi="方正仿宋_GBK" w:eastAsia="方正仿宋_GBK" w:cs="方正仿宋_GBK"/>
          <w:color w:val="000000"/>
          <w:kern w:val="0"/>
          <w:sz w:val="32"/>
          <w:szCs w:val="32"/>
        </w:rPr>
        <w:t>面临着一些问题和挑战</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color w:val="000000"/>
          <w:kern w:val="0"/>
          <w:sz w:val="32"/>
          <w:szCs w:val="32"/>
        </w:rPr>
        <w:t>一是收入组织</w:t>
      </w:r>
      <w:r>
        <w:rPr>
          <w:rFonts w:hint="eastAsia" w:ascii="方正仿宋_GBK" w:hAnsi="方正仿宋_GBK" w:eastAsia="方正仿宋_GBK" w:cs="方正仿宋_GBK"/>
          <w:color w:val="000000"/>
          <w:kern w:val="0"/>
          <w:sz w:val="32"/>
          <w:szCs w:val="32"/>
        </w:rPr>
        <w:t>可持续性不足</w:t>
      </w:r>
      <w:r>
        <w:rPr>
          <w:rFonts w:ascii="方正仿宋_GBK" w:hAnsi="方正仿宋_GBK" w:eastAsia="方正仿宋_GBK" w:cs="方正仿宋_GBK"/>
          <w:color w:val="000000"/>
          <w:kern w:val="0"/>
          <w:sz w:val="32"/>
          <w:szCs w:val="32"/>
        </w:rPr>
        <w:t>。上半年</w:t>
      </w:r>
      <w:r>
        <w:rPr>
          <w:rFonts w:hint="eastAsia" w:ascii="方正仿宋_GBK" w:hAnsi="方正仿宋_GBK" w:eastAsia="方正仿宋_GBK" w:cs="方正仿宋_GBK"/>
          <w:color w:val="000000"/>
          <w:kern w:val="0"/>
          <w:sz w:val="32"/>
          <w:szCs w:val="32"/>
        </w:rPr>
        <w:t>一般公共预算收入总量</w:t>
      </w:r>
      <w:r>
        <w:rPr>
          <w:rFonts w:ascii="方正仿宋_GBK" w:hAnsi="方正仿宋_GBK" w:eastAsia="方正仿宋_GBK" w:cs="方正仿宋_GBK"/>
          <w:color w:val="000000"/>
          <w:kern w:val="0"/>
          <w:sz w:val="32"/>
          <w:szCs w:val="32"/>
        </w:rPr>
        <w:t>呈增长趋势，完成预算进度较好，但主要是依靠国有资产盘活入库产生的一次性收入拉动，收入结构稳定性不足、持续性不强，</w:t>
      </w:r>
      <w:r>
        <w:rPr>
          <w:rFonts w:ascii="方正仿宋_GBK" w:hAnsi="方正仿宋_GBK" w:eastAsia="方正仿宋_GBK" w:cs="方正仿宋_GBK"/>
          <w:color w:val="000000"/>
          <w:sz w:val="32"/>
          <w:szCs w:val="32"/>
        </w:rPr>
        <w:t>地方财政收入内生增收动力不足</w:t>
      </w:r>
      <w:r>
        <w:rPr>
          <w:rFonts w:ascii="方正仿宋_GBK" w:hAnsi="方正仿宋_GBK" w:eastAsia="方正仿宋_GBK" w:cs="方正仿宋_GBK"/>
          <w:color w:val="000000"/>
          <w:kern w:val="0"/>
          <w:sz w:val="32"/>
          <w:szCs w:val="32"/>
        </w:rPr>
        <w:t>。二是支出压力不断增大。本级收入及入库资金总量有限、序时波动较大，同时教育、卫生、社保等民生支出保障水平“能上不能下”</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color w:val="000000"/>
          <w:kern w:val="0"/>
          <w:sz w:val="32"/>
          <w:szCs w:val="32"/>
        </w:rPr>
        <w:t>财政支出不断承压，财政收支不平衡态势将更加明显。三是财会监督力度仍需增强。铺张浪费现象、违反财经纪律行为仍时有发生，需进一步开展财会监督，维护财经纪律，推动机关事业单位过好过实“紧日子”。</w:t>
      </w:r>
    </w:p>
    <w:p>
      <w:pPr>
        <w:spacing w:line="600" w:lineRule="exact"/>
        <w:ind w:firstLine="640"/>
        <w:rPr>
          <w:rFonts w:eastAsia="方正黑体_GBK" w:cs="Times New Roman"/>
          <w:sz w:val="32"/>
          <w:szCs w:val="32"/>
        </w:rPr>
      </w:pPr>
      <w:r>
        <w:rPr>
          <w:rFonts w:ascii="方正黑体_GBK" w:hAnsi="方正黑体_GBK" w:eastAsia="方正黑体_GBK" w:cs="方正黑体_GBK"/>
          <w:sz w:val="32"/>
          <w:szCs w:val="32"/>
        </w:rPr>
        <w:t>三、下一步工作安排</w:t>
      </w:r>
    </w:p>
    <w:p>
      <w:pPr>
        <w:spacing w:line="600" w:lineRule="exact"/>
        <w:ind w:firstLine="640" w:firstLineChars="200"/>
        <w:rPr>
          <w:rFonts w:eastAsia="方正仿宋_GBK" w:cs="Times New Roman"/>
          <w:sz w:val="32"/>
          <w:szCs w:val="32"/>
        </w:rPr>
      </w:pPr>
      <w:r>
        <w:rPr>
          <w:rFonts w:ascii="方正仿宋_GBK" w:hAnsi="方正仿宋_GBK" w:eastAsia="方正仿宋_GBK" w:cs="方正仿宋_GBK"/>
          <w:sz w:val="32"/>
          <w:szCs w:val="32"/>
        </w:rPr>
        <w:t>下一步，我们将坚持问题导向，更加注重综合统筹、科学规范、讲求绩效和持续安全，全力做好以下五方面工作。</w:t>
      </w:r>
    </w:p>
    <w:p>
      <w:pPr>
        <w:spacing w:line="600" w:lineRule="exact"/>
        <w:ind w:firstLine="640" w:firstLineChars="200"/>
        <w:contextualSpacing/>
        <w:rPr>
          <w:rFonts w:eastAsia="方正仿宋_GBK" w:cs="Times New Roman"/>
          <w:sz w:val="32"/>
          <w:szCs w:val="32"/>
        </w:rPr>
      </w:pPr>
      <w:r>
        <w:rPr>
          <w:rFonts w:hint="eastAsia" w:ascii="方正楷体_GBK" w:hAnsi="方正楷体_GBK" w:eastAsia="方正楷体_GBK" w:cs="方正楷体_GBK"/>
          <w:sz w:val="32"/>
          <w:szCs w:val="32"/>
        </w:rPr>
        <w:t>（一）强化收入征管。</w:t>
      </w:r>
      <w:r>
        <w:rPr>
          <w:rFonts w:ascii="方正仿宋_GBK" w:hAnsi="方正仿宋_GBK" w:eastAsia="方正仿宋_GBK" w:cs="方正仿宋_GBK"/>
          <w:sz w:val="32"/>
          <w:szCs w:val="32"/>
        </w:rPr>
        <w:t>一是加强税收征管。进一步优化税收征管措施，加强对重点税源、重点行业的监控，积极培育新的税源，优化税源结构，增强财政收入的稳定性和可持续性。二是加大资产、资源盘活力度。动态梳理行政事业单位价值相对较高的闲置、低效资产，动态储备行政事业单位特许经营权益、一般经营权益，拓宽资产盘活渠道，继续谋划更多经营权出让。三是加强土地收入组织。围绕土地出让全年目标，树立底线思维，拿出坚定决心，全面加大新城开发建设力度，加强与央企、市企对接力度，创新土地出让形式，增强土地要素保障，加快推进土地征收、拆迁安置、土地整理等工作，增加可供出让的土地数量，尽快实现土地资金入库。四是全力争取专项资金扶持。全县上下把向上争资争项作为重要发力点，围绕国家政策、地域特色，全力争取更多资金。</w:t>
      </w:r>
    </w:p>
    <w:p>
      <w:pPr>
        <w:spacing w:line="600" w:lineRule="exact"/>
        <w:ind w:firstLine="640" w:firstLineChars="200"/>
        <w:contextualSpacing/>
        <w:rPr>
          <w:rFonts w:eastAsia="方正仿宋_GBK" w:cs="Times New Roman"/>
          <w:color w:val="0000FF"/>
          <w:sz w:val="32"/>
          <w:szCs w:val="32"/>
        </w:rPr>
      </w:pPr>
      <w:r>
        <w:rPr>
          <w:rFonts w:ascii="方正楷体_GBK" w:hAnsi="方正楷体_GBK" w:eastAsia="方正楷体_GBK" w:cs="方正楷体_GBK"/>
          <w:sz w:val="32"/>
          <w:szCs w:val="32"/>
        </w:rPr>
        <w:t>（二）加强“三保”保障。</w:t>
      </w:r>
      <w:r>
        <w:rPr>
          <w:rFonts w:ascii="方正仿宋_GBK" w:hAnsi="方正仿宋_GBK" w:eastAsia="方正仿宋_GBK" w:cs="方正仿宋_GBK"/>
          <w:sz w:val="32"/>
          <w:szCs w:val="32"/>
        </w:rPr>
        <w:t>一是坚持“三保”优先原则。坚持将“三保”支出置于财政支出的优先位置，优化预算安排，确保“三保”支出足额纳入年初预算，并在资金调度中予以优先保障。二是强化预算执行监控。加强对“三保”资金使用情况的动态监测，建立健全“三保”资金管理台账，明确资金流向和用途。每月监测“三保”资金执行情况，及时发现并解决预算执行中的问题，确保资金使用安全高效。三是优化财政支出结构。进一步压减一般性支出和非急需、非刚性支出，腾出更多财政资源用于重点民生领域。严格控制“三公”经费支出，厉行节约，提高财政资金使用效益。</w:t>
      </w:r>
    </w:p>
    <w:p>
      <w:pPr>
        <w:spacing w:line="600" w:lineRule="exact"/>
        <w:ind w:firstLine="640" w:firstLineChars="200"/>
        <w:contextualSpacing/>
        <w:rPr>
          <w:rFonts w:eastAsia="方正仿宋_GBK" w:cs="Times New Roman"/>
          <w:sz w:val="32"/>
          <w:szCs w:val="32"/>
        </w:rPr>
      </w:pPr>
      <w:r>
        <w:rPr>
          <w:rFonts w:ascii="方正楷体_GBK" w:hAnsi="方正楷体_GBK" w:eastAsia="方正楷体_GBK" w:cs="方正楷体_GBK"/>
          <w:sz w:val="32"/>
          <w:szCs w:val="32"/>
        </w:rPr>
        <w:t>（三）硬化预算刚性约束。</w:t>
      </w:r>
      <w:r>
        <w:rPr>
          <w:rFonts w:ascii="方正仿宋_GBK" w:hAnsi="方正仿宋_GBK" w:eastAsia="方正仿宋_GBK" w:cs="方正仿宋_GBK"/>
          <w:sz w:val="32"/>
          <w:szCs w:val="32"/>
        </w:rPr>
        <w:t>一是严格资金审批程序。严格实施《酉阳自治县财政资金审批管理规定》，对年初预算资金使用审批、新增预算资金、上级专项资金申报及分配、收回资金再安排等资金审批严格按照规定履行审批程序，规范财政资金审批流程。二是严控预算追加。对无预算事项一律缓安排、不安排；对确有必要的追加，尽量通过调剂预算单位当年本级指标、统筹符合条件的专款、调整其他支出结构的顺序进行解决。三是加大专款统筹力度。严管存量低效资金，每季度清理并收回闲置沉淀资金、低效无效资金、结转结余存量资金，逐条逐类分析专款性质，</w:t>
      </w:r>
      <w:r>
        <w:rPr>
          <w:rFonts w:hint="eastAsia" w:ascii="方正仿宋_GBK" w:hAnsi="方正仿宋_GBK" w:eastAsia="方正仿宋_GBK" w:cs="方正仿宋_GBK"/>
          <w:sz w:val="32"/>
          <w:szCs w:val="32"/>
        </w:rPr>
        <w:t>按规定</w:t>
      </w:r>
      <w:r>
        <w:rPr>
          <w:rFonts w:ascii="方正仿宋_GBK" w:hAnsi="方正仿宋_GBK" w:eastAsia="方正仿宋_GBK" w:cs="方正仿宋_GBK"/>
          <w:sz w:val="32"/>
          <w:szCs w:val="32"/>
        </w:rPr>
        <w:t>加大专款统筹力度。四是推动厉行节约全面化。加快推动“十二条”过紧日子刚性约束措施落实，精打细算、勤俭节约办一切事业，将过紧日子落实情况列为</w:t>
      </w:r>
      <w:r>
        <w:rPr>
          <w:rFonts w:eastAsia="方正仿宋_GBK" w:cs="Times New Roman"/>
          <w:sz w:val="32"/>
          <w:szCs w:val="32"/>
        </w:rPr>
        <w:t>2025</w:t>
      </w:r>
      <w:r>
        <w:rPr>
          <w:rFonts w:ascii="方正仿宋_GBK" w:hAnsi="方正仿宋_GBK" w:eastAsia="方正仿宋_GBK" w:cs="方正仿宋_GBK"/>
          <w:sz w:val="32"/>
          <w:szCs w:val="32"/>
        </w:rPr>
        <w:t>年财政、审计、纪律等各类监督检查重点，加强监督约束，助推“过紧日子”贯彻落实到经济社会发展的各个方面。</w:t>
      </w:r>
    </w:p>
    <w:p>
      <w:pPr>
        <w:spacing w:line="600" w:lineRule="exact"/>
        <w:ind w:firstLine="640" w:firstLineChars="200"/>
        <w:contextualSpacing/>
        <w:rPr>
          <w:rFonts w:eastAsia="方正仿宋_GBK" w:cs="Times New Roman"/>
          <w:sz w:val="32"/>
          <w:szCs w:val="32"/>
        </w:rPr>
      </w:pPr>
      <w:r>
        <w:rPr>
          <w:rFonts w:ascii="方正楷体_GBK" w:hAnsi="方正楷体_GBK" w:eastAsia="方正楷体_GBK" w:cs="方正楷体_GBK"/>
          <w:sz w:val="32"/>
          <w:szCs w:val="32"/>
        </w:rPr>
        <w:t>（四）深化零基预算改革。</w:t>
      </w:r>
      <w:r>
        <w:rPr>
          <w:rFonts w:ascii="方正仿宋_GBK" w:hAnsi="方正仿宋_GBK" w:eastAsia="方正仿宋_GBK" w:cs="方正仿宋_GBK"/>
          <w:sz w:val="32"/>
          <w:szCs w:val="32"/>
        </w:rPr>
        <w:t>一是改进预算编制方式。全面取消部门支出盘子和项目支出基数，根据财力状况、政策要求、项目情况，分轻重缓急合理安排支出预算。清理各部门专项任务支出，根据工作绩效和财力情况安排，不形成固定基数，专项任务完成后，预算安排相应取消。二是突出预算保障重点。健全大事要事财政保障机制，坚持优先安排、充分保障“三保”及债务还本付息支出，集中财力统筹保障县委、县政府明确的重点项目和专项工作，从严从紧安排部门开展一般性事业发展支出。三是全面深化预算绩效管理。提升绩效目标管理水平，加强合规性、相符性、时效性审核，绩效目标更高、量化更明细、措施更可行的项目预算优先安排，加强预算执行和绩效目标“双监控”，对资金执行率过低或使用过程偏离绩效的，下年度预算适度扣减支出。</w:t>
      </w:r>
    </w:p>
    <w:p>
      <w:pPr>
        <w:spacing w:line="600" w:lineRule="exact"/>
        <w:ind w:firstLine="640" w:firstLineChars="200"/>
        <w:contextualSpacing/>
        <w:rPr>
          <w:rFonts w:eastAsia="方正仿宋_GBK" w:cs="Times New Roman"/>
          <w:sz w:val="32"/>
          <w:szCs w:val="32"/>
        </w:rPr>
      </w:pPr>
      <w:r>
        <w:rPr>
          <w:rFonts w:ascii="方正楷体_GBK" w:hAnsi="方正楷体_GBK" w:eastAsia="方正楷体_GBK" w:cs="方正楷体_GBK"/>
          <w:sz w:val="32"/>
          <w:szCs w:val="32"/>
        </w:rPr>
        <w:t>（五）防范化解债务风险。</w:t>
      </w:r>
      <w:r>
        <w:rPr>
          <w:rFonts w:ascii="方正仿宋_GBK" w:hAnsi="方正仿宋_GBK" w:eastAsia="方正仿宋_GBK" w:cs="方正仿宋_GBK"/>
          <w:sz w:val="32"/>
          <w:szCs w:val="32"/>
        </w:rPr>
        <w:t>一是强化政府债务管控。严禁新增政府隐性债务，在谋划项目时量力而行，严格落实政府投资项目立项前财政承受能力和债务风险情况评估机制，做到项目资金有保障、偿债资金有来源。二是强化政府隐性债务与法定债务的合并监管。认真查找债务违约风险隐患，坚决守住不“爆雷”底线；坚决落实化债计划，清理盘活各类存量资金、资产、资源，通过多种方式增收节支，积极化解存量隐性债务。三是树牢偿债红线。坚持国企、财政一盘棋，全面建立完善县属国企债务全口径监测机制，跟踪债务还款和资金筹措情况，细化落实“</w:t>
      </w:r>
      <w:r>
        <w:rPr>
          <w:rFonts w:eastAsia="方正仿宋_GBK" w:cs="Times New Roman"/>
          <w:sz w:val="32"/>
          <w:szCs w:val="32"/>
        </w:rPr>
        <w:t>631</w:t>
      </w:r>
      <w:r>
        <w:rPr>
          <w:rFonts w:ascii="方正仿宋_GBK" w:hAnsi="方正仿宋_GBK" w:eastAsia="方正仿宋_GBK" w:cs="方正仿宋_GBK"/>
          <w:sz w:val="32"/>
          <w:szCs w:val="32"/>
        </w:rPr>
        <w:t>”偿债机制。将县属国企资源、资产、资金全面纳入统筹调度，综合考虑到期偿债和经营收入，科学安排化债资金，突出企业防范风险主体责任，坚决确保财政运行平稳。</w:t>
      </w:r>
    </w:p>
    <w:p>
      <w:pPr>
        <w:spacing w:line="600" w:lineRule="exact"/>
        <w:ind w:firstLine="640" w:firstLineChars="200"/>
        <w:contextualSpacing/>
        <w:rPr>
          <w:rFonts w:eastAsia="方正仿宋_GBK" w:cs="Times New Roman"/>
          <w:color w:val="000000"/>
          <w:sz w:val="32"/>
          <w:szCs w:val="32"/>
        </w:rPr>
      </w:pPr>
      <w:r>
        <w:rPr>
          <w:rFonts w:ascii="方正仿宋_GBK" w:hAnsi="方正仿宋_GBK" w:eastAsia="方正仿宋_GBK" w:cs="方正仿宋_GBK"/>
          <w:sz w:val="32"/>
          <w:szCs w:val="32"/>
        </w:rPr>
        <w:t>尊敬的应珊主任、各位副主任、各位委员，</w:t>
      </w:r>
      <w:r>
        <w:rPr>
          <w:rFonts w:ascii="方正仿宋_GBK" w:hAnsi="方正仿宋_GBK" w:eastAsia="方正仿宋_GBK" w:cs="方正仿宋_GBK"/>
          <w:color w:val="000000"/>
          <w:sz w:val="32"/>
          <w:szCs w:val="32"/>
        </w:rPr>
        <w:t>当前财政运行中的困难挑战有所增多，我们将在县委的坚强领导下，在县人大及其常委会的依法监督下，认真落实本次会议有关决议，扎实推进财政各项工作，助推县域经济良好健康发展，为建设现代化“新酉阳”贡献更多财政力量。</w:t>
      </w:r>
    </w:p>
    <w:p>
      <w:pPr>
        <w:pStyle w:val="17"/>
        <w:spacing w:beforeAutospacing="0" w:afterAutospacing="0" w:line="600" w:lineRule="exact"/>
        <w:ind w:firstLine="640" w:firstLineChars="200"/>
        <w:rPr>
          <w:rFonts w:eastAsia="方正仿宋_GBK"/>
          <w:color w:val="000000"/>
          <w:sz w:val="32"/>
          <w:szCs w:val="32"/>
        </w:rPr>
      </w:pPr>
      <w:r>
        <w:rPr>
          <w:rFonts w:eastAsia="方正仿宋_GBK"/>
          <w:color w:val="000000"/>
          <w:sz w:val="32"/>
          <w:szCs w:val="32"/>
        </w:rPr>
        <w:t xml:space="preserve"> </w:t>
      </w:r>
    </w:p>
    <w:p>
      <w:pPr>
        <w:pStyle w:val="17"/>
        <w:spacing w:beforeAutospacing="0" w:afterAutospacing="0" w:line="600" w:lineRule="exact"/>
        <w:ind w:firstLine="640" w:firstLineChars="200"/>
        <w:rPr>
          <w:rFonts w:eastAsia="方正仿宋_GBK"/>
          <w:color w:val="000000"/>
          <w:spacing w:val="-4"/>
          <w:sz w:val="32"/>
          <w:szCs w:val="32"/>
        </w:rPr>
      </w:pPr>
      <w:r>
        <w:rPr>
          <w:rFonts w:ascii="方正仿宋_GBK" w:hAnsi="方正仿宋_GBK" w:eastAsia="方正仿宋_GBK" w:cs="方正仿宋_GBK"/>
          <w:color w:val="000000"/>
          <w:sz w:val="32"/>
          <w:szCs w:val="32"/>
        </w:rPr>
        <w:t>附件：酉阳自治县</w:t>
      </w:r>
      <w:r>
        <w:rPr>
          <w:rFonts w:eastAsia="方正仿宋_GBK"/>
          <w:color w:val="000000"/>
          <w:sz w:val="32"/>
          <w:szCs w:val="32"/>
        </w:rPr>
        <w:t>2025</w:t>
      </w:r>
      <w:r>
        <w:rPr>
          <w:rFonts w:ascii="方正仿宋_GBK" w:hAnsi="方正仿宋_GBK" w:eastAsia="方正仿宋_GBK" w:cs="方正仿宋_GBK"/>
          <w:color w:val="000000"/>
          <w:sz w:val="32"/>
          <w:szCs w:val="32"/>
        </w:rPr>
        <w:t>年</w:t>
      </w:r>
      <w:r>
        <w:rPr>
          <w:rFonts w:eastAsia="方正仿宋_GBK"/>
          <w:color w:val="000000"/>
          <w:sz w:val="32"/>
          <w:szCs w:val="32"/>
        </w:rPr>
        <w:t>1</w:t>
      </w:r>
      <w:r>
        <w:rPr>
          <w:rFonts w:ascii="方正仿宋_GBK" w:hAnsi="方正仿宋_GBK" w:eastAsia="方正仿宋_GBK" w:cs="方正仿宋_GBK"/>
          <w:color w:val="000000"/>
          <w:sz w:val="32"/>
          <w:szCs w:val="32"/>
        </w:rPr>
        <w:t>—</w:t>
      </w:r>
      <w:r>
        <w:rPr>
          <w:rFonts w:eastAsia="方正仿宋_GBK"/>
          <w:color w:val="000000"/>
          <w:sz w:val="32"/>
          <w:szCs w:val="32"/>
        </w:rPr>
        <w:t>6</w:t>
      </w:r>
      <w:r>
        <w:rPr>
          <w:rFonts w:ascii="方正仿宋_GBK" w:hAnsi="方正仿宋_GBK" w:eastAsia="方正仿宋_GBK" w:cs="方正仿宋_GBK"/>
          <w:color w:val="000000"/>
          <w:sz w:val="32"/>
          <w:szCs w:val="32"/>
        </w:rPr>
        <w:t>月预算执行情况表</w:t>
      </w:r>
    </w:p>
    <w:p>
      <w:pPr>
        <w:pStyle w:val="6"/>
        <w:ind w:right="-420" w:rightChars="-200" w:firstLine="1560" w:firstLineChars="500"/>
        <w:rPr>
          <w:spacing w:val="-4"/>
        </w:rPr>
      </w:pPr>
    </w:p>
    <w:p>
      <w:pPr>
        <w:spacing w:line="600" w:lineRule="exact"/>
        <w:ind w:firstLine="640" w:firstLineChars="200"/>
        <w:contextualSpacing/>
        <w:rPr>
          <w:rFonts w:eastAsia="方正仿宋_GBK" w:cs="Times New Roman"/>
          <w:color w:val="000000"/>
          <w:sz w:val="32"/>
          <w:szCs w:val="32"/>
        </w:rPr>
      </w:pPr>
    </w:p>
    <w:p>
      <w:pPr>
        <w:spacing w:line="600" w:lineRule="exact"/>
        <w:ind w:firstLine="640" w:firstLineChars="200"/>
        <w:contextualSpacing/>
        <w:rPr>
          <w:rFonts w:eastAsia="方正仿宋_GBK" w:cs="Times New Roman"/>
          <w:color w:val="000000"/>
          <w:sz w:val="32"/>
          <w:szCs w:val="32"/>
        </w:rPr>
      </w:pPr>
    </w:p>
    <w:p>
      <w:pPr>
        <w:spacing w:line="600" w:lineRule="exact"/>
        <w:ind w:firstLine="640" w:firstLineChars="200"/>
        <w:contextualSpacing/>
        <w:rPr>
          <w:rFonts w:eastAsia="方正仿宋_GBK" w:cs="Times New Roman"/>
          <w:color w:val="000000"/>
          <w:sz w:val="32"/>
          <w:szCs w:val="32"/>
        </w:rPr>
      </w:pPr>
    </w:p>
    <w:sectPr>
      <w:footerReference r:id="rId4" w:type="default"/>
      <w:headerReference r:id="rId3" w:type="even"/>
      <w:footerReference r:id="rId5" w:type="even"/>
      <w:pgSz w:w="11906" w:h="16838"/>
      <w:pgMar w:top="2098" w:right="1474" w:bottom="1984" w:left="1587" w:header="851" w:footer="992" w:gutter="0"/>
      <w:cols w:space="720" w:num="1"/>
      <w:docGrid w:type="lines" w:linePitch="313" w:charSpace="11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630" w:firstLine="140"/>
      <w:jc w:val="right"/>
    </w:pPr>
    <w:r>
      <w:rPr>
        <w:rFonts w:hint="eastAsia" w:ascii="宋体" w:hAnsi="宋体"/>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PAGE   \* MERGEFORMAT </w:instrText>
    </w:r>
    <w:r>
      <w:rPr>
        <w:rFonts w:hint="eastAsia" w:ascii="仿宋_GB2312" w:hAnsi="宋体" w:eastAsia="仿宋_GB2312"/>
        <w:sz w:val="28"/>
        <w:szCs w:val="28"/>
      </w:rPr>
      <w:fldChar w:fldCharType="separate"/>
    </w:r>
    <w:r>
      <w:rPr>
        <w:rFonts w:ascii="仿宋_GB2312" w:hAnsi="宋体" w:eastAsia="仿宋_GB2312"/>
        <w:sz w:val="28"/>
        <w:szCs w:val="28"/>
        <w:lang w:val="zh-CN"/>
      </w:rPr>
      <w:t>1</w:t>
    </w:r>
    <w:r>
      <w:rPr>
        <w:rFonts w:hint="eastAsia" w:ascii="仿宋_GB2312" w:hAnsi="宋体" w:eastAsia="仿宋_GB2312"/>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40"/>
    </w:pPr>
    <w:r>
      <w:rPr>
        <w:rFonts w:hint="eastAsia" w:ascii="宋体" w:hAnsi="宋体"/>
        <w:sz w:val="28"/>
        <w:szCs w:val="28"/>
      </w:rPr>
      <w:t xml:space="preserve"> － </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PAGE   \* MERGEFORMAT </w:instrText>
    </w:r>
    <w:r>
      <w:rPr>
        <w:rFonts w:hint="eastAsia" w:ascii="仿宋_GB2312" w:hAnsi="宋体" w:eastAsia="仿宋_GB2312"/>
        <w:sz w:val="28"/>
        <w:szCs w:val="28"/>
      </w:rPr>
      <w:fldChar w:fldCharType="separate"/>
    </w:r>
    <w:r>
      <w:rPr>
        <w:rFonts w:ascii="仿宋_GB2312" w:hAnsi="宋体" w:eastAsia="仿宋_GB2312"/>
        <w:sz w:val="28"/>
        <w:szCs w:val="28"/>
        <w:lang w:val="zh-CN"/>
      </w:rPr>
      <w:t>6</w:t>
    </w:r>
    <w:r>
      <w:rPr>
        <w:rFonts w:hint="eastAsia" w:ascii="仿宋_GB2312" w:hAnsi="宋体" w:eastAsia="仿宋_GB2312"/>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F63C2"/>
    <w:multiLevelType w:val="multilevel"/>
    <w:tmpl w:val="9D7F63C2"/>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11"/>
  <w:drawingGridVerticalSpacing w:val="31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Nzg3M2EwOGVjOTFiNmMxNGM3YTI4OGExNTIzYmMifQ=="/>
  </w:docVars>
  <w:rsids>
    <w:rsidRoot w:val="00172A27"/>
    <w:rsid w:val="00007817"/>
    <w:rsid w:val="00013298"/>
    <w:rsid w:val="00024359"/>
    <w:rsid w:val="00024C75"/>
    <w:rsid w:val="000345D7"/>
    <w:rsid w:val="00052FBC"/>
    <w:rsid w:val="0006033C"/>
    <w:rsid w:val="000629E1"/>
    <w:rsid w:val="000644DA"/>
    <w:rsid w:val="00066D83"/>
    <w:rsid w:val="00067CAB"/>
    <w:rsid w:val="00067DC1"/>
    <w:rsid w:val="0007039B"/>
    <w:rsid w:val="000729C4"/>
    <w:rsid w:val="00076F93"/>
    <w:rsid w:val="0008032E"/>
    <w:rsid w:val="0008309C"/>
    <w:rsid w:val="000A4D6B"/>
    <w:rsid w:val="000A4D81"/>
    <w:rsid w:val="000A61F0"/>
    <w:rsid w:val="000B2A0E"/>
    <w:rsid w:val="000B38E8"/>
    <w:rsid w:val="000B6279"/>
    <w:rsid w:val="000C0DFF"/>
    <w:rsid w:val="000C349A"/>
    <w:rsid w:val="000D08E9"/>
    <w:rsid w:val="000D15AC"/>
    <w:rsid w:val="000D2564"/>
    <w:rsid w:val="000D5E7D"/>
    <w:rsid w:val="000E5EB9"/>
    <w:rsid w:val="000E6CDD"/>
    <w:rsid w:val="000F269A"/>
    <w:rsid w:val="000F54ED"/>
    <w:rsid w:val="00103364"/>
    <w:rsid w:val="001045ED"/>
    <w:rsid w:val="00105249"/>
    <w:rsid w:val="001106A6"/>
    <w:rsid w:val="00121145"/>
    <w:rsid w:val="00121D07"/>
    <w:rsid w:val="001276B1"/>
    <w:rsid w:val="00130672"/>
    <w:rsid w:val="00133D4F"/>
    <w:rsid w:val="00134DC4"/>
    <w:rsid w:val="001368F1"/>
    <w:rsid w:val="00140C04"/>
    <w:rsid w:val="00154ABC"/>
    <w:rsid w:val="001644B1"/>
    <w:rsid w:val="00172A27"/>
    <w:rsid w:val="00192892"/>
    <w:rsid w:val="00192D2C"/>
    <w:rsid w:val="001A5119"/>
    <w:rsid w:val="001B310C"/>
    <w:rsid w:val="001B40FA"/>
    <w:rsid w:val="001C1C3A"/>
    <w:rsid w:val="001C2FDB"/>
    <w:rsid w:val="001C6191"/>
    <w:rsid w:val="001D3574"/>
    <w:rsid w:val="001D602E"/>
    <w:rsid w:val="001D75FB"/>
    <w:rsid w:val="001E21F7"/>
    <w:rsid w:val="00202E5E"/>
    <w:rsid w:val="00207EF0"/>
    <w:rsid w:val="00214EF9"/>
    <w:rsid w:val="0021675E"/>
    <w:rsid w:val="00221D12"/>
    <w:rsid w:val="002227E0"/>
    <w:rsid w:val="0022382D"/>
    <w:rsid w:val="002244CD"/>
    <w:rsid w:val="002276A0"/>
    <w:rsid w:val="00237C84"/>
    <w:rsid w:val="00243124"/>
    <w:rsid w:val="00257528"/>
    <w:rsid w:val="00267161"/>
    <w:rsid w:val="00271967"/>
    <w:rsid w:val="0027393B"/>
    <w:rsid w:val="0028075C"/>
    <w:rsid w:val="00280FE0"/>
    <w:rsid w:val="00287538"/>
    <w:rsid w:val="00290A01"/>
    <w:rsid w:val="00297BDA"/>
    <w:rsid w:val="002A6B29"/>
    <w:rsid w:val="002C228D"/>
    <w:rsid w:val="002E00E0"/>
    <w:rsid w:val="002E3AA4"/>
    <w:rsid w:val="002E6903"/>
    <w:rsid w:val="002F3869"/>
    <w:rsid w:val="002F427B"/>
    <w:rsid w:val="002F608E"/>
    <w:rsid w:val="00310CC3"/>
    <w:rsid w:val="00315069"/>
    <w:rsid w:val="003162F0"/>
    <w:rsid w:val="00331A36"/>
    <w:rsid w:val="00334C0E"/>
    <w:rsid w:val="0034033D"/>
    <w:rsid w:val="0034223D"/>
    <w:rsid w:val="003455C0"/>
    <w:rsid w:val="00347B6F"/>
    <w:rsid w:val="0035345B"/>
    <w:rsid w:val="00354166"/>
    <w:rsid w:val="00354730"/>
    <w:rsid w:val="003676F4"/>
    <w:rsid w:val="00373FB8"/>
    <w:rsid w:val="003763D3"/>
    <w:rsid w:val="0038310A"/>
    <w:rsid w:val="003852C6"/>
    <w:rsid w:val="003979AE"/>
    <w:rsid w:val="003A7E31"/>
    <w:rsid w:val="003B1D64"/>
    <w:rsid w:val="003B4016"/>
    <w:rsid w:val="003B66A1"/>
    <w:rsid w:val="003C1EB2"/>
    <w:rsid w:val="003D0A76"/>
    <w:rsid w:val="003D0DF4"/>
    <w:rsid w:val="003D5A78"/>
    <w:rsid w:val="003E0CDD"/>
    <w:rsid w:val="003E69D4"/>
    <w:rsid w:val="003E7ED9"/>
    <w:rsid w:val="00405205"/>
    <w:rsid w:val="00407B98"/>
    <w:rsid w:val="00423A94"/>
    <w:rsid w:val="00427FAB"/>
    <w:rsid w:val="00431341"/>
    <w:rsid w:val="00433F89"/>
    <w:rsid w:val="00434677"/>
    <w:rsid w:val="0044132E"/>
    <w:rsid w:val="004449DA"/>
    <w:rsid w:val="00445269"/>
    <w:rsid w:val="00450D72"/>
    <w:rsid w:val="00457600"/>
    <w:rsid w:val="004641B6"/>
    <w:rsid w:val="00464B75"/>
    <w:rsid w:val="004671C0"/>
    <w:rsid w:val="00482C01"/>
    <w:rsid w:val="00485E35"/>
    <w:rsid w:val="00486E27"/>
    <w:rsid w:val="004A2799"/>
    <w:rsid w:val="004A56D4"/>
    <w:rsid w:val="004B5C51"/>
    <w:rsid w:val="004E2A34"/>
    <w:rsid w:val="004E2ABF"/>
    <w:rsid w:val="004E35E2"/>
    <w:rsid w:val="004E4B77"/>
    <w:rsid w:val="004F4658"/>
    <w:rsid w:val="004F718B"/>
    <w:rsid w:val="005045DB"/>
    <w:rsid w:val="005052D3"/>
    <w:rsid w:val="005129C1"/>
    <w:rsid w:val="00513268"/>
    <w:rsid w:val="00514D0E"/>
    <w:rsid w:val="00523031"/>
    <w:rsid w:val="00550CCF"/>
    <w:rsid w:val="00552154"/>
    <w:rsid w:val="00575021"/>
    <w:rsid w:val="00585311"/>
    <w:rsid w:val="005D0414"/>
    <w:rsid w:val="005D33C4"/>
    <w:rsid w:val="005E3EDD"/>
    <w:rsid w:val="005F0C37"/>
    <w:rsid w:val="005F1CE6"/>
    <w:rsid w:val="005F2F4D"/>
    <w:rsid w:val="0060015B"/>
    <w:rsid w:val="00603189"/>
    <w:rsid w:val="0060531B"/>
    <w:rsid w:val="006074B0"/>
    <w:rsid w:val="00623C85"/>
    <w:rsid w:val="006318B5"/>
    <w:rsid w:val="00632BFB"/>
    <w:rsid w:val="00641591"/>
    <w:rsid w:val="006424DB"/>
    <w:rsid w:val="0064400B"/>
    <w:rsid w:val="00644B02"/>
    <w:rsid w:val="00651C5F"/>
    <w:rsid w:val="0066695E"/>
    <w:rsid w:val="006669D9"/>
    <w:rsid w:val="006723A9"/>
    <w:rsid w:val="0067516E"/>
    <w:rsid w:val="0068418B"/>
    <w:rsid w:val="00691D14"/>
    <w:rsid w:val="006A1833"/>
    <w:rsid w:val="006A1E03"/>
    <w:rsid w:val="006A3387"/>
    <w:rsid w:val="006A64D5"/>
    <w:rsid w:val="006B4953"/>
    <w:rsid w:val="006B6760"/>
    <w:rsid w:val="006B6F24"/>
    <w:rsid w:val="006C3A2D"/>
    <w:rsid w:val="006D55E5"/>
    <w:rsid w:val="006D5C66"/>
    <w:rsid w:val="006D7259"/>
    <w:rsid w:val="006D7AF6"/>
    <w:rsid w:val="006E0B7C"/>
    <w:rsid w:val="006F5053"/>
    <w:rsid w:val="006F7588"/>
    <w:rsid w:val="00700997"/>
    <w:rsid w:val="007209F8"/>
    <w:rsid w:val="007215A3"/>
    <w:rsid w:val="00730B76"/>
    <w:rsid w:val="0073705D"/>
    <w:rsid w:val="0074037A"/>
    <w:rsid w:val="00743231"/>
    <w:rsid w:val="00745BC0"/>
    <w:rsid w:val="007468AE"/>
    <w:rsid w:val="007562C4"/>
    <w:rsid w:val="0076204F"/>
    <w:rsid w:val="00762111"/>
    <w:rsid w:val="007651F6"/>
    <w:rsid w:val="0076712B"/>
    <w:rsid w:val="0078187B"/>
    <w:rsid w:val="00784AD2"/>
    <w:rsid w:val="0079115B"/>
    <w:rsid w:val="00792CEF"/>
    <w:rsid w:val="00796A85"/>
    <w:rsid w:val="007A21A6"/>
    <w:rsid w:val="007A2CC4"/>
    <w:rsid w:val="007A44F2"/>
    <w:rsid w:val="007B17F0"/>
    <w:rsid w:val="007B7D78"/>
    <w:rsid w:val="007C1E05"/>
    <w:rsid w:val="007C214E"/>
    <w:rsid w:val="007C2752"/>
    <w:rsid w:val="007C3935"/>
    <w:rsid w:val="007E5AA8"/>
    <w:rsid w:val="007E5E21"/>
    <w:rsid w:val="00800337"/>
    <w:rsid w:val="008014DF"/>
    <w:rsid w:val="00806FC9"/>
    <w:rsid w:val="0081013E"/>
    <w:rsid w:val="00813F73"/>
    <w:rsid w:val="0082072D"/>
    <w:rsid w:val="00824276"/>
    <w:rsid w:val="008359EB"/>
    <w:rsid w:val="00835E8D"/>
    <w:rsid w:val="00835EAD"/>
    <w:rsid w:val="008514D5"/>
    <w:rsid w:val="00856306"/>
    <w:rsid w:val="008566D7"/>
    <w:rsid w:val="00871DF3"/>
    <w:rsid w:val="008820C0"/>
    <w:rsid w:val="00894037"/>
    <w:rsid w:val="00895A6F"/>
    <w:rsid w:val="008964B7"/>
    <w:rsid w:val="008A080B"/>
    <w:rsid w:val="008A53C3"/>
    <w:rsid w:val="008B59D0"/>
    <w:rsid w:val="008B6BCD"/>
    <w:rsid w:val="008B7D92"/>
    <w:rsid w:val="008B7F73"/>
    <w:rsid w:val="008C2328"/>
    <w:rsid w:val="008C3266"/>
    <w:rsid w:val="008C6ED6"/>
    <w:rsid w:val="008D1D25"/>
    <w:rsid w:val="008D24BE"/>
    <w:rsid w:val="008D3B7A"/>
    <w:rsid w:val="008E6E1E"/>
    <w:rsid w:val="009063F2"/>
    <w:rsid w:val="00907A88"/>
    <w:rsid w:val="00911FBC"/>
    <w:rsid w:val="00912993"/>
    <w:rsid w:val="00913DF4"/>
    <w:rsid w:val="0091572A"/>
    <w:rsid w:val="00924614"/>
    <w:rsid w:val="00925FF9"/>
    <w:rsid w:val="00937732"/>
    <w:rsid w:val="009434D7"/>
    <w:rsid w:val="00947C39"/>
    <w:rsid w:val="009527C9"/>
    <w:rsid w:val="00952992"/>
    <w:rsid w:val="00955C15"/>
    <w:rsid w:val="00962CB5"/>
    <w:rsid w:val="0097254C"/>
    <w:rsid w:val="00974AC7"/>
    <w:rsid w:val="00974C4D"/>
    <w:rsid w:val="0097533E"/>
    <w:rsid w:val="009A7319"/>
    <w:rsid w:val="009B2CB4"/>
    <w:rsid w:val="009B34E4"/>
    <w:rsid w:val="009C58F2"/>
    <w:rsid w:val="009D549B"/>
    <w:rsid w:val="009E0039"/>
    <w:rsid w:val="009E02C2"/>
    <w:rsid w:val="009E4488"/>
    <w:rsid w:val="00A01DD4"/>
    <w:rsid w:val="00A04CC1"/>
    <w:rsid w:val="00A10904"/>
    <w:rsid w:val="00A10AEC"/>
    <w:rsid w:val="00A10CB2"/>
    <w:rsid w:val="00A10FC9"/>
    <w:rsid w:val="00A1250F"/>
    <w:rsid w:val="00A1446E"/>
    <w:rsid w:val="00A2246A"/>
    <w:rsid w:val="00A2281E"/>
    <w:rsid w:val="00A251FA"/>
    <w:rsid w:val="00A264A9"/>
    <w:rsid w:val="00A269B2"/>
    <w:rsid w:val="00A32534"/>
    <w:rsid w:val="00A32877"/>
    <w:rsid w:val="00A32D28"/>
    <w:rsid w:val="00A53A19"/>
    <w:rsid w:val="00A62484"/>
    <w:rsid w:val="00A70DBA"/>
    <w:rsid w:val="00A76861"/>
    <w:rsid w:val="00A80257"/>
    <w:rsid w:val="00A80F7B"/>
    <w:rsid w:val="00A81704"/>
    <w:rsid w:val="00A81FD2"/>
    <w:rsid w:val="00A84863"/>
    <w:rsid w:val="00A94D0F"/>
    <w:rsid w:val="00AB0272"/>
    <w:rsid w:val="00AB0D8D"/>
    <w:rsid w:val="00AB217A"/>
    <w:rsid w:val="00AB5E1C"/>
    <w:rsid w:val="00AB7029"/>
    <w:rsid w:val="00AB7B33"/>
    <w:rsid w:val="00AC022F"/>
    <w:rsid w:val="00AC519A"/>
    <w:rsid w:val="00AD17F6"/>
    <w:rsid w:val="00AD3053"/>
    <w:rsid w:val="00AD64CF"/>
    <w:rsid w:val="00AE5749"/>
    <w:rsid w:val="00AE7074"/>
    <w:rsid w:val="00AF7116"/>
    <w:rsid w:val="00B1288A"/>
    <w:rsid w:val="00B22E03"/>
    <w:rsid w:val="00B414AA"/>
    <w:rsid w:val="00B47070"/>
    <w:rsid w:val="00B517F2"/>
    <w:rsid w:val="00B74ECE"/>
    <w:rsid w:val="00B75577"/>
    <w:rsid w:val="00B75681"/>
    <w:rsid w:val="00B76342"/>
    <w:rsid w:val="00B80646"/>
    <w:rsid w:val="00B8409F"/>
    <w:rsid w:val="00B923DB"/>
    <w:rsid w:val="00B954E9"/>
    <w:rsid w:val="00BA2326"/>
    <w:rsid w:val="00BA4F5E"/>
    <w:rsid w:val="00BB0709"/>
    <w:rsid w:val="00BB2C62"/>
    <w:rsid w:val="00BC35C2"/>
    <w:rsid w:val="00BC36A7"/>
    <w:rsid w:val="00BC3E94"/>
    <w:rsid w:val="00BD24C8"/>
    <w:rsid w:val="00BD32BC"/>
    <w:rsid w:val="00BE40A9"/>
    <w:rsid w:val="00BF1426"/>
    <w:rsid w:val="00BF6229"/>
    <w:rsid w:val="00BF7E8A"/>
    <w:rsid w:val="00C109D6"/>
    <w:rsid w:val="00C120E6"/>
    <w:rsid w:val="00C13B90"/>
    <w:rsid w:val="00C21FD3"/>
    <w:rsid w:val="00C31076"/>
    <w:rsid w:val="00C36ACC"/>
    <w:rsid w:val="00C37664"/>
    <w:rsid w:val="00C41182"/>
    <w:rsid w:val="00C4789A"/>
    <w:rsid w:val="00C65C55"/>
    <w:rsid w:val="00C65FBD"/>
    <w:rsid w:val="00C72360"/>
    <w:rsid w:val="00C809C9"/>
    <w:rsid w:val="00C86586"/>
    <w:rsid w:val="00C9582E"/>
    <w:rsid w:val="00CB1EB1"/>
    <w:rsid w:val="00CB4313"/>
    <w:rsid w:val="00CD3231"/>
    <w:rsid w:val="00CD4BFB"/>
    <w:rsid w:val="00CD71E5"/>
    <w:rsid w:val="00CE7936"/>
    <w:rsid w:val="00CF2B44"/>
    <w:rsid w:val="00CF6AB7"/>
    <w:rsid w:val="00D05675"/>
    <w:rsid w:val="00D15561"/>
    <w:rsid w:val="00D16031"/>
    <w:rsid w:val="00D36C57"/>
    <w:rsid w:val="00D4075F"/>
    <w:rsid w:val="00D41458"/>
    <w:rsid w:val="00D45B93"/>
    <w:rsid w:val="00D51574"/>
    <w:rsid w:val="00D54CD4"/>
    <w:rsid w:val="00D56AB6"/>
    <w:rsid w:val="00D56B14"/>
    <w:rsid w:val="00D56EAD"/>
    <w:rsid w:val="00D72198"/>
    <w:rsid w:val="00D818C6"/>
    <w:rsid w:val="00DA46C9"/>
    <w:rsid w:val="00DA576C"/>
    <w:rsid w:val="00DB38AB"/>
    <w:rsid w:val="00DC19EE"/>
    <w:rsid w:val="00DC2BB9"/>
    <w:rsid w:val="00DC4208"/>
    <w:rsid w:val="00DC74BD"/>
    <w:rsid w:val="00DC7FF5"/>
    <w:rsid w:val="00DD1949"/>
    <w:rsid w:val="00DD202D"/>
    <w:rsid w:val="00DE3A13"/>
    <w:rsid w:val="00DE472D"/>
    <w:rsid w:val="00DE4FCF"/>
    <w:rsid w:val="00DF07EC"/>
    <w:rsid w:val="00E0031D"/>
    <w:rsid w:val="00E06EF1"/>
    <w:rsid w:val="00E11A25"/>
    <w:rsid w:val="00E33B76"/>
    <w:rsid w:val="00E357EA"/>
    <w:rsid w:val="00E359FA"/>
    <w:rsid w:val="00E51B52"/>
    <w:rsid w:val="00E57227"/>
    <w:rsid w:val="00E6700C"/>
    <w:rsid w:val="00E700C1"/>
    <w:rsid w:val="00E71403"/>
    <w:rsid w:val="00E7349C"/>
    <w:rsid w:val="00E738FB"/>
    <w:rsid w:val="00E76D91"/>
    <w:rsid w:val="00E80188"/>
    <w:rsid w:val="00E92113"/>
    <w:rsid w:val="00E95608"/>
    <w:rsid w:val="00EA3FFA"/>
    <w:rsid w:val="00EA6334"/>
    <w:rsid w:val="00EA70B9"/>
    <w:rsid w:val="00EB36B2"/>
    <w:rsid w:val="00EC54B9"/>
    <w:rsid w:val="00EE2184"/>
    <w:rsid w:val="00EE3393"/>
    <w:rsid w:val="00EE510F"/>
    <w:rsid w:val="00EF3A61"/>
    <w:rsid w:val="00F002EB"/>
    <w:rsid w:val="00F00751"/>
    <w:rsid w:val="00F05451"/>
    <w:rsid w:val="00F16A08"/>
    <w:rsid w:val="00F21218"/>
    <w:rsid w:val="00F25CBE"/>
    <w:rsid w:val="00F26C61"/>
    <w:rsid w:val="00F37FD2"/>
    <w:rsid w:val="00F42A0A"/>
    <w:rsid w:val="00F43B7F"/>
    <w:rsid w:val="00F445A1"/>
    <w:rsid w:val="00F46A3C"/>
    <w:rsid w:val="00F53DA9"/>
    <w:rsid w:val="00F553E5"/>
    <w:rsid w:val="00F579D2"/>
    <w:rsid w:val="00F6040E"/>
    <w:rsid w:val="00F608D9"/>
    <w:rsid w:val="00F61C49"/>
    <w:rsid w:val="00F643E2"/>
    <w:rsid w:val="00F647A1"/>
    <w:rsid w:val="00F64CA7"/>
    <w:rsid w:val="00F6600F"/>
    <w:rsid w:val="00F70F80"/>
    <w:rsid w:val="00F7309F"/>
    <w:rsid w:val="00F81597"/>
    <w:rsid w:val="00F83D6E"/>
    <w:rsid w:val="00F931ED"/>
    <w:rsid w:val="00F95D64"/>
    <w:rsid w:val="00F97F5F"/>
    <w:rsid w:val="00FA2C89"/>
    <w:rsid w:val="00FA590D"/>
    <w:rsid w:val="00FB00AE"/>
    <w:rsid w:val="00FB7429"/>
    <w:rsid w:val="00FD2883"/>
    <w:rsid w:val="00FD6BEA"/>
    <w:rsid w:val="00FE75C6"/>
    <w:rsid w:val="00FF0424"/>
    <w:rsid w:val="00FF6663"/>
    <w:rsid w:val="010F18A0"/>
    <w:rsid w:val="01127B86"/>
    <w:rsid w:val="01156F44"/>
    <w:rsid w:val="01AE401E"/>
    <w:rsid w:val="01CB468A"/>
    <w:rsid w:val="01FC043D"/>
    <w:rsid w:val="023354BB"/>
    <w:rsid w:val="025B31F6"/>
    <w:rsid w:val="02C96349"/>
    <w:rsid w:val="053C1298"/>
    <w:rsid w:val="055D6BBE"/>
    <w:rsid w:val="061D78FA"/>
    <w:rsid w:val="066771D3"/>
    <w:rsid w:val="066A02E2"/>
    <w:rsid w:val="069F5ACB"/>
    <w:rsid w:val="06A37023"/>
    <w:rsid w:val="06B8648C"/>
    <w:rsid w:val="06CE039F"/>
    <w:rsid w:val="07CA6E62"/>
    <w:rsid w:val="08AD7DE7"/>
    <w:rsid w:val="08B63BDC"/>
    <w:rsid w:val="08ED70D8"/>
    <w:rsid w:val="09167D75"/>
    <w:rsid w:val="09E87CA8"/>
    <w:rsid w:val="09E93161"/>
    <w:rsid w:val="0A020841"/>
    <w:rsid w:val="0A225D5E"/>
    <w:rsid w:val="0A697108"/>
    <w:rsid w:val="0AA47A31"/>
    <w:rsid w:val="0AED1FBB"/>
    <w:rsid w:val="0AF8002C"/>
    <w:rsid w:val="0B380ABA"/>
    <w:rsid w:val="0B5A4987"/>
    <w:rsid w:val="0C272480"/>
    <w:rsid w:val="0C334DD9"/>
    <w:rsid w:val="0C6C1CA3"/>
    <w:rsid w:val="0CB30CD8"/>
    <w:rsid w:val="0CC66904"/>
    <w:rsid w:val="0CCE7AD1"/>
    <w:rsid w:val="0D033322"/>
    <w:rsid w:val="0D23505A"/>
    <w:rsid w:val="0D51112D"/>
    <w:rsid w:val="0DBB1160"/>
    <w:rsid w:val="0E093D8E"/>
    <w:rsid w:val="0E177F5E"/>
    <w:rsid w:val="0E3522A3"/>
    <w:rsid w:val="0E495E9A"/>
    <w:rsid w:val="0E4D7260"/>
    <w:rsid w:val="0E6574A4"/>
    <w:rsid w:val="0E7614BA"/>
    <w:rsid w:val="0EE85C00"/>
    <w:rsid w:val="0FE265B5"/>
    <w:rsid w:val="105B02C7"/>
    <w:rsid w:val="109174D4"/>
    <w:rsid w:val="10AF51BA"/>
    <w:rsid w:val="10E4313F"/>
    <w:rsid w:val="10F3674C"/>
    <w:rsid w:val="10FE10BA"/>
    <w:rsid w:val="112463D2"/>
    <w:rsid w:val="115C5F00"/>
    <w:rsid w:val="118E7426"/>
    <w:rsid w:val="11A20A10"/>
    <w:rsid w:val="11BE7B41"/>
    <w:rsid w:val="12C9546E"/>
    <w:rsid w:val="12EC17A3"/>
    <w:rsid w:val="13E542C6"/>
    <w:rsid w:val="13FE1AE5"/>
    <w:rsid w:val="151C24F7"/>
    <w:rsid w:val="155420E6"/>
    <w:rsid w:val="15AF31D6"/>
    <w:rsid w:val="15BB6577"/>
    <w:rsid w:val="15FE308C"/>
    <w:rsid w:val="17C92FCD"/>
    <w:rsid w:val="17E121B1"/>
    <w:rsid w:val="18534D07"/>
    <w:rsid w:val="18957F0D"/>
    <w:rsid w:val="18E319E0"/>
    <w:rsid w:val="18F42378"/>
    <w:rsid w:val="196C415B"/>
    <w:rsid w:val="198E1A92"/>
    <w:rsid w:val="19B31895"/>
    <w:rsid w:val="19B76513"/>
    <w:rsid w:val="1A0174C1"/>
    <w:rsid w:val="1A3F0097"/>
    <w:rsid w:val="1ADE4C99"/>
    <w:rsid w:val="1B3748D4"/>
    <w:rsid w:val="1B3F65DC"/>
    <w:rsid w:val="1B6B5335"/>
    <w:rsid w:val="1B763C5D"/>
    <w:rsid w:val="1B836A26"/>
    <w:rsid w:val="1BEB4C08"/>
    <w:rsid w:val="1C4C2FA3"/>
    <w:rsid w:val="1C4F1D19"/>
    <w:rsid w:val="1C510170"/>
    <w:rsid w:val="1CC56F4D"/>
    <w:rsid w:val="1D291DE0"/>
    <w:rsid w:val="1DAB04E4"/>
    <w:rsid w:val="1EC536A8"/>
    <w:rsid w:val="1F21644D"/>
    <w:rsid w:val="1F5D2149"/>
    <w:rsid w:val="1FA33246"/>
    <w:rsid w:val="1FE01135"/>
    <w:rsid w:val="20223117"/>
    <w:rsid w:val="204918C9"/>
    <w:rsid w:val="20A02EE5"/>
    <w:rsid w:val="20B228D4"/>
    <w:rsid w:val="2171526D"/>
    <w:rsid w:val="21F37170"/>
    <w:rsid w:val="225250BD"/>
    <w:rsid w:val="22B80A60"/>
    <w:rsid w:val="230D1A78"/>
    <w:rsid w:val="233E1903"/>
    <w:rsid w:val="242A5552"/>
    <w:rsid w:val="24476176"/>
    <w:rsid w:val="246E0E88"/>
    <w:rsid w:val="248932EF"/>
    <w:rsid w:val="24DA16CE"/>
    <w:rsid w:val="24ED29DD"/>
    <w:rsid w:val="252D733A"/>
    <w:rsid w:val="25A13B43"/>
    <w:rsid w:val="26395817"/>
    <w:rsid w:val="26720D37"/>
    <w:rsid w:val="26C215B0"/>
    <w:rsid w:val="27337754"/>
    <w:rsid w:val="27F86E7F"/>
    <w:rsid w:val="28483024"/>
    <w:rsid w:val="287E4098"/>
    <w:rsid w:val="29006559"/>
    <w:rsid w:val="29106B8D"/>
    <w:rsid w:val="295E2A32"/>
    <w:rsid w:val="29CE640F"/>
    <w:rsid w:val="29EC7D88"/>
    <w:rsid w:val="29F15C38"/>
    <w:rsid w:val="2ACA7ADD"/>
    <w:rsid w:val="2B402A0E"/>
    <w:rsid w:val="2B6811BE"/>
    <w:rsid w:val="2C7A6E1E"/>
    <w:rsid w:val="2C983123"/>
    <w:rsid w:val="2CD520DA"/>
    <w:rsid w:val="2CD7557E"/>
    <w:rsid w:val="2D1A5BA5"/>
    <w:rsid w:val="2D231924"/>
    <w:rsid w:val="2D2869D7"/>
    <w:rsid w:val="2D851C9C"/>
    <w:rsid w:val="2DFC794B"/>
    <w:rsid w:val="2DFD1DCB"/>
    <w:rsid w:val="2E4E13C4"/>
    <w:rsid w:val="2EA866FD"/>
    <w:rsid w:val="2EF26EAE"/>
    <w:rsid w:val="2F955950"/>
    <w:rsid w:val="2FA56081"/>
    <w:rsid w:val="2FAB2C12"/>
    <w:rsid w:val="2FAE0882"/>
    <w:rsid w:val="2FB36C8D"/>
    <w:rsid w:val="2FB572AC"/>
    <w:rsid w:val="2FD615EF"/>
    <w:rsid w:val="303E7733"/>
    <w:rsid w:val="3083566E"/>
    <w:rsid w:val="309F24B0"/>
    <w:rsid w:val="30A5477B"/>
    <w:rsid w:val="30AE0354"/>
    <w:rsid w:val="30C358FB"/>
    <w:rsid w:val="30F86F18"/>
    <w:rsid w:val="311D3D5D"/>
    <w:rsid w:val="319A0B45"/>
    <w:rsid w:val="31B72E78"/>
    <w:rsid w:val="32002B2F"/>
    <w:rsid w:val="3205634C"/>
    <w:rsid w:val="32F60568"/>
    <w:rsid w:val="32F66B9D"/>
    <w:rsid w:val="33087666"/>
    <w:rsid w:val="33381CBB"/>
    <w:rsid w:val="33596342"/>
    <w:rsid w:val="335D1D66"/>
    <w:rsid w:val="337676ED"/>
    <w:rsid w:val="338706D4"/>
    <w:rsid w:val="33B11C94"/>
    <w:rsid w:val="349B6ECC"/>
    <w:rsid w:val="34CA155F"/>
    <w:rsid w:val="35740E79"/>
    <w:rsid w:val="36037DA4"/>
    <w:rsid w:val="363E23B5"/>
    <w:rsid w:val="36403C31"/>
    <w:rsid w:val="36AE6844"/>
    <w:rsid w:val="36D65FE8"/>
    <w:rsid w:val="36F6292F"/>
    <w:rsid w:val="371B18C2"/>
    <w:rsid w:val="37864F66"/>
    <w:rsid w:val="37E21B17"/>
    <w:rsid w:val="380F2A1E"/>
    <w:rsid w:val="38806FD8"/>
    <w:rsid w:val="38C81D2D"/>
    <w:rsid w:val="391143D4"/>
    <w:rsid w:val="392141E6"/>
    <w:rsid w:val="3952391E"/>
    <w:rsid w:val="398113A1"/>
    <w:rsid w:val="39B95D50"/>
    <w:rsid w:val="39CD3FF6"/>
    <w:rsid w:val="3A587872"/>
    <w:rsid w:val="3AA03074"/>
    <w:rsid w:val="3AE67386"/>
    <w:rsid w:val="3AFF1EA9"/>
    <w:rsid w:val="3B634A8D"/>
    <w:rsid w:val="3BB15227"/>
    <w:rsid w:val="3BC92813"/>
    <w:rsid w:val="3C365D3A"/>
    <w:rsid w:val="3C637400"/>
    <w:rsid w:val="3C7516B1"/>
    <w:rsid w:val="3CAD1060"/>
    <w:rsid w:val="3CF402EF"/>
    <w:rsid w:val="3D013D92"/>
    <w:rsid w:val="3D2B6415"/>
    <w:rsid w:val="3D786F44"/>
    <w:rsid w:val="3D9F55BD"/>
    <w:rsid w:val="3DEE7E4E"/>
    <w:rsid w:val="3E6A7CC8"/>
    <w:rsid w:val="3EF523DF"/>
    <w:rsid w:val="3EF65FD8"/>
    <w:rsid w:val="3F105493"/>
    <w:rsid w:val="3F1F43CB"/>
    <w:rsid w:val="3F3C6614"/>
    <w:rsid w:val="3F457E9A"/>
    <w:rsid w:val="3F5862E6"/>
    <w:rsid w:val="3FC8239A"/>
    <w:rsid w:val="3FDA3FC0"/>
    <w:rsid w:val="3FF573DE"/>
    <w:rsid w:val="40550D50"/>
    <w:rsid w:val="408A32D2"/>
    <w:rsid w:val="40C90985"/>
    <w:rsid w:val="40D56A31"/>
    <w:rsid w:val="40D81236"/>
    <w:rsid w:val="40DA176A"/>
    <w:rsid w:val="411D7C7E"/>
    <w:rsid w:val="41C87331"/>
    <w:rsid w:val="4201077B"/>
    <w:rsid w:val="42211E2D"/>
    <w:rsid w:val="426C215C"/>
    <w:rsid w:val="42994DD4"/>
    <w:rsid w:val="42AC4FCD"/>
    <w:rsid w:val="42D65CE1"/>
    <w:rsid w:val="433E3844"/>
    <w:rsid w:val="43AD04DA"/>
    <w:rsid w:val="440A6195"/>
    <w:rsid w:val="441B303C"/>
    <w:rsid w:val="443665E0"/>
    <w:rsid w:val="44633F86"/>
    <w:rsid w:val="45A16742"/>
    <w:rsid w:val="45D75196"/>
    <w:rsid w:val="45E04CBC"/>
    <w:rsid w:val="45FF55C0"/>
    <w:rsid w:val="46372A9C"/>
    <w:rsid w:val="465E6907"/>
    <w:rsid w:val="46616228"/>
    <w:rsid w:val="46B078B7"/>
    <w:rsid w:val="46BF6E72"/>
    <w:rsid w:val="46CF402E"/>
    <w:rsid w:val="47350F3E"/>
    <w:rsid w:val="47C16679"/>
    <w:rsid w:val="47E4265E"/>
    <w:rsid w:val="4832069B"/>
    <w:rsid w:val="48D11F6B"/>
    <w:rsid w:val="48D2539D"/>
    <w:rsid w:val="49167D1D"/>
    <w:rsid w:val="494D62C3"/>
    <w:rsid w:val="4953291F"/>
    <w:rsid w:val="49726242"/>
    <w:rsid w:val="49912004"/>
    <w:rsid w:val="49D34D88"/>
    <w:rsid w:val="49E54F8F"/>
    <w:rsid w:val="49FE5AE7"/>
    <w:rsid w:val="4A2B1374"/>
    <w:rsid w:val="4AA976FE"/>
    <w:rsid w:val="4AD57FBF"/>
    <w:rsid w:val="4B2E6070"/>
    <w:rsid w:val="4B9A2839"/>
    <w:rsid w:val="4C2A4CD1"/>
    <w:rsid w:val="4C2A7AC7"/>
    <w:rsid w:val="4C640F4C"/>
    <w:rsid w:val="4D0B665F"/>
    <w:rsid w:val="4D8260E1"/>
    <w:rsid w:val="4DB73C65"/>
    <w:rsid w:val="4DDA5F09"/>
    <w:rsid w:val="4E5D1113"/>
    <w:rsid w:val="4E663A7B"/>
    <w:rsid w:val="4ED5596F"/>
    <w:rsid w:val="4ED654BA"/>
    <w:rsid w:val="4F6362C9"/>
    <w:rsid w:val="4F9E5311"/>
    <w:rsid w:val="502E5077"/>
    <w:rsid w:val="50725970"/>
    <w:rsid w:val="50921116"/>
    <w:rsid w:val="50E57045"/>
    <w:rsid w:val="51356A8D"/>
    <w:rsid w:val="51572CEF"/>
    <w:rsid w:val="51687D98"/>
    <w:rsid w:val="519F19AF"/>
    <w:rsid w:val="523C6395"/>
    <w:rsid w:val="524E1268"/>
    <w:rsid w:val="527068D3"/>
    <w:rsid w:val="52B97BC1"/>
    <w:rsid w:val="52E25D60"/>
    <w:rsid w:val="53391AFF"/>
    <w:rsid w:val="538A314E"/>
    <w:rsid w:val="54BD1868"/>
    <w:rsid w:val="551A5680"/>
    <w:rsid w:val="55805BF2"/>
    <w:rsid w:val="559A2E69"/>
    <w:rsid w:val="55A956A8"/>
    <w:rsid w:val="56236A01"/>
    <w:rsid w:val="56355E4F"/>
    <w:rsid w:val="563C3CA6"/>
    <w:rsid w:val="56547C2D"/>
    <w:rsid w:val="56B022ED"/>
    <w:rsid w:val="56CE662C"/>
    <w:rsid w:val="56E155F3"/>
    <w:rsid w:val="57C6510F"/>
    <w:rsid w:val="580B2E79"/>
    <w:rsid w:val="58100B35"/>
    <w:rsid w:val="581E79F5"/>
    <w:rsid w:val="589235D1"/>
    <w:rsid w:val="58F47CDE"/>
    <w:rsid w:val="58F554CF"/>
    <w:rsid w:val="58FA70A6"/>
    <w:rsid w:val="58FC58DC"/>
    <w:rsid w:val="59D02363"/>
    <w:rsid w:val="59E92FA5"/>
    <w:rsid w:val="5A0E2D5E"/>
    <w:rsid w:val="5AAE6927"/>
    <w:rsid w:val="5AB876B8"/>
    <w:rsid w:val="5ABD52BB"/>
    <w:rsid w:val="5AF10FB3"/>
    <w:rsid w:val="5B946A4C"/>
    <w:rsid w:val="5BA7498E"/>
    <w:rsid w:val="5C3C6AD0"/>
    <w:rsid w:val="5C4C5483"/>
    <w:rsid w:val="5C5B3A14"/>
    <w:rsid w:val="5C616E07"/>
    <w:rsid w:val="5C7A5A64"/>
    <w:rsid w:val="5C853EAC"/>
    <w:rsid w:val="5D9525B4"/>
    <w:rsid w:val="5DBA5D3E"/>
    <w:rsid w:val="5E9872AA"/>
    <w:rsid w:val="5EAE1F7C"/>
    <w:rsid w:val="5F006597"/>
    <w:rsid w:val="5F2C12D5"/>
    <w:rsid w:val="5F7306B6"/>
    <w:rsid w:val="600F7F82"/>
    <w:rsid w:val="606232A6"/>
    <w:rsid w:val="608B5DB5"/>
    <w:rsid w:val="60C512AD"/>
    <w:rsid w:val="61417868"/>
    <w:rsid w:val="619743F4"/>
    <w:rsid w:val="626B4257"/>
    <w:rsid w:val="63936E3D"/>
    <w:rsid w:val="639834EF"/>
    <w:rsid w:val="639B1215"/>
    <w:rsid w:val="63B23F22"/>
    <w:rsid w:val="63F77BEF"/>
    <w:rsid w:val="64FF0325"/>
    <w:rsid w:val="66705955"/>
    <w:rsid w:val="66AF4335"/>
    <w:rsid w:val="66C51EEA"/>
    <w:rsid w:val="66D61B4F"/>
    <w:rsid w:val="67045197"/>
    <w:rsid w:val="6725199D"/>
    <w:rsid w:val="67BF361A"/>
    <w:rsid w:val="68564B59"/>
    <w:rsid w:val="686D037F"/>
    <w:rsid w:val="68F22311"/>
    <w:rsid w:val="68FA6045"/>
    <w:rsid w:val="6941222D"/>
    <w:rsid w:val="698C1D41"/>
    <w:rsid w:val="699B74FC"/>
    <w:rsid w:val="69AB2EA3"/>
    <w:rsid w:val="6A0132CC"/>
    <w:rsid w:val="6A817042"/>
    <w:rsid w:val="6AFD6DEE"/>
    <w:rsid w:val="6B0E3EE7"/>
    <w:rsid w:val="6B6566E4"/>
    <w:rsid w:val="6B755859"/>
    <w:rsid w:val="6C6543D7"/>
    <w:rsid w:val="6C6800A3"/>
    <w:rsid w:val="6C9D7154"/>
    <w:rsid w:val="6CE52E04"/>
    <w:rsid w:val="6D1217A6"/>
    <w:rsid w:val="6D47756B"/>
    <w:rsid w:val="6D586247"/>
    <w:rsid w:val="6D637CA1"/>
    <w:rsid w:val="6E475A82"/>
    <w:rsid w:val="6EEA5D76"/>
    <w:rsid w:val="6F0113B8"/>
    <w:rsid w:val="6F020A99"/>
    <w:rsid w:val="6F036826"/>
    <w:rsid w:val="6FA927CC"/>
    <w:rsid w:val="70C8633B"/>
    <w:rsid w:val="70E20D0A"/>
    <w:rsid w:val="710F3219"/>
    <w:rsid w:val="712969A4"/>
    <w:rsid w:val="71383CFC"/>
    <w:rsid w:val="71A150B2"/>
    <w:rsid w:val="722A04D4"/>
    <w:rsid w:val="7242174D"/>
    <w:rsid w:val="7254340A"/>
    <w:rsid w:val="72783517"/>
    <w:rsid w:val="72A71B52"/>
    <w:rsid w:val="72AE77EF"/>
    <w:rsid w:val="72F47CE6"/>
    <w:rsid w:val="72FF2D7B"/>
    <w:rsid w:val="735E3FF8"/>
    <w:rsid w:val="736B3C40"/>
    <w:rsid w:val="737113F0"/>
    <w:rsid w:val="73827153"/>
    <w:rsid w:val="73BA772D"/>
    <w:rsid w:val="73C172DA"/>
    <w:rsid w:val="74061859"/>
    <w:rsid w:val="7437459A"/>
    <w:rsid w:val="74421393"/>
    <w:rsid w:val="74623704"/>
    <w:rsid w:val="74CF1C9F"/>
    <w:rsid w:val="7518232F"/>
    <w:rsid w:val="75616D9B"/>
    <w:rsid w:val="758E4D16"/>
    <w:rsid w:val="76200A8F"/>
    <w:rsid w:val="767D313D"/>
    <w:rsid w:val="76C802DA"/>
    <w:rsid w:val="76D134F4"/>
    <w:rsid w:val="76EF66C6"/>
    <w:rsid w:val="78380C20"/>
    <w:rsid w:val="78492DFB"/>
    <w:rsid w:val="788E2E70"/>
    <w:rsid w:val="78911513"/>
    <w:rsid w:val="78BD69DE"/>
    <w:rsid w:val="79553FCE"/>
    <w:rsid w:val="79C57B06"/>
    <w:rsid w:val="79C72AA3"/>
    <w:rsid w:val="79F85BD4"/>
    <w:rsid w:val="7A225D05"/>
    <w:rsid w:val="7A24757A"/>
    <w:rsid w:val="7AB92944"/>
    <w:rsid w:val="7ABF6408"/>
    <w:rsid w:val="7AC74E23"/>
    <w:rsid w:val="7D4214A1"/>
    <w:rsid w:val="7D781C93"/>
    <w:rsid w:val="7DF70A79"/>
    <w:rsid w:val="7E42489D"/>
    <w:rsid w:val="7E8E0292"/>
    <w:rsid w:val="7EC21767"/>
    <w:rsid w:val="7ECC3361"/>
    <w:rsid w:val="7ED405DD"/>
    <w:rsid w:val="7ED92CDC"/>
    <w:rsid w:val="7EEA7586"/>
    <w:rsid w:val="7F040A22"/>
    <w:rsid w:val="7F2B0E3F"/>
    <w:rsid w:val="7F7F23ED"/>
    <w:rsid w:val="7F933F9E"/>
    <w:rsid w:val="7FB22E81"/>
    <w:rsid w:val="7FD04274"/>
    <w:rsid w:val="97BE4603"/>
    <w:rsid w:val="DF3FD7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22" w:semiHidden="0" w:name="Strong"/>
    <w:lsdException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tLeast"/>
      <w:outlineLvl w:val="0"/>
    </w:pPr>
    <w:rPr>
      <w:b/>
      <w:bCs/>
      <w:kern w:val="44"/>
      <w:sz w:val="44"/>
      <w:szCs w:val="44"/>
    </w:rPr>
  </w:style>
  <w:style w:type="paragraph" w:styleId="5">
    <w:name w:val="heading 2"/>
    <w:next w:val="6"/>
    <w:unhideWhenUsed/>
    <w:qFormat/>
    <w:uiPriority w:val="0"/>
    <w:pPr>
      <w:keepNext/>
      <w:keepLines/>
      <w:spacing w:line="600" w:lineRule="exact"/>
      <w:ind w:firstLine="560" w:firstLineChars="200"/>
      <w:outlineLvl w:val="1"/>
    </w:pPr>
    <w:rPr>
      <w:rFonts w:ascii="Times New Roman" w:hAnsi="Times New Roman" w:eastAsia="方正黑体_GBK" w:cs="Times New Roman"/>
      <w:sz w:val="32"/>
      <w:lang w:val="en-US" w:eastAsia="zh-CN" w:bidi="ar-SA"/>
    </w:rPr>
  </w:style>
  <w:style w:type="paragraph" w:styleId="7">
    <w:name w:val="heading 3"/>
    <w:next w:val="6"/>
    <w:link w:val="46"/>
    <w:semiHidden/>
    <w:unhideWhenUsed/>
    <w:qFormat/>
    <w:uiPriority w:val="0"/>
    <w:pPr>
      <w:keepNext/>
      <w:keepLines/>
      <w:spacing w:line="600" w:lineRule="exact"/>
      <w:ind w:firstLine="560" w:firstLineChars="200"/>
      <w:outlineLvl w:val="2"/>
    </w:pPr>
    <w:rPr>
      <w:rFonts w:ascii="Times New Roman" w:hAnsi="Times New Roman" w:eastAsia="方正楷体_GBK" w:cstheme="minorBidi"/>
      <w:sz w:val="32"/>
      <w:lang w:val="en-US" w:eastAsia="zh-CN" w:bidi="ar-SA"/>
    </w:rPr>
  </w:style>
  <w:style w:type="paragraph" w:styleId="8">
    <w:name w:val="heading 4"/>
    <w:next w:val="6"/>
    <w:link w:val="47"/>
    <w:semiHidden/>
    <w:unhideWhenUsed/>
    <w:qFormat/>
    <w:uiPriority w:val="0"/>
    <w:pPr>
      <w:keepNext/>
      <w:keepLines/>
      <w:spacing w:line="600" w:lineRule="exact"/>
      <w:ind w:firstLine="560" w:firstLineChars="200"/>
      <w:outlineLvl w:val="3"/>
    </w:pPr>
    <w:rPr>
      <w:rFonts w:ascii="Times New Roman" w:hAnsi="Times New Roman" w:eastAsia="方正仿宋_GBK" w:cs="Times New Roman"/>
      <w:b/>
      <w:sz w:val="32"/>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heme="minorHAnsi" w:hAnsiTheme="minorHAnsi"/>
    </w:rPr>
  </w:style>
  <w:style w:type="paragraph" w:styleId="3">
    <w:name w:val="Body Text Indent"/>
    <w:basedOn w:val="1"/>
    <w:qFormat/>
    <w:uiPriority w:val="0"/>
    <w:pPr>
      <w:spacing w:line="600" w:lineRule="exact"/>
      <w:ind w:left="420" w:leftChars="200"/>
    </w:pPr>
  </w:style>
  <w:style w:type="paragraph" w:customStyle="1" w:styleId="6">
    <w:name w:val="正文-公文"/>
    <w:qFormat/>
    <w:uiPriority w:val="0"/>
    <w:pPr>
      <w:widowControl w:val="0"/>
      <w:spacing w:line="600" w:lineRule="exact"/>
      <w:ind w:firstLine="640" w:firstLineChars="200"/>
    </w:pPr>
    <w:rPr>
      <w:rFonts w:ascii="Times New Roman" w:hAnsi="Times New Roman" w:eastAsia="方正仿宋_GBK" w:cs="Times New Roman"/>
      <w:color w:val="000000"/>
      <w:sz w:val="32"/>
      <w:szCs w:val="32"/>
      <w:lang w:val="en-US" w:eastAsia="zh-CN" w:bidi="ar-SA"/>
    </w:rPr>
  </w:style>
  <w:style w:type="paragraph" w:styleId="9">
    <w:name w:val="Normal Indent"/>
    <w:basedOn w:val="1"/>
    <w:next w:val="1"/>
    <w:unhideWhenUsed/>
    <w:qFormat/>
    <w:uiPriority w:val="99"/>
    <w:rPr>
      <w:rFonts w:ascii="Calibri" w:hAnsi="Calibri" w:cs="Times New Roman"/>
      <w:szCs w:val="24"/>
    </w:rPr>
  </w:style>
  <w:style w:type="paragraph" w:styleId="10">
    <w:name w:val="toa heading"/>
    <w:basedOn w:val="1"/>
    <w:next w:val="1"/>
    <w:unhideWhenUsed/>
    <w:qFormat/>
    <w:uiPriority w:val="99"/>
    <w:pPr>
      <w:spacing w:before="120"/>
    </w:pPr>
    <w:rPr>
      <w:rFonts w:ascii="Cambria" w:hAnsi="Cambria" w:cs="宋体"/>
    </w:rPr>
  </w:style>
  <w:style w:type="paragraph" w:styleId="11">
    <w:name w:val="Body Text"/>
    <w:basedOn w:val="1"/>
    <w:next w:val="12"/>
    <w:qFormat/>
    <w:uiPriority w:val="0"/>
    <w:pPr>
      <w:jc w:val="center"/>
    </w:pPr>
    <w:rPr>
      <w:rFonts w:eastAsia="黑体"/>
      <w:b/>
      <w:bCs/>
      <w:sz w:val="36"/>
      <w:szCs w:val="36"/>
    </w:rPr>
  </w:style>
  <w:style w:type="paragraph" w:customStyle="1" w:styleId="12">
    <w:name w:val="默认"/>
    <w:qFormat/>
    <w:uiPriority w:val="0"/>
    <w:rPr>
      <w:rFonts w:ascii="Helvetica" w:hAnsi="Helvetica" w:eastAsia="Helvetica" w:cs="Times New Roman"/>
      <w:color w:val="000000"/>
      <w:sz w:val="22"/>
      <w:szCs w:val="22"/>
      <w:lang w:val="en-US" w:eastAsia="zh-CN" w:bidi="ar-SA"/>
    </w:rPr>
  </w:style>
  <w:style w:type="paragraph" w:styleId="13">
    <w:name w:val="Date"/>
    <w:basedOn w:val="1"/>
    <w:next w:val="1"/>
    <w:link w:val="25"/>
    <w:qFormat/>
    <w:uiPriority w:val="0"/>
    <w:pPr>
      <w:ind w:left="100" w:leftChars="2500"/>
    </w:pPr>
  </w:style>
  <w:style w:type="paragraph" w:styleId="14">
    <w:name w:val="Balloon Text"/>
    <w:basedOn w:val="1"/>
    <w:link w:val="22"/>
    <w:qFormat/>
    <w:uiPriority w:val="0"/>
    <w:rPr>
      <w:rFonts w:cs="Times New Roman"/>
      <w:sz w:val="18"/>
      <w:szCs w:val="18"/>
    </w:rPr>
  </w:style>
  <w:style w:type="paragraph" w:styleId="15">
    <w:name w:val="footer"/>
    <w:basedOn w:val="1"/>
    <w:link w:val="23"/>
    <w:qFormat/>
    <w:uiPriority w:val="99"/>
    <w:pPr>
      <w:tabs>
        <w:tab w:val="center" w:pos="4153"/>
        <w:tab w:val="right" w:pos="8306"/>
      </w:tabs>
      <w:snapToGrid w:val="0"/>
      <w:jc w:val="left"/>
    </w:pPr>
    <w:rPr>
      <w:rFonts w:cs="Times New Roman"/>
      <w:sz w:val="18"/>
      <w:szCs w:val="18"/>
    </w:rPr>
  </w:style>
  <w:style w:type="paragraph" w:styleId="16">
    <w:name w:val="header"/>
    <w:basedOn w:val="1"/>
    <w:link w:val="2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7">
    <w:name w:val="Normal (Web)"/>
    <w:basedOn w:val="1"/>
    <w:qFormat/>
    <w:uiPriority w:val="0"/>
    <w:pPr>
      <w:spacing w:beforeAutospacing="1" w:afterAutospacing="1"/>
      <w:jc w:val="left"/>
    </w:pPr>
    <w:rPr>
      <w:rFonts w:cs="Times New Roman"/>
      <w:kern w:val="0"/>
      <w:sz w:val="24"/>
    </w:rPr>
  </w:style>
  <w:style w:type="paragraph" w:customStyle="1" w:styleId="2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1">
    <w:name w:val="页眉 Char"/>
    <w:link w:val="16"/>
    <w:qFormat/>
    <w:uiPriority w:val="0"/>
    <w:rPr>
      <w:kern w:val="2"/>
      <w:sz w:val="18"/>
      <w:szCs w:val="18"/>
    </w:rPr>
  </w:style>
  <w:style w:type="character" w:customStyle="1" w:styleId="22">
    <w:name w:val="批注框文本 Char"/>
    <w:link w:val="14"/>
    <w:qFormat/>
    <w:uiPriority w:val="0"/>
    <w:rPr>
      <w:kern w:val="2"/>
      <w:sz w:val="18"/>
      <w:szCs w:val="18"/>
    </w:rPr>
  </w:style>
  <w:style w:type="character" w:customStyle="1" w:styleId="23">
    <w:name w:val="页脚 Char"/>
    <w:link w:val="15"/>
    <w:qFormat/>
    <w:uiPriority w:val="99"/>
    <w:rPr>
      <w:kern w:val="2"/>
      <w:sz w:val="18"/>
      <w:szCs w:val="18"/>
    </w:rPr>
  </w:style>
  <w:style w:type="paragraph" w:styleId="24">
    <w:name w:val="No Spacing"/>
    <w:link w:val="26"/>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日期 Char"/>
    <w:basedOn w:val="19"/>
    <w:link w:val="13"/>
    <w:qFormat/>
    <w:uiPriority w:val="0"/>
    <w:rPr>
      <w:kern w:val="2"/>
      <w:sz w:val="21"/>
      <w:szCs w:val="24"/>
    </w:rPr>
  </w:style>
  <w:style w:type="character" w:customStyle="1" w:styleId="26">
    <w:name w:val="无间隔 Char"/>
    <w:basedOn w:val="19"/>
    <w:link w:val="24"/>
    <w:qFormat/>
    <w:uiPriority w:val="1"/>
    <w:rPr>
      <w:kern w:val="2"/>
      <w:sz w:val="21"/>
      <w:szCs w:val="24"/>
      <w:lang w:val="en-US" w:eastAsia="zh-CN" w:bidi="ar-SA"/>
    </w:rPr>
  </w:style>
  <w:style w:type="paragraph" w:styleId="27">
    <w:name w:val="List Paragraph"/>
    <w:basedOn w:val="1"/>
    <w:qFormat/>
    <w:uiPriority w:val="34"/>
    <w:pPr>
      <w:ind w:firstLine="420" w:firstLineChars="200"/>
    </w:pPr>
    <w:rPr>
      <w:rFonts w:ascii="Calibri" w:hAnsi="Calibri" w:cs="Times New Roman"/>
    </w:rPr>
  </w:style>
  <w:style w:type="character" w:customStyle="1" w:styleId="28">
    <w:name w:val="标题 1 Char"/>
    <w:basedOn w:val="19"/>
    <w:link w:val="4"/>
    <w:qFormat/>
    <w:uiPriority w:val="9"/>
    <w:rPr>
      <w:rFonts w:ascii="Calibri" w:hAnsi="Calibri" w:cs="黑体"/>
      <w:b/>
      <w:bCs/>
      <w:kern w:val="44"/>
      <w:sz w:val="44"/>
      <w:szCs w:val="44"/>
    </w:rPr>
  </w:style>
  <w:style w:type="paragraph" w:customStyle="1" w:styleId="29">
    <w:name w:val="一级标题"/>
    <w:basedOn w:val="1"/>
    <w:link w:val="30"/>
    <w:qFormat/>
    <w:uiPriority w:val="0"/>
    <w:pPr>
      <w:spacing w:line="600" w:lineRule="exact"/>
      <w:ind w:firstLine="200" w:firstLineChars="200"/>
      <w:jc w:val="left"/>
    </w:pPr>
    <w:rPr>
      <w:rFonts w:eastAsia="方正黑体_GBK"/>
      <w:sz w:val="32"/>
      <w:szCs w:val="32"/>
    </w:rPr>
  </w:style>
  <w:style w:type="character" w:customStyle="1" w:styleId="30">
    <w:name w:val="一级标题 Char"/>
    <w:basedOn w:val="19"/>
    <w:link w:val="29"/>
    <w:qFormat/>
    <w:uiPriority w:val="0"/>
    <w:rPr>
      <w:rFonts w:eastAsia="方正黑体_GBK" w:cs="黑体"/>
      <w:kern w:val="2"/>
      <w:sz w:val="32"/>
      <w:szCs w:val="32"/>
    </w:rPr>
  </w:style>
  <w:style w:type="paragraph" w:customStyle="1" w:styleId="31">
    <w:name w:val="函（文）头"/>
    <w:basedOn w:val="32"/>
    <w:link w:val="33"/>
    <w:qFormat/>
    <w:uiPriority w:val="0"/>
    <w:pPr>
      <w:ind w:firstLine="0" w:firstLineChars="0"/>
      <w:jc w:val="center"/>
    </w:pPr>
  </w:style>
  <w:style w:type="paragraph" w:customStyle="1" w:styleId="32">
    <w:name w:val="公文-正文格式"/>
    <w:basedOn w:val="1"/>
    <w:link w:val="34"/>
    <w:qFormat/>
    <w:uiPriority w:val="0"/>
    <w:pPr>
      <w:spacing w:line="600" w:lineRule="exact"/>
      <w:ind w:firstLine="200" w:firstLineChars="200"/>
    </w:pPr>
    <w:rPr>
      <w:rFonts w:eastAsia="方正仿宋_GBK"/>
      <w:sz w:val="32"/>
      <w:szCs w:val="32"/>
    </w:rPr>
  </w:style>
  <w:style w:type="character" w:customStyle="1" w:styleId="33">
    <w:name w:val="函（文）头 Char"/>
    <w:basedOn w:val="34"/>
    <w:link w:val="31"/>
    <w:qFormat/>
    <w:uiPriority w:val="0"/>
    <w:rPr>
      <w:rFonts w:eastAsia="方正仿宋_GBK" w:cs="黑体"/>
      <w:kern w:val="2"/>
      <w:sz w:val="32"/>
      <w:szCs w:val="32"/>
    </w:rPr>
  </w:style>
  <w:style w:type="character" w:customStyle="1" w:styleId="34">
    <w:name w:val="公文-正文格式 Char"/>
    <w:basedOn w:val="19"/>
    <w:link w:val="32"/>
    <w:qFormat/>
    <w:uiPriority w:val="0"/>
    <w:rPr>
      <w:rFonts w:eastAsia="方正仿宋_GBK" w:cs="黑体"/>
      <w:kern w:val="2"/>
      <w:sz w:val="32"/>
      <w:szCs w:val="32"/>
    </w:rPr>
  </w:style>
  <w:style w:type="paragraph" w:customStyle="1" w:styleId="35">
    <w:name w:val="公文-标题"/>
    <w:basedOn w:val="1"/>
    <w:link w:val="36"/>
    <w:qFormat/>
    <w:uiPriority w:val="0"/>
    <w:pPr>
      <w:spacing w:line="600" w:lineRule="exact"/>
      <w:jc w:val="center"/>
    </w:pPr>
    <w:rPr>
      <w:rFonts w:eastAsia="方正小标宋简体"/>
      <w:b/>
      <w:sz w:val="44"/>
      <w:szCs w:val="44"/>
    </w:rPr>
  </w:style>
  <w:style w:type="character" w:customStyle="1" w:styleId="36">
    <w:name w:val="公文-标题 Char"/>
    <w:basedOn w:val="19"/>
    <w:link w:val="35"/>
    <w:qFormat/>
    <w:uiPriority w:val="0"/>
    <w:rPr>
      <w:rFonts w:eastAsia="方正小标宋简体" w:cs="黑体"/>
      <w:b/>
      <w:kern w:val="2"/>
      <w:sz w:val="44"/>
      <w:szCs w:val="44"/>
    </w:rPr>
  </w:style>
  <w:style w:type="paragraph" w:customStyle="1" w:styleId="37">
    <w:name w:val="二级标题"/>
    <w:basedOn w:val="32"/>
    <w:link w:val="39"/>
    <w:qFormat/>
    <w:uiPriority w:val="0"/>
    <w:pPr>
      <w:jc w:val="left"/>
    </w:pPr>
    <w:rPr>
      <w:rFonts w:eastAsia="方正楷体_GBK"/>
    </w:rPr>
  </w:style>
  <w:style w:type="paragraph" w:customStyle="1" w:styleId="38">
    <w:name w:val="列出段落1"/>
    <w:basedOn w:val="1"/>
    <w:qFormat/>
    <w:uiPriority w:val="34"/>
    <w:pPr>
      <w:ind w:firstLine="420" w:firstLineChars="200"/>
    </w:pPr>
  </w:style>
  <w:style w:type="character" w:customStyle="1" w:styleId="39">
    <w:name w:val="二级标题 Char"/>
    <w:basedOn w:val="34"/>
    <w:link w:val="37"/>
    <w:qFormat/>
    <w:uiPriority w:val="0"/>
    <w:rPr>
      <w:rFonts w:eastAsia="方正楷体_GBK" w:cs="黑体"/>
      <w:kern w:val="2"/>
      <w:sz w:val="32"/>
      <w:szCs w:val="32"/>
    </w:rPr>
  </w:style>
  <w:style w:type="paragraph" w:customStyle="1" w:styleId="40">
    <w:name w:val="6行头"/>
    <w:basedOn w:val="1"/>
    <w:link w:val="41"/>
    <w:qFormat/>
    <w:uiPriority w:val="0"/>
    <w:pPr>
      <w:spacing w:line="630" w:lineRule="exact"/>
    </w:pPr>
    <w:rPr>
      <w:rFonts w:eastAsia="方正仿宋_GBK" w:cs="Times New Roman"/>
      <w:sz w:val="32"/>
      <w:szCs w:val="32"/>
    </w:rPr>
  </w:style>
  <w:style w:type="character" w:customStyle="1" w:styleId="41">
    <w:name w:val="6行头 Char"/>
    <w:basedOn w:val="19"/>
    <w:link w:val="40"/>
    <w:qFormat/>
    <w:uiPriority w:val="0"/>
    <w:rPr>
      <w:rFonts w:eastAsia="方正仿宋_GBK"/>
      <w:kern w:val="2"/>
      <w:sz w:val="32"/>
      <w:szCs w:val="32"/>
    </w:rPr>
  </w:style>
  <w:style w:type="paragraph" w:customStyle="1" w:styleId="42">
    <w:name w:val="单倍行距"/>
    <w:basedOn w:val="1"/>
    <w:link w:val="43"/>
    <w:qFormat/>
    <w:uiPriority w:val="0"/>
    <w:pPr>
      <w:spacing w:after="100" w:afterAutospacing="1"/>
      <w:jc w:val="center"/>
    </w:pPr>
    <w:rPr>
      <w:rFonts w:ascii="方正小标宋简体" w:eastAsia="方正小标宋简体" w:cs="Times New Roman"/>
      <w:b/>
      <w:sz w:val="48"/>
      <w:szCs w:val="48"/>
    </w:rPr>
  </w:style>
  <w:style w:type="character" w:customStyle="1" w:styleId="43">
    <w:name w:val="单倍行距 Char"/>
    <w:basedOn w:val="19"/>
    <w:link w:val="42"/>
    <w:qFormat/>
    <w:uiPriority w:val="0"/>
    <w:rPr>
      <w:rFonts w:ascii="方正小标宋简体" w:eastAsia="方正小标宋简体"/>
      <w:b/>
      <w:kern w:val="2"/>
      <w:sz w:val="48"/>
      <w:szCs w:val="48"/>
    </w:rPr>
  </w:style>
  <w:style w:type="paragraph" w:customStyle="1" w:styleId="44">
    <w:name w:val="签发人姓名"/>
    <w:basedOn w:val="32"/>
    <w:link w:val="45"/>
    <w:qFormat/>
    <w:uiPriority w:val="0"/>
    <w:pPr>
      <w:ind w:firstLine="640"/>
    </w:pPr>
    <w:rPr>
      <w:rFonts w:eastAsia="方正楷体_GBK" w:cs="Times New Roman"/>
    </w:rPr>
  </w:style>
  <w:style w:type="character" w:customStyle="1" w:styleId="45">
    <w:name w:val="签发人姓名 Char"/>
    <w:basedOn w:val="34"/>
    <w:link w:val="44"/>
    <w:qFormat/>
    <w:uiPriority w:val="0"/>
    <w:rPr>
      <w:rFonts w:eastAsia="方正楷体_GBK" w:cs="黑体"/>
      <w:kern w:val="2"/>
      <w:sz w:val="32"/>
      <w:szCs w:val="32"/>
    </w:rPr>
  </w:style>
  <w:style w:type="character" w:customStyle="1" w:styleId="46">
    <w:name w:val="标题 3 Char"/>
    <w:link w:val="7"/>
    <w:qFormat/>
    <w:uiPriority w:val="0"/>
    <w:rPr>
      <w:rFonts w:ascii="Times New Roman" w:hAnsi="Times New Roman" w:eastAsia="方正楷体_GBK" w:cstheme="minorBidi"/>
      <w:sz w:val="32"/>
    </w:rPr>
  </w:style>
  <w:style w:type="character" w:customStyle="1" w:styleId="47">
    <w:name w:val="标题 4 Char"/>
    <w:link w:val="8"/>
    <w:qFormat/>
    <w:uiPriority w:val="0"/>
    <w:rPr>
      <w:rFonts w:ascii="Times New Roman" w:hAnsi="Times New Roman" w:eastAsia="方正仿宋_GBK"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756</Words>
  <Characters>4314</Characters>
  <Lines>35</Lines>
  <Paragraphs>10</Paragraphs>
  <TotalTime>0</TotalTime>
  <ScaleCrop>false</ScaleCrop>
  <LinksUpToDate>false</LinksUpToDate>
  <CharactersWithSpaces>5060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2019-09-25T21:30:00Z</dcterms:created>
  <dc:creator>SkyUN.Org</dc:creator>
  <cp:lastModifiedBy>Administrator</cp:lastModifiedBy>
  <cp:lastPrinted>2025-07-28T09:09:00Z</cp:lastPrinted>
  <dcterms:modified xsi:type="dcterms:W3CDTF">2025-08-29T07:13:55Z</dcterms:modified>
  <dc:title>酉阳财农函〔2010〕XX号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38C487F779F443F0A315F38341F4D08E</vt:lpwstr>
  </property>
</Properties>
</file>