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CFD26">
      <w:pPr>
        <w:adjustRightInd w:val="0"/>
        <w:jc w:val="left"/>
        <w:rPr>
          <w:rFonts w:eastAsia="黑体"/>
        </w:rPr>
      </w:pPr>
      <w:bookmarkStart w:id="0" w:name="_Toc74039694"/>
      <w:bookmarkStart w:id="1" w:name="OLE_LINK1"/>
      <w:r>
        <w:rPr>
          <w:rFonts w:eastAsia="黑体"/>
        </w:rPr>
        <w:pict>
          <v:group id="_x0000_s2050" o:spid="_x0000_s2050" o:spt="203" style="position:absolute;left:0pt;margin-left:-14.9pt;margin-top:1pt;height:234.6pt;width:479.25pt;z-index:251659264;mso-width-relative:page;mso-height-relative:page;" coordorigin="1248,2223" coordsize="9585,4692">
            <o:lock v:ext="edit"/>
            <v:shape id="文本框 2" o:spid="_x0000_s2051" o:spt="202" alt="文本框: 酉阳土家族苗族自治县人民政府办公室文件&#10;&#10;" type="#_x0000_t202" style="position:absolute;left:1248;top:2223;height:3555;width:9585;" stroked="t" coordsize="21600,21600">
              <v:path/>
              <v:fill focussize="0,0"/>
              <v:stroke weight="1pt" color="#FFFFFF" dashstyle="dash"/>
              <v:imagedata o:title=""/>
              <o:lock v:ext="edit"/>
              <v:textbox>
                <w:txbxContent>
                  <w:p w14:paraId="2DE56CE9">
                    <w:pPr>
                      <w:snapToGrid w:val="0"/>
                      <w:ind w:firstLine="198"/>
                      <w:jc w:val="center"/>
                      <w:rPr>
                        <w:rFonts w:ascii="方正小标宋_GBK" w:hAnsi="方正小标宋_GBK" w:eastAsia="方正小标宋_GBK" w:cs="方正小标宋_GBK"/>
                        <w:b/>
                        <w:color w:val="000000"/>
                        <w:w w:val="50"/>
                        <w:sz w:val="104"/>
                        <w:szCs w:val="104"/>
                      </w:rPr>
                    </w:pPr>
                  </w:p>
                  <w:p w14:paraId="42572BBA">
                    <w:pPr>
                      <w:snapToGrid w:val="0"/>
                      <w:jc w:val="center"/>
                      <w:rPr>
                        <w:rFonts w:ascii="方正小标宋_GBK" w:hAnsi="方正小标宋_GBK" w:eastAsia="方正小标宋_GBK" w:cs="方正小标宋_GBK"/>
                        <w:b/>
                        <w:color w:val="FF0000"/>
                        <w:spacing w:val="-12"/>
                        <w:w w:val="50"/>
                        <w:sz w:val="101"/>
                        <w:szCs w:val="101"/>
                      </w:rPr>
                    </w:pPr>
                    <w:r>
                      <w:rPr>
                        <w:rFonts w:hint="eastAsia" w:ascii="方正小标宋_GBK" w:hAnsi="方正小标宋_GBK" w:eastAsia="方正小标宋_GBK" w:cs="方正小标宋_GBK"/>
                        <w:b/>
                        <w:color w:val="FF0000"/>
                        <w:spacing w:val="-12"/>
                        <w:w w:val="50"/>
                        <w:sz w:val="101"/>
                        <w:szCs w:val="101"/>
                      </w:rPr>
                      <w:t>酉阳土家族苗族自治县人民政府办公室文件</w:t>
                    </w:r>
                  </w:p>
                  <w:p w14:paraId="682C59AE">
                    <w:pPr>
                      <w:jc w:val="center"/>
                    </w:pPr>
                  </w:p>
                </w:txbxContent>
              </v:textbox>
            </v:shape>
            <v:shape id="自选图形 3" o:spid="_x0000_s2052" o:spt="32" type="#_x0000_t32" style="position:absolute;left:1545;top:6915;height:0;width:9243;" o:connectortype="straight" filled="f" stroked="t" coordsize="21600,21600">
              <v:path arrowok="t"/>
              <v:fill on="f" focussize="0,0"/>
              <v:stroke weight="1.75pt" color="#FF0000"/>
              <v:imagedata o:title=""/>
              <o:lock v:ext="edit"/>
            </v:shape>
          </v:group>
        </w:pict>
      </w:r>
    </w:p>
    <w:p w14:paraId="0FDC569E">
      <w:bookmarkStart w:id="2" w:name="_GoBack"/>
      <w:bookmarkEnd w:id="2"/>
    </w:p>
    <w:p w14:paraId="2E4DBE83">
      <w:pPr>
        <w:pStyle w:val="247"/>
        <w:rPr>
          <w:szCs w:val="32"/>
        </w:rPr>
      </w:pPr>
    </w:p>
    <w:p w14:paraId="219AD9B9">
      <w:pPr>
        <w:pStyle w:val="247"/>
        <w:rPr>
          <w:szCs w:val="32"/>
        </w:rPr>
      </w:pPr>
    </w:p>
    <w:p w14:paraId="192C43AA">
      <w:pPr>
        <w:pStyle w:val="247"/>
        <w:rPr>
          <w:szCs w:val="32"/>
        </w:rPr>
      </w:pPr>
    </w:p>
    <w:p w14:paraId="0BB79B5E"/>
    <w:p w14:paraId="5AE3D71F">
      <w:pPr>
        <w:pStyle w:val="247"/>
      </w:pPr>
    </w:p>
    <w:p w14:paraId="6916DDD6">
      <w:pPr>
        <w:jc w:val="center"/>
        <w:rPr>
          <w:color w:val="000000"/>
          <w:szCs w:val="32"/>
        </w:rPr>
      </w:pPr>
      <w:r>
        <w:rPr>
          <w:color w:val="000000"/>
          <w:szCs w:val="32"/>
        </w:rPr>
        <w:t>酉阳府办发〔2021〕</w:t>
      </w:r>
      <w:r>
        <w:rPr>
          <w:rFonts w:hint="eastAsia"/>
          <w:color w:val="000000"/>
          <w:szCs w:val="32"/>
        </w:rPr>
        <w:t>16</w:t>
      </w:r>
      <w:r>
        <w:rPr>
          <w:color w:val="000000"/>
          <w:szCs w:val="32"/>
        </w:rPr>
        <w:t>号</w:t>
      </w:r>
    </w:p>
    <w:p w14:paraId="459D7373">
      <w:pPr>
        <w:contextualSpacing/>
        <w:jc w:val="center"/>
        <w:rPr>
          <w:rFonts w:eastAsia="方正小标宋_GBK"/>
          <w:bCs/>
          <w:sz w:val="44"/>
          <w:szCs w:val="44"/>
        </w:rPr>
      </w:pPr>
    </w:p>
    <w:p w14:paraId="689B12C4">
      <w:pPr>
        <w:contextualSpacing/>
        <w:jc w:val="center"/>
      </w:pPr>
    </w:p>
    <w:p w14:paraId="12692B9A">
      <w:pPr>
        <w:snapToGrid w:val="0"/>
        <w:jc w:val="center"/>
        <w:rPr>
          <w:rFonts w:eastAsia="方正小标宋_GBK"/>
          <w:color w:val="000000"/>
          <w:sz w:val="44"/>
          <w:szCs w:val="44"/>
        </w:rPr>
      </w:pPr>
      <w:r>
        <w:rPr>
          <w:rFonts w:eastAsia="方正小标宋_GBK"/>
          <w:color w:val="000000"/>
          <w:sz w:val="44"/>
          <w:szCs w:val="44"/>
        </w:rPr>
        <w:t>酉阳土家族苗族自治县人民政府办公室</w:t>
      </w:r>
    </w:p>
    <w:p w14:paraId="66BE6A28">
      <w:pPr>
        <w:snapToGrid w:val="0"/>
        <w:jc w:val="center"/>
        <w:textAlignment w:val="baseline"/>
        <w:rPr>
          <w:rFonts w:eastAsia="方正小标宋_GBK"/>
          <w:bCs/>
          <w:kern w:val="0"/>
          <w:sz w:val="44"/>
          <w:szCs w:val="44"/>
        </w:rPr>
      </w:pPr>
      <w:r>
        <w:rPr>
          <w:rFonts w:eastAsia="方正小标宋_GBK"/>
          <w:bCs/>
          <w:kern w:val="0"/>
          <w:sz w:val="44"/>
          <w:szCs w:val="44"/>
        </w:rPr>
        <w:t>关于</w:t>
      </w:r>
      <w:r>
        <w:rPr>
          <w:rFonts w:hint="eastAsia" w:eastAsia="方正小标宋_GBK"/>
          <w:bCs/>
          <w:kern w:val="0"/>
          <w:sz w:val="44"/>
          <w:szCs w:val="44"/>
        </w:rPr>
        <w:t>印发酉阳自治县商贸服务业“十四五”</w:t>
      </w:r>
    </w:p>
    <w:p w14:paraId="7BDEB77B">
      <w:pPr>
        <w:snapToGrid w:val="0"/>
        <w:jc w:val="center"/>
        <w:textAlignment w:val="baseline"/>
        <w:rPr>
          <w:rFonts w:eastAsia="方正小标宋_GBK"/>
          <w:bCs/>
          <w:kern w:val="0"/>
          <w:szCs w:val="32"/>
        </w:rPr>
      </w:pPr>
      <w:r>
        <w:rPr>
          <w:rFonts w:hint="eastAsia" w:eastAsia="方正小标宋_GBK"/>
          <w:bCs/>
          <w:kern w:val="0"/>
          <w:sz w:val="44"/>
          <w:szCs w:val="44"/>
        </w:rPr>
        <w:t>规划（2021-2025年）</w:t>
      </w:r>
      <w:r>
        <w:rPr>
          <w:rFonts w:eastAsia="方正小标宋_GBK"/>
          <w:bCs/>
          <w:kern w:val="0"/>
          <w:sz w:val="44"/>
          <w:szCs w:val="44"/>
        </w:rPr>
        <w:t>的</w:t>
      </w:r>
      <w:r>
        <w:rPr>
          <w:rFonts w:hint="eastAsia" w:eastAsia="方正小标宋_GBK"/>
          <w:bCs/>
          <w:kern w:val="0"/>
          <w:sz w:val="44"/>
          <w:szCs w:val="44"/>
        </w:rPr>
        <w:t>通知</w:t>
      </w:r>
    </w:p>
    <w:p w14:paraId="567E7F0E">
      <w:pPr>
        <w:rPr>
          <w:rFonts w:eastAsia="仿宋_GB2312"/>
          <w:bCs/>
          <w:szCs w:val="32"/>
        </w:rPr>
      </w:pPr>
      <w:r>
        <w:rPr>
          <w:rFonts w:eastAsia="仿宋_GB2312"/>
          <w:bCs/>
          <w:szCs w:val="32"/>
        </w:rPr>
        <w:t xml:space="preserve"> </w:t>
      </w:r>
    </w:p>
    <w:bookmarkEnd w:id="0"/>
    <w:bookmarkEnd w:id="1"/>
    <w:p w14:paraId="423B40D9">
      <w:pPr>
        <w:spacing w:line="540" w:lineRule="exact"/>
      </w:pPr>
      <w:r>
        <w:t>各乡镇人民政府，各街道办事处，县府各部门，有关单位：</w:t>
      </w:r>
    </w:p>
    <w:p w14:paraId="322F570B">
      <w:pPr>
        <w:spacing w:line="540" w:lineRule="exact"/>
        <w:ind w:firstLine="632" w:firstLineChars="200"/>
        <w:rPr>
          <w:bCs/>
        </w:rPr>
      </w:pPr>
      <w:r>
        <w:t>《</w:t>
      </w:r>
      <w:r>
        <w:rPr>
          <w:rFonts w:hint="eastAsia"/>
          <w:bCs/>
        </w:rPr>
        <w:t>酉阳自治县商贸服务业“十四五”规划（2021-2025年）</w:t>
      </w:r>
      <w:r>
        <w:t>》已经县政府同意，现印发给你们，请认真抓好</w:t>
      </w:r>
      <w:r>
        <w:rPr>
          <w:rFonts w:hint="eastAsia"/>
        </w:rPr>
        <w:t>贯彻落实</w:t>
      </w:r>
      <w:r>
        <w:t>。</w:t>
      </w:r>
    </w:p>
    <w:p w14:paraId="4A44EA79">
      <w:pPr>
        <w:spacing w:line="540" w:lineRule="exact"/>
      </w:pPr>
    </w:p>
    <w:p w14:paraId="3DB2F53A">
      <w:pPr>
        <w:spacing w:line="540" w:lineRule="exact"/>
        <w:rPr>
          <w:color w:val="000000"/>
        </w:rPr>
      </w:pPr>
    </w:p>
    <w:p w14:paraId="3B61F2AF">
      <w:pPr>
        <w:spacing w:line="540" w:lineRule="exact"/>
        <w:rPr>
          <w:color w:val="000000"/>
          <w:szCs w:val="32"/>
        </w:rPr>
      </w:pPr>
      <w:r>
        <w:rPr>
          <w:rFonts w:hint="eastAsia"/>
          <w:color w:val="000000"/>
          <w:szCs w:val="32"/>
        </w:rPr>
        <w:t xml:space="preserve">                  </w:t>
      </w:r>
      <w:r>
        <w:rPr>
          <w:color w:val="000000"/>
          <w:szCs w:val="32"/>
        </w:rPr>
        <w:t>酉阳土家族苗族自治县人民政府办公室</w:t>
      </w:r>
    </w:p>
    <w:p w14:paraId="3826C45C">
      <w:pPr>
        <w:spacing w:line="540" w:lineRule="exact"/>
        <w:rPr>
          <w:color w:val="000000"/>
        </w:rPr>
      </w:pPr>
      <w:r>
        <w:rPr>
          <w:rFonts w:hint="eastAsia"/>
          <w:color w:val="000000"/>
        </w:rPr>
        <w:t xml:space="preserve">                          </w:t>
      </w:r>
      <w:r>
        <w:rPr>
          <w:color w:val="000000"/>
        </w:rPr>
        <w:t>2021年</w:t>
      </w:r>
      <w:r>
        <w:rPr>
          <w:rFonts w:hint="eastAsia"/>
          <w:color w:val="000000"/>
        </w:rPr>
        <w:t>12</w:t>
      </w:r>
      <w:r>
        <w:rPr>
          <w:color w:val="000000"/>
        </w:rPr>
        <w:t>月</w:t>
      </w:r>
      <w:r>
        <w:rPr>
          <w:rFonts w:hint="eastAsia"/>
          <w:color w:val="000000"/>
        </w:rPr>
        <w:t>29</w:t>
      </w:r>
      <w:r>
        <w:rPr>
          <w:color w:val="000000"/>
        </w:rPr>
        <w:t>日</w:t>
      </w:r>
    </w:p>
    <w:p w14:paraId="71BD531E">
      <w:pPr>
        <w:spacing w:line="540" w:lineRule="exact"/>
        <w:ind w:firstLine="632" w:firstLineChars="200"/>
        <w:rPr>
          <w:color w:val="000000"/>
        </w:rPr>
      </w:pPr>
      <w:r>
        <w:rPr>
          <w:color w:val="000000"/>
        </w:rPr>
        <w:t>（此件公开发布）</w:t>
      </w:r>
    </w:p>
    <w:p w14:paraId="75E5D7A2">
      <w:pPr>
        <w:pStyle w:val="247"/>
        <w:spacing w:line="580" w:lineRule="exact"/>
        <w:rPr>
          <w:rFonts w:ascii="Times New Roman" w:hAnsi="宋体" w:eastAsia="方正小标宋_GBK" w:cs="Times New Roman"/>
          <w:bCs/>
          <w:color w:val="auto"/>
          <w:sz w:val="44"/>
          <w:szCs w:val="44"/>
        </w:rPr>
      </w:pPr>
    </w:p>
    <w:p w14:paraId="7608413E"/>
    <w:p w14:paraId="54B4EA1F">
      <w:pPr>
        <w:pStyle w:val="247"/>
        <w:spacing w:line="580" w:lineRule="exact"/>
        <w:jc w:val="center"/>
        <w:rPr>
          <w:rFonts w:ascii="Times New Roman" w:eastAsia="方正小标宋_GBK" w:cs="Times New Roman"/>
          <w:color w:val="auto"/>
          <w:sz w:val="44"/>
          <w:szCs w:val="44"/>
        </w:rPr>
      </w:pPr>
      <w:r>
        <w:rPr>
          <w:rFonts w:ascii="Times New Roman" w:eastAsia="方正小标宋_GBK" w:cs="Times New Roman"/>
          <w:color w:val="auto"/>
          <w:sz w:val="44"/>
          <w:szCs w:val="44"/>
        </w:rPr>
        <w:t>酉阳自治县商贸服务业</w:t>
      </w:r>
      <w:r>
        <w:rPr>
          <w:rFonts w:hint="eastAsia" w:ascii="Times New Roman" w:eastAsia="方正小标宋_GBK" w:cs="Times New Roman"/>
          <w:color w:val="auto"/>
          <w:sz w:val="44"/>
          <w:szCs w:val="44"/>
        </w:rPr>
        <w:t>“</w:t>
      </w:r>
      <w:r>
        <w:rPr>
          <w:rFonts w:ascii="Times New Roman" w:eastAsia="方正小标宋_GBK" w:cs="Times New Roman"/>
          <w:color w:val="auto"/>
          <w:sz w:val="44"/>
          <w:szCs w:val="44"/>
        </w:rPr>
        <w:t>十四五</w:t>
      </w:r>
      <w:r>
        <w:rPr>
          <w:rFonts w:hint="eastAsia" w:ascii="Times New Roman" w:eastAsia="方正小标宋_GBK" w:cs="Times New Roman"/>
          <w:color w:val="auto"/>
          <w:sz w:val="44"/>
          <w:szCs w:val="44"/>
        </w:rPr>
        <w:t>”</w:t>
      </w:r>
      <w:r>
        <w:rPr>
          <w:rFonts w:ascii="Times New Roman" w:eastAsia="方正小标宋_GBK" w:cs="Times New Roman"/>
          <w:color w:val="auto"/>
          <w:sz w:val="44"/>
          <w:szCs w:val="44"/>
        </w:rPr>
        <w:t>规划（2021-2025年）</w:t>
      </w:r>
    </w:p>
    <w:p w14:paraId="6BFE8327">
      <w:pPr>
        <w:autoSpaceDE w:val="0"/>
        <w:adjustRightInd w:val="0"/>
        <w:snapToGrid w:val="0"/>
        <w:spacing w:line="580" w:lineRule="exact"/>
        <w:ind w:firstLine="632" w:firstLineChars="200"/>
        <w:jc w:val="left"/>
        <w:rPr>
          <w:rFonts w:eastAsia="方正黑体_GBK"/>
          <w:szCs w:val="32"/>
        </w:rPr>
      </w:pPr>
    </w:p>
    <w:p w14:paraId="361FC142">
      <w:pPr>
        <w:autoSpaceDE w:val="0"/>
        <w:spacing w:line="560" w:lineRule="exact"/>
        <w:ind w:firstLine="632" w:firstLineChars="200"/>
        <w:rPr>
          <w:rFonts w:eastAsia="方正黑体_GBK"/>
          <w:szCs w:val="32"/>
        </w:rPr>
      </w:pPr>
      <w:r>
        <w:rPr>
          <w:rFonts w:eastAsia="方正黑体_GBK"/>
          <w:szCs w:val="32"/>
        </w:rPr>
        <w:t>一、规划总则</w:t>
      </w:r>
    </w:p>
    <w:p w14:paraId="2A9C798B">
      <w:pPr>
        <w:autoSpaceDE w:val="0"/>
        <w:spacing w:line="560" w:lineRule="exact"/>
        <w:ind w:firstLine="632" w:firstLineChars="200"/>
        <w:rPr>
          <w:rFonts w:eastAsia="方正楷体_GBK"/>
          <w:szCs w:val="32"/>
        </w:rPr>
      </w:pPr>
      <w:r>
        <w:rPr>
          <w:rFonts w:eastAsia="方正楷体_GBK"/>
          <w:szCs w:val="32"/>
        </w:rPr>
        <w:t>（一）规划背景。</w:t>
      </w:r>
    </w:p>
    <w:p w14:paraId="01F6C0AF">
      <w:pPr>
        <w:autoSpaceDE w:val="0"/>
        <w:spacing w:line="560" w:lineRule="exact"/>
        <w:ind w:firstLine="632" w:firstLineChars="200"/>
        <w:rPr>
          <w:szCs w:val="32"/>
        </w:rPr>
      </w:pPr>
      <w:r>
        <w:rPr>
          <w:rFonts w:hint="eastAsia"/>
          <w:szCs w:val="32"/>
        </w:rPr>
        <w:t>“</w:t>
      </w:r>
      <w:r>
        <w:rPr>
          <w:szCs w:val="32"/>
        </w:rPr>
        <w:t>十四五</w:t>
      </w:r>
      <w:r>
        <w:rPr>
          <w:rFonts w:hint="eastAsia"/>
          <w:szCs w:val="32"/>
        </w:rPr>
        <w:t>”</w:t>
      </w:r>
      <w:r>
        <w:rPr>
          <w:szCs w:val="32"/>
        </w:rPr>
        <w:t>时期是我国全面建成小康社会、实现第一个百年奋斗目标之后，乘势而上开启全面建设社会主义现代化国家新征程、向第二个百年奋斗目标进军的开局五年。商贸服务业是支撑国民经济发展的基础性、战略性、先导性产业，是反映一个城市经济发展和社会繁荣的窗口。推动我县商贸服务业高质量发展，是畅通国内大循环、国内国际双循环的大势所趋，是完善县域经济高质量发展的基本功能，是发展山地农业、山地旅游业的重要支撑，是与群众生产生活息息相关的民生工程，对巩固提升市场发展优势，缓解资源要素和生态环境制约，优化产业结构，促进社会事业全面发展起着至关重要的作用。文化、旅游和体育的发展更要着长远、把握大势，实现与现代商贸服务业的深度融合，奋力谱写高质量发展新篇章。</w:t>
      </w:r>
    </w:p>
    <w:p w14:paraId="55E16FDA">
      <w:pPr>
        <w:autoSpaceDE w:val="0"/>
        <w:spacing w:line="560" w:lineRule="exact"/>
        <w:ind w:firstLine="632" w:firstLineChars="200"/>
        <w:rPr>
          <w:szCs w:val="32"/>
        </w:rPr>
      </w:pPr>
      <w:r>
        <w:rPr>
          <w:szCs w:val="32"/>
        </w:rPr>
        <w:t>为推动全县</w:t>
      </w:r>
      <w:r>
        <w:rPr>
          <w:rFonts w:hint="eastAsia"/>
          <w:szCs w:val="32"/>
        </w:rPr>
        <w:t>“</w:t>
      </w:r>
      <w:r>
        <w:rPr>
          <w:szCs w:val="32"/>
        </w:rPr>
        <w:t>1234</w:t>
      </w:r>
      <w:r>
        <w:rPr>
          <w:rFonts w:hint="eastAsia"/>
          <w:szCs w:val="32"/>
        </w:rPr>
        <w:t>”</w:t>
      </w:r>
      <w:r>
        <w:rPr>
          <w:szCs w:val="32"/>
        </w:rPr>
        <w:t>战略目标的实现，适应酉阳县经济发展新形势，进一步加快酉阳现代商贸服务业发展，推动传统商贸服务业转型升级，促进商贸服务业发展规划的有效管理，使之与重庆对酉阳的发展定位及酉阳自身特征禀赋相适应，根据《酉阳县国民经济和社会发展第十四个五年规划纲要》《酉阳县国土空间规划纲要》，制订《酉阳土家族苗族自治县商贸服务业</w:t>
      </w:r>
      <w:r>
        <w:rPr>
          <w:rFonts w:hint="eastAsia"/>
          <w:szCs w:val="32"/>
        </w:rPr>
        <w:t>“</w:t>
      </w:r>
      <w:r>
        <w:rPr>
          <w:szCs w:val="32"/>
        </w:rPr>
        <w:t>十四五</w:t>
      </w:r>
      <w:r>
        <w:rPr>
          <w:rFonts w:hint="eastAsia"/>
          <w:szCs w:val="32"/>
        </w:rPr>
        <w:t>”</w:t>
      </w:r>
      <w:r>
        <w:rPr>
          <w:szCs w:val="32"/>
        </w:rPr>
        <w:t>规划》，以指导全县商贸服务业实现高质量发展。</w:t>
      </w:r>
    </w:p>
    <w:p w14:paraId="3AE8756E">
      <w:pPr>
        <w:autoSpaceDE w:val="0"/>
        <w:spacing w:line="560" w:lineRule="exact"/>
        <w:ind w:firstLine="632" w:firstLineChars="200"/>
        <w:rPr>
          <w:rFonts w:eastAsia="方正楷体_GBK"/>
          <w:szCs w:val="32"/>
        </w:rPr>
      </w:pPr>
      <w:r>
        <w:rPr>
          <w:rFonts w:eastAsia="方正楷体_GBK"/>
          <w:szCs w:val="32"/>
        </w:rPr>
        <w:t>（二）规划原则。</w:t>
      </w:r>
    </w:p>
    <w:p w14:paraId="29D66BD5">
      <w:pPr>
        <w:autoSpaceDE w:val="0"/>
        <w:spacing w:line="560" w:lineRule="exact"/>
        <w:ind w:firstLine="632" w:firstLineChars="200"/>
        <w:rPr>
          <w:szCs w:val="32"/>
        </w:rPr>
      </w:pPr>
      <w:r>
        <w:rPr>
          <w:szCs w:val="32"/>
        </w:rPr>
        <w:t>前瞻谋划，适度超前。充分考虑我县总体规划和政策环境因素的特点，坚持以发展为主线，充分考虑高铁开通以及新一轮技术和产业革命对商贸业发展的影响，以国际化视野和市场化理念为前提，借鉴国内外商贸业发展先进经验，打造具有前瞻性和可持续发展的现代商贸服务业。</w:t>
      </w:r>
    </w:p>
    <w:p w14:paraId="0BDD1319">
      <w:pPr>
        <w:autoSpaceDE w:val="0"/>
        <w:spacing w:line="560" w:lineRule="exact"/>
        <w:ind w:firstLine="632" w:firstLineChars="200"/>
        <w:rPr>
          <w:szCs w:val="32"/>
        </w:rPr>
      </w:pPr>
      <w:r>
        <w:rPr>
          <w:szCs w:val="32"/>
        </w:rPr>
        <w:t>调整结构，优化布局。随着公路、铁路等交通条件变化，城乡一体化进程日益加快，现代商贸服务业规划必须坚持统筹城乡，及时调整商业网点的业态结构和规模结构，优化商业网点特别是大中型商业网点的布局。</w:t>
      </w:r>
    </w:p>
    <w:p w14:paraId="1A019D06">
      <w:pPr>
        <w:autoSpaceDE w:val="0"/>
        <w:spacing w:line="560" w:lineRule="exact"/>
        <w:ind w:firstLine="632" w:firstLineChars="200"/>
        <w:rPr>
          <w:szCs w:val="32"/>
        </w:rPr>
      </w:pPr>
      <w:r>
        <w:rPr>
          <w:szCs w:val="32"/>
        </w:rPr>
        <w:t>突出重点，兼顾一般。酉阳县商贸服务业</w:t>
      </w:r>
      <w:r>
        <w:rPr>
          <w:rFonts w:hint="eastAsia"/>
          <w:szCs w:val="32"/>
        </w:rPr>
        <w:t>“</w:t>
      </w:r>
      <w:r>
        <w:rPr>
          <w:szCs w:val="32"/>
        </w:rPr>
        <w:t>十四五</w:t>
      </w:r>
      <w:r>
        <w:rPr>
          <w:rFonts w:hint="eastAsia"/>
          <w:szCs w:val="32"/>
        </w:rPr>
        <w:t>”</w:t>
      </w:r>
      <w:r>
        <w:rPr>
          <w:szCs w:val="32"/>
        </w:rPr>
        <w:t>规划，必须根据县域经济发展的特点，适应产业发展和自身禀赋特征的基本要求，重点做好核心商业中心、片区商圈、特色商业街、专业市场、物流基地等大中型商业网点的规划建设，同时做好乡镇商业网点的规划建设，打造商贸流通服务亮点。</w:t>
      </w:r>
    </w:p>
    <w:p w14:paraId="0146F010">
      <w:pPr>
        <w:autoSpaceDE w:val="0"/>
        <w:spacing w:line="560" w:lineRule="exact"/>
        <w:ind w:firstLine="632" w:firstLineChars="200"/>
        <w:rPr>
          <w:szCs w:val="32"/>
        </w:rPr>
      </w:pPr>
      <w:r>
        <w:rPr>
          <w:szCs w:val="32"/>
        </w:rPr>
        <w:t>整体协同，相得益彰。商贸服务业规划是县域总体规划的重要组成部分，属于总体规划中的专项规划，必须在《酉阳县国民经济和社会发展第十四个五年规划纲要》的基础上，遵循现代商贸服务业发展的内在规律，合理确定商贸服务业发展规模、结构和布局，以更好地促进酉阳经济的发展。</w:t>
      </w:r>
    </w:p>
    <w:p w14:paraId="35FE2334">
      <w:pPr>
        <w:autoSpaceDE w:val="0"/>
        <w:spacing w:line="560" w:lineRule="exact"/>
        <w:ind w:firstLine="632" w:firstLineChars="200"/>
        <w:rPr>
          <w:szCs w:val="32"/>
        </w:rPr>
      </w:pPr>
      <w:r>
        <w:rPr>
          <w:rFonts w:eastAsia="方正楷体_GBK"/>
          <w:szCs w:val="32"/>
        </w:rPr>
        <w:t>（三）规划范围。</w:t>
      </w:r>
      <w:r>
        <w:rPr>
          <w:szCs w:val="32"/>
        </w:rPr>
        <w:t>酉阳土家族苗族自治县所辖2个街道、19个镇、18个乡全部行政范围。</w:t>
      </w:r>
    </w:p>
    <w:p w14:paraId="27F2EF25">
      <w:pPr>
        <w:autoSpaceDE w:val="0"/>
        <w:spacing w:line="560" w:lineRule="exact"/>
        <w:ind w:firstLine="632" w:firstLineChars="200"/>
        <w:rPr>
          <w:szCs w:val="32"/>
        </w:rPr>
      </w:pPr>
      <w:r>
        <w:rPr>
          <w:rFonts w:eastAsia="方正楷体_GBK"/>
          <w:szCs w:val="32"/>
        </w:rPr>
        <w:t>（四）规划重点。</w:t>
      </w:r>
      <w:r>
        <w:rPr>
          <w:szCs w:val="32"/>
        </w:rPr>
        <w:t>本规划重点为商贸业态体系、消费平台、生活性服务业、专业市场、特色农家乐、会展经济、电商生态圈、现代物流体系、商超物流体系、开放合作、应急保供体系十一大类别。</w:t>
      </w:r>
    </w:p>
    <w:p w14:paraId="0F633BB1">
      <w:pPr>
        <w:autoSpaceDE w:val="0"/>
        <w:spacing w:line="560" w:lineRule="exact"/>
        <w:ind w:firstLine="632" w:firstLineChars="200"/>
        <w:rPr>
          <w:szCs w:val="32"/>
        </w:rPr>
      </w:pPr>
      <w:r>
        <w:rPr>
          <w:rFonts w:eastAsia="方正楷体_GBK"/>
          <w:szCs w:val="32"/>
        </w:rPr>
        <w:t>（五）规划期限。</w:t>
      </w:r>
      <w:r>
        <w:rPr>
          <w:szCs w:val="32"/>
        </w:rPr>
        <w:t>规划期限为2021-2035年，其中近期规划为2021-2025年，远期规划为2026-2035年。</w:t>
      </w:r>
    </w:p>
    <w:p w14:paraId="007B1921">
      <w:pPr>
        <w:autoSpaceDE w:val="0"/>
        <w:spacing w:line="560" w:lineRule="exact"/>
        <w:ind w:firstLine="632" w:firstLineChars="200"/>
        <w:rPr>
          <w:szCs w:val="32"/>
        </w:rPr>
      </w:pPr>
      <w:r>
        <w:rPr>
          <w:rFonts w:eastAsia="方正楷体_GBK"/>
          <w:szCs w:val="32"/>
        </w:rPr>
        <w:t>（六）规划依据。</w:t>
      </w:r>
      <w:r>
        <w:rPr>
          <w:szCs w:val="32"/>
        </w:rPr>
        <w:t>《中共中央关于制定国民经济和社会发展第十四个五年规划和二〇三五年远景目标的建议》《重庆市现代商贸服务业发展</w:t>
      </w:r>
      <w:r>
        <w:rPr>
          <w:rFonts w:hint="eastAsia"/>
          <w:szCs w:val="32"/>
        </w:rPr>
        <w:t>“</w:t>
      </w:r>
      <w:r>
        <w:rPr>
          <w:szCs w:val="32"/>
        </w:rPr>
        <w:t>十四五</w:t>
      </w:r>
      <w:r>
        <w:rPr>
          <w:rFonts w:hint="eastAsia"/>
          <w:szCs w:val="32"/>
        </w:rPr>
        <w:t>”</w:t>
      </w:r>
      <w:r>
        <w:rPr>
          <w:szCs w:val="32"/>
        </w:rPr>
        <w:t>规划》《重庆市商务发展</w:t>
      </w:r>
      <w:r>
        <w:rPr>
          <w:rFonts w:hint="eastAsia"/>
          <w:szCs w:val="32"/>
        </w:rPr>
        <w:t>“</w:t>
      </w:r>
      <w:r>
        <w:rPr>
          <w:szCs w:val="32"/>
        </w:rPr>
        <w:t>十四五</w:t>
      </w:r>
      <w:r>
        <w:rPr>
          <w:rFonts w:hint="eastAsia"/>
          <w:szCs w:val="32"/>
        </w:rPr>
        <w:t>”</w:t>
      </w:r>
      <w:r>
        <w:rPr>
          <w:szCs w:val="32"/>
        </w:rPr>
        <w:t>规划》《成渝地区双城经济圈建设规划纲要》《酉阳土家族苗族自治县国民经济和社会发展第十四个五年规划和二〇三五年远景目标纲要》《酉阳县国土空间规划纲要》，国家其它现行相关法律法规、技术规范、行业标准与政策性文件等。</w:t>
      </w:r>
    </w:p>
    <w:p w14:paraId="0E50CE6F">
      <w:pPr>
        <w:autoSpaceDE w:val="0"/>
        <w:spacing w:line="560" w:lineRule="exact"/>
        <w:ind w:firstLine="632" w:firstLineChars="200"/>
        <w:rPr>
          <w:rFonts w:eastAsia="方正黑体_GBK"/>
          <w:szCs w:val="32"/>
        </w:rPr>
      </w:pPr>
      <w:r>
        <w:rPr>
          <w:rFonts w:eastAsia="方正黑体_GBK"/>
          <w:szCs w:val="32"/>
        </w:rPr>
        <w:t>二、发展基础</w:t>
      </w:r>
    </w:p>
    <w:p w14:paraId="3095C90A">
      <w:pPr>
        <w:autoSpaceDE w:val="0"/>
        <w:spacing w:line="560" w:lineRule="exact"/>
        <w:ind w:firstLine="632" w:firstLineChars="200"/>
        <w:rPr>
          <w:szCs w:val="32"/>
        </w:rPr>
      </w:pPr>
      <w:r>
        <w:rPr>
          <w:rFonts w:eastAsia="方正楷体_GBK"/>
          <w:szCs w:val="32"/>
        </w:rPr>
        <w:t>（一）商贸服务业发展迅速。</w:t>
      </w:r>
      <w:r>
        <w:rPr>
          <w:szCs w:val="32"/>
        </w:rPr>
        <w:t>尽管受到中美经贸摩擦等单边主义、贸易保护主义等全球化逆流影响，2020年我县商贸经济总体依然保持平稳增长的运行态势，社会消费品零售总额达到83.9亿元，是2015年的1.8倍，年均增长12.8%。截至2020年底，全县限额以上（规模以上）商贸企业突破100家，实现进出口总额3.7亿美元，是2015年的1.3倍。</w:t>
      </w:r>
    </w:p>
    <w:p w14:paraId="2ED73320">
      <w:pPr>
        <w:autoSpaceDE w:val="0"/>
        <w:spacing w:line="560" w:lineRule="exact"/>
        <w:ind w:firstLine="632" w:firstLineChars="200"/>
        <w:rPr>
          <w:szCs w:val="32"/>
        </w:rPr>
      </w:pPr>
      <w:r>
        <w:rPr>
          <w:rFonts w:eastAsia="方正楷体_GBK"/>
          <w:szCs w:val="32"/>
        </w:rPr>
        <w:t>（二）物流体系初步形成。</w:t>
      </w:r>
      <w:r>
        <w:rPr>
          <w:szCs w:val="32"/>
        </w:rPr>
        <w:t>近年来，我县以深化供给侧结构性改革为主线，着力打通全链条，畅通微循环，推动物流体系有效布局。依托渝怀铁路建成麻旺渝东南现代物流园，依托渝湘高速、酉沿高速建成板溪综合物流市场（一期），投用面积达103亩，建成县级物流配送中心1个，投用自动快递分拣线1条，累计服务乡镇达30多个，二期正加快建设。39个乡镇电商服务中心与邮政、</w:t>
      </w:r>
      <w:r>
        <w:rPr>
          <w:rFonts w:hint="eastAsia"/>
          <w:szCs w:val="32"/>
        </w:rPr>
        <w:t>“</w:t>
      </w:r>
      <w:r>
        <w:rPr>
          <w:szCs w:val="32"/>
        </w:rPr>
        <w:t>三通一达</w:t>
      </w:r>
      <w:r>
        <w:rPr>
          <w:rFonts w:hint="eastAsia"/>
          <w:szCs w:val="32"/>
        </w:rPr>
        <w:t>”</w:t>
      </w:r>
      <w:r>
        <w:rPr>
          <w:szCs w:val="32"/>
        </w:rPr>
        <w:t>等快递公司建成乡镇物流网点，全县快递首重由20元降至2.5—3元，下行实现全免费。</w:t>
      </w:r>
    </w:p>
    <w:p w14:paraId="3FD06ED0">
      <w:pPr>
        <w:autoSpaceDE w:val="0"/>
        <w:spacing w:line="560" w:lineRule="exact"/>
        <w:ind w:firstLine="632" w:firstLineChars="200"/>
        <w:rPr>
          <w:szCs w:val="32"/>
        </w:rPr>
      </w:pPr>
      <w:r>
        <w:rPr>
          <w:rFonts w:eastAsia="方正楷体_GBK"/>
          <w:szCs w:val="32"/>
        </w:rPr>
        <w:t>（三）智慧商圈有序推进。</w:t>
      </w:r>
      <w:r>
        <w:rPr>
          <w:szCs w:val="32"/>
        </w:rPr>
        <w:t>加快碧津广场智慧商圈建设，永辉超市、金圣达、新兴商业公司线上线下业务同步拓展，农产品展销中心、汇升广场、华章财富、龙湾国际等商业综合体分别朝着商旅联动、消费体验、电商孵化和特色餐饮的方向加快功能拓展，满足多层次多样化的消费需求。</w:t>
      </w:r>
    </w:p>
    <w:p w14:paraId="4C8D0FFC">
      <w:pPr>
        <w:autoSpaceDE w:val="0"/>
        <w:spacing w:line="560" w:lineRule="exact"/>
        <w:ind w:firstLine="632" w:firstLineChars="200"/>
        <w:rPr>
          <w:szCs w:val="32"/>
        </w:rPr>
      </w:pPr>
      <w:r>
        <w:rPr>
          <w:rFonts w:eastAsia="方正楷体_GBK"/>
          <w:szCs w:val="32"/>
        </w:rPr>
        <w:t>（四）特色商街提档升级。</w:t>
      </w:r>
      <w:r>
        <w:rPr>
          <w:spacing w:val="-8"/>
          <w:szCs w:val="32"/>
        </w:rPr>
        <w:t>酉州古城、酉水河风情街、龚滩土家风情文化街3条商业特色街建成投用，商业零售面积增加到60万平方米。在市级扶持政策的推动下，成功打造酉州古城中华美食街。2017年底，龚滩土家风情文化商业特色街创建成功，获得市级授牌。</w:t>
      </w:r>
    </w:p>
    <w:p w14:paraId="4953E680">
      <w:pPr>
        <w:autoSpaceDE w:val="0"/>
        <w:spacing w:line="560" w:lineRule="exact"/>
        <w:ind w:firstLine="632" w:firstLineChars="200"/>
        <w:rPr>
          <w:szCs w:val="32"/>
        </w:rPr>
      </w:pPr>
      <w:r>
        <w:rPr>
          <w:rFonts w:eastAsia="方正楷体_GBK"/>
          <w:szCs w:val="32"/>
        </w:rPr>
        <w:t>（五）电子商务发展迅速。</w:t>
      </w:r>
      <w:r>
        <w:rPr>
          <w:szCs w:val="32"/>
        </w:rPr>
        <w:t>2020年，全社会电子商务交易额达到60.5亿元，同比增长15.6%。共培育网货基地30个、电子商务经营主体1931家，同比增长22.6%；网络店铺14325家，同比增长16.5%；全县农产品上行交易额达1000万元以上的企业有5家、500万元10家、100万元20家，实现消费扶贫向产业扶贫转移。酉阳</w:t>
      </w:r>
      <w:r>
        <w:rPr>
          <w:rFonts w:hint="eastAsia"/>
          <w:szCs w:val="32"/>
        </w:rPr>
        <w:t>“</w:t>
      </w:r>
      <w:r>
        <w:rPr>
          <w:szCs w:val="32"/>
        </w:rPr>
        <w:t>山货</w:t>
      </w:r>
      <w:r>
        <w:rPr>
          <w:rFonts w:hint="eastAsia"/>
          <w:szCs w:val="32"/>
        </w:rPr>
        <w:t>”“</w:t>
      </w:r>
      <w:r>
        <w:rPr>
          <w:szCs w:val="32"/>
        </w:rPr>
        <w:t>土货</w:t>
      </w:r>
      <w:r>
        <w:rPr>
          <w:rFonts w:hint="eastAsia"/>
          <w:szCs w:val="32"/>
        </w:rPr>
        <w:t>”</w:t>
      </w:r>
      <w:r>
        <w:rPr>
          <w:szCs w:val="32"/>
        </w:rPr>
        <w:t>不断走出大山，大大激发农户发展农村产业的内生动力，网红达人、直播、抖音等电商新业态助力农产品电商，拓宽农特产品网销渠道。开展线下展会互动，</w:t>
      </w:r>
      <w:r>
        <w:rPr>
          <w:rFonts w:hint="eastAsia"/>
          <w:szCs w:val="32"/>
        </w:rPr>
        <w:t>助力</w:t>
      </w:r>
      <w:r>
        <w:rPr>
          <w:szCs w:val="32"/>
        </w:rPr>
        <w:t>电商消费扶贫，助推农产品变商品。</w:t>
      </w:r>
    </w:p>
    <w:p w14:paraId="758799AC">
      <w:pPr>
        <w:autoSpaceDE w:val="0"/>
        <w:spacing w:line="580" w:lineRule="exact"/>
        <w:ind w:firstLine="632" w:firstLineChars="200"/>
        <w:rPr>
          <w:rFonts w:eastAsia="方正黑体_GBK"/>
          <w:szCs w:val="32"/>
        </w:rPr>
      </w:pPr>
      <w:r>
        <w:rPr>
          <w:rFonts w:eastAsia="方正黑体_GBK"/>
          <w:szCs w:val="32"/>
        </w:rPr>
        <w:t>三、面临形势</w:t>
      </w:r>
    </w:p>
    <w:p w14:paraId="5032C54D">
      <w:pPr>
        <w:autoSpaceDE w:val="0"/>
        <w:spacing w:line="580" w:lineRule="exact"/>
        <w:ind w:firstLine="632" w:firstLineChars="200"/>
        <w:rPr>
          <w:rFonts w:eastAsia="方正楷体_GBK"/>
          <w:szCs w:val="32"/>
        </w:rPr>
      </w:pPr>
      <w:r>
        <w:rPr>
          <w:rFonts w:eastAsia="方正楷体_GBK"/>
          <w:szCs w:val="32"/>
        </w:rPr>
        <w:t>（一）发展机遇。</w:t>
      </w:r>
    </w:p>
    <w:p w14:paraId="2F3921A1">
      <w:pPr>
        <w:autoSpaceDE w:val="0"/>
        <w:spacing w:line="580" w:lineRule="exact"/>
        <w:ind w:firstLine="632" w:firstLineChars="200"/>
        <w:rPr>
          <w:szCs w:val="32"/>
        </w:rPr>
      </w:pPr>
      <w:r>
        <w:rPr>
          <w:szCs w:val="32"/>
        </w:rPr>
        <w:t>1.国家和重庆市政策利好。我国发展仍处于重要战略机遇期，党中央作出以国内大循环为主体、国内国际双循环相互促进的新发展格局的重大决策，共建</w:t>
      </w:r>
      <w:r>
        <w:rPr>
          <w:rFonts w:hint="eastAsia"/>
          <w:szCs w:val="32"/>
        </w:rPr>
        <w:t>“</w:t>
      </w:r>
      <w:r>
        <w:rPr>
          <w:szCs w:val="32"/>
        </w:rPr>
        <w:t>一带一路</w:t>
      </w:r>
      <w:r>
        <w:rPr>
          <w:rFonts w:hint="eastAsia"/>
          <w:szCs w:val="32"/>
        </w:rPr>
        <w:t>”</w:t>
      </w:r>
      <w:r>
        <w:rPr>
          <w:szCs w:val="32"/>
        </w:rPr>
        <w:t>、长江经济带发展、西部大开发等重大战略深入实施，重庆作为西部唯一直辖市，区位优势、产业优势、生态优势、体制优势十分明显，为我县接续发展、再攀新高创造了更为有利条件；成渝地区双城经济圈建设加快推进，带来诸多政策利好、投资利好、项目利好，极大提振市场预期、社会预期；新一轮科技革命和产业变革深入发展，有利于酉阳推动经济体系提质增效、数字经济与实体经济深度融合；全市</w:t>
      </w:r>
      <w:r>
        <w:rPr>
          <w:rFonts w:hint="eastAsia"/>
          <w:szCs w:val="32"/>
        </w:rPr>
        <w:t>“</w:t>
      </w:r>
      <w:r>
        <w:rPr>
          <w:szCs w:val="32"/>
        </w:rPr>
        <w:t>一区两群</w:t>
      </w:r>
      <w:r>
        <w:rPr>
          <w:rFonts w:hint="eastAsia"/>
          <w:szCs w:val="32"/>
        </w:rPr>
        <w:t>”</w:t>
      </w:r>
      <w:r>
        <w:rPr>
          <w:szCs w:val="32"/>
        </w:rPr>
        <w:t>协调发展深入推进，我县作为渝东南武陵山区核心城镇的功能将更加彰显，有利于实现差异发展、特色发展。</w:t>
      </w:r>
    </w:p>
    <w:p w14:paraId="27C0345A">
      <w:pPr>
        <w:autoSpaceDE w:val="0"/>
        <w:spacing w:line="580" w:lineRule="exact"/>
        <w:ind w:firstLine="632" w:firstLineChars="200"/>
        <w:rPr>
          <w:szCs w:val="32"/>
        </w:rPr>
      </w:pPr>
      <w:r>
        <w:rPr>
          <w:szCs w:val="32"/>
        </w:rPr>
        <w:t>2.重庆市对酉阳支持帮扶。重庆市对酉阳发展提出新定位，市上领导联系酉阳，江北区、市级相关部门对口帮扶酉阳，助推酉阳高质量发展，为酉阳带来政策帮扶、资金帮扶、引进帮扶、协调帮扶，越来越多的力量参与到酉阳发展中来，这些为酉阳商贸服务业</w:t>
      </w:r>
      <w:r>
        <w:rPr>
          <w:rFonts w:hint="eastAsia"/>
          <w:szCs w:val="32"/>
        </w:rPr>
        <w:t>“</w:t>
      </w:r>
      <w:r>
        <w:rPr>
          <w:szCs w:val="32"/>
        </w:rPr>
        <w:t>十四五</w:t>
      </w:r>
      <w:r>
        <w:rPr>
          <w:rFonts w:hint="eastAsia"/>
          <w:szCs w:val="32"/>
        </w:rPr>
        <w:t>”</w:t>
      </w:r>
      <w:r>
        <w:rPr>
          <w:szCs w:val="32"/>
        </w:rPr>
        <w:t>带来重大发展机遇。</w:t>
      </w:r>
    </w:p>
    <w:p w14:paraId="7AF79394">
      <w:pPr>
        <w:autoSpaceDE w:val="0"/>
        <w:spacing w:line="580" w:lineRule="exact"/>
        <w:ind w:firstLine="632" w:firstLineChars="200"/>
        <w:rPr>
          <w:szCs w:val="32"/>
        </w:rPr>
      </w:pPr>
      <w:r>
        <w:rPr>
          <w:szCs w:val="32"/>
        </w:rPr>
        <w:t>3.独特资源优势促进投资。我县具有独特的旅游资源和人文资源，随着我市内陆开放高地建设不断推进、成渝地区双城经济圈加快建设、西部陆海新通道联通效率不断提升，必将吸引更多区域外投资者进入我县现代商贸服务业。</w:t>
      </w:r>
    </w:p>
    <w:p w14:paraId="0C702AF8">
      <w:pPr>
        <w:autoSpaceDE w:val="0"/>
        <w:spacing w:line="580" w:lineRule="exact"/>
        <w:ind w:firstLine="632" w:firstLineChars="200"/>
        <w:rPr>
          <w:szCs w:val="32"/>
        </w:rPr>
      </w:pPr>
      <w:r>
        <w:rPr>
          <w:szCs w:val="32"/>
        </w:rPr>
        <w:t>4.技术催生新业态新模式。随着大数据、人工智能、5G等新技术发展，尤其是疫情后，智能制造、无人配送、在线消费等新产业新业态新模式层出不穷，有利于我县利用先进技术改造传统商贸服务业，提升商贸服务业效率，促进商贸服务业发展。</w:t>
      </w:r>
    </w:p>
    <w:p w14:paraId="70C0D333">
      <w:pPr>
        <w:autoSpaceDE w:val="0"/>
        <w:spacing w:line="580" w:lineRule="exact"/>
        <w:ind w:firstLine="632" w:firstLineChars="200"/>
        <w:rPr>
          <w:szCs w:val="32"/>
        </w:rPr>
      </w:pPr>
      <w:r>
        <w:rPr>
          <w:szCs w:val="32"/>
        </w:rPr>
        <w:t>5.电子商务提升产销效率。电子商务已从部分行业的经济现象扩展到全行业电商化，电子商务成为我国所有行业中发展最快的行业，随着云计算、互联网、物联网技术不断升级应用，其将彻底改变商贸流通业的传统格局，借助大数据、云计算的电子商务发展，可更好地促进我县产品对外销售，使网货进出更加均衡；更好地促进我县产销衔接，降低我县物流仓储空置率。</w:t>
      </w:r>
    </w:p>
    <w:p w14:paraId="5573B5D5">
      <w:pPr>
        <w:autoSpaceDE w:val="0"/>
        <w:spacing w:line="580" w:lineRule="exact"/>
        <w:ind w:firstLine="632" w:firstLineChars="200"/>
        <w:rPr>
          <w:szCs w:val="32"/>
        </w:rPr>
      </w:pPr>
      <w:r>
        <w:rPr>
          <w:szCs w:val="32"/>
        </w:rPr>
        <w:t>6.冷链物流市场不断完善。在我国生鲜消费需求逐年增长、中国消费者对食品的质量和安全的要求越来越高的大背景下，未来中国冷链物流技术将不断完善、冷链物流市场发展将不断提速。这将有利于我县农产品更好地走出去，有利于我县建设农产品城市配送中心和大宗物资交易中心。</w:t>
      </w:r>
    </w:p>
    <w:p w14:paraId="2A266536">
      <w:pPr>
        <w:autoSpaceDE w:val="0"/>
        <w:adjustRightInd w:val="0"/>
        <w:snapToGrid w:val="0"/>
        <w:spacing w:line="570" w:lineRule="exact"/>
        <w:ind w:firstLine="632" w:firstLineChars="200"/>
        <w:rPr>
          <w:szCs w:val="32"/>
        </w:rPr>
      </w:pPr>
      <w:r>
        <w:rPr>
          <w:szCs w:val="32"/>
        </w:rPr>
        <w:t>7.产业融合创新发展机遇。旅游业发展正从传统观光旅游向度假旅游、商旅、文旅转变、从无主题旅游向主题旅游转变、从纯粹观光旅游向休闲旅游转变、从产业分离向</w:t>
      </w:r>
      <w:r>
        <w:rPr>
          <w:rFonts w:hint="eastAsia"/>
          <w:szCs w:val="32"/>
        </w:rPr>
        <w:t>“</w:t>
      </w:r>
      <w:r>
        <w:rPr>
          <w:szCs w:val="32"/>
        </w:rPr>
        <w:t>旅游+</w:t>
      </w:r>
      <w:r>
        <w:rPr>
          <w:rFonts w:hint="eastAsia"/>
          <w:szCs w:val="32"/>
        </w:rPr>
        <w:t>”</w:t>
      </w:r>
      <w:r>
        <w:rPr>
          <w:szCs w:val="32"/>
        </w:rPr>
        <w:t>其他产业融合发展模式转变，这些转变必将带来良好的发展机遇。我县旅游资源特点，尤其是交通基础设施建设加速，将带来更多的游客将酉阳作为旅游目的地，推动商旅融合发展。</w:t>
      </w:r>
    </w:p>
    <w:p w14:paraId="08663ED2">
      <w:pPr>
        <w:autoSpaceDE w:val="0"/>
        <w:adjustRightInd w:val="0"/>
        <w:snapToGrid w:val="0"/>
        <w:spacing w:line="570" w:lineRule="exact"/>
        <w:ind w:firstLine="632" w:firstLineChars="200"/>
        <w:rPr>
          <w:rFonts w:eastAsia="方正楷体_GBK"/>
          <w:szCs w:val="32"/>
        </w:rPr>
      </w:pPr>
      <w:r>
        <w:rPr>
          <w:rFonts w:eastAsia="方正楷体_GBK"/>
          <w:szCs w:val="32"/>
        </w:rPr>
        <w:t>（二）面临挑战。</w:t>
      </w:r>
    </w:p>
    <w:p w14:paraId="63156FA5">
      <w:pPr>
        <w:autoSpaceDE w:val="0"/>
        <w:adjustRightInd w:val="0"/>
        <w:snapToGrid w:val="0"/>
        <w:spacing w:line="570" w:lineRule="exact"/>
        <w:ind w:firstLine="632" w:firstLineChars="200"/>
        <w:rPr>
          <w:szCs w:val="32"/>
        </w:rPr>
      </w:pPr>
      <w:r>
        <w:rPr>
          <w:szCs w:val="32"/>
        </w:rPr>
        <w:t>1.竞争力有待进一步加强。与周边地区相比，酉阳竞争力不强，随着周边地区商贸服务业的发展，我县面临的区域竞争越来越激烈，商贸服务业发展面临巨大挑战。</w:t>
      </w:r>
    </w:p>
    <w:p w14:paraId="56FE9B42">
      <w:pPr>
        <w:autoSpaceDE w:val="0"/>
        <w:adjustRightInd w:val="0"/>
        <w:snapToGrid w:val="0"/>
        <w:spacing w:line="570" w:lineRule="exact"/>
        <w:ind w:firstLine="632" w:firstLineChars="200"/>
        <w:rPr>
          <w:szCs w:val="32"/>
        </w:rPr>
      </w:pPr>
      <w:r>
        <w:rPr>
          <w:szCs w:val="32"/>
        </w:rPr>
        <w:t>酉阳人口总量与经济发展状况不匹配，与在渝东南武陵山区城镇群其他5个县相比存在明显差距。如图1所示，在渝东南武陵山区城镇群6个县中，酉阳户籍人口最多，达到85.44万人；但社会消费品零售总额却排名倒数第一（2018年为42.51亿元，2020年为83.9亿元），相比仅酉阳一半人口的武隆（41.14万人）还少了2.47亿元。</w:t>
      </w:r>
    </w:p>
    <w:tbl>
      <w:tblPr>
        <w:tblStyle w:val="43"/>
        <w:tblW w:w="7937" w:type="dxa"/>
        <w:jc w:val="center"/>
        <w:tblCellSpacing w:w="0" w:type="dxa"/>
        <w:tblLayout w:type="fixed"/>
        <w:tblCellMar>
          <w:top w:w="0" w:type="dxa"/>
          <w:left w:w="0" w:type="dxa"/>
          <w:bottom w:w="0" w:type="dxa"/>
          <w:right w:w="0" w:type="dxa"/>
        </w:tblCellMar>
      </w:tblPr>
      <w:tblGrid>
        <w:gridCol w:w="405"/>
        <w:gridCol w:w="7532"/>
      </w:tblGrid>
      <w:tr w14:paraId="7A3807AE">
        <w:tblPrEx>
          <w:tblCellMar>
            <w:top w:w="0" w:type="dxa"/>
            <w:left w:w="0" w:type="dxa"/>
            <w:bottom w:w="0" w:type="dxa"/>
            <w:right w:w="0" w:type="dxa"/>
          </w:tblCellMar>
        </w:tblPrEx>
        <w:trPr>
          <w:tblCellSpacing w:w="0" w:type="dxa"/>
          <w:jc w:val="center"/>
        </w:trPr>
        <w:tc>
          <w:tcPr>
            <w:tcW w:w="405" w:type="dxa"/>
            <w:shd w:val="clear" w:color="auto" w:fill="auto"/>
            <w:vAlign w:val="center"/>
          </w:tcPr>
          <w:p w14:paraId="589BB324">
            <w:pPr>
              <w:rPr>
                <w:sz w:val="24"/>
                <w:szCs w:val="24"/>
              </w:rPr>
            </w:pPr>
          </w:p>
        </w:tc>
        <w:tc>
          <w:tcPr>
            <w:tcW w:w="7532" w:type="dxa"/>
            <w:shd w:val="clear" w:color="auto" w:fill="auto"/>
            <w:vAlign w:val="center"/>
          </w:tcPr>
          <w:p w14:paraId="3AB6DDDE">
            <w:pPr>
              <w:widowControl/>
              <w:autoSpaceDE w:val="0"/>
              <w:adjustRightInd w:val="0"/>
              <w:jc w:val="left"/>
            </w:pPr>
            <w:r>
              <w:rPr>
                <w:sz w:val="24"/>
                <w:szCs w:val="24"/>
              </w:rPr>
              <w:fldChar w:fldCharType="begin"/>
            </w:r>
            <w:r>
              <w:rPr>
                <w:sz w:val="24"/>
                <w:szCs w:val="24"/>
              </w:rPr>
              <w:instrText xml:space="preserve">INCLUDEPICTURE \d "C:\\DOCUME~1\\ADMINI~1\\LOCALS~1\\Temp\\ksohtml\\wpsE.tmp.jpg" \* MERGEFORMATINET </w:instrText>
            </w:r>
            <w:r>
              <w:rPr>
                <w:sz w:val="24"/>
                <w:szCs w:val="24"/>
              </w:rPr>
              <w:fldChar w:fldCharType="separate"/>
            </w:r>
            <w:r>
              <w:rPr>
                <w:sz w:val="24"/>
                <w:szCs w:val="24"/>
              </w:rPr>
              <w:drawing>
                <wp:inline distT="0" distB="0" distL="114300" distR="114300">
                  <wp:extent cx="4781550" cy="2562225"/>
                  <wp:effectExtent l="0" t="0" r="0" b="9525"/>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7" cstate="print"/>
                          <a:stretch>
                            <a:fillRect/>
                          </a:stretch>
                        </pic:blipFill>
                        <pic:spPr>
                          <a:xfrm>
                            <a:off x="0" y="0"/>
                            <a:ext cx="4781550" cy="2562225"/>
                          </a:xfrm>
                          <a:prstGeom prst="rect">
                            <a:avLst/>
                          </a:prstGeom>
                          <a:noFill/>
                          <a:ln w="9525">
                            <a:noFill/>
                          </a:ln>
                        </pic:spPr>
                      </pic:pic>
                    </a:graphicData>
                  </a:graphic>
                </wp:inline>
              </w:drawing>
            </w:r>
            <w:r>
              <w:rPr>
                <w:sz w:val="24"/>
                <w:szCs w:val="24"/>
              </w:rPr>
              <w:fldChar w:fldCharType="end"/>
            </w:r>
          </w:p>
        </w:tc>
      </w:tr>
    </w:tbl>
    <w:p w14:paraId="706B56D0">
      <w:pPr>
        <w:autoSpaceDE w:val="0"/>
        <w:adjustRightInd w:val="0"/>
        <w:snapToGrid w:val="0"/>
        <w:spacing w:line="400" w:lineRule="exact"/>
        <w:ind w:firstLine="472" w:firstLineChars="200"/>
        <w:jc w:val="center"/>
        <w:rPr>
          <w:sz w:val="24"/>
          <w:szCs w:val="24"/>
        </w:rPr>
      </w:pPr>
      <w:r>
        <w:rPr>
          <w:sz w:val="24"/>
          <w:szCs w:val="24"/>
        </w:rPr>
        <w:t>图1 渝东南武陵山区城镇群人口和社会零售状况</w:t>
      </w:r>
    </w:p>
    <w:p w14:paraId="6E638750">
      <w:pPr>
        <w:pStyle w:val="40"/>
        <w:widowControl w:val="0"/>
        <w:autoSpaceDE w:val="0"/>
        <w:autoSpaceDN w:val="0"/>
        <w:adjustRightInd w:val="0"/>
        <w:spacing w:before="0" w:beforeAutospacing="0" w:after="0" w:afterAutospacing="0" w:line="400" w:lineRule="exact"/>
        <w:ind w:firstLine="472" w:firstLineChars="200"/>
        <w:rPr>
          <w:rFonts w:ascii="Times New Roman" w:hAnsi="Times New Roman" w:cs="Times New Roman"/>
        </w:rPr>
      </w:pPr>
      <w:r>
        <w:rPr>
          <w:rFonts w:ascii="Times New Roman" w:hAnsi="Times New Roman" w:cs="Times New Roman"/>
          <w:kern w:val="2"/>
        </w:rPr>
        <w:t xml:space="preserve">  注：1.数据来源《重庆统计年鉴（2019）》；2.所有数据截止为2018年年末。</w:t>
      </w:r>
      <w:r>
        <w:rPr>
          <w:rFonts w:ascii="Times New Roman" w:hAnsi="Times New Roman" w:cs="Times New Roman"/>
          <w:color w:val="000000"/>
        </w:rPr>
        <w:t xml:space="preserve"> </w:t>
      </w:r>
    </w:p>
    <w:p w14:paraId="144D2D77">
      <w:pPr>
        <w:autoSpaceDE w:val="0"/>
        <w:spacing w:line="600" w:lineRule="exact"/>
        <w:ind w:firstLine="632" w:firstLineChars="200"/>
        <w:rPr>
          <w:szCs w:val="32"/>
        </w:rPr>
      </w:pPr>
      <w:r>
        <w:rPr>
          <w:szCs w:val="32"/>
        </w:rPr>
        <w:t>2.商业资源整合难度大。酉阳老城区人口密集，建筑破旧，基础设施配套差。受历史成因、用地性质、产权归属、级差地租、管理权限等因素的影响，老城区改造难度较大。如何传承历史文脉，将老城区改造成为具有渝东南特色的老城，将老城区核心区域人口导入新城区，提升新城区人气，是酉阳县城市发展面临的巨大挑战。</w:t>
      </w:r>
    </w:p>
    <w:p w14:paraId="2567071A">
      <w:pPr>
        <w:autoSpaceDE w:val="0"/>
        <w:spacing w:line="600" w:lineRule="exact"/>
        <w:ind w:firstLine="632" w:firstLineChars="200"/>
        <w:rPr>
          <w:szCs w:val="32"/>
        </w:rPr>
      </w:pPr>
      <w:r>
        <w:rPr>
          <w:szCs w:val="32"/>
        </w:rPr>
        <w:t>3.融合创新发展水平不够。</w:t>
      </w:r>
      <w:r>
        <w:rPr>
          <w:rFonts w:hint="eastAsia"/>
          <w:szCs w:val="32"/>
        </w:rPr>
        <w:t>“</w:t>
      </w:r>
      <w:r>
        <w:rPr>
          <w:szCs w:val="32"/>
        </w:rPr>
        <w:t>互联网+</w:t>
      </w:r>
      <w:r>
        <w:rPr>
          <w:rFonts w:hint="eastAsia"/>
          <w:szCs w:val="32"/>
        </w:rPr>
        <w:t>”“</w:t>
      </w:r>
      <w:r>
        <w:rPr>
          <w:szCs w:val="32"/>
        </w:rPr>
        <w:t>文化+</w:t>
      </w:r>
      <w:r>
        <w:rPr>
          <w:rFonts w:hint="eastAsia"/>
          <w:szCs w:val="32"/>
        </w:rPr>
        <w:t>”“</w:t>
      </w:r>
      <w:r>
        <w:rPr>
          <w:szCs w:val="32"/>
        </w:rPr>
        <w:t>旅游+</w:t>
      </w:r>
      <w:r>
        <w:rPr>
          <w:rFonts w:hint="eastAsia"/>
          <w:szCs w:val="32"/>
        </w:rPr>
        <w:t>”</w:t>
      </w:r>
      <w:r>
        <w:rPr>
          <w:szCs w:val="32"/>
        </w:rPr>
        <w:t>等新模式、新业态发展相对滞缓，商贸服务业新经济亮点不多。生产性服务业与制造业、农业的融合程度较低，制造工艺管理、产品研发设计、资源配置、运营管理、过程管控、设备管理等线上智能服务平台培育不足，制造业创新中心、检验检测、仿真中心等线下服务平台发展滞后，本土生长的新兴商贸服务平台欠缺。</w:t>
      </w:r>
    </w:p>
    <w:p w14:paraId="056F1A6C">
      <w:pPr>
        <w:autoSpaceDE w:val="0"/>
        <w:spacing w:line="600" w:lineRule="exact"/>
        <w:ind w:firstLine="632" w:firstLineChars="200"/>
        <w:rPr>
          <w:szCs w:val="32"/>
        </w:rPr>
      </w:pPr>
      <w:r>
        <w:rPr>
          <w:szCs w:val="32"/>
        </w:rPr>
        <w:t>4.城区配套功能仍需加强。当前，酉阳城区配套功能较弱，与高质量生活不匹配，会展场馆和五星级酒店等都缺失，大型商业综合体规模不大业态不优，城区菜市场有待提档升级，超市化、智能化程度有待进一步提高。</w:t>
      </w:r>
    </w:p>
    <w:p w14:paraId="38F46580">
      <w:pPr>
        <w:autoSpaceDE w:val="0"/>
        <w:spacing w:line="600" w:lineRule="exact"/>
        <w:ind w:firstLine="632" w:firstLineChars="200"/>
        <w:rPr>
          <w:szCs w:val="32"/>
        </w:rPr>
      </w:pPr>
      <w:r>
        <w:rPr>
          <w:szCs w:val="32"/>
        </w:rPr>
        <w:t>5.消费市场持续变化。</w:t>
      </w:r>
      <w:r>
        <w:rPr>
          <w:rFonts w:hint="eastAsia"/>
          <w:szCs w:val="32"/>
        </w:rPr>
        <w:t>“</w:t>
      </w:r>
      <w:r>
        <w:rPr>
          <w:szCs w:val="32"/>
        </w:rPr>
        <w:t>互联网+</w:t>
      </w:r>
      <w:r>
        <w:rPr>
          <w:rFonts w:hint="eastAsia"/>
          <w:szCs w:val="32"/>
        </w:rPr>
        <w:t>”</w:t>
      </w:r>
      <w:r>
        <w:rPr>
          <w:szCs w:val="32"/>
        </w:rPr>
        <w:t>背景下，传统商贸业面临供应链重组、电子商务线上线下结合升级的要求。消费市场不断变化，国民收入水平持续提升，新生代消费群体长成，市场消费心理、消费习惯、消费需求发生新变化，显现消费分层、个性化、多样化趋势，对商贸服务业转型升级提出了更高的要求与挑战。</w:t>
      </w:r>
    </w:p>
    <w:p w14:paraId="504A6840">
      <w:pPr>
        <w:autoSpaceDE w:val="0"/>
        <w:spacing w:line="560" w:lineRule="exact"/>
        <w:ind w:firstLine="632" w:firstLineChars="200"/>
        <w:rPr>
          <w:rFonts w:eastAsia="方正黑体_GBK"/>
          <w:szCs w:val="32"/>
        </w:rPr>
      </w:pPr>
      <w:r>
        <w:rPr>
          <w:rFonts w:eastAsia="方正黑体_GBK"/>
          <w:szCs w:val="32"/>
        </w:rPr>
        <w:t>四、指导思想和发展目标</w:t>
      </w:r>
    </w:p>
    <w:p w14:paraId="23B73794">
      <w:pPr>
        <w:autoSpaceDE w:val="0"/>
        <w:spacing w:line="560" w:lineRule="exact"/>
        <w:ind w:firstLine="632" w:firstLineChars="200"/>
        <w:rPr>
          <w:szCs w:val="32"/>
        </w:rPr>
      </w:pPr>
      <w:r>
        <w:rPr>
          <w:rFonts w:eastAsia="方正楷体_GBK"/>
          <w:szCs w:val="32"/>
        </w:rPr>
        <w:t>（一）指导思想。</w:t>
      </w:r>
      <w:r>
        <w:rPr>
          <w:szCs w:val="32"/>
        </w:rPr>
        <w:t>坚持以习近平新时代中国特色社会主义思想为指导，全面贯彻党的十九大，十九届二中、三中、四中、五中</w:t>
      </w:r>
      <w:r>
        <w:rPr>
          <w:rFonts w:hint="eastAsia"/>
          <w:szCs w:val="32"/>
        </w:rPr>
        <w:t>、六中</w:t>
      </w:r>
      <w:r>
        <w:rPr>
          <w:szCs w:val="32"/>
        </w:rPr>
        <w:t>全会精神和中央经济工作会议精神，深入落实习近平总书记对重庆提出的</w:t>
      </w:r>
      <w:r>
        <w:rPr>
          <w:rFonts w:hint="eastAsia"/>
          <w:szCs w:val="32"/>
        </w:rPr>
        <w:t>“</w:t>
      </w:r>
      <w:r>
        <w:rPr>
          <w:szCs w:val="32"/>
        </w:rPr>
        <w:t>两点</w:t>
      </w:r>
      <w:r>
        <w:rPr>
          <w:rFonts w:hint="eastAsia"/>
          <w:szCs w:val="32"/>
        </w:rPr>
        <w:t>”“</w:t>
      </w:r>
      <w:r>
        <w:rPr>
          <w:szCs w:val="32"/>
        </w:rPr>
        <w:t>两地</w:t>
      </w:r>
      <w:r>
        <w:rPr>
          <w:rFonts w:hint="eastAsia"/>
          <w:szCs w:val="32"/>
        </w:rPr>
        <w:t>”</w:t>
      </w:r>
      <w:r>
        <w:rPr>
          <w:szCs w:val="32"/>
        </w:rPr>
        <w:t>定位要求，抢抓成渝地区双城经济圈、西部陆海大通道建设、建设国内国际双循环新格局的战略机遇，深化供给侧结构性和需求侧双向改革，充分发挥内需潜力，围绕我县</w:t>
      </w:r>
      <w:r>
        <w:rPr>
          <w:rFonts w:hint="eastAsia"/>
          <w:szCs w:val="32"/>
        </w:rPr>
        <w:t>“</w:t>
      </w:r>
      <w:r>
        <w:rPr>
          <w:szCs w:val="32"/>
        </w:rPr>
        <w:t>十四五</w:t>
      </w:r>
      <w:r>
        <w:rPr>
          <w:rFonts w:hint="eastAsia"/>
          <w:szCs w:val="32"/>
        </w:rPr>
        <w:t>”</w:t>
      </w:r>
      <w:r>
        <w:rPr>
          <w:szCs w:val="32"/>
        </w:rPr>
        <w:t>时期经济和社会发展目标，坚持扩大规模与提高效益相结合，提升商贸服务业运行质量和效益，提高其对全县经济、社会发展的贡献度，把现代商贸服务业打造成为酉阳经济发展的先导产业。</w:t>
      </w:r>
    </w:p>
    <w:p w14:paraId="5348ECFD">
      <w:pPr>
        <w:autoSpaceDE w:val="0"/>
        <w:spacing w:line="560" w:lineRule="exact"/>
        <w:ind w:firstLine="632" w:firstLineChars="200"/>
        <w:rPr>
          <w:rFonts w:eastAsia="方正楷体_GBK"/>
          <w:szCs w:val="32"/>
        </w:rPr>
      </w:pPr>
      <w:r>
        <w:rPr>
          <w:rFonts w:eastAsia="方正楷体_GBK"/>
          <w:szCs w:val="32"/>
        </w:rPr>
        <w:t>（二）发展目标。</w:t>
      </w:r>
    </w:p>
    <w:p w14:paraId="09598908">
      <w:pPr>
        <w:autoSpaceDE w:val="0"/>
        <w:spacing w:line="560" w:lineRule="exact"/>
        <w:ind w:firstLine="632" w:firstLineChars="200"/>
        <w:rPr>
          <w:szCs w:val="32"/>
        </w:rPr>
      </w:pPr>
      <w:r>
        <w:rPr>
          <w:szCs w:val="32"/>
        </w:rPr>
        <w:t>1.战略定位。渝东南绿色商贸强县。</w:t>
      </w:r>
    </w:p>
    <w:p w14:paraId="11E6D919">
      <w:pPr>
        <w:autoSpaceDE w:val="0"/>
        <w:spacing w:line="560" w:lineRule="exact"/>
        <w:ind w:firstLine="632" w:firstLineChars="200"/>
        <w:rPr>
          <w:szCs w:val="32"/>
        </w:rPr>
      </w:pPr>
      <w:r>
        <w:rPr>
          <w:szCs w:val="32"/>
        </w:rPr>
        <w:t>2.发展思路。锚定酉阳县</w:t>
      </w:r>
      <w:r>
        <w:rPr>
          <w:rFonts w:hint="eastAsia"/>
          <w:szCs w:val="32"/>
        </w:rPr>
        <w:t>“</w:t>
      </w:r>
      <w:r>
        <w:rPr>
          <w:szCs w:val="32"/>
        </w:rPr>
        <w:t>1234</w:t>
      </w:r>
      <w:r>
        <w:rPr>
          <w:rFonts w:hint="eastAsia"/>
          <w:szCs w:val="32"/>
        </w:rPr>
        <w:t>”</w:t>
      </w:r>
      <w:r>
        <w:rPr>
          <w:szCs w:val="32"/>
        </w:rPr>
        <w:t>发展战略，以覆盖城市商业和乡镇商业的总体空间布局为统领，从农文商旅融合发展、建设专业市场、发展会展经济、打造餐住新地标、构建城乡物流体系、完善电商服务体系七方面着手，通过重点主体、高端品牌的打造和推进服务模式的创新，完善消费场景设施建设，改善商贸服务业发展环境，壮大商贸服务市场主体，培育特色会展品牌，完善县域物流体系，提升物流信息化水平等措施，将酉阳打造成为打造渝东南绿色商贸强县。</w:t>
      </w:r>
    </w:p>
    <w:p w14:paraId="3B7FFC67">
      <w:pPr>
        <w:spacing w:line="560" w:lineRule="exact"/>
        <w:ind w:firstLine="632" w:firstLineChars="200"/>
        <w:rPr>
          <w:szCs w:val="32"/>
        </w:rPr>
      </w:pPr>
      <w:r>
        <w:rPr>
          <w:szCs w:val="32"/>
        </w:rPr>
        <w:t>3.商贸指标。</w:t>
      </w:r>
    </w:p>
    <w:p w14:paraId="0B0AD292">
      <w:pPr>
        <w:spacing w:line="560" w:lineRule="exact"/>
        <w:jc w:val="center"/>
        <w:rPr>
          <w:rFonts w:eastAsia="方正黑体_GBK"/>
          <w:szCs w:val="32"/>
        </w:rPr>
      </w:pPr>
      <w:r>
        <w:rPr>
          <w:rFonts w:eastAsia="方正黑体_GBK"/>
          <w:szCs w:val="32"/>
        </w:rPr>
        <w:t xml:space="preserve">专栏1   </w:t>
      </w:r>
      <w:r>
        <w:rPr>
          <w:rFonts w:hint="eastAsia" w:eastAsia="方正黑体_GBK"/>
          <w:szCs w:val="32"/>
        </w:rPr>
        <w:t>“</w:t>
      </w:r>
      <w:r>
        <w:rPr>
          <w:rFonts w:eastAsia="方正黑体_GBK"/>
          <w:szCs w:val="32"/>
        </w:rPr>
        <w:t>十四五</w:t>
      </w:r>
      <w:r>
        <w:rPr>
          <w:rFonts w:hint="eastAsia" w:eastAsia="方正黑体_GBK"/>
          <w:szCs w:val="32"/>
        </w:rPr>
        <w:t>”</w:t>
      </w:r>
      <w:r>
        <w:rPr>
          <w:rFonts w:eastAsia="方正黑体_GBK"/>
          <w:szCs w:val="32"/>
        </w:rPr>
        <w:t>及2035年酉阳商贸服务业总量目标</w:t>
      </w:r>
    </w:p>
    <w:tbl>
      <w:tblPr>
        <w:tblStyle w:val="43"/>
        <w:tblW w:w="9176" w:type="dxa"/>
        <w:jc w:val="center"/>
        <w:tblLayout w:type="fixed"/>
        <w:tblCellMar>
          <w:top w:w="0" w:type="dxa"/>
          <w:left w:w="108" w:type="dxa"/>
          <w:bottom w:w="0" w:type="dxa"/>
          <w:right w:w="108" w:type="dxa"/>
        </w:tblCellMar>
      </w:tblPr>
      <w:tblGrid>
        <w:gridCol w:w="4042"/>
        <w:gridCol w:w="1248"/>
        <w:gridCol w:w="1560"/>
        <w:gridCol w:w="960"/>
        <w:gridCol w:w="1366"/>
      </w:tblGrid>
      <w:tr w14:paraId="775D4175">
        <w:tblPrEx>
          <w:tblCellMar>
            <w:top w:w="0" w:type="dxa"/>
            <w:left w:w="108" w:type="dxa"/>
            <w:bottom w:w="0" w:type="dxa"/>
            <w:right w:w="108" w:type="dxa"/>
          </w:tblCellMar>
        </w:tblPrEx>
        <w:trPr>
          <w:jc w:val="center"/>
        </w:trPr>
        <w:tc>
          <w:tcPr>
            <w:tcW w:w="4042" w:type="dxa"/>
            <w:tcBorders>
              <w:top w:val="single" w:color="auto" w:sz="4" w:space="0"/>
              <w:left w:val="single" w:color="auto" w:sz="4" w:space="0"/>
              <w:bottom w:val="single" w:color="auto" w:sz="4" w:space="0"/>
              <w:right w:val="single" w:color="auto" w:sz="4" w:space="0"/>
            </w:tcBorders>
            <w:shd w:val="clear" w:color="auto" w:fill="auto"/>
            <w:vAlign w:val="center"/>
          </w:tcPr>
          <w:p w14:paraId="6B8952F8">
            <w:pPr>
              <w:autoSpaceDE w:val="0"/>
              <w:spacing w:line="560" w:lineRule="exact"/>
              <w:ind w:firstLine="632" w:firstLineChars="200"/>
              <w:jc w:val="center"/>
              <w:rPr>
                <w:rFonts w:eastAsia="方正楷体_GBK"/>
                <w:szCs w:val="32"/>
              </w:rPr>
            </w:pPr>
            <w:r>
              <w:rPr>
                <w:rFonts w:eastAsia="方正楷体_GBK"/>
                <w:szCs w:val="32"/>
              </w:rPr>
              <w:t>指标名称</w:t>
            </w:r>
          </w:p>
        </w:tc>
        <w:tc>
          <w:tcPr>
            <w:tcW w:w="2808" w:type="dxa"/>
            <w:gridSpan w:val="2"/>
            <w:tcBorders>
              <w:top w:val="single" w:color="auto" w:sz="4" w:space="0"/>
              <w:left w:val="nil"/>
              <w:bottom w:val="single" w:color="auto" w:sz="4" w:space="0"/>
              <w:right w:val="single" w:color="auto" w:sz="4" w:space="0"/>
            </w:tcBorders>
            <w:shd w:val="clear" w:color="auto" w:fill="auto"/>
            <w:vAlign w:val="center"/>
          </w:tcPr>
          <w:p w14:paraId="0EA3898D">
            <w:pPr>
              <w:autoSpaceDE w:val="0"/>
              <w:spacing w:line="560" w:lineRule="exact"/>
              <w:ind w:firstLine="632" w:firstLineChars="200"/>
              <w:jc w:val="center"/>
              <w:rPr>
                <w:rFonts w:eastAsia="方正楷体_GBK"/>
                <w:szCs w:val="32"/>
              </w:rPr>
            </w:pPr>
            <w:r>
              <w:rPr>
                <w:rFonts w:eastAsia="方正楷体_GBK"/>
                <w:szCs w:val="32"/>
              </w:rPr>
              <w:t>2025年</w:t>
            </w:r>
          </w:p>
        </w:tc>
        <w:tc>
          <w:tcPr>
            <w:tcW w:w="2326" w:type="dxa"/>
            <w:gridSpan w:val="2"/>
            <w:tcBorders>
              <w:top w:val="single" w:color="auto" w:sz="4" w:space="0"/>
              <w:left w:val="nil"/>
              <w:bottom w:val="single" w:color="auto" w:sz="4" w:space="0"/>
              <w:right w:val="single" w:color="auto" w:sz="4" w:space="0"/>
            </w:tcBorders>
            <w:shd w:val="clear" w:color="auto" w:fill="auto"/>
            <w:vAlign w:val="center"/>
          </w:tcPr>
          <w:p w14:paraId="3D80CE92">
            <w:pPr>
              <w:autoSpaceDE w:val="0"/>
              <w:spacing w:line="560" w:lineRule="exact"/>
              <w:ind w:firstLine="632" w:firstLineChars="200"/>
              <w:jc w:val="center"/>
              <w:rPr>
                <w:rFonts w:eastAsia="方正楷体_GBK"/>
                <w:szCs w:val="32"/>
              </w:rPr>
            </w:pPr>
            <w:r>
              <w:rPr>
                <w:rFonts w:eastAsia="方正楷体_GBK"/>
                <w:szCs w:val="32"/>
              </w:rPr>
              <w:t>2035年</w:t>
            </w:r>
          </w:p>
        </w:tc>
      </w:tr>
      <w:tr w14:paraId="29047A60">
        <w:tblPrEx>
          <w:tblCellMar>
            <w:top w:w="0" w:type="dxa"/>
            <w:left w:w="108" w:type="dxa"/>
            <w:bottom w:w="0" w:type="dxa"/>
            <w:right w:w="108" w:type="dxa"/>
          </w:tblCellMar>
        </w:tblPrEx>
        <w:trPr>
          <w:jc w:val="center"/>
        </w:trPr>
        <w:tc>
          <w:tcPr>
            <w:tcW w:w="4042" w:type="dxa"/>
            <w:vMerge w:val="restart"/>
            <w:tcBorders>
              <w:top w:val="nil"/>
              <w:left w:val="single" w:color="auto" w:sz="4" w:space="0"/>
              <w:bottom w:val="single" w:color="auto" w:sz="4" w:space="0"/>
              <w:right w:val="single" w:color="auto" w:sz="4" w:space="0"/>
            </w:tcBorders>
            <w:shd w:val="clear" w:color="auto" w:fill="auto"/>
            <w:vAlign w:val="center"/>
          </w:tcPr>
          <w:p w14:paraId="09059471">
            <w:pPr>
              <w:spacing w:line="560" w:lineRule="exact"/>
              <w:jc w:val="center"/>
              <w:rPr>
                <w:sz w:val="24"/>
                <w:szCs w:val="24"/>
              </w:rPr>
            </w:pPr>
            <w:r>
              <w:rPr>
                <w:sz w:val="24"/>
                <w:szCs w:val="24"/>
              </w:rPr>
              <w:t>社会消费品零售（亿元、%）</w:t>
            </w:r>
          </w:p>
        </w:tc>
        <w:tc>
          <w:tcPr>
            <w:tcW w:w="1248" w:type="dxa"/>
            <w:tcBorders>
              <w:top w:val="single" w:color="auto" w:sz="4" w:space="0"/>
              <w:left w:val="nil"/>
              <w:bottom w:val="single" w:color="auto" w:sz="4" w:space="0"/>
              <w:right w:val="single" w:color="auto" w:sz="4" w:space="0"/>
            </w:tcBorders>
            <w:shd w:val="clear" w:color="auto" w:fill="auto"/>
            <w:vAlign w:val="center"/>
          </w:tcPr>
          <w:p w14:paraId="1D71D5DB">
            <w:pPr>
              <w:spacing w:line="560" w:lineRule="exact"/>
              <w:jc w:val="center"/>
              <w:rPr>
                <w:sz w:val="24"/>
                <w:szCs w:val="24"/>
              </w:rPr>
            </w:pPr>
            <w:r>
              <w:rPr>
                <w:sz w:val="24"/>
                <w:szCs w:val="24"/>
              </w:rPr>
              <w:t>总额</w:t>
            </w:r>
          </w:p>
        </w:tc>
        <w:tc>
          <w:tcPr>
            <w:tcW w:w="1560" w:type="dxa"/>
            <w:tcBorders>
              <w:top w:val="single" w:color="auto" w:sz="4" w:space="0"/>
              <w:left w:val="nil"/>
              <w:bottom w:val="single" w:color="auto" w:sz="4" w:space="0"/>
              <w:right w:val="single" w:color="auto" w:sz="4" w:space="0"/>
            </w:tcBorders>
            <w:shd w:val="clear" w:color="auto" w:fill="auto"/>
            <w:vAlign w:val="center"/>
          </w:tcPr>
          <w:p w14:paraId="5DD57079">
            <w:pPr>
              <w:spacing w:line="560" w:lineRule="exact"/>
              <w:jc w:val="center"/>
              <w:rPr>
                <w:sz w:val="24"/>
                <w:szCs w:val="24"/>
              </w:rPr>
            </w:pPr>
            <w:r>
              <w:rPr>
                <w:sz w:val="24"/>
                <w:szCs w:val="24"/>
              </w:rPr>
              <w:t>年均增速</w:t>
            </w:r>
          </w:p>
        </w:tc>
        <w:tc>
          <w:tcPr>
            <w:tcW w:w="960" w:type="dxa"/>
            <w:tcBorders>
              <w:top w:val="single" w:color="auto" w:sz="4" w:space="0"/>
              <w:left w:val="nil"/>
              <w:bottom w:val="single" w:color="auto" w:sz="4" w:space="0"/>
              <w:right w:val="single" w:color="auto" w:sz="4" w:space="0"/>
            </w:tcBorders>
            <w:shd w:val="clear" w:color="auto" w:fill="auto"/>
            <w:vAlign w:val="center"/>
          </w:tcPr>
          <w:p w14:paraId="5B379905">
            <w:pPr>
              <w:spacing w:line="560" w:lineRule="exact"/>
              <w:jc w:val="center"/>
              <w:rPr>
                <w:sz w:val="24"/>
                <w:szCs w:val="24"/>
              </w:rPr>
            </w:pPr>
            <w:r>
              <w:rPr>
                <w:sz w:val="24"/>
                <w:szCs w:val="24"/>
              </w:rPr>
              <w:t>总额</w:t>
            </w:r>
          </w:p>
        </w:tc>
        <w:tc>
          <w:tcPr>
            <w:tcW w:w="1366" w:type="dxa"/>
            <w:tcBorders>
              <w:top w:val="single" w:color="auto" w:sz="4" w:space="0"/>
              <w:left w:val="nil"/>
              <w:bottom w:val="single" w:color="auto" w:sz="4" w:space="0"/>
              <w:right w:val="single" w:color="auto" w:sz="4" w:space="0"/>
            </w:tcBorders>
            <w:shd w:val="clear" w:color="auto" w:fill="auto"/>
            <w:vAlign w:val="center"/>
          </w:tcPr>
          <w:p w14:paraId="10835F49">
            <w:pPr>
              <w:spacing w:line="560" w:lineRule="exact"/>
              <w:jc w:val="center"/>
              <w:rPr>
                <w:sz w:val="24"/>
                <w:szCs w:val="24"/>
              </w:rPr>
            </w:pPr>
            <w:r>
              <w:rPr>
                <w:sz w:val="24"/>
                <w:szCs w:val="24"/>
              </w:rPr>
              <w:t>年均增速</w:t>
            </w:r>
          </w:p>
        </w:tc>
      </w:tr>
      <w:tr w14:paraId="4906470A">
        <w:tblPrEx>
          <w:tblCellMar>
            <w:top w:w="0" w:type="dxa"/>
            <w:left w:w="108" w:type="dxa"/>
            <w:bottom w:w="0" w:type="dxa"/>
            <w:right w:w="108" w:type="dxa"/>
          </w:tblCellMar>
        </w:tblPrEx>
        <w:trPr>
          <w:jc w:val="center"/>
        </w:trPr>
        <w:tc>
          <w:tcPr>
            <w:tcW w:w="4042" w:type="dxa"/>
            <w:vMerge w:val="continue"/>
            <w:tcBorders>
              <w:top w:val="nil"/>
              <w:left w:val="single" w:color="auto" w:sz="4" w:space="0"/>
              <w:bottom w:val="single" w:color="auto" w:sz="4" w:space="0"/>
              <w:right w:val="single" w:color="auto" w:sz="4" w:space="0"/>
            </w:tcBorders>
            <w:shd w:val="clear" w:color="auto" w:fill="auto"/>
            <w:vAlign w:val="center"/>
          </w:tcPr>
          <w:p w14:paraId="37723AD0">
            <w:pPr>
              <w:rPr>
                <w:sz w:val="20"/>
                <w:szCs w:val="20"/>
              </w:rPr>
            </w:pPr>
          </w:p>
        </w:tc>
        <w:tc>
          <w:tcPr>
            <w:tcW w:w="1248" w:type="dxa"/>
            <w:tcBorders>
              <w:top w:val="single" w:color="auto" w:sz="4" w:space="0"/>
              <w:left w:val="nil"/>
              <w:bottom w:val="single" w:color="auto" w:sz="4" w:space="0"/>
              <w:right w:val="single" w:color="auto" w:sz="4" w:space="0"/>
            </w:tcBorders>
            <w:shd w:val="clear" w:color="auto" w:fill="auto"/>
            <w:vAlign w:val="center"/>
          </w:tcPr>
          <w:p w14:paraId="690378D8">
            <w:pPr>
              <w:spacing w:line="560" w:lineRule="exact"/>
              <w:jc w:val="center"/>
              <w:rPr>
                <w:sz w:val="24"/>
                <w:szCs w:val="24"/>
              </w:rPr>
            </w:pPr>
            <w:r>
              <w:rPr>
                <w:sz w:val="24"/>
                <w:szCs w:val="24"/>
              </w:rPr>
              <w:t>200</w:t>
            </w:r>
          </w:p>
        </w:tc>
        <w:tc>
          <w:tcPr>
            <w:tcW w:w="1560" w:type="dxa"/>
            <w:tcBorders>
              <w:top w:val="single" w:color="auto" w:sz="4" w:space="0"/>
              <w:left w:val="nil"/>
              <w:bottom w:val="single" w:color="auto" w:sz="4" w:space="0"/>
              <w:right w:val="single" w:color="auto" w:sz="4" w:space="0"/>
            </w:tcBorders>
            <w:shd w:val="clear" w:color="auto" w:fill="auto"/>
            <w:vAlign w:val="center"/>
          </w:tcPr>
          <w:p w14:paraId="45440200">
            <w:pPr>
              <w:spacing w:line="560" w:lineRule="exact"/>
              <w:jc w:val="center"/>
              <w:rPr>
                <w:sz w:val="24"/>
                <w:szCs w:val="24"/>
              </w:rPr>
            </w:pPr>
            <w:r>
              <w:rPr>
                <w:sz w:val="24"/>
                <w:szCs w:val="24"/>
              </w:rPr>
              <w:t>20%</w:t>
            </w:r>
          </w:p>
        </w:tc>
        <w:tc>
          <w:tcPr>
            <w:tcW w:w="960" w:type="dxa"/>
            <w:tcBorders>
              <w:top w:val="single" w:color="auto" w:sz="4" w:space="0"/>
              <w:left w:val="nil"/>
              <w:bottom w:val="single" w:color="auto" w:sz="4" w:space="0"/>
              <w:right w:val="single" w:color="auto" w:sz="4" w:space="0"/>
            </w:tcBorders>
            <w:shd w:val="clear" w:color="auto" w:fill="auto"/>
            <w:vAlign w:val="center"/>
          </w:tcPr>
          <w:p w14:paraId="0CCDFA0B">
            <w:pPr>
              <w:spacing w:line="560" w:lineRule="exact"/>
              <w:jc w:val="center"/>
              <w:rPr>
                <w:sz w:val="24"/>
                <w:szCs w:val="24"/>
              </w:rPr>
            </w:pPr>
            <w:r>
              <w:rPr>
                <w:sz w:val="24"/>
                <w:szCs w:val="24"/>
              </w:rPr>
              <w:t>350</w:t>
            </w:r>
          </w:p>
        </w:tc>
        <w:tc>
          <w:tcPr>
            <w:tcW w:w="1366" w:type="dxa"/>
            <w:tcBorders>
              <w:top w:val="single" w:color="auto" w:sz="4" w:space="0"/>
              <w:left w:val="nil"/>
              <w:bottom w:val="single" w:color="auto" w:sz="4" w:space="0"/>
              <w:right w:val="single" w:color="auto" w:sz="4" w:space="0"/>
            </w:tcBorders>
            <w:shd w:val="clear" w:color="auto" w:fill="auto"/>
            <w:vAlign w:val="center"/>
          </w:tcPr>
          <w:p w14:paraId="1D79E75B">
            <w:pPr>
              <w:spacing w:line="560" w:lineRule="exact"/>
              <w:jc w:val="center"/>
              <w:rPr>
                <w:sz w:val="24"/>
                <w:szCs w:val="24"/>
              </w:rPr>
            </w:pPr>
            <w:r>
              <w:rPr>
                <w:sz w:val="24"/>
                <w:szCs w:val="24"/>
              </w:rPr>
              <w:t>10%</w:t>
            </w:r>
          </w:p>
        </w:tc>
      </w:tr>
      <w:tr w14:paraId="289FF071">
        <w:tblPrEx>
          <w:tblCellMar>
            <w:top w:w="0" w:type="dxa"/>
            <w:left w:w="108" w:type="dxa"/>
            <w:bottom w:w="0" w:type="dxa"/>
            <w:right w:w="108" w:type="dxa"/>
          </w:tblCellMar>
        </w:tblPrEx>
        <w:trPr>
          <w:jc w:val="center"/>
        </w:trPr>
        <w:tc>
          <w:tcPr>
            <w:tcW w:w="4042" w:type="dxa"/>
            <w:tcBorders>
              <w:top w:val="single" w:color="auto" w:sz="4" w:space="0"/>
              <w:left w:val="single" w:color="auto" w:sz="4" w:space="0"/>
              <w:bottom w:val="single" w:color="auto" w:sz="4" w:space="0"/>
              <w:right w:val="single" w:color="auto" w:sz="4" w:space="0"/>
            </w:tcBorders>
            <w:shd w:val="clear" w:color="auto" w:fill="auto"/>
            <w:vAlign w:val="center"/>
          </w:tcPr>
          <w:p w14:paraId="3EEB1A4D">
            <w:pPr>
              <w:spacing w:line="560" w:lineRule="exact"/>
              <w:jc w:val="center"/>
              <w:rPr>
                <w:sz w:val="24"/>
                <w:szCs w:val="24"/>
              </w:rPr>
            </w:pPr>
            <w:r>
              <w:rPr>
                <w:sz w:val="24"/>
                <w:szCs w:val="24"/>
              </w:rPr>
              <w:t>进出口总额（亿美元、%）</w:t>
            </w:r>
          </w:p>
        </w:tc>
        <w:tc>
          <w:tcPr>
            <w:tcW w:w="1248" w:type="dxa"/>
            <w:tcBorders>
              <w:top w:val="single" w:color="auto" w:sz="4" w:space="0"/>
              <w:left w:val="nil"/>
              <w:bottom w:val="single" w:color="auto" w:sz="4" w:space="0"/>
              <w:right w:val="single" w:color="auto" w:sz="4" w:space="0"/>
            </w:tcBorders>
            <w:shd w:val="clear" w:color="auto" w:fill="auto"/>
            <w:vAlign w:val="center"/>
          </w:tcPr>
          <w:p w14:paraId="086378C0">
            <w:pPr>
              <w:spacing w:line="560" w:lineRule="exact"/>
              <w:jc w:val="center"/>
              <w:rPr>
                <w:sz w:val="24"/>
                <w:szCs w:val="24"/>
              </w:rPr>
            </w:pPr>
            <w:r>
              <w:rPr>
                <w:sz w:val="24"/>
                <w:szCs w:val="24"/>
              </w:rPr>
              <w:t>4</w:t>
            </w:r>
          </w:p>
        </w:tc>
        <w:tc>
          <w:tcPr>
            <w:tcW w:w="1560" w:type="dxa"/>
            <w:tcBorders>
              <w:top w:val="single" w:color="auto" w:sz="4" w:space="0"/>
              <w:left w:val="nil"/>
              <w:bottom w:val="single" w:color="auto" w:sz="4" w:space="0"/>
              <w:right w:val="single" w:color="auto" w:sz="4" w:space="0"/>
            </w:tcBorders>
            <w:shd w:val="clear" w:color="auto" w:fill="auto"/>
            <w:vAlign w:val="center"/>
          </w:tcPr>
          <w:p w14:paraId="52975C1D">
            <w:pPr>
              <w:spacing w:line="560" w:lineRule="exact"/>
              <w:jc w:val="center"/>
              <w:rPr>
                <w:sz w:val="24"/>
                <w:szCs w:val="24"/>
              </w:rPr>
            </w:pPr>
            <w:r>
              <w:rPr>
                <w:sz w:val="24"/>
                <w:szCs w:val="24"/>
              </w:rPr>
              <w:t>5%</w:t>
            </w:r>
          </w:p>
        </w:tc>
        <w:tc>
          <w:tcPr>
            <w:tcW w:w="960" w:type="dxa"/>
            <w:tcBorders>
              <w:top w:val="single" w:color="auto" w:sz="4" w:space="0"/>
              <w:left w:val="nil"/>
              <w:bottom w:val="single" w:color="auto" w:sz="4" w:space="0"/>
              <w:right w:val="single" w:color="auto" w:sz="4" w:space="0"/>
            </w:tcBorders>
            <w:shd w:val="clear" w:color="auto" w:fill="auto"/>
            <w:vAlign w:val="center"/>
          </w:tcPr>
          <w:p w14:paraId="6EEC5912">
            <w:pPr>
              <w:spacing w:line="560" w:lineRule="exact"/>
              <w:jc w:val="center"/>
              <w:rPr>
                <w:sz w:val="24"/>
                <w:szCs w:val="24"/>
              </w:rPr>
            </w:pPr>
            <w:r>
              <w:rPr>
                <w:sz w:val="24"/>
                <w:szCs w:val="24"/>
              </w:rPr>
              <w:t>5.1</w:t>
            </w:r>
          </w:p>
        </w:tc>
        <w:tc>
          <w:tcPr>
            <w:tcW w:w="1366" w:type="dxa"/>
            <w:tcBorders>
              <w:top w:val="single" w:color="auto" w:sz="4" w:space="0"/>
              <w:left w:val="nil"/>
              <w:bottom w:val="single" w:color="auto" w:sz="4" w:space="0"/>
              <w:right w:val="single" w:color="auto" w:sz="4" w:space="0"/>
            </w:tcBorders>
            <w:shd w:val="clear" w:color="auto" w:fill="auto"/>
            <w:vAlign w:val="center"/>
          </w:tcPr>
          <w:p w14:paraId="6768BCB1">
            <w:pPr>
              <w:spacing w:line="560" w:lineRule="exact"/>
              <w:jc w:val="center"/>
              <w:rPr>
                <w:sz w:val="24"/>
                <w:szCs w:val="24"/>
              </w:rPr>
            </w:pPr>
            <w:r>
              <w:rPr>
                <w:sz w:val="24"/>
                <w:szCs w:val="24"/>
              </w:rPr>
              <w:t>5%</w:t>
            </w:r>
          </w:p>
        </w:tc>
      </w:tr>
      <w:tr w14:paraId="7CD18E59">
        <w:tblPrEx>
          <w:tblCellMar>
            <w:top w:w="0" w:type="dxa"/>
            <w:left w:w="108" w:type="dxa"/>
            <w:bottom w:w="0" w:type="dxa"/>
            <w:right w:w="108" w:type="dxa"/>
          </w:tblCellMar>
        </w:tblPrEx>
        <w:trPr>
          <w:jc w:val="center"/>
        </w:trPr>
        <w:tc>
          <w:tcPr>
            <w:tcW w:w="4042" w:type="dxa"/>
            <w:tcBorders>
              <w:top w:val="single" w:color="auto" w:sz="4" w:space="0"/>
              <w:left w:val="single" w:color="auto" w:sz="4" w:space="0"/>
              <w:bottom w:val="single" w:color="auto" w:sz="4" w:space="0"/>
              <w:right w:val="single" w:color="auto" w:sz="4" w:space="0"/>
            </w:tcBorders>
            <w:shd w:val="clear" w:color="auto" w:fill="auto"/>
            <w:vAlign w:val="center"/>
          </w:tcPr>
          <w:p w14:paraId="4D90CAA1">
            <w:pPr>
              <w:spacing w:line="560" w:lineRule="exact"/>
              <w:jc w:val="center"/>
              <w:rPr>
                <w:sz w:val="24"/>
                <w:szCs w:val="24"/>
              </w:rPr>
            </w:pPr>
            <w:r>
              <w:rPr>
                <w:sz w:val="24"/>
                <w:szCs w:val="24"/>
              </w:rPr>
              <w:t>市场主体（万户）</w:t>
            </w:r>
          </w:p>
        </w:tc>
        <w:tc>
          <w:tcPr>
            <w:tcW w:w="2808" w:type="dxa"/>
            <w:gridSpan w:val="2"/>
            <w:tcBorders>
              <w:top w:val="single" w:color="auto" w:sz="4" w:space="0"/>
              <w:left w:val="nil"/>
              <w:bottom w:val="single" w:color="auto" w:sz="4" w:space="0"/>
              <w:right w:val="single" w:color="auto" w:sz="4" w:space="0"/>
            </w:tcBorders>
            <w:shd w:val="clear" w:color="auto" w:fill="auto"/>
            <w:vAlign w:val="center"/>
          </w:tcPr>
          <w:p w14:paraId="543C5C8F">
            <w:pPr>
              <w:spacing w:line="560" w:lineRule="exact"/>
              <w:jc w:val="center"/>
              <w:rPr>
                <w:sz w:val="24"/>
                <w:szCs w:val="24"/>
              </w:rPr>
            </w:pPr>
            <w:r>
              <w:rPr>
                <w:sz w:val="24"/>
                <w:szCs w:val="24"/>
              </w:rPr>
              <w:t>5.5</w:t>
            </w:r>
          </w:p>
        </w:tc>
        <w:tc>
          <w:tcPr>
            <w:tcW w:w="2326" w:type="dxa"/>
            <w:gridSpan w:val="2"/>
            <w:tcBorders>
              <w:top w:val="single" w:color="auto" w:sz="4" w:space="0"/>
              <w:left w:val="nil"/>
              <w:bottom w:val="single" w:color="auto" w:sz="4" w:space="0"/>
              <w:right w:val="single" w:color="auto" w:sz="4" w:space="0"/>
            </w:tcBorders>
            <w:shd w:val="clear" w:color="auto" w:fill="auto"/>
            <w:vAlign w:val="center"/>
          </w:tcPr>
          <w:p w14:paraId="367AF20D">
            <w:pPr>
              <w:spacing w:line="560" w:lineRule="exact"/>
              <w:jc w:val="center"/>
              <w:rPr>
                <w:sz w:val="24"/>
                <w:szCs w:val="24"/>
              </w:rPr>
            </w:pPr>
            <w:r>
              <w:rPr>
                <w:sz w:val="24"/>
                <w:szCs w:val="24"/>
              </w:rPr>
              <w:t>8</w:t>
            </w:r>
          </w:p>
        </w:tc>
      </w:tr>
      <w:tr w14:paraId="29F8EE92">
        <w:tblPrEx>
          <w:tblCellMar>
            <w:top w:w="0" w:type="dxa"/>
            <w:left w:w="108" w:type="dxa"/>
            <w:bottom w:w="0" w:type="dxa"/>
            <w:right w:w="108" w:type="dxa"/>
          </w:tblCellMar>
        </w:tblPrEx>
        <w:trPr>
          <w:jc w:val="center"/>
        </w:trPr>
        <w:tc>
          <w:tcPr>
            <w:tcW w:w="4042" w:type="dxa"/>
            <w:tcBorders>
              <w:top w:val="single" w:color="auto" w:sz="4" w:space="0"/>
              <w:left w:val="single" w:color="auto" w:sz="4" w:space="0"/>
              <w:bottom w:val="single" w:color="auto" w:sz="4" w:space="0"/>
              <w:right w:val="single" w:color="auto" w:sz="4" w:space="0"/>
            </w:tcBorders>
            <w:shd w:val="clear" w:color="auto" w:fill="auto"/>
            <w:vAlign w:val="center"/>
          </w:tcPr>
          <w:p w14:paraId="5AC2E4D2">
            <w:pPr>
              <w:spacing w:line="560" w:lineRule="exact"/>
              <w:jc w:val="center"/>
              <w:rPr>
                <w:sz w:val="24"/>
                <w:szCs w:val="24"/>
              </w:rPr>
            </w:pPr>
            <w:r>
              <w:rPr>
                <w:sz w:val="24"/>
                <w:szCs w:val="24"/>
              </w:rPr>
              <w:t>容纳就业人数（万人）</w:t>
            </w:r>
          </w:p>
        </w:tc>
        <w:tc>
          <w:tcPr>
            <w:tcW w:w="2808" w:type="dxa"/>
            <w:gridSpan w:val="2"/>
            <w:tcBorders>
              <w:top w:val="single" w:color="auto" w:sz="4" w:space="0"/>
              <w:left w:val="nil"/>
              <w:bottom w:val="single" w:color="auto" w:sz="4" w:space="0"/>
              <w:right w:val="single" w:color="auto" w:sz="4" w:space="0"/>
            </w:tcBorders>
            <w:shd w:val="clear" w:color="auto" w:fill="auto"/>
            <w:vAlign w:val="center"/>
          </w:tcPr>
          <w:p w14:paraId="19A705E3">
            <w:pPr>
              <w:spacing w:line="560" w:lineRule="exact"/>
              <w:jc w:val="center"/>
              <w:rPr>
                <w:sz w:val="24"/>
                <w:szCs w:val="24"/>
              </w:rPr>
            </w:pPr>
            <w:r>
              <w:rPr>
                <w:sz w:val="24"/>
                <w:szCs w:val="24"/>
              </w:rPr>
              <w:t>15</w:t>
            </w:r>
          </w:p>
        </w:tc>
        <w:tc>
          <w:tcPr>
            <w:tcW w:w="2326" w:type="dxa"/>
            <w:gridSpan w:val="2"/>
            <w:tcBorders>
              <w:top w:val="single" w:color="auto" w:sz="4" w:space="0"/>
              <w:left w:val="nil"/>
              <w:bottom w:val="single" w:color="auto" w:sz="4" w:space="0"/>
              <w:right w:val="single" w:color="auto" w:sz="4" w:space="0"/>
            </w:tcBorders>
            <w:shd w:val="clear" w:color="auto" w:fill="auto"/>
            <w:vAlign w:val="center"/>
          </w:tcPr>
          <w:p w14:paraId="388924FA">
            <w:pPr>
              <w:spacing w:line="560" w:lineRule="exact"/>
              <w:jc w:val="center"/>
              <w:rPr>
                <w:sz w:val="24"/>
                <w:szCs w:val="24"/>
              </w:rPr>
            </w:pPr>
            <w:r>
              <w:rPr>
                <w:sz w:val="24"/>
                <w:szCs w:val="24"/>
              </w:rPr>
              <w:t>20</w:t>
            </w:r>
          </w:p>
        </w:tc>
      </w:tr>
      <w:tr w14:paraId="06EF7055">
        <w:tblPrEx>
          <w:tblCellMar>
            <w:top w:w="0" w:type="dxa"/>
            <w:left w:w="108" w:type="dxa"/>
            <w:bottom w:w="0" w:type="dxa"/>
            <w:right w:w="108" w:type="dxa"/>
          </w:tblCellMar>
        </w:tblPrEx>
        <w:trPr>
          <w:jc w:val="center"/>
        </w:trPr>
        <w:tc>
          <w:tcPr>
            <w:tcW w:w="4042" w:type="dxa"/>
            <w:vMerge w:val="restart"/>
            <w:tcBorders>
              <w:top w:val="nil"/>
              <w:left w:val="single" w:color="auto" w:sz="4" w:space="0"/>
              <w:bottom w:val="single" w:color="auto" w:sz="4" w:space="0"/>
              <w:right w:val="single" w:color="auto" w:sz="4" w:space="0"/>
            </w:tcBorders>
            <w:shd w:val="clear" w:color="auto" w:fill="auto"/>
            <w:vAlign w:val="center"/>
          </w:tcPr>
          <w:p w14:paraId="6086F1E1">
            <w:pPr>
              <w:spacing w:line="560" w:lineRule="exact"/>
              <w:jc w:val="center"/>
              <w:rPr>
                <w:sz w:val="24"/>
                <w:szCs w:val="24"/>
              </w:rPr>
            </w:pPr>
            <w:r>
              <w:rPr>
                <w:sz w:val="24"/>
                <w:szCs w:val="24"/>
              </w:rPr>
              <w:t>电子商务（亿元）</w:t>
            </w:r>
          </w:p>
        </w:tc>
        <w:tc>
          <w:tcPr>
            <w:tcW w:w="1248" w:type="dxa"/>
            <w:tcBorders>
              <w:top w:val="single" w:color="auto" w:sz="4" w:space="0"/>
              <w:left w:val="nil"/>
              <w:bottom w:val="single" w:color="auto" w:sz="4" w:space="0"/>
              <w:right w:val="single" w:color="auto" w:sz="4" w:space="0"/>
            </w:tcBorders>
            <w:shd w:val="clear" w:color="auto" w:fill="auto"/>
            <w:vAlign w:val="center"/>
          </w:tcPr>
          <w:p w14:paraId="6143C26D">
            <w:pPr>
              <w:spacing w:line="560" w:lineRule="exact"/>
              <w:jc w:val="center"/>
              <w:rPr>
                <w:sz w:val="24"/>
                <w:szCs w:val="24"/>
              </w:rPr>
            </w:pPr>
            <w:r>
              <w:rPr>
                <w:sz w:val="24"/>
                <w:szCs w:val="24"/>
              </w:rPr>
              <w:t>交易额</w:t>
            </w:r>
          </w:p>
        </w:tc>
        <w:tc>
          <w:tcPr>
            <w:tcW w:w="1560" w:type="dxa"/>
            <w:tcBorders>
              <w:top w:val="single" w:color="auto" w:sz="4" w:space="0"/>
              <w:left w:val="nil"/>
              <w:bottom w:val="single" w:color="auto" w:sz="4" w:space="0"/>
              <w:right w:val="single" w:color="auto" w:sz="4" w:space="0"/>
            </w:tcBorders>
            <w:shd w:val="clear" w:color="auto" w:fill="auto"/>
            <w:vAlign w:val="center"/>
          </w:tcPr>
          <w:p w14:paraId="14D2C243">
            <w:pPr>
              <w:spacing w:line="560" w:lineRule="exact"/>
              <w:jc w:val="center"/>
              <w:rPr>
                <w:sz w:val="24"/>
                <w:szCs w:val="24"/>
              </w:rPr>
            </w:pPr>
            <w:r>
              <w:rPr>
                <w:sz w:val="24"/>
                <w:szCs w:val="24"/>
              </w:rPr>
              <w:t>年均增长</w:t>
            </w:r>
          </w:p>
        </w:tc>
        <w:tc>
          <w:tcPr>
            <w:tcW w:w="960" w:type="dxa"/>
            <w:tcBorders>
              <w:top w:val="single" w:color="auto" w:sz="4" w:space="0"/>
              <w:left w:val="nil"/>
              <w:bottom w:val="single" w:color="auto" w:sz="4" w:space="0"/>
              <w:right w:val="single" w:color="auto" w:sz="4" w:space="0"/>
            </w:tcBorders>
            <w:shd w:val="clear" w:color="auto" w:fill="auto"/>
            <w:vAlign w:val="center"/>
          </w:tcPr>
          <w:p w14:paraId="5FCF18BF">
            <w:pPr>
              <w:spacing w:line="560" w:lineRule="exact"/>
              <w:jc w:val="center"/>
              <w:rPr>
                <w:sz w:val="24"/>
                <w:szCs w:val="24"/>
              </w:rPr>
            </w:pPr>
            <w:r>
              <w:rPr>
                <w:sz w:val="24"/>
                <w:szCs w:val="24"/>
              </w:rPr>
              <w:t>交易额</w:t>
            </w:r>
          </w:p>
        </w:tc>
        <w:tc>
          <w:tcPr>
            <w:tcW w:w="1366" w:type="dxa"/>
            <w:tcBorders>
              <w:top w:val="single" w:color="auto" w:sz="4" w:space="0"/>
              <w:left w:val="nil"/>
              <w:bottom w:val="single" w:color="auto" w:sz="4" w:space="0"/>
              <w:right w:val="single" w:color="auto" w:sz="4" w:space="0"/>
            </w:tcBorders>
            <w:shd w:val="clear" w:color="auto" w:fill="auto"/>
            <w:vAlign w:val="center"/>
          </w:tcPr>
          <w:p w14:paraId="5C63D04A">
            <w:pPr>
              <w:spacing w:line="560" w:lineRule="exact"/>
              <w:jc w:val="center"/>
              <w:rPr>
                <w:sz w:val="24"/>
                <w:szCs w:val="24"/>
              </w:rPr>
            </w:pPr>
            <w:r>
              <w:rPr>
                <w:sz w:val="24"/>
                <w:szCs w:val="24"/>
              </w:rPr>
              <w:t>年均增长</w:t>
            </w:r>
          </w:p>
        </w:tc>
      </w:tr>
      <w:tr w14:paraId="3F5077F0">
        <w:tblPrEx>
          <w:tblCellMar>
            <w:top w:w="0" w:type="dxa"/>
            <w:left w:w="108" w:type="dxa"/>
            <w:bottom w:w="0" w:type="dxa"/>
            <w:right w:w="108" w:type="dxa"/>
          </w:tblCellMar>
        </w:tblPrEx>
        <w:trPr>
          <w:jc w:val="center"/>
        </w:trPr>
        <w:tc>
          <w:tcPr>
            <w:tcW w:w="4042" w:type="dxa"/>
            <w:vMerge w:val="continue"/>
            <w:tcBorders>
              <w:top w:val="nil"/>
              <w:left w:val="single" w:color="auto" w:sz="4" w:space="0"/>
              <w:bottom w:val="single" w:color="auto" w:sz="4" w:space="0"/>
              <w:right w:val="single" w:color="auto" w:sz="4" w:space="0"/>
            </w:tcBorders>
            <w:shd w:val="clear" w:color="auto" w:fill="auto"/>
            <w:vAlign w:val="center"/>
          </w:tcPr>
          <w:p w14:paraId="2DB9E170">
            <w:pPr>
              <w:rPr>
                <w:sz w:val="20"/>
                <w:szCs w:val="20"/>
              </w:rPr>
            </w:pPr>
          </w:p>
        </w:tc>
        <w:tc>
          <w:tcPr>
            <w:tcW w:w="1248" w:type="dxa"/>
            <w:tcBorders>
              <w:top w:val="single" w:color="auto" w:sz="4" w:space="0"/>
              <w:left w:val="nil"/>
              <w:bottom w:val="single" w:color="auto" w:sz="4" w:space="0"/>
              <w:right w:val="single" w:color="auto" w:sz="4" w:space="0"/>
            </w:tcBorders>
            <w:shd w:val="clear" w:color="auto" w:fill="auto"/>
            <w:vAlign w:val="center"/>
          </w:tcPr>
          <w:p w14:paraId="765EAE5E">
            <w:pPr>
              <w:spacing w:line="560" w:lineRule="exact"/>
              <w:jc w:val="center"/>
              <w:rPr>
                <w:sz w:val="24"/>
                <w:szCs w:val="24"/>
              </w:rPr>
            </w:pPr>
            <w:r>
              <w:rPr>
                <w:sz w:val="24"/>
                <w:szCs w:val="24"/>
              </w:rPr>
              <w:t>150</w:t>
            </w:r>
          </w:p>
        </w:tc>
        <w:tc>
          <w:tcPr>
            <w:tcW w:w="1560" w:type="dxa"/>
            <w:tcBorders>
              <w:top w:val="single" w:color="auto" w:sz="4" w:space="0"/>
              <w:left w:val="nil"/>
              <w:bottom w:val="single" w:color="auto" w:sz="4" w:space="0"/>
              <w:right w:val="single" w:color="auto" w:sz="4" w:space="0"/>
            </w:tcBorders>
            <w:shd w:val="clear" w:color="auto" w:fill="auto"/>
            <w:vAlign w:val="center"/>
          </w:tcPr>
          <w:p w14:paraId="5083503F">
            <w:pPr>
              <w:spacing w:line="560" w:lineRule="exact"/>
              <w:jc w:val="center"/>
              <w:rPr>
                <w:sz w:val="24"/>
                <w:szCs w:val="24"/>
              </w:rPr>
            </w:pPr>
            <w:r>
              <w:rPr>
                <w:sz w:val="24"/>
                <w:szCs w:val="24"/>
              </w:rPr>
              <w:t>20%</w:t>
            </w:r>
          </w:p>
        </w:tc>
        <w:tc>
          <w:tcPr>
            <w:tcW w:w="960" w:type="dxa"/>
            <w:tcBorders>
              <w:top w:val="single" w:color="auto" w:sz="4" w:space="0"/>
              <w:left w:val="nil"/>
              <w:bottom w:val="single" w:color="auto" w:sz="4" w:space="0"/>
              <w:right w:val="single" w:color="auto" w:sz="4" w:space="0"/>
            </w:tcBorders>
            <w:shd w:val="clear" w:color="auto" w:fill="auto"/>
            <w:vAlign w:val="center"/>
          </w:tcPr>
          <w:p w14:paraId="42F120C7">
            <w:pPr>
              <w:spacing w:line="560" w:lineRule="exact"/>
              <w:jc w:val="center"/>
              <w:rPr>
                <w:sz w:val="24"/>
                <w:szCs w:val="24"/>
              </w:rPr>
            </w:pPr>
            <w:r>
              <w:rPr>
                <w:sz w:val="24"/>
                <w:szCs w:val="24"/>
              </w:rPr>
              <w:t>390</w:t>
            </w:r>
          </w:p>
        </w:tc>
        <w:tc>
          <w:tcPr>
            <w:tcW w:w="1366" w:type="dxa"/>
            <w:tcBorders>
              <w:top w:val="single" w:color="auto" w:sz="4" w:space="0"/>
              <w:left w:val="nil"/>
              <w:bottom w:val="single" w:color="auto" w:sz="4" w:space="0"/>
              <w:right w:val="single" w:color="auto" w:sz="4" w:space="0"/>
            </w:tcBorders>
            <w:shd w:val="clear" w:color="auto" w:fill="auto"/>
            <w:vAlign w:val="center"/>
          </w:tcPr>
          <w:p w14:paraId="69CE9E81">
            <w:pPr>
              <w:spacing w:line="560" w:lineRule="exact"/>
              <w:jc w:val="center"/>
              <w:rPr>
                <w:sz w:val="24"/>
                <w:szCs w:val="24"/>
              </w:rPr>
            </w:pPr>
            <w:r>
              <w:rPr>
                <w:sz w:val="24"/>
                <w:szCs w:val="24"/>
              </w:rPr>
              <w:t>10%</w:t>
            </w:r>
          </w:p>
        </w:tc>
      </w:tr>
      <w:tr w14:paraId="7CDC9113">
        <w:tblPrEx>
          <w:tblCellMar>
            <w:top w:w="0" w:type="dxa"/>
            <w:left w:w="108" w:type="dxa"/>
            <w:bottom w:w="0" w:type="dxa"/>
            <w:right w:w="108" w:type="dxa"/>
          </w:tblCellMar>
        </w:tblPrEx>
        <w:trPr>
          <w:jc w:val="center"/>
        </w:trPr>
        <w:tc>
          <w:tcPr>
            <w:tcW w:w="4042" w:type="dxa"/>
            <w:tcBorders>
              <w:top w:val="single" w:color="auto" w:sz="4" w:space="0"/>
              <w:left w:val="single" w:color="auto" w:sz="4" w:space="0"/>
              <w:bottom w:val="single" w:color="auto" w:sz="4" w:space="0"/>
              <w:right w:val="single" w:color="auto" w:sz="4" w:space="0"/>
            </w:tcBorders>
            <w:shd w:val="clear" w:color="auto" w:fill="auto"/>
            <w:vAlign w:val="center"/>
          </w:tcPr>
          <w:p w14:paraId="3FCCA84A">
            <w:pPr>
              <w:spacing w:line="560" w:lineRule="exact"/>
              <w:jc w:val="center"/>
              <w:rPr>
                <w:sz w:val="24"/>
                <w:szCs w:val="24"/>
              </w:rPr>
            </w:pPr>
            <w:r>
              <w:rPr>
                <w:sz w:val="24"/>
                <w:szCs w:val="24"/>
              </w:rPr>
              <w:t>限额以上（规上）商贸企业主体（个）</w:t>
            </w:r>
          </w:p>
        </w:tc>
        <w:tc>
          <w:tcPr>
            <w:tcW w:w="2808" w:type="dxa"/>
            <w:gridSpan w:val="2"/>
            <w:tcBorders>
              <w:top w:val="single" w:color="auto" w:sz="4" w:space="0"/>
              <w:left w:val="nil"/>
              <w:bottom w:val="single" w:color="auto" w:sz="4" w:space="0"/>
              <w:right w:val="single" w:color="auto" w:sz="4" w:space="0"/>
            </w:tcBorders>
            <w:shd w:val="clear" w:color="auto" w:fill="auto"/>
            <w:vAlign w:val="center"/>
          </w:tcPr>
          <w:p w14:paraId="2C7AEF76">
            <w:pPr>
              <w:spacing w:line="560" w:lineRule="exact"/>
              <w:jc w:val="center"/>
              <w:rPr>
                <w:sz w:val="24"/>
                <w:szCs w:val="24"/>
              </w:rPr>
            </w:pPr>
            <w:r>
              <w:rPr>
                <w:sz w:val="24"/>
                <w:szCs w:val="24"/>
              </w:rPr>
              <w:t>200</w:t>
            </w:r>
          </w:p>
        </w:tc>
        <w:tc>
          <w:tcPr>
            <w:tcW w:w="2326" w:type="dxa"/>
            <w:gridSpan w:val="2"/>
            <w:tcBorders>
              <w:top w:val="single" w:color="auto" w:sz="4" w:space="0"/>
              <w:left w:val="nil"/>
              <w:bottom w:val="single" w:color="auto" w:sz="4" w:space="0"/>
              <w:right w:val="single" w:color="auto" w:sz="4" w:space="0"/>
            </w:tcBorders>
            <w:shd w:val="clear" w:color="auto" w:fill="auto"/>
            <w:vAlign w:val="center"/>
          </w:tcPr>
          <w:p w14:paraId="6D38EE33">
            <w:pPr>
              <w:spacing w:line="560" w:lineRule="exact"/>
              <w:jc w:val="center"/>
              <w:rPr>
                <w:sz w:val="24"/>
                <w:szCs w:val="24"/>
              </w:rPr>
            </w:pPr>
            <w:r>
              <w:rPr>
                <w:sz w:val="24"/>
                <w:szCs w:val="24"/>
              </w:rPr>
              <w:t xml:space="preserve">300 </w:t>
            </w:r>
          </w:p>
        </w:tc>
      </w:tr>
    </w:tbl>
    <w:p w14:paraId="73270AD5">
      <w:pPr>
        <w:autoSpaceDE w:val="0"/>
        <w:spacing w:line="560" w:lineRule="exact"/>
        <w:ind w:firstLine="632" w:firstLineChars="200"/>
        <w:rPr>
          <w:rFonts w:eastAsia="方正黑体_GBK"/>
          <w:szCs w:val="32"/>
        </w:rPr>
      </w:pPr>
      <w:r>
        <w:rPr>
          <w:rFonts w:eastAsia="方正黑体_GBK"/>
          <w:szCs w:val="32"/>
        </w:rPr>
        <w:t>五、商贸服务业空间结构布局</w:t>
      </w:r>
    </w:p>
    <w:p w14:paraId="734BF643">
      <w:pPr>
        <w:autoSpaceDE w:val="0"/>
        <w:spacing w:line="560" w:lineRule="exact"/>
        <w:ind w:firstLine="632" w:firstLineChars="200"/>
        <w:rPr>
          <w:szCs w:val="32"/>
        </w:rPr>
      </w:pPr>
      <w:r>
        <w:rPr>
          <w:szCs w:val="32"/>
        </w:rPr>
        <w:t>以促进县域商贸服务高质量发展为目标，坚持以点带面、以旧带新的思想，营建</w:t>
      </w:r>
      <w:r>
        <w:rPr>
          <w:rFonts w:hint="eastAsia"/>
          <w:szCs w:val="32"/>
        </w:rPr>
        <w:t>“</w:t>
      </w:r>
      <w:r>
        <w:rPr>
          <w:szCs w:val="32"/>
        </w:rPr>
        <w:t>一圈、两园、十重点、多特色</w:t>
      </w:r>
      <w:r>
        <w:rPr>
          <w:rFonts w:hint="eastAsia"/>
          <w:szCs w:val="32"/>
        </w:rPr>
        <w:t>”</w:t>
      </w:r>
      <w:r>
        <w:rPr>
          <w:szCs w:val="32"/>
        </w:rPr>
        <w:t>的总体空间格局，建成以中心城区核心商圈为重点，组团商业区为辐射，乡镇商业为延伸，体系完整、功能完善、结构优化、布局合理、城乡统筹的商业体系，彰显酉阳的原真武陵魅力，激发生态资源化创新功能，人与自然和谐宜居新典范，绘就乡村振兴的壮美画卷。</w:t>
      </w:r>
    </w:p>
    <w:p w14:paraId="4BC50ED5">
      <w:pPr>
        <w:autoSpaceDE w:val="0"/>
        <w:spacing w:line="560" w:lineRule="exact"/>
        <w:ind w:firstLine="632" w:firstLineChars="200"/>
        <w:rPr>
          <w:szCs w:val="32"/>
        </w:rPr>
      </w:pPr>
      <w:r>
        <w:rPr>
          <w:szCs w:val="32"/>
        </w:rPr>
        <w:t>一圈：老城和桃花源新城组成的核心消费商圈。</w:t>
      </w:r>
    </w:p>
    <w:p w14:paraId="406DCCAC">
      <w:pPr>
        <w:autoSpaceDE w:val="0"/>
        <w:spacing w:line="560" w:lineRule="exact"/>
        <w:ind w:firstLine="632" w:firstLineChars="200"/>
        <w:rPr>
          <w:szCs w:val="32"/>
        </w:rPr>
      </w:pPr>
      <w:r>
        <w:rPr>
          <w:szCs w:val="32"/>
        </w:rPr>
        <w:t>老城：坚持突出酉阳特色，提升城市核心商圈功能，打造特色景区，加快消费场景和消费设施建设，培育消费产业新业态，配置富有酉州古城土家特色和桃花源文化特色的品牌商铺、影院、餐饮、土家生活体验馆、土家特色小店、休闲娱乐场所、五星级酒店等业态，建设集休闲、娱乐、餐饮、购物、商务等复合型功能的文商旅综合体，满足群众和游客吃穿住行各方面的需求，促进老城商贸业发展。</w:t>
      </w:r>
    </w:p>
    <w:p w14:paraId="21D1BA4E">
      <w:pPr>
        <w:autoSpaceDE w:val="0"/>
        <w:spacing w:line="560" w:lineRule="exact"/>
        <w:ind w:firstLine="632" w:firstLineChars="200"/>
        <w:rPr>
          <w:szCs w:val="32"/>
        </w:rPr>
      </w:pPr>
      <w:r>
        <w:rPr>
          <w:szCs w:val="32"/>
        </w:rPr>
        <w:t>桃花源新城：坚持高点定位，坚持提升老城与开发新城相结合，做好区域功能定位，合理布局新老城市功能，做到新旧互动，兼顾疏解和发展需求，实现老城区提品质，新城区高品质。深挖利用桃花源文化、红色文化、土家文化等传统优秀文化，进一步赋予新城文化内涵，依托</w:t>
      </w:r>
      <w:r>
        <w:rPr>
          <w:rFonts w:hint="eastAsia"/>
          <w:szCs w:val="32"/>
        </w:rPr>
        <w:t>“</w:t>
      </w:r>
      <w:r>
        <w:rPr>
          <w:szCs w:val="32"/>
        </w:rPr>
        <w:t>两山</w:t>
      </w:r>
      <w:r>
        <w:rPr>
          <w:rFonts w:hint="eastAsia"/>
          <w:szCs w:val="32"/>
        </w:rPr>
        <w:t>”</w:t>
      </w:r>
      <w:r>
        <w:rPr>
          <w:szCs w:val="32"/>
        </w:rPr>
        <w:t>理论、独有特色生态优势资源，打造文旅融合发展新标杆、绿色创新发展新高地，探索酉阳经验，赋予生态价值，发展康养度假产业。优化发展桃花源新城组团，引进五星级酒店，重点发展会场展馆、商业特色街区、知名商贸综合体。将桃花源新城商贸集聚区打造成旅游商品专业市场群，商旅融合综合体。推进学校、医院、商住房小区集聚发展。建设特色商业街，发展具有酉阳民族特色的餐饮、娱乐等一条街。打造会展场馆，发展会展经济以及其他商业配套体系。</w:t>
      </w:r>
    </w:p>
    <w:p w14:paraId="7F2D8EF5">
      <w:pPr>
        <w:autoSpaceDE w:val="0"/>
        <w:spacing w:line="560" w:lineRule="exact"/>
        <w:ind w:firstLine="632" w:firstLineChars="200"/>
        <w:rPr>
          <w:szCs w:val="32"/>
        </w:rPr>
      </w:pPr>
      <w:r>
        <w:rPr>
          <w:szCs w:val="32"/>
        </w:rPr>
        <w:t>两园：板溪公路物流园和渝东南现代物流园。</w:t>
      </w:r>
    </w:p>
    <w:p w14:paraId="25F035E7">
      <w:pPr>
        <w:autoSpaceDE w:val="0"/>
        <w:spacing w:line="560" w:lineRule="exact"/>
        <w:ind w:firstLine="632" w:firstLineChars="200"/>
        <w:rPr>
          <w:szCs w:val="32"/>
        </w:rPr>
      </w:pPr>
      <w:r>
        <w:rPr>
          <w:szCs w:val="32"/>
        </w:rPr>
        <w:t>板溪公路物流园：大力推进从生活消费品到农产品、货运方式联动的综合物流市场，打造绿色产业集聚地、城市商贸物流中心、电商服务中心、农产品及电商产品展示展销中心为一体的升级版电商产业园，将板溪综合物流市场建设成为西部陆海新通道生鲜食材集散节点，着力打造成渝地区双城经济圈的</w:t>
      </w:r>
      <w:r>
        <w:rPr>
          <w:rFonts w:hint="eastAsia"/>
          <w:szCs w:val="32"/>
        </w:rPr>
        <w:t>“</w:t>
      </w:r>
      <w:r>
        <w:rPr>
          <w:szCs w:val="32"/>
        </w:rPr>
        <w:t>保鲜柜</w:t>
      </w:r>
      <w:r>
        <w:rPr>
          <w:rFonts w:hint="eastAsia"/>
          <w:szCs w:val="32"/>
        </w:rPr>
        <w:t>”</w:t>
      </w:r>
      <w:r>
        <w:rPr>
          <w:szCs w:val="32"/>
        </w:rPr>
        <w:t>。着力打造家具、建材和汽车交易市场。实施板溪园城一体化建设，规划购物中心，打造特色商业街，完善餐饮住宿及相应社区商业等业态，推动纺织服装、仓储物流业集聚集群发展，培育现代服务业集聚区。</w:t>
      </w:r>
    </w:p>
    <w:p w14:paraId="79EEE49A">
      <w:pPr>
        <w:autoSpaceDE w:val="0"/>
        <w:spacing w:line="560" w:lineRule="exact"/>
        <w:ind w:firstLine="632" w:firstLineChars="200"/>
        <w:rPr>
          <w:szCs w:val="32"/>
        </w:rPr>
      </w:pPr>
      <w:r>
        <w:rPr>
          <w:szCs w:val="32"/>
        </w:rPr>
        <w:t>渝东南现代物流园：利用酉阳渝东南地理位置优势和西部陆海新通道建设机遇，健全完善麻旺渝东南现代物流园功能，推进大宗物资集散中心、城市配送物流和农产品物流建设，建设高效便捷、通达顺畅、绿色安全的现代物流服务体系。将麻旺现代物流园打造成为100亿级大宗物资集散中心，使之成为大宗物资进出酉阳的载体，为2035年打造大宗物资期货交易中心的远景规划打下基础。改扩建渝东南现代物流园，建成中石化成品油库6.5万立方米。实施麻旺滨河路综合体开发，配套建设商业贸易区，突出餐饮、文化娱乐功能。在商业集聚区选址设立综合超市和智慧农贸市场。</w:t>
      </w:r>
    </w:p>
    <w:p w14:paraId="1347C5DF">
      <w:pPr>
        <w:autoSpaceDE w:val="0"/>
        <w:spacing w:line="560" w:lineRule="exact"/>
        <w:ind w:firstLine="632" w:firstLineChars="200"/>
        <w:rPr>
          <w:szCs w:val="32"/>
        </w:rPr>
      </w:pPr>
      <w:r>
        <w:rPr>
          <w:szCs w:val="32"/>
        </w:rPr>
        <w:t>十重点：花田乡、龙潭镇、龚滩镇、酉酬镇、南腰界镇、万木镇、兴隆镇、苍岭镇、李溪镇、丁市镇十个重点商贸强（乡）镇。</w:t>
      </w:r>
    </w:p>
    <w:p w14:paraId="227DAA5C">
      <w:pPr>
        <w:autoSpaceDE w:val="0"/>
        <w:spacing w:line="560" w:lineRule="exact"/>
        <w:ind w:firstLine="632" w:firstLineChars="200"/>
        <w:rPr>
          <w:szCs w:val="32"/>
        </w:rPr>
      </w:pPr>
      <w:r>
        <w:rPr>
          <w:szCs w:val="32"/>
        </w:rPr>
        <w:t>历史文化名镇：龙潭镇、龚滩镇。充分利用龙潭</w:t>
      </w:r>
      <w:r>
        <w:rPr>
          <w:rFonts w:hint="eastAsia"/>
          <w:szCs w:val="32"/>
        </w:rPr>
        <w:t>“</w:t>
      </w:r>
      <w:r>
        <w:rPr>
          <w:szCs w:val="32"/>
        </w:rPr>
        <w:t>全国历史文化名镇</w:t>
      </w:r>
      <w:r>
        <w:rPr>
          <w:rFonts w:hint="eastAsia"/>
          <w:szCs w:val="32"/>
        </w:rPr>
        <w:t>”“</w:t>
      </w:r>
      <w:r>
        <w:rPr>
          <w:szCs w:val="32"/>
        </w:rPr>
        <w:t>重庆市十大名镇</w:t>
      </w:r>
      <w:r>
        <w:rPr>
          <w:rFonts w:hint="eastAsia"/>
          <w:szCs w:val="32"/>
        </w:rPr>
        <w:t>”“</w:t>
      </w:r>
      <w:r>
        <w:rPr>
          <w:szCs w:val="32"/>
        </w:rPr>
        <w:t>红色经典旅游景区</w:t>
      </w:r>
      <w:r>
        <w:rPr>
          <w:rFonts w:hint="eastAsia"/>
          <w:szCs w:val="32"/>
        </w:rPr>
        <w:t>”</w:t>
      </w:r>
      <w:r>
        <w:rPr>
          <w:szCs w:val="32"/>
        </w:rPr>
        <w:t>等知名品牌和龚滩古镇特色建筑风貌和自然山水，结合旅游产业的打造，建设发展乡村旅游景点、旅店和星级农家乐，引入五星级酒店，大力发展民俗文化体验、古镇度假旅居、山水观光休闲等，在龙潭古镇和龚滩古镇分别打造历史文化商业街。</w:t>
      </w:r>
    </w:p>
    <w:p w14:paraId="33BCC1E6">
      <w:pPr>
        <w:autoSpaceDE w:val="0"/>
        <w:spacing w:line="560" w:lineRule="exact"/>
        <w:ind w:firstLine="632" w:firstLineChars="200"/>
        <w:rPr>
          <w:szCs w:val="32"/>
        </w:rPr>
      </w:pPr>
      <w:r>
        <w:rPr>
          <w:szCs w:val="32"/>
        </w:rPr>
        <w:t>农商互联小镇：李溪镇、酉酬镇、兴隆镇、丁市镇。依托以上小镇丰富的农业资源和农产品种类，培育打造农产品品牌，加强农产品流通基础设施建设，打造全产业链条标准体系，加快推进农产品产销对接，发展新型农业经营主体。</w:t>
      </w:r>
    </w:p>
    <w:p w14:paraId="1FC6BA4D">
      <w:pPr>
        <w:autoSpaceDE w:val="0"/>
        <w:spacing w:line="560" w:lineRule="exact"/>
        <w:ind w:firstLine="632" w:firstLineChars="200"/>
        <w:rPr>
          <w:szCs w:val="32"/>
        </w:rPr>
      </w:pPr>
      <w:r>
        <w:rPr>
          <w:szCs w:val="32"/>
        </w:rPr>
        <w:t>农文商旅融合小镇：花田乡、南腰界镇、万木镇、苍岭镇。依托花田乡以梯田、稻米为主的农业资源，南腰界镇独特的红色文化资源，万木镇</w:t>
      </w:r>
      <w:r>
        <w:rPr>
          <w:rFonts w:hint="eastAsia"/>
          <w:szCs w:val="32"/>
        </w:rPr>
        <w:t>“</w:t>
      </w:r>
      <w:r>
        <w:rPr>
          <w:szCs w:val="32"/>
        </w:rPr>
        <w:t>乌江百里画廊</w:t>
      </w:r>
      <w:r>
        <w:rPr>
          <w:rFonts w:hint="eastAsia"/>
          <w:szCs w:val="32"/>
        </w:rPr>
        <w:t>”</w:t>
      </w:r>
      <w:r>
        <w:rPr>
          <w:szCs w:val="32"/>
        </w:rPr>
        <w:t>和苍岭镇阿蓬江优秀的旅游资源，大力发展生态观光旅游。重点推进</w:t>
      </w:r>
      <w:r>
        <w:rPr>
          <w:rFonts w:hint="eastAsia"/>
          <w:szCs w:val="32"/>
        </w:rPr>
        <w:t>“</w:t>
      </w:r>
      <w:r>
        <w:rPr>
          <w:szCs w:val="32"/>
        </w:rPr>
        <w:t>清水走廊</w:t>
      </w:r>
      <w:r>
        <w:rPr>
          <w:rFonts w:hint="eastAsia"/>
          <w:szCs w:val="32"/>
        </w:rPr>
        <w:t>”</w:t>
      </w:r>
      <w:r>
        <w:rPr>
          <w:szCs w:val="32"/>
        </w:rPr>
        <w:t>、民宿客栈、渝黔文化商贸一条街等项目建设，积极引入赏景、游乐、采摘、摄影等休闲娱乐项目，促进农文商旅融合发展。</w:t>
      </w:r>
    </w:p>
    <w:p w14:paraId="22D006F2">
      <w:pPr>
        <w:autoSpaceDE w:val="0"/>
        <w:spacing w:line="560" w:lineRule="exact"/>
        <w:ind w:firstLine="632" w:firstLineChars="200"/>
        <w:rPr>
          <w:szCs w:val="32"/>
        </w:rPr>
      </w:pPr>
      <w:r>
        <w:rPr>
          <w:szCs w:val="32"/>
        </w:rPr>
        <w:t>多特色：县域内其他商贸特色小镇。大溪镇、黑水镇、龚滩镇、泔溪镇、酉水河镇、小河镇、涂市镇、铜鼓镇、可大乡、偏柏乡、五福镇、木叶乡、毛坝乡、后坪乡、天馆乡、宜居乡、万木镇、两罾乡、板桥乡、官清乡、车田乡、腴地乡、清泉乡、庙溪乡、浪坪乡、双泉乡、楠木乡根据自然资源、水利、气候等条件发展符合自身特色的商贸服务之路。</w:t>
      </w:r>
    </w:p>
    <w:p w14:paraId="231E292C">
      <w:pPr>
        <w:autoSpaceDE w:val="0"/>
        <w:spacing w:line="560" w:lineRule="exact"/>
        <w:ind w:firstLine="632" w:firstLineChars="200"/>
        <w:rPr>
          <w:rFonts w:eastAsia="方正黑体_GBK"/>
          <w:szCs w:val="32"/>
        </w:rPr>
      </w:pPr>
      <w:r>
        <w:rPr>
          <w:rFonts w:eastAsia="方正黑体_GBK"/>
          <w:szCs w:val="32"/>
        </w:rPr>
        <w:t>六、发展重点</w:t>
      </w:r>
    </w:p>
    <w:p w14:paraId="24D7FBC4">
      <w:pPr>
        <w:autoSpaceDE w:val="0"/>
        <w:spacing w:line="560" w:lineRule="exact"/>
        <w:ind w:firstLine="632" w:firstLineChars="200"/>
        <w:rPr>
          <w:szCs w:val="32"/>
        </w:rPr>
      </w:pPr>
      <w:r>
        <w:rPr>
          <w:szCs w:val="32"/>
        </w:rPr>
        <w:t>着力构建多层次、功能完善、服务能力强大的现代化商贸服务业体系，加快制定行业发展规划、管理服务规范，加大调控力度，打通商贸服务瓶颈，释放企业活力，推动我县商贸服务业再上新台阶，把酉阳建设成高水平的区域性现代商贸强县。通过完善城乡消费基础设施建设，健全城乡物流网络，打造特色商业街，释放农村消费潜力等一系列</w:t>
      </w:r>
      <w:r>
        <w:rPr>
          <w:rFonts w:hint="eastAsia"/>
          <w:szCs w:val="32"/>
        </w:rPr>
        <w:t>“</w:t>
      </w:r>
      <w:r>
        <w:rPr>
          <w:szCs w:val="32"/>
        </w:rPr>
        <w:t>组合拳</w:t>
      </w:r>
      <w:r>
        <w:rPr>
          <w:rFonts w:hint="eastAsia"/>
          <w:szCs w:val="32"/>
        </w:rPr>
        <w:t>”</w:t>
      </w:r>
      <w:r>
        <w:rPr>
          <w:szCs w:val="32"/>
        </w:rPr>
        <w:t>，力促农文商旅融合发展，为商贸服务业发展积蓄强大后劲，推动市场转型升级。到2025年，全社会消费品零售总额力争达到200亿元，年均增速20%。</w:t>
      </w:r>
    </w:p>
    <w:p w14:paraId="4D644F57">
      <w:pPr>
        <w:autoSpaceDE w:val="0"/>
        <w:spacing w:line="560" w:lineRule="exact"/>
        <w:ind w:firstLine="632" w:firstLineChars="200"/>
        <w:rPr>
          <w:szCs w:val="32"/>
        </w:rPr>
      </w:pPr>
      <w:r>
        <w:rPr>
          <w:rFonts w:eastAsia="方正楷体_GBK"/>
          <w:szCs w:val="32"/>
        </w:rPr>
        <w:t>（一）推进商圈建设，构建多层次商圈发展体系。</w:t>
      </w:r>
      <w:r>
        <w:rPr>
          <w:szCs w:val="32"/>
        </w:rPr>
        <w:t>全力打造和提升桃花源新城特色商圈，积极推进以城市综合体为主要载体的龙潭新城区商圈建设，加快社区一刻钟便民商圈建设，重点推进龙潭、麻旺、龚滩等市级中心镇商圈建设。加大高端品牌首入店、旗舰店、体验店招商力度，吸引一批时尚品牌、国际消费品牌入驻，汇聚顶级消费资源，打造消费新地标。</w:t>
      </w:r>
    </w:p>
    <w:p w14:paraId="43C7C630">
      <w:pPr>
        <w:autoSpaceDE w:val="0"/>
        <w:spacing w:line="560" w:lineRule="exact"/>
        <w:ind w:firstLine="632" w:firstLineChars="200"/>
        <w:rPr>
          <w:szCs w:val="32"/>
        </w:rPr>
      </w:pPr>
      <w:r>
        <w:rPr>
          <w:szCs w:val="32"/>
        </w:rPr>
        <w:t>实现特色商业街区提档升级。加速推进酉州古城、酉水河风情街、龚滩土家风情文化街等特色商业街区提档升级，完善酉州古城中华美食街的配套设施，扩大特色商业街区辐射区域。依托酉州古城独特的土家文化和桃花源文化优势，打造特色景区，引进有特色的品牌商铺、影院、休闲娱乐场所等业态，建设集商品消费、休闲娱乐、购物、商务等复合型功能的文旅商融合体，完善基础消费设施建设，培育商圈消费产业新业态。</w:t>
      </w:r>
    </w:p>
    <w:p w14:paraId="3206F68B">
      <w:pPr>
        <w:autoSpaceDE w:val="0"/>
        <w:spacing w:line="560" w:lineRule="exact"/>
        <w:ind w:firstLine="632" w:firstLineChars="200"/>
        <w:rPr>
          <w:szCs w:val="32"/>
        </w:rPr>
      </w:pPr>
      <w:r>
        <w:rPr>
          <w:szCs w:val="32"/>
        </w:rPr>
        <w:t>打造桃花源新城特色商圈。整合桃花源新城商圈商业资源，依托酉阳特有土家文化、桃花源文化、自然资源等优势，持续引进华盛堂、永辉超市、国美电器等大型商贸企业和电商品牌，树立酉阳商业品牌形象，形成集旅游、商务、购物、餐饮、酒店、会展和休闲娱乐服务等功能于一体的武陵山区最大和最有特色的城市核心商圈。</w:t>
      </w:r>
    </w:p>
    <w:p w14:paraId="0563320A">
      <w:pPr>
        <w:autoSpaceDE w:val="0"/>
        <w:spacing w:line="560" w:lineRule="exact"/>
        <w:ind w:firstLine="632" w:firstLineChars="200"/>
        <w:rPr>
          <w:szCs w:val="32"/>
        </w:rPr>
      </w:pPr>
      <w:r>
        <w:rPr>
          <w:rFonts w:eastAsia="方正楷体_GBK"/>
          <w:szCs w:val="32"/>
        </w:rPr>
        <w:t>（二）着力建设专业市场，全面提升服务能力。</w:t>
      </w:r>
      <w:r>
        <w:rPr>
          <w:szCs w:val="32"/>
        </w:rPr>
        <w:t>立足国内国际双循环，发挥酉阳比较优势，积极融入</w:t>
      </w:r>
      <w:r>
        <w:rPr>
          <w:rFonts w:hint="eastAsia"/>
          <w:szCs w:val="32"/>
        </w:rPr>
        <w:t>“</w:t>
      </w:r>
      <w:r>
        <w:rPr>
          <w:szCs w:val="32"/>
        </w:rPr>
        <w:t>一带一路</w:t>
      </w:r>
      <w:r>
        <w:rPr>
          <w:rFonts w:hint="eastAsia"/>
          <w:szCs w:val="32"/>
        </w:rPr>
        <w:t>”</w:t>
      </w:r>
      <w:r>
        <w:rPr>
          <w:szCs w:val="32"/>
        </w:rPr>
        <w:t>、西部陆海新通道和</w:t>
      </w:r>
      <w:r>
        <w:rPr>
          <w:rFonts w:hint="eastAsia"/>
          <w:szCs w:val="32"/>
          <w:lang w:eastAsia="zh-CN"/>
        </w:rPr>
        <w:t>成渝地区双城经济圈</w:t>
      </w:r>
      <w:r>
        <w:rPr>
          <w:szCs w:val="32"/>
        </w:rPr>
        <w:t>建设，利用自身矿产、水利、森林，中药材、农产品等资源优势，做大做强农副产品、中药材、汽车交易、家居、再生资源、旅游商品等专业市场，提高市场经营水平。</w:t>
      </w:r>
    </w:p>
    <w:p w14:paraId="10A859C2">
      <w:pPr>
        <w:autoSpaceDE w:val="0"/>
        <w:spacing w:line="560" w:lineRule="exact"/>
        <w:ind w:firstLine="632" w:firstLineChars="200"/>
        <w:rPr>
          <w:szCs w:val="32"/>
        </w:rPr>
      </w:pPr>
      <w:r>
        <w:rPr>
          <w:szCs w:val="32"/>
        </w:rPr>
        <w:t>提质专业市场建设。依托板溪综合物流市场基础建设一批专业市场，打造辐射能力较强的专业市场集群，增强酉阳商贸聚集和辐射力。重点建设渝东南农产品交易市场、中药材交易市场、汽车交易市场、家居建材市场、旅游商品交易市场、再生资源集散交易等专业市场。积极建设大溪、李溪、南腰界、龚滩、兴隆等边贸市场，加快推进城区菜市场和乡镇农贸市场的改造提升，形成对周边区域有较强辐射影响力的商业中心。建成业态集聚、功能齐备的商贸集散枢纽，促进产业与市场共同发展。</w:t>
      </w:r>
    </w:p>
    <w:p w14:paraId="56A77446">
      <w:pPr>
        <w:autoSpaceDE w:val="0"/>
        <w:spacing w:line="560" w:lineRule="exact"/>
        <w:ind w:firstLine="632" w:firstLineChars="200"/>
        <w:rPr>
          <w:szCs w:val="32"/>
        </w:rPr>
      </w:pPr>
      <w:r>
        <w:rPr>
          <w:szCs w:val="32"/>
        </w:rPr>
        <w:t>提升专业市场服务能力。巩固专业市场传统优势，培育品牌孵化、商品外贸等新型功能，为消费者和采购商提供更加专业全面的服务，提升顾客消费体验感和获得感，提升专业市场服务能力。在酉阳城南打造智慧农贸市场，实现集线上交易、线下配送，食品安全追溯，智能称重，市场大数据智能客流及销售商品销量分析于一体的专业市场。整合专业市场内的物流资源，优化物流运作方案，集中对市场内各家货物做统一的配送及提高相关物流增值服务，节省经营户物流成本，提高专业市场的竞争力。</w:t>
      </w:r>
    </w:p>
    <w:p w14:paraId="65D1A221">
      <w:pPr>
        <w:autoSpaceDE w:val="0"/>
        <w:spacing w:line="560" w:lineRule="exact"/>
        <w:ind w:firstLine="632" w:firstLineChars="200"/>
        <w:rPr>
          <w:szCs w:val="32"/>
        </w:rPr>
      </w:pPr>
      <w:r>
        <w:rPr>
          <w:rFonts w:eastAsia="方正楷体_GBK"/>
          <w:szCs w:val="32"/>
        </w:rPr>
        <w:t>（三）大力发展会展产业，培育特色会展品牌。</w:t>
      </w:r>
      <w:r>
        <w:rPr>
          <w:szCs w:val="32"/>
        </w:rPr>
        <w:t>依托生态立县、桃花源品牌、特色民俗等优势，积极融入</w:t>
      </w:r>
      <w:r>
        <w:rPr>
          <w:rFonts w:hint="eastAsia"/>
          <w:szCs w:val="32"/>
        </w:rPr>
        <w:t>“</w:t>
      </w:r>
      <w:r>
        <w:rPr>
          <w:szCs w:val="32"/>
        </w:rPr>
        <w:t>两山</w:t>
      </w:r>
      <w:r>
        <w:rPr>
          <w:rFonts w:hint="eastAsia"/>
          <w:szCs w:val="32"/>
        </w:rPr>
        <w:t>”</w:t>
      </w:r>
      <w:r>
        <w:rPr>
          <w:szCs w:val="32"/>
        </w:rPr>
        <w:t>实践示范区、商旅文融合发展示范区建设，着力创建集会议、展览、奖励旅游、节事活动等功能于一体的会展发展模式，全面提升会展经济。</w:t>
      </w:r>
    </w:p>
    <w:p w14:paraId="7AA40484">
      <w:pPr>
        <w:autoSpaceDE w:val="0"/>
        <w:spacing w:line="560" w:lineRule="exact"/>
        <w:ind w:firstLine="632" w:firstLineChars="200"/>
        <w:rPr>
          <w:szCs w:val="32"/>
        </w:rPr>
      </w:pPr>
      <w:r>
        <w:rPr>
          <w:szCs w:val="32"/>
        </w:rPr>
        <w:t>建设多功能会展场所。在桃花源新城建设一个5万平米的会展场馆，配套展览、会议、食宿、购物、商务、旅游、文化休闲等功能于一体。鼓励会展服务企业开展展馆经营、展位搭建、传媒推广、线上营销等服务，延伸会展服务价值链。建设城南展览展示中心、武陵山名特产品展销中心，努力争取承办市级以上区域性专业会议。坚持以会为主，会议、展览、培训融合发展，通过体制创新，加大会展业政策扶持，大力发展民俗旅游带动会展经济，积极引进有规模、有影响的专业会议、协会和大公司年会，在旅游购物、健康养生、特色乡村消费产品等方面培育一批专业化展会，推动会展经济持续发展。</w:t>
      </w:r>
    </w:p>
    <w:p w14:paraId="144CDAD1">
      <w:pPr>
        <w:autoSpaceDE w:val="0"/>
        <w:spacing w:line="560" w:lineRule="exact"/>
        <w:ind w:firstLine="632" w:firstLineChars="200"/>
        <w:rPr>
          <w:szCs w:val="32"/>
        </w:rPr>
      </w:pPr>
      <w:r>
        <w:rPr>
          <w:szCs w:val="32"/>
        </w:rPr>
        <w:t>举办特色会展，打造会展品牌。继续办好中华土家族摆手舞文化节和国际攀岩大赛，举办桃花源休闲旅游文化节、中国·酉阳桃花源美食节、武陵山区农特产品展销会等节会活动，培育</w:t>
      </w:r>
      <w:r>
        <w:rPr>
          <w:rFonts w:hint="eastAsia"/>
          <w:szCs w:val="32"/>
          <w:lang w:val="en-US" w:eastAsia="zh-CN"/>
        </w:rPr>
        <w:t>辐射</w:t>
      </w:r>
      <w:r>
        <w:rPr>
          <w:szCs w:val="32"/>
        </w:rPr>
        <w:t>周边节庆会展品牌，规范展会管理，引导各类展会市场化、专业化运作。鼓励特色产业乡镇、会展行业协会和企业举办特色展会。大力实施会展业发展战略，综合运用激励制度，鼓励企业建设自主品牌，引导企业注册并规范使用商标、商号，打造一批知名度高、附加值高、竞争力强的酉阳会展品牌。培育打造</w:t>
      </w:r>
      <w:r>
        <w:rPr>
          <w:rFonts w:hint="eastAsia"/>
          <w:szCs w:val="32"/>
        </w:rPr>
        <w:t>“</w:t>
      </w:r>
      <w:r>
        <w:rPr>
          <w:szCs w:val="32"/>
        </w:rPr>
        <w:t>特色农产品博览会</w:t>
      </w:r>
      <w:r>
        <w:rPr>
          <w:rFonts w:hint="eastAsia"/>
          <w:szCs w:val="32"/>
        </w:rPr>
        <w:t>”“</w:t>
      </w:r>
      <w:r>
        <w:rPr>
          <w:szCs w:val="32"/>
        </w:rPr>
        <w:t>康养博览会</w:t>
      </w:r>
      <w:r>
        <w:rPr>
          <w:rFonts w:hint="eastAsia"/>
          <w:szCs w:val="32"/>
        </w:rPr>
        <w:t>”“</w:t>
      </w:r>
      <w:r>
        <w:rPr>
          <w:szCs w:val="32"/>
        </w:rPr>
        <w:t>特色旅游博览会</w:t>
      </w:r>
      <w:r>
        <w:rPr>
          <w:rFonts w:hint="eastAsia"/>
          <w:szCs w:val="32"/>
        </w:rPr>
        <w:t>”</w:t>
      </w:r>
      <w:r>
        <w:rPr>
          <w:szCs w:val="32"/>
        </w:rPr>
        <w:t>等特色会展品牌。以会展中心为载体，打响</w:t>
      </w:r>
      <w:r>
        <w:rPr>
          <w:rFonts w:hint="eastAsia"/>
          <w:szCs w:val="32"/>
        </w:rPr>
        <w:t>“</w:t>
      </w:r>
      <w:r>
        <w:rPr>
          <w:szCs w:val="32"/>
        </w:rPr>
        <w:t>购酉阳</w:t>
      </w:r>
      <w:r>
        <w:rPr>
          <w:rFonts w:hint="eastAsia"/>
          <w:szCs w:val="32"/>
        </w:rPr>
        <w:t>”</w:t>
      </w:r>
      <w:r>
        <w:rPr>
          <w:szCs w:val="32"/>
        </w:rPr>
        <w:t>品牌。塑造酉阳特色会展品牌形象，提升酉阳产品知名度和影响力，促进品牌消费、品质消费。</w:t>
      </w:r>
    </w:p>
    <w:p w14:paraId="0D1EE882">
      <w:pPr>
        <w:autoSpaceDE w:val="0"/>
        <w:spacing w:line="560" w:lineRule="exact"/>
        <w:ind w:firstLine="632" w:firstLineChars="200"/>
        <w:rPr>
          <w:szCs w:val="32"/>
        </w:rPr>
      </w:pPr>
      <w:r>
        <w:rPr>
          <w:szCs w:val="32"/>
        </w:rPr>
        <w:t>推动会展业与其他产业的联动发展。充分发挥会展业的带动作用，促进市场要素合理流动和有效配置，推动一、二、三产业联动发展；大力发展会展相关产业，构建以交通运输、通信、金融、旅游、餐饮、住宿业、教育等为支撑，广告、策划、印刷、装修等为配套的产业集群，形成行业配套、产业协作、运行高效的会展业服务体系。</w:t>
      </w:r>
    </w:p>
    <w:p w14:paraId="6B4BC6CE">
      <w:pPr>
        <w:autoSpaceDE w:val="0"/>
        <w:spacing w:line="560" w:lineRule="exact"/>
        <w:ind w:firstLine="632" w:firstLineChars="200"/>
        <w:rPr>
          <w:szCs w:val="32"/>
        </w:rPr>
      </w:pPr>
      <w:r>
        <w:rPr>
          <w:rFonts w:eastAsia="方正楷体_GBK"/>
          <w:szCs w:val="32"/>
        </w:rPr>
        <w:t>（四）打造餐住新地标，推动餐住业创新发展。</w:t>
      </w:r>
      <w:r>
        <w:rPr>
          <w:szCs w:val="32"/>
        </w:rPr>
        <w:t>以质量品牌为重点，充分利用商旅融合、品牌连锁、互联网思维等途径，做响酉州古城</w:t>
      </w:r>
      <w:r>
        <w:rPr>
          <w:rFonts w:hint="eastAsia"/>
          <w:szCs w:val="32"/>
        </w:rPr>
        <w:t>“</w:t>
      </w:r>
      <w:r>
        <w:rPr>
          <w:szCs w:val="32"/>
        </w:rPr>
        <w:t>中华美食街</w:t>
      </w:r>
      <w:r>
        <w:rPr>
          <w:rFonts w:hint="eastAsia"/>
          <w:szCs w:val="32"/>
        </w:rPr>
        <w:t>”</w:t>
      </w:r>
      <w:r>
        <w:rPr>
          <w:szCs w:val="32"/>
        </w:rPr>
        <w:t>称号，促进消费向绿色、健康、安全发展，提升传统消费，培育新型消费，提升餐饮、住宿服务品质，打造餐住行业新地标。</w:t>
      </w:r>
    </w:p>
    <w:p w14:paraId="4795F6CD">
      <w:pPr>
        <w:autoSpaceDE w:val="0"/>
        <w:spacing w:line="560" w:lineRule="exact"/>
        <w:ind w:firstLine="632" w:firstLineChars="200"/>
        <w:rPr>
          <w:szCs w:val="32"/>
        </w:rPr>
      </w:pPr>
      <w:r>
        <w:rPr>
          <w:szCs w:val="32"/>
        </w:rPr>
        <w:t>构建多层次住宿业发展体系。以实施</w:t>
      </w:r>
      <w:r>
        <w:rPr>
          <w:rFonts w:hint="eastAsia"/>
          <w:szCs w:val="32"/>
          <w:lang w:eastAsia="zh-CN"/>
        </w:rPr>
        <w:t>乡村振兴</w:t>
      </w:r>
      <w:r>
        <w:rPr>
          <w:szCs w:val="32"/>
        </w:rPr>
        <w:t>为切入点，建设一批高端化、全配套、服务优的高星级酒店，发展经济型酒店，创建绿色饭店、星级酒店、星级民宿、星级农家旅馆。至2025年，建成三星级以上酒店30个以上，其中，五星级酒店2-4个，确保星级农家旅馆、星级民宿实现建制镇全覆盖。高档次酒店建设方面。重点布局建设酉阳桃花源新城、老城，到2025年引入2-4家五星级酒店、国家绿色饭店，基本满足区内外高端商务、会展和旅游对高档次酒店住宿的需求。商务酒店建设方面。在引导推进高星级酒店建设的同时，在各大商圈、商务区以及花田等旅游景点，积极引导和规范发展绿色饭店、连锁商务酒店，满足大众化酒店住宿需求。重点在花田、南腰界引进连锁酒店，创建特色民宿，打造农家乐特色小镇，服务于酉阳高品质生活提升和旅游产业发展。农家乐住宿建设方面。适应城市居民休闲度假和乡村旅游观光持续上升的消费需求，充分利用区内丰富的观光旅游资源，重点在龚滩、龙潭、桃花源、花田、乌江百里画廊、赵世炎故居等重点旅游景区规划打造休闲度假、乡村观光旅游基地。依托桃花源新城和花田—菖蒲盖组团</w:t>
      </w:r>
      <w:r>
        <w:rPr>
          <w:rFonts w:hint="eastAsia"/>
          <w:szCs w:val="32"/>
        </w:rPr>
        <w:t>“</w:t>
      </w:r>
      <w:r>
        <w:rPr>
          <w:szCs w:val="32"/>
        </w:rPr>
        <w:t>产城景</w:t>
      </w:r>
      <w:r>
        <w:rPr>
          <w:rFonts w:hint="eastAsia"/>
          <w:szCs w:val="32"/>
        </w:rPr>
        <w:t>”“</w:t>
      </w:r>
      <w:r>
        <w:rPr>
          <w:szCs w:val="32"/>
        </w:rPr>
        <w:t>农商旅</w:t>
      </w:r>
      <w:r>
        <w:rPr>
          <w:rFonts w:hint="eastAsia"/>
          <w:szCs w:val="32"/>
        </w:rPr>
        <w:t>”</w:t>
      </w:r>
      <w:r>
        <w:rPr>
          <w:szCs w:val="32"/>
        </w:rPr>
        <w:t>融合一体化发展规划建设，引进2-5家有区域影响力的连锁酒店、绿色饭店、休闲会所等智慧型餐住品牌入驻桃花源新城、酉州古城、菖蒲盖景区。积极推进农家乐转型升级，引导农家乐提升设施水平和服务质量，推动农家乐评优评级。出台地方餐饮住宿业行业标准，规范行业管理，开展晋级评比，促进餐饮住宿业健康发展。</w:t>
      </w:r>
    </w:p>
    <w:p w14:paraId="440E1963">
      <w:pPr>
        <w:autoSpaceDE w:val="0"/>
        <w:spacing w:line="560" w:lineRule="exact"/>
        <w:ind w:firstLine="632" w:firstLineChars="200"/>
        <w:rPr>
          <w:szCs w:val="32"/>
        </w:rPr>
      </w:pPr>
      <w:r>
        <w:rPr>
          <w:szCs w:val="32"/>
        </w:rPr>
        <w:t>创新发展餐饮业。餐饮业发展是酉阳打造全域旅游大格局客观需要，是商贸流通业的重点领域，将成为酉阳商贸服务业的重要支柱产业和商旅结合的典范。大力实施土家美食开发，开展</w:t>
      </w:r>
      <w:r>
        <w:rPr>
          <w:rFonts w:hint="eastAsia"/>
          <w:szCs w:val="32"/>
        </w:rPr>
        <w:t>“</w:t>
      </w:r>
      <w:r>
        <w:rPr>
          <w:szCs w:val="32"/>
        </w:rPr>
        <w:t>吃在酉阳</w:t>
      </w:r>
      <w:r>
        <w:rPr>
          <w:rFonts w:hint="eastAsia"/>
          <w:szCs w:val="32"/>
        </w:rPr>
        <w:t>”“</w:t>
      </w:r>
      <w:r>
        <w:rPr>
          <w:szCs w:val="32"/>
        </w:rPr>
        <w:t>住在酉阳</w:t>
      </w:r>
      <w:r>
        <w:rPr>
          <w:rFonts w:hint="eastAsia"/>
          <w:szCs w:val="32"/>
        </w:rPr>
        <w:t>”</w:t>
      </w:r>
      <w:r>
        <w:rPr>
          <w:szCs w:val="32"/>
        </w:rPr>
        <w:t>系列推广行动，打造武陵山、桃花源地理标识特色产品。以生态为根基、以绿色为特色、以土家味道为主体、以品牌为主导、以美食街为载体、以农家乐为支撑，将酉阳打造成为</w:t>
      </w:r>
      <w:r>
        <w:rPr>
          <w:rFonts w:hint="eastAsia"/>
          <w:szCs w:val="32"/>
        </w:rPr>
        <w:t>“</w:t>
      </w:r>
      <w:r>
        <w:rPr>
          <w:szCs w:val="32"/>
        </w:rPr>
        <w:t>舌尖上的酉阳，桃花源里的土家美味</w:t>
      </w:r>
      <w:r>
        <w:rPr>
          <w:rFonts w:hint="eastAsia"/>
          <w:szCs w:val="32"/>
        </w:rPr>
        <w:t>”</w:t>
      </w:r>
      <w:r>
        <w:rPr>
          <w:szCs w:val="32"/>
        </w:rPr>
        <w:t>。打造餐饮特色街区。加快推进酉阳餐饮服务与美食文化集聚发展，结合城区商圈和休闲旅游带建设，加大力度培育餐饮聚集区和餐饮特色街。利用现有条件，着力加大资源整合，重点在中心城区打造特色美食街区2条以上，形成</w:t>
      </w:r>
      <w:r>
        <w:rPr>
          <w:rFonts w:hint="eastAsia"/>
          <w:szCs w:val="32"/>
        </w:rPr>
        <w:t>“</w:t>
      </w:r>
      <w:r>
        <w:rPr>
          <w:szCs w:val="32"/>
        </w:rPr>
        <w:t>特色突出、文化厚重、标准规范</w:t>
      </w:r>
      <w:r>
        <w:rPr>
          <w:rFonts w:hint="eastAsia"/>
          <w:szCs w:val="32"/>
        </w:rPr>
        <w:t>”</w:t>
      </w:r>
      <w:r>
        <w:rPr>
          <w:szCs w:val="32"/>
        </w:rPr>
        <w:t>的美食产业集聚区。培育龙头餐饮企业。支持一批经营理念先进、管理能力较强、服务水平较高、营业规模较大的餐饮企业发展直营、加盟、特许等连锁形式，向市外开拓市场，同时，引进麦当劳、德克士、肯德基等境外餐饮企业，培育和引进一批具有竞争力的大型餐饮企业集团，全面提升经营管理水平和创新经营方式。到2025年，培育出年营业收入5亿级的龙头餐饮企业1家，年营业收入1亿级的龙头餐饮企业2-3家，年营业收入5000万级的餐饮企业10家以上，支撑全市餐饮业持续、稳定发展。</w:t>
      </w:r>
    </w:p>
    <w:p w14:paraId="424B063C">
      <w:pPr>
        <w:autoSpaceDE w:val="0"/>
        <w:spacing w:line="560" w:lineRule="exact"/>
        <w:ind w:firstLine="632" w:firstLineChars="200"/>
        <w:rPr>
          <w:szCs w:val="32"/>
        </w:rPr>
      </w:pPr>
      <w:r>
        <w:rPr>
          <w:szCs w:val="32"/>
        </w:rPr>
        <w:t>实现餐住业创新发展。依托5G、大数据、云计算、物联网等技术支撑，以线上线下相结合的方式，实现餐住业智能升级。积极发展餐饮新模式。引导传统餐饮企业创新升级，引入</w:t>
      </w:r>
      <w:r>
        <w:rPr>
          <w:rFonts w:hint="eastAsia"/>
          <w:szCs w:val="32"/>
        </w:rPr>
        <w:t>“</w:t>
      </w:r>
      <w:r>
        <w:rPr>
          <w:szCs w:val="32"/>
        </w:rPr>
        <w:t>美食+娱乐</w:t>
      </w:r>
      <w:r>
        <w:rPr>
          <w:rFonts w:hint="eastAsia"/>
          <w:szCs w:val="32"/>
        </w:rPr>
        <w:t>”“</w:t>
      </w:r>
      <w:r>
        <w:rPr>
          <w:szCs w:val="32"/>
        </w:rPr>
        <w:t>美食+文旅</w:t>
      </w:r>
      <w:r>
        <w:rPr>
          <w:rFonts w:hint="eastAsia"/>
          <w:szCs w:val="32"/>
        </w:rPr>
        <w:t>”“</w:t>
      </w:r>
      <w:r>
        <w:rPr>
          <w:szCs w:val="32"/>
        </w:rPr>
        <w:t>美食+科技</w:t>
      </w:r>
      <w:r>
        <w:rPr>
          <w:rFonts w:hint="eastAsia"/>
          <w:szCs w:val="32"/>
        </w:rPr>
        <w:t>”</w:t>
      </w:r>
      <w:r>
        <w:rPr>
          <w:szCs w:val="32"/>
        </w:rPr>
        <w:t>等新模式，打造一批特色餐厅。积极发展住宿新模式。将文化、旅游、消费、住宿相结合，围绕</w:t>
      </w:r>
      <w:r>
        <w:rPr>
          <w:rFonts w:hint="eastAsia"/>
          <w:szCs w:val="32"/>
        </w:rPr>
        <w:t>“</w:t>
      </w:r>
      <w:r>
        <w:rPr>
          <w:szCs w:val="32"/>
        </w:rPr>
        <w:t>创特色、抓服务、建配套、重体验</w:t>
      </w:r>
      <w:r>
        <w:rPr>
          <w:rFonts w:hint="eastAsia"/>
          <w:szCs w:val="32"/>
        </w:rPr>
        <w:t>”</w:t>
      </w:r>
      <w:r>
        <w:rPr>
          <w:szCs w:val="32"/>
        </w:rPr>
        <w:t>等关键环节推动提质增效，引导住宿业良性竞争，实现协同发展。鼓励休闲度假山庄和农家乐利用智能物联网、全息投影等，依托自然资源，创新主题设计，打造沉浸式用户体验住宿新模式。</w:t>
      </w:r>
    </w:p>
    <w:p w14:paraId="79530EDC">
      <w:pPr>
        <w:autoSpaceDE w:val="0"/>
        <w:spacing w:line="560" w:lineRule="exact"/>
        <w:ind w:firstLine="632" w:firstLineChars="200"/>
        <w:rPr>
          <w:szCs w:val="32"/>
        </w:rPr>
      </w:pPr>
      <w:r>
        <w:rPr>
          <w:rFonts w:eastAsia="方正楷体_GBK"/>
          <w:szCs w:val="32"/>
        </w:rPr>
        <w:t>（五）畅通城乡物流体系，做大做强通道经济。</w:t>
      </w:r>
      <w:r>
        <w:rPr>
          <w:szCs w:val="32"/>
        </w:rPr>
        <w:t>完善物流体系建设，做大平台经济，加快聚集人流、物流、资金流、信息流，加强农产品流通基础设施建设、完善城乡物流配送体系，统筹推进全县综合物流平台建设。营造发展环境，改善服务质量，深化物流领域</w:t>
      </w:r>
      <w:r>
        <w:rPr>
          <w:rFonts w:hint="eastAsia"/>
          <w:szCs w:val="32"/>
        </w:rPr>
        <w:t>“</w:t>
      </w:r>
      <w:r>
        <w:rPr>
          <w:szCs w:val="32"/>
        </w:rPr>
        <w:t>放管服</w:t>
      </w:r>
      <w:r>
        <w:rPr>
          <w:rFonts w:hint="eastAsia"/>
          <w:szCs w:val="32"/>
        </w:rPr>
        <w:t>”</w:t>
      </w:r>
      <w:r>
        <w:rPr>
          <w:szCs w:val="32"/>
        </w:rPr>
        <w:t>改革，加快智慧物流体系信息化标准化建设，以优质服务换取市场主体大发展，优化营商环境。</w:t>
      </w:r>
    </w:p>
    <w:p w14:paraId="262AD84C">
      <w:pPr>
        <w:autoSpaceDE w:val="0"/>
        <w:spacing w:line="560" w:lineRule="exact"/>
        <w:ind w:firstLine="632" w:firstLineChars="200"/>
        <w:rPr>
          <w:szCs w:val="32"/>
        </w:rPr>
      </w:pPr>
      <w:r>
        <w:rPr>
          <w:szCs w:val="32"/>
        </w:rPr>
        <w:t>加强农产品流通基础设施建设。着力补齐农产品流通环节共享型冷链物流设施建设短板，加强农产品冷链流通基础设施建设。发展县乡村三级物流统仓共配，鼓励新型农业经营主体、农产品流通企业加强产地预冷、仓储物流、加工配送、公益性和共享型流通设施建设，完善冷链监控、物流服务、产销对接等信息服务平台，促进农产品冷链物流各环节有序衔接，搭建从产地到餐桌的绿色、便捷、安全物流体系。开展农产品进城和消费品、农用物资下乡双向配送服务，破解</w:t>
      </w:r>
      <w:r>
        <w:rPr>
          <w:rFonts w:hint="eastAsia"/>
          <w:szCs w:val="32"/>
        </w:rPr>
        <w:t>“</w:t>
      </w:r>
      <w:r>
        <w:rPr>
          <w:szCs w:val="32"/>
        </w:rPr>
        <w:t>最初一公里</w:t>
      </w:r>
      <w:r>
        <w:rPr>
          <w:rFonts w:hint="eastAsia"/>
          <w:szCs w:val="32"/>
        </w:rPr>
        <w:t>”</w:t>
      </w:r>
      <w:r>
        <w:rPr>
          <w:szCs w:val="32"/>
        </w:rPr>
        <w:t>和</w:t>
      </w:r>
      <w:r>
        <w:rPr>
          <w:rFonts w:hint="eastAsia"/>
          <w:szCs w:val="32"/>
        </w:rPr>
        <w:t>“</w:t>
      </w:r>
      <w:r>
        <w:rPr>
          <w:szCs w:val="32"/>
        </w:rPr>
        <w:t>最后一公里</w:t>
      </w:r>
      <w:r>
        <w:rPr>
          <w:rFonts w:hint="eastAsia"/>
          <w:szCs w:val="32"/>
        </w:rPr>
        <w:t>”</w:t>
      </w:r>
      <w:r>
        <w:rPr>
          <w:szCs w:val="32"/>
        </w:rPr>
        <w:t>难题，降低农村地区物流成本，带动农产品产业发展，助力乡村振兴。</w:t>
      </w:r>
    </w:p>
    <w:p w14:paraId="47EAAD73">
      <w:pPr>
        <w:autoSpaceDE w:val="0"/>
        <w:spacing w:line="560" w:lineRule="exact"/>
        <w:ind w:firstLine="632" w:firstLineChars="200"/>
        <w:rPr>
          <w:szCs w:val="32"/>
        </w:rPr>
      </w:pPr>
      <w:r>
        <w:rPr>
          <w:szCs w:val="32"/>
        </w:rPr>
        <w:t>加快建设农村寄递配送体系。围绕市、县快递业发展</w:t>
      </w:r>
      <w:r>
        <w:rPr>
          <w:rFonts w:hint="eastAsia"/>
          <w:szCs w:val="32"/>
        </w:rPr>
        <w:t>“</w:t>
      </w:r>
      <w:r>
        <w:rPr>
          <w:szCs w:val="32"/>
        </w:rPr>
        <w:t>两进一出</w:t>
      </w:r>
      <w:r>
        <w:rPr>
          <w:rFonts w:hint="eastAsia"/>
          <w:szCs w:val="32"/>
        </w:rPr>
        <w:t>”</w:t>
      </w:r>
      <w:r>
        <w:rPr>
          <w:szCs w:val="32"/>
        </w:rPr>
        <w:t>目标，开展快递进村试点工作。推进村级物流站点建设。充分利用既有的农村电商服务点、村委会等乡村公共设施资源和小卖店、超市、邮政综合便民服务站等载体，建设到村物流服务点。鼓励城乡货运公交、农村物流班车、农村客运班车等搭载邮件快件，发展集中配送，共同配送。到2022年底，逐步实现快递进村全覆盖。</w:t>
      </w:r>
    </w:p>
    <w:p w14:paraId="42992A10">
      <w:pPr>
        <w:autoSpaceDE w:val="0"/>
        <w:spacing w:line="560" w:lineRule="exact"/>
        <w:ind w:firstLine="632" w:firstLineChars="200"/>
        <w:rPr>
          <w:szCs w:val="32"/>
        </w:rPr>
      </w:pPr>
      <w:r>
        <w:rPr>
          <w:szCs w:val="32"/>
        </w:rPr>
        <w:t>完善城乡物流配送体系。打通城乡物流体系，做大通道经济，畅通铁路、高速运输通道，深入推进农产品上行、工业品下行，健全以县物流集散中心、乡镇快递网点、村级公共服务点为支撑的农村寄递网络。做实物流园区，做大枢纽经济，加快物流园区硬件配套设施建设，打造辐射区域广、聚集效应强、服务功能优的物流枢纽。盘活麻旺渝东南现代物流园，建成大宗物资铁路物流基地；健全完善板溪轻工业园区综合物流市场功能，规划配套汽车综合交易、农产品交易、再生资源集散、旅游商品交易等专业市场，形成集聚优势。支持村级电商服务站进行提档升级，整合商超、生活缴费、政务服务等便民服务，建设成综合服务平台，提升农村邮政快递服务品质。</w:t>
      </w:r>
    </w:p>
    <w:p w14:paraId="69DDF99C">
      <w:pPr>
        <w:autoSpaceDE w:val="0"/>
        <w:spacing w:line="560" w:lineRule="exact"/>
        <w:ind w:firstLine="632" w:firstLineChars="200"/>
        <w:rPr>
          <w:szCs w:val="32"/>
        </w:rPr>
      </w:pPr>
      <w:r>
        <w:rPr>
          <w:szCs w:val="32"/>
        </w:rPr>
        <w:t>加快智慧物流体系信息化标准化建设。紧抓生鲜电商快速发展机遇，积极整合现有电商服务网点，促进冷链资源与农产品上行需求的融合发展。依托酉阳区位优势，加快融入西部陆海新通道建设，建成板溪农产品集散中心，将板溪综合物流市场建设成为西部陆海新通道生鲜食材集散节点和成渝地区双城经济圈的</w:t>
      </w:r>
      <w:r>
        <w:rPr>
          <w:rFonts w:hint="eastAsia"/>
          <w:szCs w:val="32"/>
        </w:rPr>
        <w:t>“</w:t>
      </w:r>
      <w:r>
        <w:rPr>
          <w:szCs w:val="32"/>
        </w:rPr>
        <w:t>保鲜柜</w:t>
      </w:r>
      <w:r>
        <w:rPr>
          <w:rFonts w:hint="eastAsia"/>
          <w:szCs w:val="32"/>
        </w:rPr>
        <w:t>”</w:t>
      </w:r>
      <w:r>
        <w:rPr>
          <w:szCs w:val="32"/>
        </w:rPr>
        <w:t>。鼓励企业加大信息化投入，建立车辆定位、全程温控、ERP物流管理等信息系统，从冷库设计施工、仓储管理、冷藏车辆配备等各个环节进行智能化升级改造，实现冷链产品全生命周期和全过程实时监管。推动</w:t>
      </w:r>
      <w:r>
        <w:rPr>
          <w:rFonts w:hint="eastAsia"/>
          <w:szCs w:val="32"/>
        </w:rPr>
        <w:t>“</w:t>
      </w:r>
      <w:r>
        <w:rPr>
          <w:szCs w:val="32"/>
        </w:rPr>
        <w:t>酉货拉</w:t>
      </w:r>
      <w:r>
        <w:rPr>
          <w:rFonts w:hint="eastAsia"/>
          <w:szCs w:val="32"/>
        </w:rPr>
        <w:t>”</w:t>
      </w:r>
      <w:r>
        <w:rPr>
          <w:szCs w:val="32"/>
        </w:rPr>
        <w:t>智慧物流服务平台竣工投用，有效发挥车货匹配、供需衔接、仓配联动和政务服务的功能。推广应用电子单据、电子合同等数据化物流活动信息载体，支持建设自动化场站、智能型仓储等智慧物流设施。推广应用新技术新设备。推广应用条形码、射频识别技术、车载卫星定位装置等先进技术，加强物流运输动态监控和数字化管理。</w:t>
      </w:r>
    </w:p>
    <w:p w14:paraId="5ECE5F0E">
      <w:pPr>
        <w:autoSpaceDE w:val="0"/>
        <w:spacing w:line="560" w:lineRule="exact"/>
        <w:ind w:firstLine="632" w:firstLineChars="200"/>
        <w:rPr>
          <w:szCs w:val="32"/>
        </w:rPr>
      </w:pPr>
      <w:r>
        <w:rPr>
          <w:rFonts w:eastAsia="方正楷体_GBK"/>
          <w:szCs w:val="32"/>
        </w:rPr>
        <w:t>（六）完善电商服务体系，创新发展电商新业态。</w:t>
      </w:r>
      <w:r>
        <w:rPr>
          <w:szCs w:val="32"/>
        </w:rPr>
        <w:t>加强电商服务设施建设。积极培育电商平台，做大流量经济，积极争取大型电商功能平台落地酉阳，促进电商业与商贸服务业融合发展。升级农村电商公共服务中心。设立办公区、运营服务区、品牌建设服务中心、电商创业孵化中心、特色产品展销馆及摄影中心、直播中心、双创空间等功能区，引进具有承接能力、实际运营经验和行业优势的第三方运营商，组建专业运营团队，负责中心日常运营管理工作。全力推进电商大数据系统建设，形成集农村三级物流信息管理、农村电子商务、农产品溯源为一体的农村电商公共服务数据平台。优化村级电商服务站，配备电脑、桌椅、宽带网络、快递收转货架等基础设施，负责本村仓储快递、代购代销、人员培训及物流配送等工作，对上承接</w:t>
      </w:r>
      <w:r>
        <w:rPr>
          <w:rFonts w:hint="eastAsia"/>
          <w:szCs w:val="32"/>
        </w:rPr>
        <w:t>县</w:t>
      </w:r>
      <w:r>
        <w:rPr>
          <w:szCs w:val="32"/>
        </w:rPr>
        <w:t>电子商务公共服务中心业务，对下服务村民，发挥纽带作用。</w:t>
      </w:r>
    </w:p>
    <w:p w14:paraId="6280C70E">
      <w:pPr>
        <w:autoSpaceDE w:val="0"/>
        <w:spacing w:line="560" w:lineRule="exact"/>
        <w:ind w:firstLine="632" w:firstLineChars="200"/>
        <w:rPr>
          <w:szCs w:val="32"/>
        </w:rPr>
      </w:pPr>
      <w:r>
        <w:rPr>
          <w:szCs w:val="32"/>
        </w:rPr>
        <w:t>加强电商技能人才培训。从创新培训方式、优化培训内容两方面入手，着力培养农村电商人才。组织传统生产加工企业、商贸流通企业、返乡农民工、退役军人、大学生、农民等开展知识培训，借力专业培训团队，围绕农村电商创业基地及电商园区建设运营、品牌推广等内容进行培训，采取</w:t>
      </w:r>
      <w:r>
        <w:rPr>
          <w:rFonts w:hint="eastAsia"/>
          <w:szCs w:val="32"/>
        </w:rPr>
        <w:t>“</w:t>
      </w:r>
      <w:r>
        <w:rPr>
          <w:szCs w:val="32"/>
        </w:rPr>
        <w:t>集中授课+参观学习+交流对接</w:t>
      </w:r>
      <w:r>
        <w:rPr>
          <w:rFonts w:hint="eastAsia"/>
          <w:szCs w:val="32"/>
        </w:rPr>
        <w:t>”</w:t>
      </w:r>
      <w:r>
        <w:rPr>
          <w:szCs w:val="32"/>
        </w:rPr>
        <w:t>方式，将理论学习、操作演示和现场教学结合起来，帮助解决农村电商创业就业工作中存在的共通性及个别性问题。优化培育内容，结合本地特色产业和培训需求，在市场品牌发展、农产品营销、电商趋势分析，电子商务产业政策，农产品电商成功案例等方面进行摘录辅导，针对本地有特色的农副产业如油茶、茶叶、青花椒、有机蔬菜等进行深度挖掘，根据实际情况，分批分次实行重点化运营，着力打造农村电商产业新亮点。</w:t>
      </w:r>
    </w:p>
    <w:p w14:paraId="6B4FD3A7">
      <w:pPr>
        <w:autoSpaceDE w:val="0"/>
        <w:spacing w:line="560" w:lineRule="exact"/>
        <w:ind w:firstLine="632" w:firstLineChars="200"/>
        <w:rPr>
          <w:szCs w:val="32"/>
        </w:rPr>
      </w:pPr>
      <w:r>
        <w:rPr>
          <w:szCs w:val="32"/>
        </w:rPr>
        <w:t>加强农产品网货品牌培育。借助农商互联项目，着力补齐农产品预冷、加工、分选、包装、冷链仓储等产后商品化处理设施建设短板；大力发展电商农产品生产基地、特色农产品电商基地，构建农产品质量安全二维码追溯体系。推进品牌行动计划，资助可电商化的农产品</w:t>
      </w:r>
      <w:r>
        <w:rPr>
          <w:rFonts w:hint="eastAsia"/>
          <w:szCs w:val="32"/>
        </w:rPr>
        <w:t>“</w:t>
      </w:r>
      <w:r>
        <w:rPr>
          <w:szCs w:val="32"/>
        </w:rPr>
        <w:t>三品一标</w:t>
      </w:r>
      <w:r>
        <w:rPr>
          <w:rFonts w:hint="eastAsia"/>
          <w:szCs w:val="32"/>
        </w:rPr>
        <w:t>”</w:t>
      </w:r>
      <w:r>
        <w:rPr>
          <w:szCs w:val="32"/>
        </w:rPr>
        <w:t>认证，支持利用</w:t>
      </w:r>
      <w:r>
        <w:rPr>
          <w:rFonts w:hint="eastAsia"/>
          <w:szCs w:val="32"/>
        </w:rPr>
        <w:t>“</w:t>
      </w:r>
      <w:r>
        <w:rPr>
          <w:szCs w:val="32"/>
        </w:rPr>
        <w:t>酉阳淘源</w:t>
      </w:r>
      <w:r>
        <w:rPr>
          <w:rFonts w:hint="eastAsia"/>
          <w:szCs w:val="32"/>
        </w:rPr>
        <w:t>”</w:t>
      </w:r>
      <w:r>
        <w:rPr>
          <w:szCs w:val="32"/>
        </w:rPr>
        <w:t>公共品牌进行农特产品品牌打造。加大科研力度，推进茶油、茶叶、青花椒等主要电商农特产品的精加工、精包装及创意研发，提高产品附加值。开展各级各类展会活动、促销活动，加强农副产品数字化营销，充分运用</w:t>
      </w:r>
      <w:r>
        <w:rPr>
          <w:rFonts w:hint="eastAsia"/>
          <w:szCs w:val="32"/>
        </w:rPr>
        <w:t>“</w:t>
      </w:r>
      <w:r>
        <w:rPr>
          <w:szCs w:val="32"/>
        </w:rPr>
        <w:t>抖音</w:t>
      </w:r>
      <w:r>
        <w:rPr>
          <w:rFonts w:hint="eastAsia"/>
          <w:szCs w:val="32"/>
        </w:rPr>
        <w:t>”“</w:t>
      </w:r>
      <w:r>
        <w:rPr>
          <w:szCs w:val="32"/>
        </w:rPr>
        <w:t>快手</w:t>
      </w:r>
      <w:r>
        <w:rPr>
          <w:rFonts w:hint="eastAsia"/>
          <w:szCs w:val="32"/>
        </w:rPr>
        <w:t>”</w:t>
      </w:r>
      <w:r>
        <w:rPr>
          <w:szCs w:val="32"/>
        </w:rPr>
        <w:t>等短视频软件，开展</w:t>
      </w:r>
      <w:r>
        <w:rPr>
          <w:rFonts w:hint="eastAsia"/>
          <w:szCs w:val="32"/>
        </w:rPr>
        <w:t>“</w:t>
      </w:r>
      <w:r>
        <w:rPr>
          <w:szCs w:val="32"/>
        </w:rPr>
        <w:t>线上直播营销</w:t>
      </w:r>
      <w:r>
        <w:rPr>
          <w:rFonts w:hint="eastAsia"/>
          <w:szCs w:val="32"/>
        </w:rPr>
        <w:t>”</w:t>
      </w:r>
      <w:r>
        <w:rPr>
          <w:szCs w:val="32"/>
        </w:rPr>
        <w:t>，发展壮大电商品牌,到2025年实现网货进出比基本持平。</w:t>
      </w:r>
    </w:p>
    <w:p w14:paraId="62F7C194">
      <w:pPr>
        <w:autoSpaceDE w:val="0"/>
        <w:spacing w:line="560" w:lineRule="exact"/>
        <w:ind w:firstLine="632" w:firstLineChars="200"/>
        <w:rPr>
          <w:szCs w:val="32"/>
        </w:rPr>
      </w:pPr>
      <w:r>
        <w:rPr>
          <w:szCs w:val="32"/>
        </w:rPr>
        <w:t>创新发展电商新业态。积极发展农产品直播电商，大力实施直播基地打造、带货达人培育等工作，积极孵化本地优秀农民主播，组建专业的电商直播运营团队，加强直播电商供应链建设，拓展农产品上行的广度与深度。支持发展农村</w:t>
      </w:r>
      <w:r>
        <w:rPr>
          <w:rFonts w:hint="eastAsia"/>
          <w:szCs w:val="32"/>
        </w:rPr>
        <w:t>“</w:t>
      </w:r>
      <w:r>
        <w:rPr>
          <w:szCs w:val="32"/>
        </w:rPr>
        <w:t>农产品+旅游+电商</w:t>
      </w:r>
      <w:r>
        <w:rPr>
          <w:rFonts w:hint="eastAsia"/>
          <w:szCs w:val="32"/>
        </w:rPr>
        <w:t>”</w:t>
      </w:r>
      <w:r>
        <w:rPr>
          <w:szCs w:val="32"/>
        </w:rPr>
        <w:t>新业态，通过直播带货、短视频等形式将旅游景点、农特产品、吃住行乐服务类产品营销进行整合，带动乡村旅游发展。</w:t>
      </w:r>
    </w:p>
    <w:p w14:paraId="0F365895">
      <w:pPr>
        <w:autoSpaceDE w:val="0"/>
        <w:spacing w:line="560" w:lineRule="exact"/>
        <w:ind w:firstLine="632" w:firstLineChars="200"/>
        <w:rPr>
          <w:szCs w:val="32"/>
        </w:rPr>
      </w:pPr>
      <w:r>
        <w:rPr>
          <w:rFonts w:eastAsia="方正楷体_GBK"/>
          <w:szCs w:val="32"/>
        </w:rPr>
        <w:t>（七）推动生活服务转型升级，提升居民幸福感。</w:t>
      </w:r>
      <w:r>
        <w:rPr>
          <w:szCs w:val="32"/>
        </w:rPr>
        <w:t>提升生活性服务品质。推动家政服务业提质扩容，支持职教中心开展家政服务专业教育；鼓励家政服务网点建设与居家养老社区服务网络、社区卫生室等综合社区服务设施建设相结合，促进家政服务社区网点数量大幅增长。合理布局社区便民服务设施，丰富社区医疗、保洁、养老、看护、维修、美容美发等便民服务内容，引进一批有实力、有品牌、具规模的生活服务高端企业入驻新城；深入开展老城生活服务的发展指导，推进房产中介、物业管理、装修装潢、家电维修、美容美发等生活性服务规范化发展，提升居民生活便利化、精细化、品质化水平。</w:t>
      </w:r>
    </w:p>
    <w:p w14:paraId="6195C7A0">
      <w:pPr>
        <w:autoSpaceDE w:val="0"/>
        <w:spacing w:line="560" w:lineRule="exact"/>
        <w:ind w:firstLine="632" w:firstLineChars="200"/>
        <w:rPr>
          <w:szCs w:val="32"/>
        </w:rPr>
      </w:pPr>
      <w:r>
        <w:rPr>
          <w:szCs w:val="32"/>
        </w:rPr>
        <w:t>加强养老托幼服务供给。引导社会力量举办普惠性幼儿园，支持建设月子中心、母婴照料、托婴托育等机构。规划建设酉阳康养中心，建成新城医院疗养区、县中医院康养中心，开发老年住宅、老年公寓、综合养老项目，打造集住、养、医、护、康一体的养老服务基地，培育发展银发经济；加快社区养老服务设施建设，探索</w:t>
      </w:r>
      <w:r>
        <w:rPr>
          <w:rFonts w:hint="eastAsia"/>
          <w:szCs w:val="32"/>
        </w:rPr>
        <w:t>“</w:t>
      </w:r>
      <w:r>
        <w:rPr>
          <w:szCs w:val="32"/>
        </w:rPr>
        <w:t>互联网+养老</w:t>
      </w:r>
      <w:r>
        <w:rPr>
          <w:rFonts w:hint="eastAsia"/>
          <w:szCs w:val="32"/>
        </w:rPr>
        <w:t>”</w:t>
      </w:r>
      <w:r>
        <w:rPr>
          <w:szCs w:val="32"/>
        </w:rPr>
        <w:t>服务模式，鼓励社区、康养中心等引入线上诊疗、健康咨询、社区及居家健康管理等服务，建设智慧养老云平台。推动医疗卫生和养老服务机构合作，鼓励多种形式举办医养结合机构，推动形成健康、养生产业融合的老年消费产业，丰富养老服务供给。</w:t>
      </w:r>
    </w:p>
    <w:p w14:paraId="37E4A260">
      <w:pPr>
        <w:autoSpaceDE w:val="0"/>
        <w:spacing w:line="560" w:lineRule="exact"/>
        <w:ind w:firstLine="632" w:firstLineChars="200"/>
        <w:rPr>
          <w:szCs w:val="32"/>
        </w:rPr>
      </w:pPr>
      <w:r>
        <w:rPr>
          <w:szCs w:val="32"/>
        </w:rPr>
        <w:t>加快传统服务业提档升级。对城区范围内农贸市场实施达标建设，通过引进有实力的农产品现代流通综合领域战略投资者，新建和改建一批农贸市场，实现市城区农贸市场全面升级改造。支持农贸市场向超市化经营转型，倡导建设智慧农贸市场、智慧超市等，鼓励市场开办者更新技术手段，引入电子化消费模式，智能称重收银系统、食品安全溯源系统、智能信息公示系统、线上交易、线下配送系统、市场大数据分析系统等，实现经营信息、食用农产品来源及销售去向、检测结果信息等全程电子化。鼓励实体商店和其他专业市场进行数字化改造，推动传统百货、购物中心、批发市场改造提升。鼓励餐饮住宿企业多渠道开拓市场，推进</w:t>
      </w:r>
      <w:r>
        <w:rPr>
          <w:rFonts w:hint="eastAsia"/>
          <w:szCs w:val="32"/>
        </w:rPr>
        <w:t>“</w:t>
      </w:r>
      <w:r>
        <w:rPr>
          <w:szCs w:val="32"/>
        </w:rPr>
        <w:t>互联网+团购+促销</w:t>
      </w:r>
      <w:r>
        <w:rPr>
          <w:rFonts w:hint="eastAsia"/>
          <w:szCs w:val="32"/>
        </w:rPr>
        <w:t>”</w:t>
      </w:r>
      <w:r>
        <w:rPr>
          <w:szCs w:val="32"/>
        </w:rPr>
        <w:t>新型营销方式，打造引领线上线下整合消费新模式。</w:t>
      </w:r>
    </w:p>
    <w:p w14:paraId="759E0335">
      <w:pPr>
        <w:autoSpaceDE w:val="0"/>
        <w:spacing w:line="560" w:lineRule="exact"/>
        <w:ind w:firstLine="632" w:firstLineChars="200"/>
        <w:rPr>
          <w:szCs w:val="32"/>
        </w:rPr>
      </w:pPr>
      <w:r>
        <w:rPr>
          <w:rFonts w:eastAsia="方正楷体_GBK"/>
          <w:szCs w:val="32"/>
        </w:rPr>
        <w:t>（八）促进商旅联动，发展新型业态。</w:t>
      </w:r>
      <w:r>
        <w:rPr>
          <w:szCs w:val="32"/>
        </w:rPr>
        <w:t>以消费者需求为本，利用旅游中的商业机会，在商业经营中融入休闲娱乐要素，推出休闲消费和娱乐商业，既满足消费者对商品的物质需求，又满足消费者在购物过程中的观光、餐饮、休闲、娱乐、健身等精神方面需求，实现商业与旅游业的融合发展。</w:t>
      </w:r>
    </w:p>
    <w:p w14:paraId="21CC8381">
      <w:pPr>
        <w:autoSpaceDE w:val="0"/>
        <w:spacing w:line="560" w:lineRule="exact"/>
        <w:ind w:firstLine="632" w:firstLineChars="200"/>
        <w:rPr>
          <w:szCs w:val="32"/>
        </w:rPr>
      </w:pPr>
      <w:r>
        <w:rPr>
          <w:szCs w:val="32"/>
        </w:rPr>
        <w:t>发展</w:t>
      </w:r>
      <w:r>
        <w:rPr>
          <w:rFonts w:hint="eastAsia"/>
          <w:szCs w:val="32"/>
        </w:rPr>
        <w:t>“</w:t>
      </w:r>
      <w:r>
        <w:rPr>
          <w:szCs w:val="32"/>
        </w:rPr>
        <w:t>旅游+文化+商贸</w:t>
      </w:r>
      <w:r>
        <w:rPr>
          <w:rFonts w:hint="eastAsia"/>
          <w:szCs w:val="32"/>
        </w:rPr>
        <w:t>”</w:t>
      </w:r>
      <w:r>
        <w:rPr>
          <w:szCs w:val="32"/>
        </w:rPr>
        <w:t>。实施创新驱动工程，发展文化餐饮、艺术酒店、特色民宿、民俗节会、工艺体验、创意用品等融合业态，培育文创消费新热点。在文旅融合上下大功夫，策划、包装、实施一批重点文化旅游项目，让土家文化、民俗文化全方位植入旅游产业，打造具有鲜明地域特色的桃源十二市集特色文化街区，以此推动酉阳文化产业发展。通过让酉阳山歌、龙门阵、诗词大赛、对联大赛等文化盛事周周有展演、月月有比拼，形成酉阳文化印象，吸引更多游客，带动住宿、餐饮发展，让游客不仅来酉阳，还带走酉阳特色文化产品，促进商旅文体同步繁荣。以酉州古城、龚滩古镇、板溪叠石花谷、酉水河等为载体，采用声光电控制夜景效果，增加夜间旅游项目，发展旅游业夜间经济。</w:t>
      </w:r>
    </w:p>
    <w:p w14:paraId="62897CEC">
      <w:pPr>
        <w:autoSpaceDE w:val="0"/>
        <w:spacing w:line="560" w:lineRule="exact"/>
        <w:ind w:firstLine="632" w:firstLineChars="200"/>
        <w:rPr>
          <w:szCs w:val="32"/>
        </w:rPr>
      </w:pPr>
      <w:r>
        <w:rPr>
          <w:szCs w:val="32"/>
        </w:rPr>
        <w:t>推动</w:t>
      </w:r>
      <w:r>
        <w:rPr>
          <w:rFonts w:hint="eastAsia"/>
          <w:szCs w:val="32"/>
        </w:rPr>
        <w:t>“</w:t>
      </w:r>
      <w:r>
        <w:rPr>
          <w:szCs w:val="32"/>
        </w:rPr>
        <w:t>旅游+农业+商贸</w:t>
      </w:r>
      <w:r>
        <w:rPr>
          <w:rFonts w:hint="eastAsia"/>
          <w:szCs w:val="32"/>
        </w:rPr>
        <w:t>”</w:t>
      </w:r>
      <w:r>
        <w:rPr>
          <w:szCs w:val="32"/>
        </w:rPr>
        <w:t>。坚持</w:t>
      </w:r>
      <w:r>
        <w:rPr>
          <w:rFonts w:hint="eastAsia"/>
          <w:szCs w:val="32"/>
        </w:rPr>
        <w:t>“</w:t>
      </w:r>
      <w:r>
        <w:rPr>
          <w:szCs w:val="32"/>
        </w:rPr>
        <w:t>以旅促农、以商提农</w:t>
      </w:r>
      <w:r>
        <w:rPr>
          <w:rFonts w:hint="eastAsia"/>
          <w:szCs w:val="32"/>
        </w:rPr>
        <w:t>”</w:t>
      </w:r>
      <w:r>
        <w:rPr>
          <w:szCs w:val="32"/>
        </w:rPr>
        <w:t>，在参与性、体验性、独特性、吸引力上做文章，打造一批乡村绿色农产品购物游等农旅融合新业态，让田园变景区、农房变客房、劳作变体验；同时，大力引进农业龙头企业，推进农产品精深加工，做好产品包装、品牌创建以及线上线下销售，提升农产品附加值。</w:t>
      </w:r>
    </w:p>
    <w:p w14:paraId="6BFB2410">
      <w:pPr>
        <w:autoSpaceDE w:val="0"/>
        <w:spacing w:line="560" w:lineRule="exact"/>
        <w:ind w:firstLine="632" w:firstLineChars="200"/>
        <w:rPr>
          <w:szCs w:val="32"/>
        </w:rPr>
      </w:pPr>
      <w:r>
        <w:rPr>
          <w:szCs w:val="32"/>
        </w:rPr>
        <w:t>实施</w:t>
      </w:r>
      <w:r>
        <w:rPr>
          <w:rFonts w:hint="eastAsia"/>
          <w:szCs w:val="32"/>
        </w:rPr>
        <w:t>“</w:t>
      </w:r>
      <w:r>
        <w:rPr>
          <w:szCs w:val="32"/>
        </w:rPr>
        <w:t>旅游+工业+商贸</w:t>
      </w:r>
      <w:r>
        <w:rPr>
          <w:rFonts w:hint="eastAsia"/>
          <w:szCs w:val="32"/>
        </w:rPr>
        <w:t>”</w:t>
      </w:r>
      <w:r>
        <w:rPr>
          <w:szCs w:val="32"/>
        </w:rPr>
        <w:t>。统筹推进</w:t>
      </w:r>
      <w:r>
        <w:rPr>
          <w:rFonts w:hint="eastAsia"/>
          <w:szCs w:val="32"/>
        </w:rPr>
        <w:t>“</w:t>
      </w:r>
      <w:r>
        <w:rPr>
          <w:szCs w:val="32"/>
        </w:rPr>
        <w:t>旅游+工业+商贸</w:t>
      </w:r>
      <w:r>
        <w:rPr>
          <w:rFonts w:hint="eastAsia"/>
          <w:szCs w:val="32"/>
        </w:rPr>
        <w:t>”</w:t>
      </w:r>
      <w:r>
        <w:rPr>
          <w:szCs w:val="32"/>
        </w:rPr>
        <w:t>，将旅游与养生融合，主动顺应现代人的养生需求，以生态养生、药膳饮食养生为重点，打造养生养老旅游+养生产品生产+养生产品特色商街为一体的产业链条。在县城、龚滩、龙潭开展商旅融合，积极发展商圈休闲旅游、商务会展旅游，发展特色夜市。</w:t>
      </w:r>
    </w:p>
    <w:p w14:paraId="2603D547">
      <w:pPr>
        <w:autoSpaceDE w:val="0"/>
        <w:spacing w:line="560" w:lineRule="exact"/>
        <w:ind w:firstLine="632" w:firstLineChars="200"/>
        <w:rPr>
          <w:szCs w:val="32"/>
        </w:rPr>
      </w:pPr>
      <w:r>
        <w:rPr>
          <w:szCs w:val="32"/>
        </w:rPr>
        <w:t>完善配套设施建设。紧扣</w:t>
      </w:r>
      <w:r>
        <w:rPr>
          <w:rFonts w:hint="eastAsia"/>
          <w:szCs w:val="32"/>
        </w:rPr>
        <w:t>“</w:t>
      </w:r>
      <w:r>
        <w:rPr>
          <w:szCs w:val="32"/>
        </w:rPr>
        <w:t>吃住行游购娱商养学闲情奇</w:t>
      </w:r>
      <w:r>
        <w:rPr>
          <w:rFonts w:hint="eastAsia"/>
          <w:szCs w:val="32"/>
        </w:rPr>
        <w:t>”</w:t>
      </w:r>
      <w:r>
        <w:rPr>
          <w:szCs w:val="32"/>
        </w:rPr>
        <w:t>要素配套，深度挖掘原汁原味的土家族苗族饮食、生活起居、娱乐特色文化，充分融入到吃住行游购娱等旅游要素中去，增强特色餐饮、特色住宿等特色商贸对旅游的支撑作用，推动商旅内涵式发展，实现餐饮、住宿等由提供基本服务向精细化高品质服务转变，让游客留得下来、住得舒心、吃得放心、度假养心。</w:t>
      </w:r>
    </w:p>
    <w:p w14:paraId="44400F99">
      <w:pPr>
        <w:autoSpaceDE w:val="0"/>
        <w:spacing w:line="540" w:lineRule="exact"/>
        <w:ind w:firstLine="632" w:firstLineChars="200"/>
        <w:rPr>
          <w:szCs w:val="32"/>
        </w:rPr>
      </w:pPr>
      <w:r>
        <w:rPr>
          <w:rFonts w:eastAsia="方正楷体_GBK"/>
          <w:szCs w:val="32"/>
        </w:rPr>
        <w:t>（九）加快品牌建设，培育特色品牌。</w:t>
      </w:r>
      <w:r>
        <w:rPr>
          <w:szCs w:val="32"/>
        </w:rPr>
        <w:t>大力实施农产品、特色餐住业品牌发展战略，以资源转化为抓手，做大产业经济、做实品牌经济。充分发挥地域特色优势，提高农产品</w:t>
      </w:r>
      <w:r>
        <w:rPr>
          <w:rFonts w:hint="eastAsia"/>
          <w:szCs w:val="32"/>
        </w:rPr>
        <w:t>“</w:t>
      </w:r>
      <w:r>
        <w:rPr>
          <w:szCs w:val="32"/>
        </w:rPr>
        <w:t>三品一标</w:t>
      </w:r>
      <w:r>
        <w:rPr>
          <w:rFonts w:hint="eastAsia"/>
          <w:szCs w:val="32"/>
        </w:rPr>
        <w:t>”</w:t>
      </w:r>
      <w:r>
        <w:rPr>
          <w:szCs w:val="32"/>
        </w:rPr>
        <w:t>数量，提升农产品加工转化率，打造农产品特色品牌。综合运用激励制度，鼓励餐住企业建设自主品牌，打造一批知名度高、附加值高、竞争力强特色餐住品牌。</w:t>
      </w:r>
    </w:p>
    <w:p w14:paraId="7EB9B250">
      <w:pPr>
        <w:autoSpaceDE w:val="0"/>
        <w:spacing w:line="540" w:lineRule="exact"/>
        <w:ind w:firstLine="632" w:firstLineChars="200"/>
        <w:rPr>
          <w:szCs w:val="32"/>
        </w:rPr>
      </w:pPr>
      <w:r>
        <w:rPr>
          <w:szCs w:val="32"/>
        </w:rPr>
        <w:t>打造农产品特色品牌。开展多种形式的营销促销，打造一批地域特色突出、产品特性鲜明的农产品特色品牌。以特色优质农产品为重点，依托我县茶叶、蔬菜、野菜野菌、腌腊肉制品、有机茶油等特色农产品资源优势打造农产品特色品牌。推动农产品流通企业、新型农业经营主体加强检验检测、可追溯体系建设，从源头确保农产品质量安全。按市场需求优化种、养、加结构，生产适销对路的产品，提高农产品品质。拓展农产品外销渠道，实现产销精准对接，让酉阳农产品走出大山，走向全国，带动乡村经济发展。</w:t>
      </w:r>
    </w:p>
    <w:p w14:paraId="23EF87EE">
      <w:pPr>
        <w:autoSpaceDE w:val="0"/>
        <w:spacing w:line="540" w:lineRule="exact"/>
        <w:ind w:firstLine="632" w:firstLineChars="200"/>
        <w:rPr>
          <w:szCs w:val="32"/>
        </w:rPr>
      </w:pPr>
      <w:r>
        <w:rPr>
          <w:szCs w:val="32"/>
        </w:rPr>
        <w:t>打造酉阳餐住业特色品牌。围绕酉阳桃花源文化、土家文化、红色文化等传统优秀文化，打造一批具有浓郁民俗、地域特点、生态特色的餐住特色品牌。依托桃花源人文和生态资源重点打造</w:t>
      </w:r>
      <w:r>
        <w:rPr>
          <w:rFonts w:hint="eastAsia"/>
          <w:szCs w:val="32"/>
        </w:rPr>
        <w:t>“</w:t>
      </w:r>
      <w:r>
        <w:rPr>
          <w:szCs w:val="32"/>
        </w:rPr>
        <w:t>陶翁食记</w:t>
      </w:r>
      <w:r>
        <w:rPr>
          <w:rFonts w:hint="eastAsia"/>
          <w:szCs w:val="32"/>
        </w:rPr>
        <w:t>”“</w:t>
      </w:r>
      <w:r>
        <w:rPr>
          <w:szCs w:val="32"/>
        </w:rPr>
        <w:t>桃花源盛筵</w:t>
      </w:r>
      <w:r>
        <w:rPr>
          <w:rFonts w:hint="eastAsia"/>
          <w:szCs w:val="32"/>
        </w:rPr>
        <w:t>”“</w:t>
      </w:r>
      <w:r>
        <w:rPr>
          <w:szCs w:val="32"/>
        </w:rPr>
        <w:t>武陵第一桌</w:t>
      </w:r>
      <w:r>
        <w:rPr>
          <w:rFonts w:hint="eastAsia"/>
          <w:szCs w:val="32"/>
        </w:rPr>
        <w:t>”“</w:t>
      </w:r>
      <w:r>
        <w:rPr>
          <w:szCs w:val="32"/>
        </w:rPr>
        <w:t>土家宴</w:t>
      </w:r>
      <w:r>
        <w:rPr>
          <w:rFonts w:hint="eastAsia"/>
          <w:szCs w:val="32"/>
        </w:rPr>
        <w:t>”</w:t>
      </w:r>
      <w:r>
        <w:rPr>
          <w:szCs w:val="32"/>
        </w:rPr>
        <w:t>等特色品牌，并推出1-2个特色菜品。依托南腰界红色资源，打造</w:t>
      </w:r>
      <w:r>
        <w:rPr>
          <w:rFonts w:hint="eastAsia"/>
          <w:szCs w:val="32"/>
        </w:rPr>
        <w:t>“</w:t>
      </w:r>
      <w:r>
        <w:rPr>
          <w:szCs w:val="32"/>
        </w:rPr>
        <w:t>红军菜</w:t>
      </w:r>
      <w:r>
        <w:rPr>
          <w:rFonts w:hint="eastAsia"/>
          <w:szCs w:val="32"/>
        </w:rPr>
        <w:t>”</w:t>
      </w:r>
      <w:r>
        <w:rPr>
          <w:szCs w:val="32"/>
        </w:rPr>
        <w:t>品牌。依托龚滩古镇、百里乌江画廊的码头文化、纤夫文化及茶盐古道文化，打造</w:t>
      </w:r>
      <w:r>
        <w:rPr>
          <w:rFonts w:hint="eastAsia"/>
          <w:szCs w:val="32"/>
        </w:rPr>
        <w:t>“</w:t>
      </w:r>
      <w:r>
        <w:rPr>
          <w:szCs w:val="32"/>
        </w:rPr>
        <w:t>纤夫号子菜</w:t>
      </w:r>
      <w:r>
        <w:rPr>
          <w:rFonts w:hint="eastAsia"/>
          <w:szCs w:val="32"/>
        </w:rPr>
        <w:t>”</w:t>
      </w:r>
      <w:r>
        <w:rPr>
          <w:szCs w:val="32"/>
        </w:rPr>
        <w:t>品牌。依托花田、南腰界等自然资源、人文历史、土家文化等优势，打造农家乐特色小镇，创建特色名宿，培育特色名宿品牌。</w:t>
      </w:r>
    </w:p>
    <w:p w14:paraId="216DB2C4">
      <w:pPr>
        <w:autoSpaceDE w:val="0"/>
        <w:spacing w:line="540" w:lineRule="exact"/>
        <w:ind w:firstLine="632" w:firstLineChars="200"/>
        <w:rPr>
          <w:szCs w:val="32"/>
        </w:rPr>
      </w:pPr>
      <w:r>
        <w:rPr>
          <w:rFonts w:eastAsia="方正楷体_GBK"/>
          <w:szCs w:val="32"/>
        </w:rPr>
        <w:t>（十）规范网点建设，发展特种商业。</w:t>
      </w:r>
      <w:r>
        <w:rPr>
          <w:szCs w:val="32"/>
        </w:rPr>
        <w:t>推动大数据、物联网和云计算技术在再生资源回收体系中的应用，扩大推广废宝网等</w:t>
      </w:r>
      <w:r>
        <w:rPr>
          <w:rFonts w:hint="eastAsia"/>
          <w:szCs w:val="32"/>
        </w:rPr>
        <w:t>“</w:t>
      </w:r>
      <w:r>
        <w:rPr>
          <w:szCs w:val="32"/>
        </w:rPr>
        <w:t>互联网+回收</w:t>
      </w:r>
      <w:r>
        <w:rPr>
          <w:rFonts w:hint="eastAsia"/>
          <w:szCs w:val="32"/>
        </w:rPr>
        <w:t>”</w:t>
      </w:r>
      <w:r>
        <w:rPr>
          <w:szCs w:val="32"/>
        </w:rPr>
        <w:t>新模式。对再生资源回收、加油站等特种商业网点进行统筹规划，规范发展。</w:t>
      </w:r>
    </w:p>
    <w:p w14:paraId="3130740C">
      <w:pPr>
        <w:autoSpaceDE w:val="0"/>
        <w:spacing w:line="540" w:lineRule="exact"/>
        <w:ind w:firstLine="632" w:firstLineChars="200"/>
        <w:rPr>
          <w:szCs w:val="32"/>
        </w:rPr>
      </w:pPr>
      <w:r>
        <w:rPr>
          <w:szCs w:val="32"/>
        </w:rPr>
        <w:t>打造再生资源集散交易专业市场。依托板溪综合物流市场基础，打造再生资源集散交易专业市场，实现社区布局收购网点、片区建设流通中心、全县组建交易市场的发展格局。社区布局收购网点。加快废弃物设施建设升级，支持市场建设改造废弃物处理基础设施，在用地、用水、用电等方面提供政策扶持。鼓励企业加快建设开放的再生资源回收利用信息化平台。将再生资源回收站（点）纳入居住区公共配套设施建设监管范围，按照服务半径合理规划布局设施点位，在新建区域按规划适度优先或同步实施建设，老旧社区内暂无条件实施建设的，可通过改造、租赁、借用等形式合理配置建设。片区建设流通中心。各个片区建设再生资源流通中心，加快形成再生资源回收利用行业长效管理和运管体制，解决好乡镇废品收购</w:t>
      </w:r>
      <w:r>
        <w:rPr>
          <w:rFonts w:hint="eastAsia"/>
          <w:szCs w:val="32"/>
        </w:rPr>
        <w:t>“</w:t>
      </w:r>
      <w:r>
        <w:rPr>
          <w:szCs w:val="32"/>
        </w:rPr>
        <w:t>脏、乱、差</w:t>
      </w:r>
      <w:r>
        <w:rPr>
          <w:rFonts w:hint="eastAsia"/>
          <w:szCs w:val="32"/>
        </w:rPr>
        <w:t>”</w:t>
      </w:r>
      <w:r>
        <w:rPr>
          <w:szCs w:val="32"/>
        </w:rPr>
        <w:t>问题，形成</w:t>
      </w:r>
      <w:r>
        <w:rPr>
          <w:rFonts w:hint="eastAsia"/>
          <w:szCs w:val="32"/>
        </w:rPr>
        <w:t>“</w:t>
      </w:r>
      <w:r>
        <w:rPr>
          <w:szCs w:val="32"/>
        </w:rPr>
        <w:t>前端分类投放、中端分类收运、末端分类处理</w:t>
      </w:r>
      <w:r>
        <w:rPr>
          <w:rFonts w:hint="eastAsia"/>
          <w:szCs w:val="32"/>
        </w:rPr>
        <w:t>”</w:t>
      </w:r>
      <w:r>
        <w:rPr>
          <w:szCs w:val="32"/>
        </w:rPr>
        <w:t>的模式，实现垃圾减量化和资源化利用。全县组建交易市场。以酉阳区位优势与资源优势为基础，依托板溪综合物流市场，打造再生资源集散交易专业市场。全方位加强市场管理和服务工作，在满足储存、集散等初级功能基础上，配备分选、切割、粉碎、打包等初级加工必要设备。</w:t>
      </w:r>
    </w:p>
    <w:p w14:paraId="417DD15D">
      <w:pPr>
        <w:autoSpaceDE w:val="0"/>
        <w:spacing w:line="540" w:lineRule="exact"/>
        <w:ind w:firstLine="632" w:firstLineChars="200"/>
        <w:rPr>
          <w:szCs w:val="32"/>
        </w:rPr>
      </w:pPr>
      <w:r>
        <w:rPr>
          <w:szCs w:val="32"/>
        </w:rPr>
        <w:t>实现加油站站点城乡全覆盖。以满足社会成品油需求总量为目标，满足消费者不断升级的多元需求为宗旨，逐年提高，通过新建、迁建、升级改造等方式提高加油站市场覆盖率和供应服务能力，打造客户消费新体验，与酉阳县经济、社会，城乡建设协调发展。加快桃花源新城加油站升级改造，开展规范提升专项行动，规范经营行为，改善内外环境，提高服务品质，提升安全环保水平，实现加油站城市化、现代化升级改造。根据各类规划衔接，合理布局城乡加油站站点设置。根据城乡功能布局和交通干线情况，重点发展城市新区、交通干道、农村乡镇加油站。按照城区加油站服务半径应控制在不低于0.9公里原则，严格执行加油站设置的指标标准的规定，保证加油站合理间距。</w:t>
      </w:r>
    </w:p>
    <w:p w14:paraId="3FD668DF">
      <w:pPr>
        <w:autoSpaceDE w:val="0"/>
        <w:spacing w:line="540" w:lineRule="exact"/>
        <w:ind w:firstLine="632" w:firstLineChars="200"/>
        <w:rPr>
          <w:szCs w:val="32"/>
        </w:rPr>
      </w:pPr>
      <w:r>
        <w:rPr>
          <w:rFonts w:eastAsia="方正楷体_GBK"/>
          <w:szCs w:val="32"/>
        </w:rPr>
        <w:t>（十一）扩大开放平台，坚持对外开放。</w:t>
      </w:r>
      <w:r>
        <w:rPr>
          <w:szCs w:val="32"/>
        </w:rPr>
        <w:t>推动对外贸易高质量发展。做强外贸主体。结合我县产业特点，在招商引资中突出引进大型外贸实体企业、大型贸易采购商、供应链平台，发挥现有优势企业作用，做大做强外贸主体。提升产品质量。发挥酉阳县产业产品优势，继续强化品牌商标专利、管理体系、产品认证、国际营销体系建设，打响</w:t>
      </w:r>
      <w:r>
        <w:rPr>
          <w:rFonts w:hint="eastAsia"/>
          <w:szCs w:val="32"/>
        </w:rPr>
        <w:t>“</w:t>
      </w:r>
      <w:r>
        <w:rPr>
          <w:szCs w:val="32"/>
        </w:rPr>
        <w:t>酉阳茶叶</w:t>
      </w:r>
      <w:r>
        <w:rPr>
          <w:rFonts w:hint="eastAsia"/>
          <w:szCs w:val="32"/>
        </w:rPr>
        <w:t>”“</w:t>
      </w:r>
      <w:r>
        <w:rPr>
          <w:szCs w:val="32"/>
        </w:rPr>
        <w:t>酉阳苗绣</w:t>
      </w:r>
      <w:r>
        <w:rPr>
          <w:rFonts w:hint="eastAsia"/>
          <w:szCs w:val="32"/>
        </w:rPr>
        <w:t>”“</w:t>
      </w:r>
      <w:r>
        <w:rPr>
          <w:szCs w:val="32"/>
        </w:rPr>
        <w:t>酉阳油茶</w:t>
      </w:r>
      <w:r>
        <w:rPr>
          <w:rFonts w:hint="eastAsia"/>
          <w:szCs w:val="32"/>
        </w:rPr>
        <w:t>”</w:t>
      </w:r>
      <w:r>
        <w:rPr>
          <w:szCs w:val="32"/>
        </w:rPr>
        <w:t>等特色品牌名号。推动国际市场多元化。线上线下结合多渠道拓展国际市场，加快积极融入和主动对接成渝地区双城经济圈和西部陆海新通道。</w:t>
      </w:r>
    </w:p>
    <w:p w14:paraId="40B67C76">
      <w:pPr>
        <w:autoSpaceDE w:val="0"/>
        <w:spacing w:line="540" w:lineRule="exact"/>
        <w:ind w:firstLine="632" w:firstLineChars="200"/>
        <w:rPr>
          <w:szCs w:val="32"/>
        </w:rPr>
      </w:pPr>
      <w:r>
        <w:rPr>
          <w:szCs w:val="32"/>
        </w:rPr>
        <w:t>坚持高水平</w:t>
      </w:r>
      <w:r>
        <w:rPr>
          <w:rFonts w:hint="eastAsia"/>
          <w:szCs w:val="32"/>
        </w:rPr>
        <w:t>“</w:t>
      </w:r>
      <w:r>
        <w:rPr>
          <w:szCs w:val="32"/>
        </w:rPr>
        <w:t>引进来</w:t>
      </w:r>
      <w:r>
        <w:rPr>
          <w:rFonts w:hint="eastAsia"/>
          <w:szCs w:val="32"/>
        </w:rPr>
        <w:t>”</w:t>
      </w:r>
      <w:r>
        <w:rPr>
          <w:szCs w:val="32"/>
        </w:rPr>
        <w:t>。着力招大引强。不断提高招商引资的精准性、有效性和针对性。推动招商引资在保持总量持续稳定增长的基础上，实现引资质量、效益同步提升招商引资对经济增长、产业发展、财税增收、民生改善、就业扩大和人才引进的贡献明显增强，外来投资效率大幅提升。创新招商理念方式。积极开展委托招商、代理招商、中介招商、以商招商等招商方式。重点引进</w:t>
      </w:r>
      <w:r>
        <w:rPr>
          <w:rFonts w:hint="eastAsia"/>
          <w:szCs w:val="32"/>
        </w:rPr>
        <w:t>“</w:t>
      </w:r>
      <w:r>
        <w:rPr>
          <w:szCs w:val="32"/>
        </w:rPr>
        <w:t>三类500强</w:t>
      </w:r>
      <w:r>
        <w:rPr>
          <w:rFonts w:hint="eastAsia"/>
          <w:szCs w:val="32"/>
        </w:rPr>
        <w:t>”</w:t>
      </w:r>
      <w:r>
        <w:rPr>
          <w:szCs w:val="32"/>
        </w:rPr>
        <w:t>企业、行业领军企业、外资实体企业、总部经济等。持续优化投资环境。深入落实《外商投资法》及实施条例、配套政策，分层次、有重点放开市场准入。健全完善项目跟踪联系制度，提升政务服务，加快推进招商引资项目落地和建设，逐年提高招商引资项目履约率、项目开工率、资金到位率和投产达产率。</w:t>
      </w:r>
    </w:p>
    <w:p w14:paraId="40B6259C">
      <w:pPr>
        <w:autoSpaceDE w:val="0"/>
        <w:spacing w:line="540" w:lineRule="exact"/>
        <w:ind w:firstLine="632" w:firstLineChars="200"/>
        <w:rPr>
          <w:szCs w:val="32"/>
        </w:rPr>
      </w:pPr>
      <w:r>
        <w:rPr>
          <w:szCs w:val="32"/>
        </w:rPr>
        <w:t>推动高质量</w:t>
      </w:r>
      <w:r>
        <w:rPr>
          <w:rFonts w:hint="eastAsia"/>
          <w:szCs w:val="32"/>
        </w:rPr>
        <w:t>“</w:t>
      </w:r>
      <w:r>
        <w:rPr>
          <w:szCs w:val="32"/>
        </w:rPr>
        <w:t>走出去</w:t>
      </w:r>
      <w:r>
        <w:rPr>
          <w:rFonts w:hint="eastAsia"/>
          <w:szCs w:val="32"/>
        </w:rPr>
        <w:t>”</w:t>
      </w:r>
      <w:r>
        <w:rPr>
          <w:szCs w:val="32"/>
        </w:rPr>
        <w:t>。积极推进</w:t>
      </w:r>
      <w:r>
        <w:rPr>
          <w:rFonts w:hint="eastAsia"/>
          <w:szCs w:val="32"/>
        </w:rPr>
        <w:t>“</w:t>
      </w:r>
      <w:r>
        <w:rPr>
          <w:szCs w:val="32"/>
        </w:rPr>
        <w:t>走出去</w:t>
      </w:r>
      <w:r>
        <w:rPr>
          <w:rFonts w:hint="eastAsia"/>
          <w:szCs w:val="32"/>
        </w:rPr>
        <w:t>”</w:t>
      </w:r>
      <w:r>
        <w:rPr>
          <w:szCs w:val="32"/>
        </w:rPr>
        <w:t>高质量发展，提升</w:t>
      </w:r>
      <w:r>
        <w:rPr>
          <w:rFonts w:hint="eastAsia"/>
          <w:szCs w:val="32"/>
        </w:rPr>
        <w:t>“</w:t>
      </w:r>
      <w:r>
        <w:rPr>
          <w:szCs w:val="32"/>
        </w:rPr>
        <w:t>走出去</w:t>
      </w:r>
      <w:r>
        <w:rPr>
          <w:rFonts w:hint="eastAsia"/>
          <w:szCs w:val="32"/>
        </w:rPr>
        <w:t>”</w:t>
      </w:r>
      <w:r>
        <w:rPr>
          <w:szCs w:val="32"/>
        </w:rPr>
        <w:t>的质量和效益，特别是对县内产业经济发展的贡献度。优化市场布局。主动服务武陵山地区和周边地区，做深重庆、四川、湖北、贵州等传统市场，拓展湖南、江苏、浙江等新兴市场，支持当地空心李、青花椒、油茶、茶叶、野菌野菜等进驻家乐福、沃尔玛、重百、新世纪等大型超市，远销湖南、江苏、浙江等城市。鼓励扶持企业获得外贸进出口资质，深化与西部陆海新通道沿线城市和国家的合作，带动产能、技术、标准和服务走出去，实现重点区域、重点领域的突破。</w:t>
      </w:r>
    </w:p>
    <w:p w14:paraId="2FC7E1DD">
      <w:pPr>
        <w:autoSpaceDE w:val="0"/>
        <w:spacing w:line="540" w:lineRule="exact"/>
        <w:ind w:firstLine="632" w:firstLineChars="200"/>
        <w:rPr>
          <w:rFonts w:eastAsia="方正黑体_GBK"/>
          <w:szCs w:val="32"/>
        </w:rPr>
      </w:pPr>
      <w:r>
        <w:rPr>
          <w:rFonts w:eastAsia="方正黑体_GBK"/>
          <w:szCs w:val="32"/>
        </w:rPr>
        <w:t>七、规划保障措施</w:t>
      </w:r>
    </w:p>
    <w:p w14:paraId="2B5C29C5">
      <w:pPr>
        <w:autoSpaceDE w:val="0"/>
        <w:spacing w:line="540" w:lineRule="exact"/>
        <w:ind w:firstLine="632" w:firstLineChars="200"/>
        <w:rPr>
          <w:szCs w:val="32"/>
        </w:rPr>
      </w:pPr>
      <w:r>
        <w:rPr>
          <w:rFonts w:eastAsia="方正楷体_GBK"/>
          <w:szCs w:val="32"/>
        </w:rPr>
        <w:t>（一）加强组织领导，高质量抓落实。</w:t>
      </w:r>
      <w:r>
        <w:rPr>
          <w:szCs w:val="32"/>
        </w:rPr>
        <w:t>成立</w:t>
      </w:r>
      <w:r>
        <w:rPr>
          <w:rFonts w:hint="eastAsia"/>
          <w:szCs w:val="32"/>
        </w:rPr>
        <w:t>“</w:t>
      </w:r>
      <w:r>
        <w:rPr>
          <w:szCs w:val="32"/>
        </w:rPr>
        <w:t>酉阳县促进商贸服务业发展工作专班</w:t>
      </w:r>
      <w:r>
        <w:rPr>
          <w:rFonts w:hint="eastAsia"/>
          <w:szCs w:val="32"/>
        </w:rPr>
        <w:t>”</w:t>
      </w:r>
      <w:r>
        <w:rPr>
          <w:szCs w:val="32"/>
        </w:rPr>
        <w:t>，统筹解决全县商贸服务业发展中的重大问题。领导小组进行任务分解，落实发展任务，针对商贸服务业发展的薄弱环节、重点行业、重大项目、重大工程，全程负责工作的安排和协调。</w:t>
      </w:r>
    </w:p>
    <w:p w14:paraId="39200ED9">
      <w:pPr>
        <w:autoSpaceDE w:val="0"/>
        <w:spacing w:line="540" w:lineRule="exact"/>
        <w:ind w:firstLine="632" w:firstLineChars="200"/>
        <w:rPr>
          <w:szCs w:val="32"/>
        </w:rPr>
      </w:pPr>
      <w:r>
        <w:rPr>
          <w:rFonts w:eastAsia="方正楷体_GBK"/>
          <w:szCs w:val="32"/>
        </w:rPr>
        <w:t>（二）明确工作抓手，搭建载体平台。</w:t>
      </w:r>
      <w:r>
        <w:rPr>
          <w:szCs w:val="32"/>
        </w:rPr>
        <w:t>狠抓项目建设和招商引资。分析国家政策导向，超前谋划和精心包装一批商贸物流、文化、旅游和健康服务类项目，加强项目支撑。抓载体建设。一是抓综合改革试点区域建设。支持新城区作为酉阳县服务业综合改革试点区建设，构建宜居、宜游、宜商的现代商贸服务业综合改革试点区域。二是抓产业集聚区建设。积极引导物流、商贸、金融、文化、信息服务、旅游等行业向集聚区集聚，形成相应的产业集聚区。充分发挥和利用产业集聚对产业发展产生的内部协同和外部协同效应，支持服务业集聚发展。</w:t>
      </w:r>
    </w:p>
    <w:p w14:paraId="57F3CFD1">
      <w:pPr>
        <w:autoSpaceDE w:val="0"/>
        <w:spacing w:line="540" w:lineRule="exact"/>
        <w:ind w:firstLine="632" w:firstLineChars="200"/>
        <w:rPr>
          <w:szCs w:val="32"/>
        </w:rPr>
      </w:pPr>
      <w:r>
        <w:rPr>
          <w:rFonts w:eastAsia="方正楷体_GBK"/>
          <w:szCs w:val="32"/>
        </w:rPr>
        <w:t>（三）加强主体培育，提高流通组织化。</w:t>
      </w:r>
      <w:r>
        <w:rPr>
          <w:szCs w:val="32"/>
        </w:rPr>
        <w:t>抓企业培育和发展。一是培育重点企业。支持商贸服务业中科技型和创新性小企业的发展。支持重点商贸企业管理创新、业态创新、商业模式创新和技术创新，提高企业自主创新能力和核心竞争力，尽快形成一批具有较强竞争力的商贸服务龙头企业。二是组建产业旗舰集团。在物流、商贸、金融、旅游、文化、为农服务、健康服务、职业教育和社区服务业，推动企业改制和重组，鼓励优质大型服务业企业，利用市场手段实现资产的优化组合，形成产权明晰、品牌优势明显、产业链较长、具有较强市场竞争能力的商贸服务业旗舰集团。</w:t>
      </w:r>
    </w:p>
    <w:p w14:paraId="2A177549">
      <w:pPr>
        <w:autoSpaceDE w:val="0"/>
        <w:spacing w:line="540" w:lineRule="exact"/>
        <w:ind w:firstLine="632" w:firstLineChars="200"/>
        <w:rPr>
          <w:szCs w:val="32"/>
        </w:rPr>
      </w:pPr>
      <w:r>
        <w:rPr>
          <w:szCs w:val="32"/>
        </w:rPr>
        <w:t>提高流通组织化程度。加快完善土地、技术、知识产权、劳动力、资金等生产要素市场，建立健全支撑服务业发展的现代市场体系。推动涉农电子商务，提高农产品流通组织化程度和信息化水平。</w:t>
      </w:r>
    </w:p>
    <w:p w14:paraId="700A3FD0">
      <w:pPr>
        <w:autoSpaceDE w:val="0"/>
        <w:spacing w:line="540" w:lineRule="exact"/>
        <w:ind w:firstLine="632" w:firstLineChars="200"/>
        <w:rPr>
          <w:szCs w:val="32"/>
        </w:rPr>
      </w:pPr>
      <w:r>
        <w:rPr>
          <w:rFonts w:eastAsia="方正楷体_GBK"/>
          <w:szCs w:val="32"/>
        </w:rPr>
        <w:t>（四）健全政策体系，优化发展环境。</w:t>
      </w:r>
      <w:r>
        <w:rPr>
          <w:szCs w:val="32"/>
        </w:rPr>
        <w:t>加大财税支持力度。建立商贸服务业发展专项扶持资金，积极争取国家、市的扶持资金。严格执行国家和重庆市出台的有关商贸服务业的各项税费减免政策。积极实施营改增税收政策。推进对商贸服务企业收费的清理工作，对不符合商贸服务业发展要求行政性收费，及时废除或修改。</w:t>
      </w:r>
    </w:p>
    <w:p w14:paraId="7FFE4477">
      <w:pPr>
        <w:autoSpaceDE w:val="0"/>
        <w:spacing w:line="540" w:lineRule="exact"/>
        <w:ind w:firstLine="632" w:firstLineChars="200"/>
        <w:rPr>
          <w:szCs w:val="32"/>
        </w:rPr>
      </w:pPr>
      <w:r>
        <w:rPr>
          <w:szCs w:val="32"/>
        </w:rPr>
        <w:t>加大金融支持力度。积极设立商贸服务业发展的产业投资基金和对创新型和科技型商贸服务企业进行投资的创业投资基金。建立物流业、旅游业、文化业、信息服务业、为农服务业、健康服务业领域的企业贷款风险补偿机制，促进银行加大对它们的信贷投放。调整商贸服务业用电、用水、用气价格政策，实现与工业同价并轨。</w:t>
      </w:r>
    </w:p>
    <w:p w14:paraId="0A3DDE92">
      <w:pPr>
        <w:autoSpaceDE w:val="0"/>
        <w:spacing w:line="540" w:lineRule="exact"/>
        <w:ind w:firstLine="632" w:firstLineChars="200"/>
        <w:rPr>
          <w:szCs w:val="32"/>
        </w:rPr>
      </w:pPr>
      <w:r>
        <w:rPr>
          <w:szCs w:val="32"/>
        </w:rPr>
        <w:t>确保集聚区和重要项目建设用地。将商贸服务业用地纳入土地利用总体规划、年度用地计划和年度供地计划。对投资强度大、建成后纳税额高、社会效益好的标志性项目，优先安排建设用地。对现代物流、信息服务、商务服务、金融等生产性服务业项目用地，实行与工业项目同等的用地政策。鼓励在不改变用地主体、不重新开发建设的前提下，鼓励利用工业厂房、仓储用房、传统商业街等存量地产兴办现代商贸服务业。</w:t>
      </w:r>
    </w:p>
    <w:p w14:paraId="3678B298">
      <w:pPr>
        <w:autoSpaceDE w:val="0"/>
        <w:spacing w:line="540" w:lineRule="exact"/>
        <w:ind w:firstLine="632" w:firstLineChars="200"/>
        <w:rPr>
          <w:szCs w:val="32"/>
        </w:rPr>
      </w:pPr>
      <w:r>
        <w:rPr>
          <w:rFonts w:eastAsia="方正楷体_GBK"/>
          <w:szCs w:val="32"/>
        </w:rPr>
        <w:t>（五）加大招商引资，加强项目建设。</w:t>
      </w:r>
      <w:r>
        <w:rPr>
          <w:szCs w:val="32"/>
        </w:rPr>
        <w:t>创新招商引资工作。紧扣新时代西部大开发新格局、</w:t>
      </w:r>
      <w:r>
        <w:rPr>
          <w:rFonts w:hint="eastAsia"/>
          <w:szCs w:val="32"/>
        </w:rPr>
        <w:t>“</w:t>
      </w:r>
      <w:r>
        <w:rPr>
          <w:szCs w:val="32"/>
        </w:rPr>
        <w:t>一带一路</w:t>
      </w:r>
      <w:r>
        <w:rPr>
          <w:rFonts w:hint="eastAsia"/>
          <w:szCs w:val="32"/>
        </w:rPr>
        <w:t>”</w:t>
      </w:r>
      <w:r>
        <w:rPr>
          <w:szCs w:val="32"/>
        </w:rPr>
        <w:t>、长江经济带、西部陆海新通道、成渝地区双城经济圈等重大战略。加大对重庆、四川以及其他内外资企业的招商引资力度，推动特色商贸新城落地投建，加快以商促城、以商促农、以商促旅。大力培育引进电商、物流等龙头企业，形成特色规模供应链，带动特色产业规模化、产业化、持续性稳步发展。探索创新招商方式。开展产业团队招商、委托招商、蹲点招商，开展境外精准对接招商活动等。</w:t>
      </w:r>
    </w:p>
    <w:p w14:paraId="4AE23AA4">
      <w:pPr>
        <w:autoSpaceDE w:val="0"/>
        <w:spacing w:line="540" w:lineRule="exact"/>
        <w:ind w:firstLine="632" w:firstLineChars="200"/>
        <w:rPr>
          <w:szCs w:val="32"/>
        </w:rPr>
      </w:pPr>
      <w:r>
        <w:rPr>
          <w:szCs w:val="32"/>
        </w:rPr>
        <w:t>提升对外合作能力。加快实施板溪综合物流市场二期、东部沿海产业转移承接基地一期项目，发挥</w:t>
      </w:r>
      <w:r>
        <w:rPr>
          <w:rFonts w:hint="eastAsia"/>
          <w:szCs w:val="32"/>
        </w:rPr>
        <w:t>“</w:t>
      </w:r>
      <w:r>
        <w:rPr>
          <w:szCs w:val="32"/>
        </w:rPr>
        <w:t>一区四园</w:t>
      </w:r>
      <w:r>
        <w:rPr>
          <w:rFonts w:hint="eastAsia"/>
          <w:szCs w:val="32"/>
        </w:rPr>
        <w:t>”</w:t>
      </w:r>
      <w:r>
        <w:rPr>
          <w:szCs w:val="32"/>
        </w:rPr>
        <w:t>承接产业转移功能。积极参加西洽会、西部农交会等大型展销活动，推动本地名优特产品走出去。抓住西部陆海新通道建设机遇，探索建设农畜产品出口直销基地，提高境外经营能力和水平，力争将酉阳的特色农产品、文化艺术品、民族特色加工业产品、中药材等打入国际市场。新建会展场馆，打造面向东南亚和成渝经济圈的</w:t>
      </w:r>
      <w:r>
        <w:rPr>
          <w:rFonts w:hint="eastAsia"/>
          <w:szCs w:val="32"/>
        </w:rPr>
        <w:t>“</w:t>
      </w:r>
      <w:r>
        <w:rPr>
          <w:szCs w:val="32"/>
        </w:rPr>
        <w:t>特色农产品展销会</w:t>
      </w:r>
      <w:r>
        <w:rPr>
          <w:rFonts w:hint="eastAsia"/>
          <w:szCs w:val="32"/>
        </w:rPr>
        <w:t>”</w:t>
      </w:r>
      <w:r>
        <w:rPr>
          <w:szCs w:val="32"/>
        </w:rPr>
        <w:t>、</w:t>
      </w:r>
      <w:r>
        <w:rPr>
          <w:rFonts w:hint="eastAsia"/>
          <w:szCs w:val="32"/>
        </w:rPr>
        <w:t>“</w:t>
      </w:r>
      <w:r>
        <w:rPr>
          <w:szCs w:val="32"/>
        </w:rPr>
        <w:t>康养博览会</w:t>
      </w:r>
      <w:r>
        <w:rPr>
          <w:rFonts w:hint="eastAsia"/>
          <w:szCs w:val="32"/>
        </w:rPr>
        <w:t>”</w:t>
      </w:r>
      <w:r>
        <w:rPr>
          <w:szCs w:val="32"/>
        </w:rPr>
        <w:t>，带动中心城区成为集展览、会议、食宿、购物、商务、旅游、文化休闲等功能于一体的城市新面貌。</w:t>
      </w:r>
    </w:p>
    <w:p w14:paraId="730506A6">
      <w:pPr>
        <w:autoSpaceDE w:val="0"/>
        <w:spacing w:line="540" w:lineRule="exact"/>
        <w:ind w:firstLine="632" w:firstLineChars="200"/>
        <w:rPr>
          <w:szCs w:val="32"/>
        </w:rPr>
      </w:pPr>
      <w:r>
        <w:rPr>
          <w:szCs w:val="32"/>
        </w:rPr>
        <w:t>深化区域联动协作。加强渝东南城镇群合作，推动组建渝东南武陵山商旅发展联盟，联合争取国家批准设立渝东南武陵山商旅融合发展示范区。推动渝鄂湘黔毗邻地区经济技术协作，共同打通向东、向南开放通道，统筹推进基础设施共建、市场产品共创和区域特色品牌共用。围绕产业协同、创新协同、改革协同、城乡协同，持续深入推进江北·酉阳对口协作机制。发挥致公党在科技、人才和联系海外华人华侨等方面的优势，深化</w:t>
      </w:r>
      <w:r>
        <w:rPr>
          <w:rFonts w:hint="eastAsia"/>
          <w:szCs w:val="32"/>
        </w:rPr>
        <w:t>“</w:t>
      </w:r>
      <w:r>
        <w:rPr>
          <w:szCs w:val="32"/>
        </w:rPr>
        <w:t>致酉</w:t>
      </w:r>
      <w:r>
        <w:rPr>
          <w:rFonts w:hint="eastAsia"/>
          <w:szCs w:val="32"/>
        </w:rPr>
        <w:t>”</w:t>
      </w:r>
      <w:r>
        <w:rPr>
          <w:szCs w:val="32"/>
        </w:rPr>
        <w:t>商贸领域合作。</w:t>
      </w:r>
    </w:p>
    <w:p w14:paraId="5D22D893">
      <w:pPr>
        <w:autoSpaceDE w:val="0"/>
        <w:spacing w:line="540" w:lineRule="exact"/>
        <w:rPr>
          <w:szCs w:val="32"/>
        </w:rPr>
      </w:pPr>
      <w:r>
        <w:rPr>
          <w:rFonts w:hint="eastAsia" w:eastAsia="方正楷体_GBK"/>
          <w:szCs w:val="32"/>
        </w:rPr>
        <w:t xml:space="preserve">    （六）</w:t>
      </w:r>
      <w:r>
        <w:rPr>
          <w:rFonts w:eastAsia="方正楷体_GBK"/>
          <w:szCs w:val="32"/>
        </w:rPr>
        <w:t>加强人才支撑，提供发展智力。</w:t>
      </w:r>
      <w:r>
        <w:rPr>
          <w:szCs w:val="32"/>
        </w:rPr>
        <w:t>多途径引进商贸服务业领域高技能型人才和具有现代管理能力的高层次复合型人才。在人事制度上为引进人才开辟绿色通道，在住房、配偶就业、子女入学等方面提供相应政策支持。加大岗位培训力度，开展再培训和再教育活动，提高从业人员业务素质。重点建设好一批与未来发展相适应的多层次人才队伍，发挥人才资源使用效益。完善人才市场和中介服务体系，做到人尽其才，才尽其用，为我县发展提供智力支持。</w:t>
      </w:r>
    </w:p>
    <w:p w14:paraId="5F564CFF">
      <w:pPr>
        <w:autoSpaceDE w:val="0"/>
        <w:spacing w:line="540" w:lineRule="exact"/>
        <w:ind w:left="632" w:leftChars="200"/>
        <w:rPr>
          <w:szCs w:val="32"/>
        </w:rPr>
      </w:pPr>
    </w:p>
    <w:p w14:paraId="63B7C610">
      <w:pPr>
        <w:autoSpaceDE w:val="0"/>
        <w:spacing w:line="540" w:lineRule="exact"/>
        <w:ind w:firstLine="615"/>
        <w:rPr>
          <w:szCs w:val="32"/>
        </w:rPr>
      </w:pPr>
      <w:r>
        <w:rPr>
          <w:szCs w:val="32"/>
        </w:rPr>
        <w:t>附件：</w:t>
      </w:r>
      <w:r>
        <w:rPr>
          <w:rFonts w:hint="eastAsia"/>
          <w:szCs w:val="32"/>
        </w:rPr>
        <w:t>“</w:t>
      </w:r>
      <w:r>
        <w:rPr>
          <w:szCs w:val="32"/>
        </w:rPr>
        <w:t>十四五</w:t>
      </w:r>
      <w:r>
        <w:rPr>
          <w:rFonts w:hint="eastAsia"/>
          <w:szCs w:val="32"/>
        </w:rPr>
        <w:t>”</w:t>
      </w:r>
      <w:r>
        <w:rPr>
          <w:szCs w:val="32"/>
        </w:rPr>
        <w:t>酉阳商贸服务业重点项目</w:t>
      </w:r>
    </w:p>
    <w:p w14:paraId="3E276346">
      <w:pPr>
        <w:pStyle w:val="2"/>
        <w:ind w:firstLine="615"/>
      </w:pPr>
    </w:p>
    <w:p w14:paraId="221374DF">
      <w:pPr>
        <w:pStyle w:val="2"/>
        <w:rPr>
          <w:b w:val="0"/>
          <w:bCs w:val="0"/>
          <w:kern w:val="2"/>
          <w:sz w:val="32"/>
          <w:szCs w:val="22"/>
        </w:rPr>
      </w:pPr>
    </w:p>
    <w:p w14:paraId="44E1C373"/>
    <w:p w14:paraId="69617AB5">
      <w:pPr>
        <w:pStyle w:val="4"/>
        <w:keepLines/>
        <w:autoSpaceDE w:val="0"/>
        <w:spacing w:before="0" w:line="540" w:lineRule="exact"/>
        <w:rPr>
          <w:rFonts w:eastAsia="方正黑体_GBK"/>
          <w:b w:val="0"/>
          <w:kern w:val="2"/>
          <w:sz w:val="32"/>
        </w:rPr>
      </w:pPr>
      <w:r>
        <w:rPr>
          <w:rFonts w:eastAsia="方正楷体_GBK"/>
          <w:b w:val="0"/>
          <w:kern w:val="2"/>
          <w:sz w:val="32"/>
        </w:rPr>
        <w:t xml:space="preserve"> </w:t>
      </w:r>
      <w:r>
        <w:rPr>
          <w:rFonts w:eastAsia="方正黑体_GBK"/>
          <w:b w:val="0"/>
          <w:kern w:val="2"/>
          <w:sz w:val="32"/>
        </w:rPr>
        <w:t>附件</w:t>
      </w:r>
    </w:p>
    <w:p w14:paraId="2DE2B543">
      <w:pPr>
        <w:pStyle w:val="4"/>
        <w:keepLines/>
        <w:autoSpaceDE w:val="0"/>
        <w:spacing w:before="0" w:line="400" w:lineRule="exact"/>
        <w:jc w:val="center"/>
        <w:rPr>
          <w:rFonts w:eastAsia="方正黑体_GBK"/>
          <w:b w:val="0"/>
          <w:kern w:val="2"/>
          <w:sz w:val="32"/>
        </w:rPr>
      </w:pPr>
      <w:r>
        <w:rPr>
          <w:rFonts w:eastAsia="方正黑体_GBK"/>
          <w:b w:val="0"/>
          <w:kern w:val="2"/>
          <w:sz w:val="32"/>
        </w:rPr>
        <w:t xml:space="preserve"> </w:t>
      </w:r>
    </w:p>
    <w:p w14:paraId="20771238">
      <w:pPr>
        <w:pStyle w:val="4"/>
        <w:keepLines/>
        <w:autoSpaceDE w:val="0"/>
        <w:spacing w:line="560" w:lineRule="exact"/>
        <w:jc w:val="center"/>
        <w:rPr>
          <w:rFonts w:eastAsia="方正黑体_GBK"/>
          <w:b w:val="0"/>
          <w:kern w:val="2"/>
          <w:sz w:val="32"/>
        </w:rPr>
      </w:pPr>
      <w:r>
        <w:rPr>
          <w:rFonts w:hint="eastAsia" w:eastAsia="方正黑体_GBK"/>
          <w:b w:val="0"/>
          <w:kern w:val="2"/>
          <w:sz w:val="32"/>
        </w:rPr>
        <w:t>“</w:t>
      </w:r>
      <w:r>
        <w:rPr>
          <w:rFonts w:eastAsia="方正黑体_GBK"/>
          <w:b w:val="0"/>
          <w:kern w:val="2"/>
          <w:sz w:val="32"/>
        </w:rPr>
        <w:t>十四五</w:t>
      </w:r>
      <w:r>
        <w:rPr>
          <w:rFonts w:hint="eastAsia" w:eastAsia="方正黑体_GBK"/>
          <w:b w:val="0"/>
          <w:kern w:val="2"/>
          <w:sz w:val="32"/>
        </w:rPr>
        <w:t>”</w:t>
      </w:r>
      <w:r>
        <w:rPr>
          <w:rFonts w:eastAsia="方正黑体_GBK"/>
          <w:b w:val="0"/>
          <w:kern w:val="2"/>
          <w:sz w:val="32"/>
        </w:rPr>
        <w:t>酉阳商贸服务业重点项目</w:t>
      </w:r>
    </w:p>
    <w:tbl>
      <w:tblPr>
        <w:tblStyle w:val="43"/>
        <w:tblW w:w="9691" w:type="dxa"/>
        <w:jc w:val="center"/>
        <w:tblLayout w:type="fixed"/>
        <w:tblCellMar>
          <w:top w:w="0" w:type="dxa"/>
          <w:left w:w="108" w:type="dxa"/>
          <w:bottom w:w="0" w:type="dxa"/>
          <w:right w:w="108" w:type="dxa"/>
        </w:tblCellMar>
      </w:tblPr>
      <w:tblGrid>
        <w:gridCol w:w="563"/>
        <w:gridCol w:w="779"/>
        <w:gridCol w:w="784"/>
        <w:gridCol w:w="6131"/>
        <w:gridCol w:w="1434"/>
      </w:tblGrid>
      <w:tr w14:paraId="7C09C7EE">
        <w:tblPrEx>
          <w:tblCellMar>
            <w:top w:w="0" w:type="dxa"/>
            <w:left w:w="108" w:type="dxa"/>
            <w:bottom w:w="0" w:type="dxa"/>
            <w:right w:w="108" w:type="dxa"/>
          </w:tblCellMar>
        </w:tblPrEx>
        <w:trPr>
          <w:tblHeader/>
          <w:jc w:val="center"/>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8B43C1C">
            <w:pPr>
              <w:autoSpaceDE w:val="0"/>
              <w:spacing w:line="280" w:lineRule="exact"/>
              <w:jc w:val="center"/>
              <w:textAlignment w:val="center"/>
              <w:rPr>
                <w:rFonts w:eastAsia="方正黑体_GBK"/>
                <w:sz w:val="24"/>
                <w:szCs w:val="24"/>
              </w:rPr>
            </w:pPr>
            <w:r>
              <w:rPr>
                <w:rFonts w:eastAsia="方正黑体_GBK"/>
                <w:sz w:val="24"/>
                <w:szCs w:val="24"/>
              </w:rPr>
              <w:t>序号</w:t>
            </w:r>
          </w:p>
        </w:tc>
        <w:tc>
          <w:tcPr>
            <w:tcW w:w="779" w:type="dxa"/>
            <w:tcBorders>
              <w:top w:val="single" w:color="auto" w:sz="4" w:space="0"/>
              <w:left w:val="nil"/>
              <w:bottom w:val="single" w:color="auto" w:sz="4" w:space="0"/>
              <w:right w:val="single" w:color="auto" w:sz="4" w:space="0"/>
            </w:tcBorders>
            <w:shd w:val="clear" w:color="auto" w:fill="auto"/>
            <w:vAlign w:val="center"/>
          </w:tcPr>
          <w:p w14:paraId="117A928F">
            <w:pPr>
              <w:autoSpaceDE w:val="0"/>
              <w:spacing w:line="280" w:lineRule="exact"/>
              <w:jc w:val="center"/>
              <w:textAlignment w:val="center"/>
              <w:rPr>
                <w:rFonts w:eastAsia="方正黑体_GBK"/>
                <w:sz w:val="24"/>
                <w:szCs w:val="24"/>
              </w:rPr>
            </w:pPr>
            <w:r>
              <w:rPr>
                <w:rFonts w:eastAsia="方正黑体_GBK"/>
                <w:sz w:val="24"/>
                <w:szCs w:val="24"/>
              </w:rPr>
              <w:t>项目</w:t>
            </w:r>
          </w:p>
          <w:p w14:paraId="37A4FE38">
            <w:pPr>
              <w:autoSpaceDE w:val="0"/>
              <w:spacing w:line="280" w:lineRule="exact"/>
              <w:jc w:val="center"/>
              <w:textAlignment w:val="center"/>
              <w:rPr>
                <w:rFonts w:eastAsia="方正黑体_GBK"/>
                <w:sz w:val="24"/>
                <w:szCs w:val="24"/>
              </w:rPr>
            </w:pPr>
            <w:r>
              <w:rPr>
                <w:rFonts w:eastAsia="方正黑体_GBK"/>
                <w:sz w:val="24"/>
                <w:szCs w:val="24"/>
              </w:rPr>
              <w:t>名称</w:t>
            </w:r>
          </w:p>
        </w:tc>
        <w:tc>
          <w:tcPr>
            <w:tcW w:w="784" w:type="dxa"/>
            <w:tcBorders>
              <w:top w:val="single" w:color="auto" w:sz="4" w:space="0"/>
              <w:left w:val="nil"/>
              <w:bottom w:val="single" w:color="auto" w:sz="4" w:space="0"/>
              <w:right w:val="single" w:color="auto" w:sz="4" w:space="0"/>
            </w:tcBorders>
            <w:shd w:val="clear" w:color="auto" w:fill="auto"/>
            <w:vAlign w:val="center"/>
          </w:tcPr>
          <w:p w14:paraId="31B937B0">
            <w:pPr>
              <w:autoSpaceDE w:val="0"/>
              <w:spacing w:line="280" w:lineRule="exact"/>
              <w:jc w:val="center"/>
              <w:textAlignment w:val="center"/>
              <w:rPr>
                <w:rFonts w:eastAsia="方正黑体_GBK"/>
                <w:sz w:val="24"/>
                <w:szCs w:val="24"/>
              </w:rPr>
            </w:pPr>
            <w:r>
              <w:rPr>
                <w:rFonts w:eastAsia="方正黑体_GBK"/>
                <w:sz w:val="24"/>
                <w:szCs w:val="24"/>
              </w:rPr>
              <w:t>所属行业</w:t>
            </w:r>
          </w:p>
        </w:tc>
        <w:tc>
          <w:tcPr>
            <w:tcW w:w="6131" w:type="dxa"/>
            <w:tcBorders>
              <w:top w:val="single" w:color="auto" w:sz="4" w:space="0"/>
              <w:left w:val="nil"/>
              <w:bottom w:val="single" w:color="auto" w:sz="4" w:space="0"/>
              <w:right w:val="single" w:color="auto" w:sz="4" w:space="0"/>
            </w:tcBorders>
            <w:shd w:val="clear" w:color="auto" w:fill="auto"/>
            <w:vAlign w:val="center"/>
          </w:tcPr>
          <w:p w14:paraId="5BF52D28">
            <w:pPr>
              <w:autoSpaceDE w:val="0"/>
              <w:spacing w:line="280" w:lineRule="exact"/>
              <w:jc w:val="center"/>
              <w:textAlignment w:val="center"/>
              <w:rPr>
                <w:rFonts w:eastAsia="方正黑体_GBK"/>
                <w:sz w:val="24"/>
                <w:szCs w:val="24"/>
              </w:rPr>
            </w:pPr>
            <w:r>
              <w:rPr>
                <w:rFonts w:eastAsia="方正黑体_GBK"/>
                <w:sz w:val="24"/>
                <w:szCs w:val="24"/>
              </w:rPr>
              <w:t>主要建设内容及规模</w:t>
            </w:r>
          </w:p>
        </w:tc>
        <w:tc>
          <w:tcPr>
            <w:tcW w:w="1434" w:type="dxa"/>
            <w:tcBorders>
              <w:top w:val="single" w:color="auto" w:sz="4" w:space="0"/>
              <w:left w:val="nil"/>
              <w:bottom w:val="single" w:color="auto" w:sz="4" w:space="0"/>
              <w:right w:val="single" w:color="auto" w:sz="4" w:space="0"/>
            </w:tcBorders>
            <w:shd w:val="clear" w:color="auto" w:fill="auto"/>
            <w:vAlign w:val="center"/>
          </w:tcPr>
          <w:p w14:paraId="3D68E050">
            <w:pPr>
              <w:autoSpaceDE w:val="0"/>
              <w:spacing w:line="280" w:lineRule="exact"/>
              <w:jc w:val="center"/>
              <w:textAlignment w:val="center"/>
              <w:rPr>
                <w:rFonts w:eastAsia="方正黑体_GBK"/>
                <w:sz w:val="24"/>
                <w:szCs w:val="24"/>
              </w:rPr>
            </w:pPr>
            <w:r>
              <w:rPr>
                <w:rFonts w:eastAsia="方正黑体_GBK"/>
                <w:sz w:val="24"/>
                <w:szCs w:val="24"/>
              </w:rPr>
              <w:t>建设地点</w:t>
            </w:r>
          </w:p>
        </w:tc>
      </w:tr>
      <w:tr w14:paraId="25069507">
        <w:tblPrEx>
          <w:tblCellMar>
            <w:top w:w="0" w:type="dxa"/>
            <w:left w:w="108" w:type="dxa"/>
            <w:bottom w:w="0" w:type="dxa"/>
            <w:right w:w="108" w:type="dxa"/>
          </w:tblCellMar>
        </w:tblPrEx>
        <w:trPr>
          <w:trHeight w:val="90" w:hRule="atLeast"/>
          <w:jc w:val="center"/>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6307A73">
            <w:pPr>
              <w:autoSpaceDE w:val="0"/>
              <w:spacing w:line="300" w:lineRule="exact"/>
              <w:jc w:val="center"/>
              <w:textAlignment w:val="center"/>
              <w:rPr>
                <w:sz w:val="24"/>
                <w:szCs w:val="24"/>
              </w:rPr>
            </w:pPr>
            <w:r>
              <w:rPr>
                <w:sz w:val="24"/>
                <w:szCs w:val="24"/>
              </w:rPr>
              <w:t>1</w:t>
            </w:r>
          </w:p>
        </w:tc>
        <w:tc>
          <w:tcPr>
            <w:tcW w:w="779" w:type="dxa"/>
            <w:tcBorders>
              <w:top w:val="single" w:color="auto" w:sz="4" w:space="0"/>
              <w:left w:val="nil"/>
              <w:bottom w:val="single" w:color="auto" w:sz="4" w:space="0"/>
              <w:right w:val="single" w:color="auto" w:sz="4" w:space="0"/>
            </w:tcBorders>
            <w:shd w:val="clear" w:color="auto" w:fill="auto"/>
            <w:vAlign w:val="center"/>
          </w:tcPr>
          <w:p w14:paraId="4216F2C8">
            <w:pPr>
              <w:autoSpaceDE w:val="0"/>
              <w:spacing w:line="280" w:lineRule="exact"/>
              <w:jc w:val="center"/>
              <w:textAlignment w:val="center"/>
              <w:rPr>
                <w:sz w:val="24"/>
                <w:szCs w:val="24"/>
              </w:rPr>
            </w:pPr>
            <w:r>
              <w:rPr>
                <w:sz w:val="24"/>
                <w:szCs w:val="24"/>
              </w:rPr>
              <w:t>桃花源新城商业综合体</w:t>
            </w:r>
          </w:p>
        </w:tc>
        <w:tc>
          <w:tcPr>
            <w:tcW w:w="784" w:type="dxa"/>
            <w:tcBorders>
              <w:top w:val="single" w:color="auto" w:sz="4" w:space="0"/>
              <w:left w:val="nil"/>
              <w:bottom w:val="single" w:color="auto" w:sz="4" w:space="0"/>
              <w:right w:val="single" w:color="auto" w:sz="4" w:space="0"/>
            </w:tcBorders>
            <w:shd w:val="clear" w:color="auto" w:fill="auto"/>
            <w:vAlign w:val="center"/>
          </w:tcPr>
          <w:p w14:paraId="098B9D91">
            <w:pPr>
              <w:autoSpaceDE w:val="0"/>
              <w:spacing w:line="280" w:lineRule="exact"/>
              <w:jc w:val="center"/>
              <w:textAlignment w:val="center"/>
              <w:rPr>
                <w:sz w:val="24"/>
                <w:szCs w:val="24"/>
              </w:rPr>
            </w:pPr>
            <w:r>
              <w:rPr>
                <w:sz w:val="24"/>
                <w:szCs w:val="24"/>
              </w:rPr>
              <w:t>城市商贸综合体</w:t>
            </w:r>
          </w:p>
        </w:tc>
        <w:tc>
          <w:tcPr>
            <w:tcW w:w="6131" w:type="dxa"/>
            <w:tcBorders>
              <w:top w:val="single" w:color="auto" w:sz="4" w:space="0"/>
              <w:left w:val="nil"/>
              <w:bottom w:val="single" w:color="auto" w:sz="4" w:space="0"/>
              <w:right w:val="single" w:color="auto" w:sz="4" w:space="0"/>
            </w:tcBorders>
            <w:shd w:val="clear" w:color="auto" w:fill="auto"/>
            <w:vAlign w:val="center"/>
          </w:tcPr>
          <w:p w14:paraId="1031E1B5">
            <w:pPr>
              <w:autoSpaceDE w:val="0"/>
              <w:spacing w:line="280" w:lineRule="exact"/>
              <w:textAlignment w:val="center"/>
              <w:rPr>
                <w:sz w:val="24"/>
                <w:szCs w:val="24"/>
              </w:rPr>
            </w:pPr>
            <w:r>
              <w:rPr>
                <w:sz w:val="24"/>
                <w:szCs w:val="24"/>
              </w:rPr>
              <w:t>推进大型商业综合体、大型主题购物商城等项目建设，发展批发零售业、餐饮住宿业、电子商务、生活性服务业。中心包括50000平方米商业地产1处，商旅融合综合体1个，特色商业街1条，会展场馆1个，及其它商业配套体系。建设规模总计13万平方米。</w:t>
            </w:r>
          </w:p>
        </w:tc>
        <w:tc>
          <w:tcPr>
            <w:tcW w:w="1434" w:type="dxa"/>
            <w:tcBorders>
              <w:top w:val="single" w:color="auto" w:sz="4" w:space="0"/>
              <w:left w:val="nil"/>
              <w:bottom w:val="single" w:color="auto" w:sz="4" w:space="0"/>
              <w:right w:val="single" w:color="auto" w:sz="4" w:space="0"/>
            </w:tcBorders>
            <w:shd w:val="clear" w:color="auto" w:fill="auto"/>
            <w:vAlign w:val="center"/>
          </w:tcPr>
          <w:p w14:paraId="434CE215">
            <w:pPr>
              <w:autoSpaceDE w:val="0"/>
              <w:spacing w:line="300" w:lineRule="exact"/>
              <w:textAlignment w:val="center"/>
              <w:rPr>
                <w:sz w:val="24"/>
                <w:szCs w:val="24"/>
              </w:rPr>
            </w:pPr>
            <w:r>
              <w:rPr>
                <w:sz w:val="24"/>
                <w:szCs w:val="24"/>
              </w:rPr>
              <w:t>桃花源新城</w:t>
            </w:r>
          </w:p>
        </w:tc>
      </w:tr>
      <w:tr w14:paraId="2E32CA7E">
        <w:tblPrEx>
          <w:tblCellMar>
            <w:top w:w="0" w:type="dxa"/>
            <w:left w:w="108" w:type="dxa"/>
            <w:bottom w:w="0" w:type="dxa"/>
            <w:right w:w="108" w:type="dxa"/>
          </w:tblCellMar>
        </w:tblPrEx>
        <w:trPr>
          <w:trHeight w:val="90" w:hRule="atLeast"/>
          <w:jc w:val="center"/>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BAAEC95">
            <w:pPr>
              <w:autoSpaceDE w:val="0"/>
              <w:spacing w:line="300" w:lineRule="exact"/>
              <w:jc w:val="center"/>
              <w:textAlignment w:val="center"/>
              <w:rPr>
                <w:sz w:val="24"/>
                <w:szCs w:val="24"/>
              </w:rPr>
            </w:pPr>
            <w:r>
              <w:rPr>
                <w:sz w:val="24"/>
                <w:szCs w:val="24"/>
              </w:rPr>
              <w:t>2</w:t>
            </w:r>
          </w:p>
        </w:tc>
        <w:tc>
          <w:tcPr>
            <w:tcW w:w="779" w:type="dxa"/>
            <w:tcBorders>
              <w:top w:val="single" w:color="auto" w:sz="4" w:space="0"/>
              <w:left w:val="nil"/>
              <w:bottom w:val="single" w:color="auto" w:sz="4" w:space="0"/>
              <w:right w:val="single" w:color="auto" w:sz="4" w:space="0"/>
            </w:tcBorders>
            <w:shd w:val="clear" w:color="auto" w:fill="auto"/>
            <w:vAlign w:val="center"/>
          </w:tcPr>
          <w:p w14:paraId="4C444425">
            <w:pPr>
              <w:autoSpaceDE w:val="0"/>
              <w:spacing w:line="280" w:lineRule="exact"/>
              <w:jc w:val="center"/>
              <w:textAlignment w:val="center"/>
              <w:rPr>
                <w:sz w:val="24"/>
                <w:szCs w:val="24"/>
              </w:rPr>
            </w:pPr>
            <w:r>
              <w:rPr>
                <w:sz w:val="24"/>
                <w:szCs w:val="24"/>
              </w:rPr>
              <w:t>会展中心</w:t>
            </w:r>
          </w:p>
        </w:tc>
        <w:tc>
          <w:tcPr>
            <w:tcW w:w="784" w:type="dxa"/>
            <w:tcBorders>
              <w:top w:val="single" w:color="auto" w:sz="4" w:space="0"/>
              <w:left w:val="nil"/>
              <w:bottom w:val="single" w:color="auto" w:sz="4" w:space="0"/>
              <w:right w:val="single" w:color="auto" w:sz="4" w:space="0"/>
            </w:tcBorders>
            <w:shd w:val="clear" w:color="auto" w:fill="auto"/>
            <w:vAlign w:val="center"/>
          </w:tcPr>
          <w:p w14:paraId="703F9AF7">
            <w:pPr>
              <w:autoSpaceDE w:val="0"/>
              <w:spacing w:line="280" w:lineRule="exact"/>
              <w:jc w:val="center"/>
              <w:textAlignment w:val="center"/>
              <w:rPr>
                <w:sz w:val="24"/>
                <w:szCs w:val="24"/>
              </w:rPr>
            </w:pPr>
            <w:r>
              <w:rPr>
                <w:sz w:val="24"/>
                <w:szCs w:val="24"/>
              </w:rPr>
              <w:t>商贸物流产业</w:t>
            </w:r>
          </w:p>
        </w:tc>
        <w:tc>
          <w:tcPr>
            <w:tcW w:w="6131" w:type="dxa"/>
            <w:tcBorders>
              <w:top w:val="single" w:color="auto" w:sz="4" w:space="0"/>
              <w:left w:val="nil"/>
              <w:bottom w:val="single" w:color="auto" w:sz="4" w:space="0"/>
              <w:right w:val="single" w:color="auto" w:sz="4" w:space="0"/>
            </w:tcBorders>
            <w:shd w:val="clear" w:color="auto" w:fill="auto"/>
            <w:vAlign w:val="center"/>
          </w:tcPr>
          <w:p w14:paraId="76FBA63D">
            <w:pPr>
              <w:autoSpaceDE w:val="0"/>
              <w:spacing w:line="280" w:lineRule="exact"/>
              <w:textAlignment w:val="center"/>
              <w:rPr>
                <w:sz w:val="24"/>
                <w:szCs w:val="24"/>
              </w:rPr>
            </w:pPr>
            <w:r>
              <w:rPr>
                <w:sz w:val="24"/>
                <w:szCs w:val="24"/>
              </w:rPr>
              <w:t>新建5万平方米会展场馆，培育打造</w:t>
            </w:r>
            <w:r>
              <w:rPr>
                <w:rFonts w:hint="eastAsia"/>
                <w:sz w:val="24"/>
                <w:szCs w:val="24"/>
              </w:rPr>
              <w:t>“</w:t>
            </w:r>
            <w:r>
              <w:rPr>
                <w:sz w:val="24"/>
                <w:szCs w:val="24"/>
              </w:rPr>
              <w:t>特色农产品博览会</w:t>
            </w:r>
            <w:r>
              <w:rPr>
                <w:rFonts w:hint="eastAsia"/>
                <w:sz w:val="24"/>
                <w:szCs w:val="24"/>
              </w:rPr>
              <w:t>”“</w:t>
            </w:r>
            <w:r>
              <w:rPr>
                <w:sz w:val="24"/>
                <w:szCs w:val="24"/>
              </w:rPr>
              <w:t>康养博览会</w:t>
            </w:r>
            <w:r>
              <w:rPr>
                <w:rFonts w:hint="eastAsia"/>
                <w:sz w:val="24"/>
                <w:szCs w:val="24"/>
              </w:rPr>
              <w:t>”“</w:t>
            </w:r>
            <w:r>
              <w:rPr>
                <w:sz w:val="24"/>
                <w:szCs w:val="24"/>
              </w:rPr>
              <w:t>特色旅游博览会</w:t>
            </w:r>
            <w:r>
              <w:rPr>
                <w:rFonts w:hint="eastAsia"/>
                <w:sz w:val="24"/>
                <w:szCs w:val="24"/>
              </w:rPr>
              <w:t>”</w:t>
            </w:r>
            <w:r>
              <w:rPr>
                <w:sz w:val="24"/>
                <w:szCs w:val="24"/>
              </w:rPr>
              <w:t>等品牌。配套展览、会议、食宿、购物、商务、旅游、文化休闲等功能于一体。</w:t>
            </w:r>
          </w:p>
        </w:tc>
        <w:tc>
          <w:tcPr>
            <w:tcW w:w="1434" w:type="dxa"/>
            <w:tcBorders>
              <w:top w:val="single" w:color="auto" w:sz="4" w:space="0"/>
              <w:left w:val="nil"/>
              <w:bottom w:val="single" w:color="auto" w:sz="4" w:space="0"/>
              <w:right w:val="single" w:color="auto" w:sz="4" w:space="0"/>
            </w:tcBorders>
            <w:shd w:val="clear" w:color="auto" w:fill="auto"/>
            <w:vAlign w:val="center"/>
          </w:tcPr>
          <w:p w14:paraId="5A14B90F">
            <w:pPr>
              <w:autoSpaceDE w:val="0"/>
              <w:spacing w:line="300" w:lineRule="exact"/>
              <w:textAlignment w:val="center"/>
              <w:rPr>
                <w:sz w:val="24"/>
                <w:szCs w:val="24"/>
              </w:rPr>
            </w:pPr>
            <w:r>
              <w:rPr>
                <w:sz w:val="24"/>
                <w:szCs w:val="24"/>
              </w:rPr>
              <w:t>桃花源新城</w:t>
            </w:r>
          </w:p>
        </w:tc>
      </w:tr>
      <w:tr w14:paraId="7A1C9501">
        <w:tblPrEx>
          <w:tblCellMar>
            <w:top w:w="0" w:type="dxa"/>
            <w:left w:w="108" w:type="dxa"/>
            <w:bottom w:w="0" w:type="dxa"/>
            <w:right w:w="108" w:type="dxa"/>
          </w:tblCellMar>
        </w:tblPrEx>
        <w:trPr>
          <w:trHeight w:val="1671" w:hRule="atLeast"/>
          <w:jc w:val="center"/>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B687FEB">
            <w:pPr>
              <w:autoSpaceDE w:val="0"/>
              <w:spacing w:line="300" w:lineRule="exact"/>
              <w:jc w:val="center"/>
              <w:textAlignment w:val="center"/>
              <w:rPr>
                <w:sz w:val="24"/>
                <w:szCs w:val="24"/>
              </w:rPr>
            </w:pPr>
            <w:r>
              <w:rPr>
                <w:sz w:val="24"/>
                <w:szCs w:val="24"/>
              </w:rPr>
              <w:t>3</w:t>
            </w:r>
          </w:p>
        </w:tc>
        <w:tc>
          <w:tcPr>
            <w:tcW w:w="779" w:type="dxa"/>
            <w:tcBorders>
              <w:top w:val="single" w:color="auto" w:sz="4" w:space="0"/>
              <w:left w:val="nil"/>
              <w:bottom w:val="single" w:color="auto" w:sz="4" w:space="0"/>
              <w:right w:val="single" w:color="auto" w:sz="4" w:space="0"/>
            </w:tcBorders>
            <w:shd w:val="clear" w:color="auto" w:fill="auto"/>
            <w:vAlign w:val="center"/>
          </w:tcPr>
          <w:p w14:paraId="24E83940">
            <w:pPr>
              <w:autoSpaceDE w:val="0"/>
              <w:spacing w:line="280" w:lineRule="exact"/>
              <w:jc w:val="center"/>
              <w:textAlignment w:val="center"/>
              <w:rPr>
                <w:sz w:val="24"/>
                <w:szCs w:val="24"/>
              </w:rPr>
            </w:pPr>
            <w:r>
              <w:rPr>
                <w:sz w:val="24"/>
                <w:szCs w:val="24"/>
              </w:rPr>
              <w:t>旅游商业市场</w:t>
            </w:r>
          </w:p>
        </w:tc>
        <w:tc>
          <w:tcPr>
            <w:tcW w:w="784" w:type="dxa"/>
            <w:tcBorders>
              <w:top w:val="single" w:color="auto" w:sz="4" w:space="0"/>
              <w:left w:val="nil"/>
              <w:bottom w:val="single" w:color="auto" w:sz="4" w:space="0"/>
              <w:right w:val="single" w:color="auto" w:sz="4" w:space="0"/>
            </w:tcBorders>
            <w:shd w:val="clear" w:color="auto" w:fill="auto"/>
            <w:vAlign w:val="center"/>
          </w:tcPr>
          <w:p w14:paraId="4E943895">
            <w:pPr>
              <w:autoSpaceDE w:val="0"/>
              <w:spacing w:line="280" w:lineRule="exact"/>
              <w:jc w:val="center"/>
              <w:textAlignment w:val="center"/>
              <w:rPr>
                <w:sz w:val="24"/>
                <w:szCs w:val="24"/>
              </w:rPr>
            </w:pPr>
            <w:r>
              <w:rPr>
                <w:sz w:val="24"/>
                <w:szCs w:val="24"/>
              </w:rPr>
              <w:t>商贸物流产业</w:t>
            </w:r>
          </w:p>
        </w:tc>
        <w:tc>
          <w:tcPr>
            <w:tcW w:w="6131" w:type="dxa"/>
            <w:tcBorders>
              <w:top w:val="single" w:color="auto" w:sz="4" w:space="0"/>
              <w:left w:val="nil"/>
              <w:bottom w:val="single" w:color="auto" w:sz="4" w:space="0"/>
              <w:right w:val="single" w:color="auto" w:sz="4" w:space="0"/>
            </w:tcBorders>
            <w:shd w:val="clear" w:color="auto" w:fill="auto"/>
            <w:vAlign w:val="center"/>
          </w:tcPr>
          <w:p w14:paraId="37B3E001">
            <w:pPr>
              <w:autoSpaceDE w:val="0"/>
              <w:spacing w:line="280" w:lineRule="exact"/>
              <w:textAlignment w:val="center"/>
              <w:rPr>
                <w:sz w:val="24"/>
                <w:szCs w:val="24"/>
              </w:rPr>
            </w:pPr>
            <w:r>
              <w:rPr>
                <w:sz w:val="24"/>
                <w:szCs w:val="24"/>
              </w:rPr>
              <w:t>紧扣旅游发展全域化、旅游供给品质化、旅游治理规范化、旅游效益最大化的总体目标，整合</w:t>
            </w:r>
            <w:r>
              <w:rPr>
                <w:rFonts w:hint="eastAsia"/>
                <w:sz w:val="24"/>
                <w:szCs w:val="24"/>
              </w:rPr>
              <w:t>“</w:t>
            </w:r>
            <w:r>
              <w:rPr>
                <w:sz w:val="24"/>
                <w:szCs w:val="24"/>
              </w:rPr>
              <w:t>大资源</w:t>
            </w:r>
            <w:r>
              <w:rPr>
                <w:rFonts w:hint="eastAsia"/>
                <w:sz w:val="24"/>
                <w:szCs w:val="24"/>
              </w:rPr>
              <w:t>”</w:t>
            </w:r>
            <w:r>
              <w:rPr>
                <w:sz w:val="24"/>
                <w:szCs w:val="24"/>
              </w:rPr>
              <w:t>、打造</w:t>
            </w:r>
            <w:r>
              <w:rPr>
                <w:rFonts w:hint="eastAsia"/>
                <w:sz w:val="24"/>
                <w:szCs w:val="24"/>
              </w:rPr>
              <w:t>“</w:t>
            </w:r>
            <w:r>
              <w:rPr>
                <w:sz w:val="24"/>
                <w:szCs w:val="24"/>
              </w:rPr>
              <w:t>大景区</w:t>
            </w:r>
            <w:r>
              <w:rPr>
                <w:rFonts w:hint="eastAsia"/>
                <w:sz w:val="24"/>
                <w:szCs w:val="24"/>
              </w:rPr>
              <w:t>”</w:t>
            </w:r>
            <w:r>
              <w:rPr>
                <w:sz w:val="24"/>
                <w:szCs w:val="24"/>
              </w:rPr>
              <w:t>、构建</w:t>
            </w:r>
            <w:r>
              <w:rPr>
                <w:rFonts w:hint="eastAsia"/>
                <w:sz w:val="24"/>
                <w:szCs w:val="24"/>
              </w:rPr>
              <w:t>“</w:t>
            </w:r>
            <w:r>
              <w:rPr>
                <w:sz w:val="24"/>
                <w:szCs w:val="24"/>
              </w:rPr>
              <w:t>大市场</w:t>
            </w:r>
            <w:r>
              <w:rPr>
                <w:rFonts w:hint="eastAsia"/>
                <w:sz w:val="24"/>
                <w:szCs w:val="24"/>
              </w:rPr>
              <w:t>”</w:t>
            </w:r>
            <w:r>
              <w:rPr>
                <w:sz w:val="24"/>
                <w:szCs w:val="24"/>
              </w:rPr>
              <w:t>、建设</w:t>
            </w:r>
            <w:r>
              <w:rPr>
                <w:rFonts w:hint="eastAsia"/>
                <w:sz w:val="24"/>
                <w:szCs w:val="24"/>
              </w:rPr>
              <w:t>“</w:t>
            </w:r>
            <w:r>
              <w:rPr>
                <w:sz w:val="24"/>
                <w:szCs w:val="24"/>
              </w:rPr>
              <w:t>大产业</w:t>
            </w:r>
            <w:r>
              <w:rPr>
                <w:rFonts w:hint="eastAsia"/>
                <w:sz w:val="24"/>
                <w:szCs w:val="24"/>
              </w:rPr>
              <w:t>”</w:t>
            </w:r>
            <w:r>
              <w:rPr>
                <w:sz w:val="24"/>
                <w:szCs w:val="24"/>
              </w:rPr>
              <w:t>，不断推进项目建设，保障发展要素，健全市场体系，壮大旅游规模，全力打造</w:t>
            </w:r>
            <w:r>
              <w:rPr>
                <w:rFonts w:hint="eastAsia"/>
                <w:sz w:val="24"/>
                <w:szCs w:val="24"/>
              </w:rPr>
              <w:t>“</w:t>
            </w:r>
            <w:r>
              <w:rPr>
                <w:sz w:val="24"/>
                <w:szCs w:val="24"/>
              </w:rPr>
              <w:t>全域桃花源·康养度假地</w:t>
            </w:r>
            <w:r>
              <w:rPr>
                <w:rFonts w:hint="eastAsia"/>
                <w:sz w:val="24"/>
                <w:szCs w:val="24"/>
              </w:rPr>
              <w:t>”</w:t>
            </w:r>
            <w:r>
              <w:rPr>
                <w:sz w:val="24"/>
                <w:szCs w:val="24"/>
              </w:rPr>
              <w:t>旅游目的地形象，构建旅游升级版。</w:t>
            </w:r>
          </w:p>
        </w:tc>
        <w:tc>
          <w:tcPr>
            <w:tcW w:w="1434" w:type="dxa"/>
            <w:tcBorders>
              <w:top w:val="single" w:color="auto" w:sz="4" w:space="0"/>
              <w:left w:val="nil"/>
              <w:bottom w:val="single" w:color="auto" w:sz="4" w:space="0"/>
              <w:right w:val="single" w:color="auto" w:sz="4" w:space="0"/>
            </w:tcBorders>
            <w:shd w:val="clear" w:color="auto" w:fill="auto"/>
            <w:vAlign w:val="center"/>
          </w:tcPr>
          <w:p w14:paraId="6D595DAA">
            <w:pPr>
              <w:autoSpaceDE w:val="0"/>
              <w:spacing w:line="300" w:lineRule="exact"/>
              <w:textAlignment w:val="center"/>
              <w:rPr>
                <w:sz w:val="24"/>
                <w:szCs w:val="24"/>
              </w:rPr>
            </w:pPr>
            <w:r>
              <w:rPr>
                <w:sz w:val="24"/>
                <w:szCs w:val="24"/>
              </w:rPr>
              <w:t>桃花源新城</w:t>
            </w:r>
          </w:p>
        </w:tc>
      </w:tr>
      <w:tr w14:paraId="1AB6E33B">
        <w:tblPrEx>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86C4ACF">
            <w:pPr>
              <w:autoSpaceDE w:val="0"/>
              <w:spacing w:line="300" w:lineRule="exact"/>
              <w:jc w:val="center"/>
              <w:textAlignment w:val="center"/>
              <w:rPr>
                <w:sz w:val="24"/>
                <w:szCs w:val="24"/>
              </w:rPr>
            </w:pPr>
            <w:r>
              <w:rPr>
                <w:sz w:val="24"/>
                <w:szCs w:val="24"/>
              </w:rPr>
              <w:t>4</w:t>
            </w:r>
          </w:p>
        </w:tc>
        <w:tc>
          <w:tcPr>
            <w:tcW w:w="779" w:type="dxa"/>
            <w:tcBorders>
              <w:top w:val="single" w:color="auto" w:sz="4" w:space="0"/>
              <w:left w:val="nil"/>
              <w:bottom w:val="single" w:color="auto" w:sz="4" w:space="0"/>
              <w:right w:val="single" w:color="auto" w:sz="4" w:space="0"/>
            </w:tcBorders>
            <w:shd w:val="clear" w:color="auto" w:fill="auto"/>
            <w:vAlign w:val="center"/>
          </w:tcPr>
          <w:p w14:paraId="601291F6">
            <w:pPr>
              <w:autoSpaceDE w:val="0"/>
              <w:spacing w:line="280" w:lineRule="exact"/>
              <w:jc w:val="center"/>
              <w:textAlignment w:val="center"/>
              <w:rPr>
                <w:sz w:val="24"/>
                <w:szCs w:val="24"/>
              </w:rPr>
            </w:pPr>
            <w:r>
              <w:rPr>
                <w:sz w:val="24"/>
                <w:szCs w:val="24"/>
              </w:rPr>
              <w:t>板溪商业服务中心</w:t>
            </w:r>
          </w:p>
        </w:tc>
        <w:tc>
          <w:tcPr>
            <w:tcW w:w="784" w:type="dxa"/>
            <w:tcBorders>
              <w:top w:val="single" w:color="auto" w:sz="4" w:space="0"/>
              <w:left w:val="nil"/>
              <w:bottom w:val="single" w:color="auto" w:sz="4" w:space="0"/>
              <w:right w:val="single" w:color="auto" w:sz="4" w:space="0"/>
            </w:tcBorders>
            <w:shd w:val="clear" w:color="auto" w:fill="auto"/>
            <w:vAlign w:val="center"/>
          </w:tcPr>
          <w:p w14:paraId="44B7D1A9">
            <w:pPr>
              <w:autoSpaceDE w:val="0"/>
              <w:spacing w:line="280" w:lineRule="exact"/>
              <w:jc w:val="center"/>
              <w:textAlignment w:val="center"/>
              <w:rPr>
                <w:sz w:val="24"/>
                <w:szCs w:val="24"/>
              </w:rPr>
            </w:pPr>
            <w:r>
              <w:rPr>
                <w:sz w:val="24"/>
                <w:szCs w:val="24"/>
              </w:rPr>
              <w:t>商贸物流产业</w:t>
            </w:r>
          </w:p>
        </w:tc>
        <w:tc>
          <w:tcPr>
            <w:tcW w:w="6131" w:type="dxa"/>
            <w:tcBorders>
              <w:top w:val="single" w:color="auto" w:sz="4" w:space="0"/>
              <w:left w:val="nil"/>
              <w:bottom w:val="single" w:color="auto" w:sz="4" w:space="0"/>
              <w:right w:val="single" w:color="auto" w:sz="4" w:space="0"/>
            </w:tcBorders>
            <w:shd w:val="clear" w:color="auto" w:fill="auto"/>
            <w:vAlign w:val="center"/>
          </w:tcPr>
          <w:p w14:paraId="697E1C43">
            <w:pPr>
              <w:autoSpaceDE w:val="0"/>
              <w:spacing w:line="280" w:lineRule="exact"/>
              <w:textAlignment w:val="center"/>
              <w:rPr>
                <w:sz w:val="24"/>
                <w:szCs w:val="24"/>
              </w:rPr>
            </w:pPr>
            <w:r>
              <w:rPr>
                <w:sz w:val="24"/>
                <w:szCs w:val="24"/>
              </w:rPr>
              <w:t>建设汽车和再生资源专业市场，做强做大农产品、家居、中药材专业市场。打造购物中心1个，特色商业街1条，完善餐饮住宿及相应社区商业等必备业态，为园区内工人的衣食住行提供全方位服务。</w:t>
            </w:r>
          </w:p>
        </w:tc>
        <w:tc>
          <w:tcPr>
            <w:tcW w:w="1434" w:type="dxa"/>
            <w:tcBorders>
              <w:top w:val="single" w:color="auto" w:sz="4" w:space="0"/>
              <w:left w:val="nil"/>
              <w:bottom w:val="single" w:color="auto" w:sz="4" w:space="0"/>
              <w:right w:val="single" w:color="auto" w:sz="4" w:space="0"/>
            </w:tcBorders>
            <w:shd w:val="clear" w:color="auto" w:fill="auto"/>
            <w:vAlign w:val="center"/>
          </w:tcPr>
          <w:p w14:paraId="6933049A">
            <w:pPr>
              <w:autoSpaceDE w:val="0"/>
              <w:spacing w:line="300" w:lineRule="exact"/>
              <w:textAlignment w:val="center"/>
              <w:rPr>
                <w:sz w:val="24"/>
                <w:szCs w:val="24"/>
              </w:rPr>
            </w:pPr>
            <w:r>
              <w:rPr>
                <w:sz w:val="24"/>
                <w:szCs w:val="24"/>
              </w:rPr>
              <w:t>板溪镇</w:t>
            </w:r>
          </w:p>
        </w:tc>
      </w:tr>
      <w:tr w14:paraId="24DA42D4">
        <w:tblPrEx>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E643FEA">
            <w:pPr>
              <w:autoSpaceDE w:val="0"/>
              <w:spacing w:line="300" w:lineRule="exact"/>
              <w:jc w:val="center"/>
              <w:textAlignment w:val="center"/>
              <w:rPr>
                <w:sz w:val="24"/>
                <w:szCs w:val="24"/>
              </w:rPr>
            </w:pPr>
            <w:r>
              <w:rPr>
                <w:sz w:val="24"/>
                <w:szCs w:val="24"/>
              </w:rPr>
              <w:t>5</w:t>
            </w:r>
          </w:p>
        </w:tc>
        <w:tc>
          <w:tcPr>
            <w:tcW w:w="779" w:type="dxa"/>
            <w:tcBorders>
              <w:top w:val="single" w:color="auto" w:sz="4" w:space="0"/>
              <w:left w:val="nil"/>
              <w:bottom w:val="single" w:color="auto" w:sz="4" w:space="0"/>
              <w:right w:val="single" w:color="auto" w:sz="4" w:space="0"/>
            </w:tcBorders>
            <w:shd w:val="clear" w:color="auto" w:fill="auto"/>
            <w:vAlign w:val="center"/>
          </w:tcPr>
          <w:p w14:paraId="39C93EC7">
            <w:pPr>
              <w:autoSpaceDE w:val="0"/>
              <w:spacing w:line="280" w:lineRule="exact"/>
              <w:jc w:val="center"/>
              <w:textAlignment w:val="center"/>
              <w:rPr>
                <w:sz w:val="24"/>
                <w:szCs w:val="24"/>
              </w:rPr>
            </w:pPr>
            <w:r>
              <w:rPr>
                <w:sz w:val="24"/>
                <w:szCs w:val="24"/>
              </w:rPr>
              <w:t>农特产品集散中心</w:t>
            </w:r>
          </w:p>
        </w:tc>
        <w:tc>
          <w:tcPr>
            <w:tcW w:w="784" w:type="dxa"/>
            <w:tcBorders>
              <w:top w:val="single" w:color="auto" w:sz="4" w:space="0"/>
              <w:left w:val="nil"/>
              <w:bottom w:val="single" w:color="auto" w:sz="4" w:space="0"/>
              <w:right w:val="single" w:color="auto" w:sz="4" w:space="0"/>
            </w:tcBorders>
            <w:shd w:val="clear" w:color="auto" w:fill="auto"/>
            <w:vAlign w:val="center"/>
          </w:tcPr>
          <w:p w14:paraId="7AFEBCCC">
            <w:pPr>
              <w:autoSpaceDE w:val="0"/>
              <w:spacing w:line="280" w:lineRule="exact"/>
              <w:jc w:val="center"/>
              <w:textAlignment w:val="center"/>
              <w:rPr>
                <w:sz w:val="24"/>
                <w:szCs w:val="24"/>
              </w:rPr>
            </w:pPr>
            <w:r>
              <w:rPr>
                <w:sz w:val="24"/>
                <w:szCs w:val="24"/>
              </w:rPr>
              <w:t>商贸物流产业</w:t>
            </w:r>
          </w:p>
        </w:tc>
        <w:tc>
          <w:tcPr>
            <w:tcW w:w="6131" w:type="dxa"/>
            <w:tcBorders>
              <w:top w:val="single" w:color="auto" w:sz="4" w:space="0"/>
              <w:left w:val="nil"/>
              <w:bottom w:val="single" w:color="auto" w:sz="4" w:space="0"/>
              <w:right w:val="single" w:color="auto" w:sz="4" w:space="0"/>
            </w:tcBorders>
            <w:shd w:val="clear" w:color="auto" w:fill="auto"/>
            <w:vAlign w:val="center"/>
          </w:tcPr>
          <w:p w14:paraId="3C9F7FFD">
            <w:pPr>
              <w:autoSpaceDE w:val="0"/>
              <w:spacing w:line="280" w:lineRule="exact"/>
              <w:textAlignment w:val="center"/>
              <w:rPr>
                <w:sz w:val="24"/>
                <w:szCs w:val="24"/>
              </w:rPr>
            </w:pPr>
            <w:r>
              <w:rPr>
                <w:sz w:val="24"/>
                <w:szCs w:val="24"/>
              </w:rPr>
              <w:t>推进完善交易市场、大数据体系、物流仓储和城乡配送服务体系，打造农商互联的主枢纽。分类设置重庆市火锅食材供应基地、生鲜果蔬、黑色产品三大特色专业市场。</w:t>
            </w:r>
          </w:p>
        </w:tc>
        <w:tc>
          <w:tcPr>
            <w:tcW w:w="1434" w:type="dxa"/>
            <w:tcBorders>
              <w:top w:val="single" w:color="auto" w:sz="4" w:space="0"/>
              <w:left w:val="nil"/>
              <w:bottom w:val="single" w:color="auto" w:sz="4" w:space="0"/>
              <w:right w:val="single" w:color="auto" w:sz="4" w:space="0"/>
            </w:tcBorders>
            <w:shd w:val="clear" w:color="auto" w:fill="auto"/>
            <w:vAlign w:val="center"/>
          </w:tcPr>
          <w:p w14:paraId="5AE30806">
            <w:pPr>
              <w:autoSpaceDE w:val="0"/>
              <w:spacing w:line="300" w:lineRule="exact"/>
              <w:textAlignment w:val="center"/>
              <w:rPr>
                <w:sz w:val="24"/>
                <w:szCs w:val="24"/>
              </w:rPr>
            </w:pPr>
            <w:r>
              <w:rPr>
                <w:sz w:val="24"/>
                <w:szCs w:val="24"/>
              </w:rPr>
              <w:t>板溪镇</w:t>
            </w:r>
          </w:p>
        </w:tc>
      </w:tr>
      <w:tr w14:paraId="747B31D7">
        <w:tblPrEx>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FECC846">
            <w:pPr>
              <w:autoSpaceDE w:val="0"/>
              <w:spacing w:line="300" w:lineRule="exact"/>
              <w:jc w:val="center"/>
              <w:textAlignment w:val="center"/>
              <w:rPr>
                <w:sz w:val="24"/>
                <w:szCs w:val="24"/>
              </w:rPr>
            </w:pPr>
            <w:r>
              <w:rPr>
                <w:sz w:val="24"/>
                <w:szCs w:val="24"/>
              </w:rPr>
              <w:t>6</w:t>
            </w:r>
          </w:p>
        </w:tc>
        <w:tc>
          <w:tcPr>
            <w:tcW w:w="779" w:type="dxa"/>
            <w:tcBorders>
              <w:top w:val="single" w:color="auto" w:sz="4" w:space="0"/>
              <w:left w:val="nil"/>
              <w:bottom w:val="single" w:color="auto" w:sz="4" w:space="0"/>
              <w:right w:val="single" w:color="auto" w:sz="4" w:space="0"/>
            </w:tcBorders>
            <w:shd w:val="clear" w:color="auto" w:fill="auto"/>
            <w:vAlign w:val="center"/>
          </w:tcPr>
          <w:p w14:paraId="62185A7A">
            <w:pPr>
              <w:autoSpaceDE w:val="0"/>
              <w:spacing w:line="280" w:lineRule="exact"/>
              <w:jc w:val="center"/>
              <w:textAlignment w:val="center"/>
              <w:rPr>
                <w:sz w:val="24"/>
                <w:szCs w:val="24"/>
              </w:rPr>
            </w:pPr>
            <w:r>
              <w:rPr>
                <w:sz w:val="24"/>
                <w:szCs w:val="24"/>
              </w:rPr>
              <w:t>汽车综合交易市场</w:t>
            </w:r>
          </w:p>
        </w:tc>
        <w:tc>
          <w:tcPr>
            <w:tcW w:w="784" w:type="dxa"/>
            <w:tcBorders>
              <w:top w:val="single" w:color="auto" w:sz="4" w:space="0"/>
              <w:left w:val="nil"/>
              <w:bottom w:val="single" w:color="auto" w:sz="4" w:space="0"/>
              <w:right w:val="single" w:color="auto" w:sz="4" w:space="0"/>
            </w:tcBorders>
            <w:shd w:val="clear" w:color="auto" w:fill="auto"/>
            <w:vAlign w:val="center"/>
          </w:tcPr>
          <w:p w14:paraId="53D80699">
            <w:pPr>
              <w:autoSpaceDE w:val="0"/>
              <w:spacing w:line="280" w:lineRule="exact"/>
              <w:jc w:val="center"/>
              <w:textAlignment w:val="center"/>
              <w:rPr>
                <w:sz w:val="24"/>
                <w:szCs w:val="24"/>
              </w:rPr>
            </w:pPr>
            <w:r>
              <w:rPr>
                <w:sz w:val="24"/>
                <w:szCs w:val="24"/>
              </w:rPr>
              <w:t>商贸物流产业</w:t>
            </w:r>
          </w:p>
        </w:tc>
        <w:tc>
          <w:tcPr>
            <w:tcW w:w="6131" w:type="dxa"/>
            <w:tcBorders>
              <w:top w:val="single" w:color="auto" w:sz="4" w:space="0"/>
              <w:left w:val="nil"/>
              <w:bottom w:val="single" w:color="auto" w:sz="4" w:space="0"/>
              <w:right w:val="single" w:color="auto" w:sz="4" w:space="0"/>
            </w:tcBorders>
            <w:shd w:val="clear" w:color="auto" w:fill="auto"/>
            <w:vAlign w:val="center"/>
          </w:tcPr>
          <w:p w14:paraId="27375791">
            <w:pPr>
              <w:autoSpaceDE w:val="0"/>
              <w:spacing w:line="280" w:lineRule="exact"/>
              <w:textAlignment w:val="center"/>
              <w:rPr>
                <w:sz w:val="24"/>
                <w:szCs w:val="24"/>
              </w:rPr>
            </w:pPr>
            <w:r>
              <w:rPr>
                <w:sz w:val="24"/>
                <w:szCs w:val="24"/>
              </w:rPr>
              <w:t>包括整车交易市场1个、二手车交易市场1个，废旧汽车回收中心1个，拆解中心1个，配套完善汽车零部件、汽车维修服务等功能，估算建设总规模5万平方米。</w:t>
            </w:r>
          </w:p>
        </w:tc>
        <w:tc>
          <w:tcPr>
            <w:tcW w:w="1434" w:type="dxa"/>
            <w:tcBorders>
              <w:top w:val="single" w:color="auto" w:sz="4" w:space="0"/>
              <w:left w:val="nil"/>
              <w:bottom w:val="single" w:color="auto" w:sz="4" w:space="0"/>
              <w:right w:val="single" w:color="auto" w:sz="4" w:space="0"/>
            </w:tcBorders>
            <w:shd w:val="clear" w:color="auto" w:fill="auto"/>
            <w:vAlign w:val="center"/>
          </w:tcPr>
          <w:p w14:paraId="4DDE139A">
            <w:pPr>
              <w:autoSpaceDE w:val="0"/>
              <w:spacing w:line="300" w:lineRule="exact"/>
              <w:textAlignment w:val="center"/>
              <w:rPr>
                <w:sz w:val="24"/>
                <w:szCs w:val="24"/>
              </w:rPr>
            </w:pPr>
            <w:r>
              <w:rPr>
                <w:sz w:val="24"/>
                <w:szCs w:val="24"/>
              </w:rPr>
              <w:t>板溪镇</w:t>
            </w:r>
          </w:p>
        </w:tc>
      </w:tr>
      <w:tr w14:paraId="7D1794F9">
        <w:tblPrEx>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391180F">
            <w:pPr>
              <w:autoSpaceDE w:val="0"/>
              <w:spacing w:line="300" w:lineRule="exact"/>
              <w:jc w:val="center"/>
              <w:textAlignment w:val="center"/>
              <w:rPr>
                <w:sz w:val="24"/>
                <w:szCs w:val="24"/>
              </w:rPr>
            </w:pPr>
            <w:r>
              <w:rPr>
                <w:sz w:val="24"/>
                <w:szCs w:val="24"/>
              </w:rPr>
              <w:t>7</w:t>
            </w:r>
          </w:p>
        </w:tc>
        <w:tc>
          <w:tcPr>
            <w:tcW w:w="779" w:type="dxa"/>
            <w:tcBorders>
              <w:top w:val="single" w:color="auto" w:sz="4" w:space="0"/>
              <w:left w:val="nil"/>
              <w:bottom w:val="single" w:color="auto" w:sz="4" w:space="0"/>
              <w:right w:val="single" w:color="auto" w:sz="4" w:space="0"/>
            </w:tcBorders>
            <w:shd w:val="clear" w:color="auto" w:fill="auto"/>
            <w:vAlign w:val="center"/>
          </w:tcPr>
          <w:p w14:paraId="1731037F">
            <w:pPr>
              <w:autoSpaceDE w:val="0"/>
              <w:spacing w:line="280" w:lineRule="exact"/>
              <w:jc w:val="left"/>
              <w:textAlignment w:val="center"/>
              <w:rPr>
                <w:sz w:val="24"/>
                <w:szCs w:val="24"/>
              </w:rPr>
            </w:pPr>
            <w:r>
              <w:rPr>
                <w:sz w:val="24"/>
                <w:szCs w:val="24"/>
              </w:rPr>
              <w:t>家居建材市场</w:t>
            </w:r>
          </w:p>
        </w:tc>
        <w:tc>
          <w:tcPr>
            <w:tcW w:w="784" w:type="dxa"/>
            <w:tcBorders>
              <w:top w:val="single" w:color="auto" w:sz="4" w:space="0"/>
              <w:left w:val="nil"/>
              <w:bottom w:val="single" w:color="auto" w:sz="4" w:space="0"/>
              <w:right w:val="single" w:color="auto" w:sz="4" w:space="0"/>
            </w:tcBorders>
            <w:shd w:val="clear" w:color="auto" w:fill="auto"/>
            <w:vAlign w:val="center"/>
          </w:tcPr>
          <w:p w14:paraId="6E291201">
            <w:pPr>
              <w:autoSpaceDE w:val="0"/>
              <w:spacing w:line="280" w:lineRule="exact"/>
              <w:jc w:val="center"/>
              <w:textAlignment w:val="center"/>
              <w:rPr>
                <w:sz w:val="24"/>
                <w:szCs w:val="24"/>
              </w:rPr>
            </w:pPr>
            <w:r>
              <w:rPr>
                <w:sz w:val="24"/>
                <w:szCs w:val="24"/>
              </w:rPr>
              <w:t>商贸物流产业</w:t>
            </w:r>
          </w:p>
        </w:tc>
        <w:tc>
          <w:tcPr>
            <w:tcW w:w="6131" w:type="dxa"/>
            <w:tcBorders>
              <w:top w:val="single" w:color="auto" w:sz="4" w:space="0"/>
              <w:left w:val="nil"/>
              <w:bottom w:val="single" w:color="auto" w:sz="4" w:space="0"/>
              <w:right w:val="single" w:color="auto" w:sz="4" w:space="0"/>
            </w:tcBorders>
            <w:shd w:val="clear" w:color="auto" w:fill="auto"/>
            <w:vAlign w:val="center"/>
          </w:tcPr>
          <w:p w14:paraId="11868D09">
            <w:pPr>
              <w:autoSpaceDE w:val="0"/>
              <w:spacing w:line="280" w:lineRule="exact"/>
              <w:textAlignment w:val="center"/>
              <w:rPr>
                <w:sz w:val="24"/>
                <w:szCs w:val="24"/>
              </w:rPr>
            </w:pPr>
            <w:r>
              <w:rPr>
                <w:sz w:val="24"/>
                <w:szCs w:val="24"/>
              </w:rPr>
              <w:t>包括建筑工程结构、基础材料，装修材料、装饰材料和家居用品饰品及设计、装修服务的专业市场。</w:t>
            </w:r>
          </w:p>
        </w:tc>
        <w:tc>
          <w:tcPr>
            <w:tcW w:w="1434" w:type="dxa"/>
            <w:tcBorders>
              <w:top w:val="single" w:color="auto" w:sz="4" w:space="0"/>
              <w:left w:val="nil"/>
              <w:bottom w:val="single" w:color="auto" w:sz="4" w:space="0"/>
              <w:right w:val="single" w:color="auto" w:sz="4" w:space="0"/>
            </w:tcBorders>
            <w:shd w:val="clear" w:color="auto" w:fill="auto"/>
            <w:vAlign w:val="center"/>
          </w:tcPr>
          <w:p w14:paraId="755A11B3">
            <w:pPr>
              <w:autoSpaceDE w:val="0"/>
              <w:spacing w:line="300" w:lineRule="exact"/>
              <w:textAlignment w:val="center"/>
              <w:rPr>
                <w:sz w:val="24"/>
                <w:szCs w:val="24"/>
              </w:rPr>
            </w:pPr>
            <w:r>
              <w:rPr>
                <w:sz w:val="24"/>
                <w:szCs w:val="24"/>
              </w:rPr>
              <w:t>板溪镇</w:t>
            </w:r>
          </w:p>
        </w:tc>
      </w:tr>
      <w:tr w14:paraId="64DA2161">
        <w:tblPrEx>
          <w:tblCellMar>
            <w:top w:w="0" w:type="dxa"/>
            <w:left w:w="108" w:type="dxa"/>
            <w:bottom w:w="0" w:type="dxa"/>
            <w:right w:w="108" w:type="dxa"/>
          </w:tblCellMar>
        </w:tblPrEx>
        <w:trPr>
          <w:trHeight w:val="1710" w:hRule="atLeast"/>
          <w:jc w:val="center"/>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A7DDFC0">
            <w:pPr>
              <w:autoSpaceDE w:val="0"/>
              <w:spacing w:line="300" w:lineRule="exact"/>
              <w:jc w:val="center"/>
              <w:textAlignment w:val="center"/>
              <w:rPr>
                <w:sz w:val="24"/>
                <w:szCs w:val="24"/>
              </w:rPr>
            </w:pPr>
            <w:r>
              <w:rPr>
                <w:sz w:val="24"/>
                <w:szCs w:val="24"/>
              </w:rPr>
              <w:t>8</w:t>
            </w:r>
          </w:p>
        </w:tc>
        <w:tc>
          <w:tcPr>
            <w:tcW w:w="779" w:type="dxa"/>
            <w:tcBorders>
              <w:top w:val="single" w:color="auto" w:sz="4" w:space="0"/>
              <w:left w:val="nil"/>
              <w:bottom w:val="single" w:color="auto" w:sz="4" w:space="0"/>
              <w:right w:val="single" w:color="auto" w:sz="4" w:space="0"/>
            </w:tcBorders>
            <w:shd w:val="clear" w:color="auto" w:fill="auto"/>
            <w:vAlign w:val="center"/>
          </w:tcPr>
          <w:p w14:paraId="4122F09A">
            <w:pPr>
              <w:autoSpaceDE w:val="0"/>
              <w:spacing w:line="280" w:lineRule="exact"/>
              <w:jc w:val="left"/>
              <w:textAlignment w:val="center"/>
              <w:rPr>
                <w:sz w:val="24"/>
                <w:szCs w:val="24"/>
              </w:rPr>
            </w:pPr>
            <w:r>
              <w:rPr>
                <w:sz w:val="24"/>
                <w:szCs w:val="24"/>
              </w:rPr>
              <w:t>中药材专业市场</w:t>
            </w:r>
          </w:p>
        </w:tc>
        <w:tc>
          <w:tcPr>
            <w:tcW w:w="784" w:type="dxa"/>
            <w:tcBorders>
              <w:top w:val="single" w:color="auto" w:sz="4" w:space="0"/>
              <w:left w:val="nil"/>
              <w:bottom w:val="single" w:color="auto" w:sz="4" w:space="0"/>
              <w:right w:val="single" w:color="auto" w:sz="4" w:space="0"/>
            </w:tcBorders>
            <w:shd w:val="clear" w:color="auto" w:fill="auto"/>
            <w:vAlign w:val="center"/>
          </w:tcPr>
          <w:p w14:paraId="4931E118">
            <w:pPr>
              <w:autoSpaceDE w:val="0"/>
              <w:spacing w:line="280" w:lineRule="exact"/>
              <w:jc w:val="center"/>
              <w:textAlignment w:val="center"/>
              <w:rPr>
                <w:sz w:val="24"/>
                <w:szCs w:val="24"/>
              </w:rPr>
            </w:pPr>
            <w:r>
              <w:rPr>
                <w:sz w:val="24"/>
                <w:szCs w:val="24"/>
              </w:rPr>
              <w:t>商贸物流产业</w:t>
            </w:r>
          </w:p>
        </w:tc>
        <w:tc>
          <w:tcPr>
            <w:tcW w:w="6131" w:type="dxa"/>
            <w:tcBorders>
              <w:top w:val="single" w:color="auto" w:sz="4" w:space="0"/>
              <w:left w:val="nil"/>
              <w:bottom w:val="single" w:color="auto" w:sz="4" w:space="0"/>
              <w:right w:val="single" w:color="auto" w:sz="4" w:space="0"/>
            </w:tcBorders>
            <w:shd w:val="clear" w:color="auto" w:fill="auto"/>
            <w:vAlign w:val="center"/>
          </w:tcPr>
          <w:p w14:paraId="4BEB6008">
            <w:pPr>
              <w:autoSpaceDE w:val="0"/>
              <w:spacing w:line="280" w:lineRule="exact"/>
              <w:textAlignment w:val="center"/>
              <w:rPr>
                <w:sz w:val="24"/>
                <w:szCs w:val="24"/>
              </w:rPr>
            </w:pPr>
            <w:r>
              <w:rPr>
                <w:sz w:val="24"/>
                <w:szCs w:val="24"/>
              </w:rPr>
              <w:t>重点借助酉阳</w:t>
            </w:r>
            <w:r>
              <w:rPr>
                <w:rFonts w:hint="eastAsia"/>
                <w:sz w:val="24"/>
                <w:szCs w:val="24"/>
              </w:rPr>
              <w:t>“</w:t>
            </w:r>
            <w:r>
              <w:rPr>
                <w:sz w:val="24"/>
                <w:szCs w:val="24"/>
              </w:rPr>
              <w:t>中国青蒿药材产业之乡</w:t>
            </w:r>
            <w:r>
              <w:rPr>
                <w:rFonts w:hint="eastAsia"/>
                <w:sz w:val="24"/>
                <w:szCs w:val="24"/>
              </w:rPr>
              <w:t>”</w:t>
            </w:r>
            <w:r>
              <w:rPr>
                <w:sz w:val="24"/>
                <w:szCs w:val="24"/>
              </w:rPr>
              <w:t>和</w:t>
            </w:r>
            <w:r>
              <w:rPr>
                <w:rFonts w:hint="eastAsia"/>
                <w:sz w:val="24"/>
                <w:szCs w:val="24"/>
              </w:rPr>
              <w:t>“</w:t>
            </w:r>
            <w:r>
              <w:rPr>
                <w:sz w:val="24"/>
                <w:szCs w:val="24"/>
              </w:rPr>
              <w:t>世界青蒿之乡</w:t>
            </w:r>
            <w:r>
              <w:rPr>
                <w:rFonts w:hint="eastAsia"/>
                <w:sz w:val="24"/>
                <w:szCs w:val="24"/>
              </w:rPr>
              <w:t>”</w:t>
            </w:r>
            <w:r>
              <w:rPr>
                <w:sz w:val="24"/>
                <w:szCs w:val="24"/>
              </w:rPr>
              <w:t>名声，打造辐射全国的青蒿交易市场，并将交易品种拓展至酉阳大面积种植的金荞麦、芡茯、白术、银花、玄参、天麻、杜仲、黄柏、厚朴等中药材，建成具有酉阳特色突出、品类齐全的中药材专业市场。</w:t>
            </w:r>
          </w:p>
        </w:tc>
        <w:tc>
          <w:tcPr>
            <w:tcW w:w="1434" w:type="dxa"/>
            <w:tcBorders>
              <w:top w:val="single" w:color="auto" w:sz="4" w:space="0"/>
              <w:left w:val="nil"/>
              <w:bottom w:val="single" w:color="auto" w:sz="4" w:space="0"/>
              <w:right w:val="single" w:color="auto" w:sz="4" w:space="0"/>
            </w:tcBorders>
            <w:shd w:val="clear" w:color="auto" w:fill="auto"/>
            <w:vAlign w:val="center"/>
          </w:tcPr>
          <w:p w14:paraId="58306B7E">
            <w:pPr>
              <w:autoSpaceDE w:val="0"/>
              <w:spacing w:line="300" w:lineRule="exact"/>
              <w:textAlignment w:val="center"/>
              <w:rPr>
                <w:sz w:val="24"/>
                <w:szCs w:val="24"/>
              </w:rPr>
            </w:pPr>
            <w:r>
              <w:rPr>
                <w:sz w:val="24"/>
                <w:szCs w:val="24"/>
              </w:rPr>
              <w:t>板溪镇</w:t>
            </w:r>
          </w:p>
        </w:tc>
      </w:tr>
      <w:tr w14:paraId="0EFD6E09">
        <w:tblPrEx>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6DF8B6E">
            <w:pPr>
              <w:autoSpaceDE w:val="0"/>
              <w:spacing w:line="300" w:lineRule="exact"/>
              <w:jc w:val="center"/>
              <w:textAlignment w:val="center"/>
              <w:rPr>
                <w:sz w:val="24"/>
                <w:szCs w:val="24"/>
              </w:rPr>
            </w:pPr>
            <w:r>
              <w:rPr>
                <w:sz w:val="24"/>
                <w:szCs w:val="24"/>
              </w:rPr>
              <w:t>9</w:t>
            </w:r>
          </w:p>
        </w:tc>
        <w:tc>
          <w:tcPr>
            <w:tcW w:w="779" w:type="dxa"/>
            <w:tcBorders>
              <w:top w:val="single" w:color="auto" w:sz="4" w:space="0"/>
              <w:left w:val="nil"/>
              <w:bottom w:val="single" w:color="auto" w:sz="4" w:space="0"/>
              <w:right w:val="single" w:color="auto" w:sz="4" w:space="0"/>
            </w:tcBorders>
            <w:shd w:val="clear" w:color="auto" w:fill="auto"/>
            <w:vAlign w:val="center"/>
          </w:tcPr>
          <w:p w14:paraId="42EC74D6">
            <w:pPr>
              <w:autoSpaceDE w:val="0"/>
              <w:spacing w:line="280" w:lineRule="exact"/>
              <w:jc w:val="center"/>
              <w:textAlignment w:val="center"/>
              <w:rPr>
                <w:sz w:val="24"/>
                <w:szCs w:val="24"/>
              </w:rPr>
            </w:pPr>
            <w:r>
              <w:rPr>
                <w:sz w:val="24"/>
                <w:szCs w:val="24"/>
              </w:rPr>
              <w:t>再生资源集散中心</w:t>
            </w:r>
          </w:p>
        </w:tc>
        <w:tc>
          <w:tcPr>
            <w:tcW w:w="784" w:type="dxa"/>
            <w:tcBorders>
              <w:top w:val="single" w:color="auto" w:sz="4" w:space="0"/>
              <w:left w:val="nil"/>
              <w:bottom w:val="single" w:color="auto" w:sz="4" w:space="0"/>
              <w:right w:val="single" w:color="auto" w:sz="4" w:space="0"/>
            </w:tcBorders>
            <w:shd w:val="clear" w:color="auto" w:fill="auto"/>
            <w:vAlign w:val="center"/>
          </w:tcPr>
          <w:p w14:paraId="1AE72940">
            <w:pPr>
              <w:autoSpaceDE w:val="0"/>
              <w:spacing w:line="280" w:lineRule="exact"/>
              <w:jc w:val="center"/>
              <w:textAlignment w:val="center"/>
              <w:rPr>
                <w:sz w:val="24"/>
                <w:szCs w:val="24"/>
              </w:rPr>
            </w:pPr>
            <w:r>
              <w:rPr>
                <w:sz w:val="24"/>
                <w:szCs w:val="24"/>
              </w:rPr>
              <w:t>商贸物流产业</w:t>
            </w:r>
          </w:p>
        </w:tc>
        <w:tc>
          <w:tcPr>
            <w:tcW w:w="6131" w:type="dxa"/>
            <w:tcBorders>
              <w:top w:val="single" w:color="auto" w:sz="4" w:space="0"/>
              <w:left w:val="nil"/>
              <w:bottom w:val="single" w:color="auto" w:sz="4" w:space="0"/>
              <w:right w:val="single" w:color="auto" w:sz="4" w:space="0"/>
            </w:tcBorders>
            <w:shd w:val="clear" w:color="auto" w:fill="auto"/>
            <w:vAlign w:val="center"/>
          </w:tcPr>
          <w:p w14:paraId="43DE4CC7">
            <w:pPr>
              <w:autoSpaceDE w:val="0"/>
              <w:spacing w:line="280" w:lineRule="exact"/>
              <w:textAlignment w:val="center"/>
              <w:rPr>
                <w:sz w:val="24"/>
                <w:szCs w:val="24"/>
              </w:rPr>
            </w:pPr>
            <w:r>
              <w:rPr>
                <w:sz w:val="24"/>
                <w:szCs w:val="24"/>
              </w:rPr>
              <w:t>包括废旧物品回收，初加工，分类，拆解等一条龙废旧回收体系，估算建设总规模3万平方米。</w:t>
            </w:r>
          </w:p>
        </w:tc>
        <w:tc>
          <w:tcPr>
            <w:tcW w:w="1434" w:type="dxa"/>
            <w:tcBorders>
              <w:top w:val="single" w:color="auto" w:sz="4" w:space="0"/>
              <w:left w:val="nil"/>
              <w:bottom w:val="single" w:color="auto" w:sz="4" w:space="0"/>
              <w:right w:val="single" w:color="auto" w:sz="4" w:space="0"/>
            </w:tcBorders>
            <w:shd w:val="clear" w:color="auto" w:fill="auto"/>
            <w:vAlign w:val="center"/>
          </w:tcPr>
          <w:p w14:paraId="375045F2">
            <w:pPr>
              <w:autoSpaceDE w:val="0"/>
              <w:spacing w:line="300" w:lineRule="exact"/>
              <w:textAlignment w:val="center"/>
              <w:rPr>
                <w:sz w:val="24"/>
                <w:szCs w:val="24"/>
              </w:rPr>
            </w:pPr>
            <w:r>
              <w:rPr>
                <w:sz w:val="24"/>
                <w:szCs w:val="24"/>
              </w:rPr>
              <w:t>板溪镇</w:t>
            </w:r>
          </w:p>
        </w:tc>
      </w:tr>
      <w:tr w14:paraId="4F9136F9">
        <w:tblPrEx>
          <w:tblCellMar>
            <w:top w:w="0" w:type="dxa"/>
            <w:left w:w="108" w:type="dxa"/>
            <w:bottom w:w="0" w:type="dxa"/>
            <w:right w:w="108" w:type="dxa"/>
          </w:tblCellMar>
        </w:tblPrEx>
        <w:trPr>
          <w:trHeight w:val="3365" w:hRule="atLeast"/>
          <w:jc w:val="center"/>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CF17DBD">
            <w:pPr>
              <w:autoSpaceDE w:val="0"/>
              <w:spacing w:line="300" w:lineRule="exact"/>
              <w:jc w:val="left"/>
              <w:textAlignment w:val="center"/>
              <w:rPr>
                <w:sz w:val="24"/>
                <w:szCs w:val="24"/>
              </w:rPr>
            </w:pPr>
            <w:r>
              <w:rPr>
                <w:sz w:val="24"/>
                <w:szCs w:val="24"/>
              </w:rPr>
              <w:t>10</w:t>
            </w:r>
          </w:p>
        </w:tc>
        <w:tc>
          <w:tcPr>
            <w:tcW w:w="779" w:type="dxa"/>
            <w:tcBorders>
              <w:top w:val="single" w:color="auto" w:sz="4" w:space="0"/>
              <w:left w:val="nil"/>
              <w:bottom w:val="single" w:color="auto" w:sz="4" w:space="0"/>
              <w:right w:val="single" w:color="auto" w:sz="4" w:space="0"/>
            </w:tcBorders>
            <w:shd w:val="clear" w:color="auto" w:fill="auto"/>
            <w:vAlign w:val="center"/>
          </w:tcPr>
          <w:p w14:paraId="51691DFF">
            <w:pPr>
              <w:autoSpaceDE w:val="0"/>
              <w:spacing w:line="280" w:lineRule="exact"/>
              <w:jc w:val="center"/>
              <w:textAlignment w:val="center"/>
              <w:rPr>
                <w:sz w:val="24"/>
                <w:szCs w:val="24"/>
              </w:rPr>
            </w:pPr>
            <w:r>
              <w:rPr>
                <w:sz w:val="24"/>
                <w:szCs w:val="24"/>
              </w:rPr>
              <w:t>板溪综合物流园</w:t>
            </w:r>
          </w:p>
        </w:tc>
        <w:tc>
          <w:tcPr>
            <w:tcW w:w="784" w:type="dxa"/>
            <w:tcBorders>
              <w:top w:val="single" w:color="auto" w:sz="4" w:space="0"/>
              <w:left w:val="nil"/>
              <w:bottom w:val="single" w:color="auto" w:sz="4" w:space="0"/>
              <w:right w:val="single" w:color="auto" w:sz="4" w:space="0"/>
            </w:tcBorders>
            <w:shd w:val="clear" w:color="auto" w:fill="auto"/>
            <w:vAlign w:val="center"/>
          </w:tcPr>
          <w:p w14:paraId="551B126D">
            <w:pPr>
              <w:autoSpaceDE w:val="0"/>
              <w:spacing w:line="280" w:lineRule="exact"/>
              <w:jc w:val="center"/>
              <w:textAlignment w:val="center"/>
              <w:rPr>
                <w:sz w:val="24"/>
                <w:szCs w:val="24"/>
              </w:rPr>
            </w:pPr>
            <w:r>
              <w:rPr>
                <w:sz w:val="24"/>
                <w:szCs w:val="24"/>
              </w:rPr>
              <w:t>商贸物流产业</w:t>
            </w:r>
          </w:p>
        </w:tc>
        <w:tc>
          <w:tcPr>
            <w:tcW w:w="6131" w:type="dxa"/>
            <w:tcBorders>
              <w:top w:val="single" w:color="auto" w:sz="4" w:space="0"/>
              <w:left w:val="nil"/>
              <w:bottom w:val="single" w:color="auto" w:sz="4" w:space="0"/>
              <w:right w:val="single" w:color="auto" w:sz="4" w:space="0"/>
            </w:tcBorders>
            <w:shd w:val="clear" w:color="auto" w:fill="auto"/>
            <w:vAlign w:val="center"/>
          </w:tcPr>
          <w:p w14:paraId="618C5145">
            <w:pPr>
              <w:autoSpaceDE w:val="0"/>
              <w:spacing w:line="280" w:lineRule="exact"/>
              <w:textAlignment w:val="center"/>
              <w:rPr>
                <w:sz w:val="24"/>
                <w:szCs w:val="24"/>
              </w:rPr>
            </w:pPr>
            <w:r>
              <w:rPr>
                <w:sz w:val="24"/>
                <w:szCs w:val="24"/>
              </w:rPr>
              <w:t>板溪综合物流市场工程占地面积约103.3亩，总建筑面积57808.022平方米，主要建筑物包括电商大数据中心、仓库、冷库、专业市场、配套业务用房等。配套硬件工程（一期）主要包括：监控系统（含中控）、门禁系统、车牌识别系统、内外网综合布线、无线覆盖、园区信息发布、会议系统、机房及服务器等几大系统。电商大数据中心，利用已建的物流市场三层楼房作为场地，建筑面积约7000平方米，一层为多功能大厅，方便参观客人查询楼宇功能分布；二层为展销中心，进行农产品及电商产品展示展销；三层为电商大数据中心，实现中控、信息展示、电商产业孵化等功能。</w:t>
            </w:r>
          </w:p>
        </w:tc>
        <w:tc>
          <w:tcPr>
            <w:tcW w:w="1434" w:type="dxa"/>
            <w:tcBorders>
              <w:top w:val="single" w:color="auto" w:sz="4" w:space="0"/>
              <w:left w:val="nil"/>
              <w:bottom w:val="single" w:color="auto" w:sz="4" w:space="0"/>
              <w:right w:val="single" w:color="auto" w:sz="4" w:space="0"/>
            </w:tcBorders>
            <w:shd w:val="clear" w:color="auto" w:fill="auto"/>
            <w:vAlign w:val="center"/>
          </w:tcPr>
          <w:p w14:paraId="4C563992">
            <w:pPr>
              <w:autoSpaceDE w:val="0"/>
              <w:spacing w:line="300" w:lineRule="exact"/>
              <w:textAlignment w:val="center"/>
              <w:rPr>
                <w:sz w:val="24"/>
                <w:szCs w:val="24"/>
              </w:rPr>
            </w:pPr>
            <w:r>
              <w:rPr>
                <w:sz w:val="24"/>
                <w:szCs w:val="24"/>
              </w:rPr>
              <w:t>板溪轻工业园</w:t>
            </w:r>
          </w:p>
        </w:tc>
      </w:tr>
      <w:tr w14:paraId="204FD9A8">
        <w:tblPrEx>
          <w:tblCellMar>
            <w:top w:w="0" w:type="dxa"/>
            <w:left w:w="108" w:type="dxa"/>
            <w:bottom w:w="0" w:type="dxa"/>
            <w:right w:w="108" w:type="dxa"/>
          </w:tblCellMar>
        </w:tblPrEx>
        <w:trPr>
          <w:trHeight w:val="1195" w:hRule="atLeast"/>
          <w:jc w:val="center"/>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8336E10">
            <w:pPr>
              <w:autoSpaceDE w:val="0"/>
              <w:spacing w:line="300" w:lineRule="exact"/>
              <w:jc w:val="left"/>
              <w:textAlignment w:val="center"/>
              <w:rPr>
                <w:sz w:val="24"/>
                <w:szCs w:val="24"/>
              </w:rPr>
            </w:pPr>
            <w:r>
              <w:rPr>
                <w:sz w:val="24"/>
                <w:szCs w:val="24"/>
              </w:rPr>
              <w:t>11</w:t>
            </w:r>
          </w:p>
        </w:tc>
        <w:tc>
          <w:tcPr>
            <w:tcW w:w="779" w:type="dxa"/>
            <w:tcBorders>
              <w:top w:val="single" w:color="auto" w:sz="4" w:space="0"/>
              <w:left w:val="nil"/>
              <w:bottom w:val="single" w:color="auto" w:sz="4" w:space="0"/>
              <w:right w:val="single" w:color="auto" w:sz="4" w:space="0"/>
            </w:tcBorders>
            <w:shd w:val="clear" w:color="auto" w:fill="auto"/>
            <w:vAlign w:val="center"/>
          </w:tcPr>
          <w:p w14:paraId="25169AE9">
            <w:pPr>
              <w:autoSpaceDE w:val="0"/>
              <w:spacing w:line="280" w:lineRule="exact"/>
              <w:jc w:val="left"/>
              <w:textAlignment w:val="center"/>
              <w:rPr>
                <w:sz w:val="24"/>
                <w:szCs w:val="24"/>
              </w:rPr>
            </w:pPr>
            <w:r>
              <w:rPr>
                <w:sz w:val="24"/>
                <w:szCs w:val="24"/>
              </w:rPr>
              <w:t>酒店提升工程</w:t>
            </w:r>
          </w:p>
        </w:tc>
        <w:tc>
          <w:tcPr>
            <w:tcW w:w="784" w:type="dxa"/>
            <w:tcBorders>
              <w:top w:val="single" w:color="auto" w:sz="4" w:space="0"/>
              <w:left w:val="nil"/>
              <w:bottom w:val="single" w:color="auto" w:sz="4" w:space="0"/>
              <w:right w:val="single" w:color="auto" w:sz="4" w:space="0"/>
            </w:tcBorders>
            <w:shd w:val="clear" w:color="auto" w:fill="auto"/>
            <w:vAlign w:val="center"/>
          </w:tcPr>
          <w:p w14:paraId="59B0E51A">
            <w:pPr>
              <w:autoSpaceDE w:val="0"/>
              <w:spacing w:line="280" w:lineRule="exact"/>
              <w:jc w:val="left"/>
              <w:textAlignment w:val="center"/>
              <w:rPr>
                <w:sz w:val="24"/>
                <w:szCs w:val="24"/>
              </w:rPr>
            </w:pPr>
            <w:r>
              <w:rPr>
                <w:sz w:val="24"/>
                <w:szCs w:val="24"/>
              </w:rPr>
              <w:t>商贸物流产业</w:t>
            </w:r>
          </w:p>
        </w:tc>
        <w:tc>
          <w:tcPr>
            <w:tcW w:w="6131" w:type="dxa"/>
            <w:tcBorders>
              <w:top w:val="single" w:color="auto" w:sz="4" w:space="0"/>
              <w:left w:val="nil"/>
              <w:bottom w:val="single" w:color="auto" w:sz="4" w:space="0"/>
              <w:right w:val="single" w:color="auto" w:sz="4" w:space="0"/>
            </w:tcBorders>
            <w:shd w:val="clear" w:color="auto" w:fill="auto"/>
            <w:vAlign w:val="center"/>
          </w:tcPr>
          <w:p w14:paraId="61E350D5">
            <w:pPr>
              <w:autoSpaceDE w:val="0"/>
              <w:spacing w:line="280" w:lineRule="exact"/>
              <w:textAlignment w:val="center"/>
              <w:rPr>
                <w:sz w:val="24"/>
                <w:szCs w:val="24"/>
              </w:rPr>
            </w:pPr>
            <w:r>
              <w:rPr>
                <w:sz w:val="24"/>
                <w:szCs w:val="24"/>
              </w:rPr>
              <w:t>在酉阳城区、龚滩古镇等重点景区引入2-4家五星级酒店、国家绿色饭店，与周围的民宿和农家乐实现联动发展，一起服务于酉阳高品质生活提升和旅游产业发展。</w:t>
            </w:r>
          </w:p>
        </w:tc>
        <w:tc>
          <w:tcPr>
            <w:tcW w:w="1434" w:type="dxa"/>
            <w:tcBorders>
              <w:top w:val="single" w:color="auto" w:sz="4" w:space="0"/>
              <w:left w:val="nil"/>
              <w:bottom w:val="single" w:color="auto" w:sz="4" w:space="0"/>
              <w:right w:val="single" w:color="auto" w:sz="4" w:space="0"/>
            </w:tcBorders>
            <w:shd w:val="clear" w:color="auto" w:fill="auto"/>
            <w:vAlign w:val="center"/>
          </w:tcPr>
          <w:p w14:paraId="1684E2D4">
            <w:pPr>
              <w:autoSpaceDE w:val="0"/>
              <w:spacing w:line="300" w:lineRule="exact"/>
              <w:textAlignment w:val="center"/>
              <w:rPr>
                <w:sz w:val="24"/>
                <w:szCs w:val="24"/>
              </w:rPr>
            </w:pPr>
            <w:r>
              <w:rPr>
                <w:sz w:val="24"/>
                <w:szCs w:val="24"/>
              </w:rPr>
              <w:t>酉阳城区、桃花源新城、龚滩古镇</w:t>
            </w:r>
          </w:p>
        </w:tc>
      </w:tr>
      <w:tr w14:paraId="73B55014">
        <w:tblPrEx>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6FAC398">
            <w:pPr>
              <w:autoSpaceDE w:val="0"/>
              <w:spacing w:line="300" w:lineRule="exact"/>
              <w:jc w:val="center"/>
              <w:textAlignment w:val="center"/>
              <w:rPr>
                <w:sz w:val="24"/>
                <w:szCs w:val="24"/>
              </w:rPr>
            </w:pPr>
            <w:r>
              <w:rPr>
                <w:sz w:val="24"/>
                <w:szCs w:val="24"/>
              </w:rPr>
              <w:t>12</w:t>
            </w:r>
          </w:p>
        </w:tc>
        <w:tc>
          <w:tcPr>
            <w:tcW w:w="779" w:type="dxa"/>
            <w:tcBorders>
              <w:top w:val="single" w:color="auto" w:sz="4" w:space="0"/>
              <w:left w:val="nil"/>
              <w:bottom w:val="single" w:color="auto" w:sz="4" w:space="0"/>
              <w:right w:val="single" w:color="auto" w:sz="4" w:space="0"/>
            </w:tcBorders>
            <w:shd w:val="clear" w:color="auto" w:fill="auto"/>
            <w:vAlign w:val="center"/>
          </w:tcPr>
          <w:p w14:paraId="35423C3A">
            <w:pPr>
              <w:autoSpaceDE w:val="0"/>
              <w:spacing w:line="280" w:lineRule="exact"/>
              <w:jc w:val="center"/>
              <w:textAlignment w:val="center"/>
              <w:rPr>
                <w:sz w:val="24"/>
                <w:szCs w:val="24"/>
              </w:rPr>
            </w:pPr>
            <w:r>
              <w:rPr>
                <w:sz w:val="24"/>
                <w:szCs w:val="24"/>
              </w:rPr>
              <w:t>麻旺铁路物流园</w:t>
            </w:r>
          </w:p>
        </w:tc>
        <w:tc>
          <w:tcPr>
            <w:tcW w:w="784" w:type="dxa"/>
            <w:tcBorders>
              <w:top w:val="single" w:color="auto" w:sz="4" w:space="0"/>
              <w:left w:val="nil"/>
              <w:bottom w:val="single" w:color="auto" w:sz="4" w:space="0"/>
              <w:right w:val="single" w:color="auto" w:sz="4" w:space="0"/>
            </w:tcBorders>
            <w:shd w:val="clear" w:color="auto" w:fill="auto"/>
            <w:vAlign w:val="center"/>
          </w:tcPr>
          <w:p w14:paraId="4557EA0E">
            <w:pPr>
              <w:autoSpaceDE w:val="0"/>
              <w:spacing w:line="280" w:lineRule="exact"/>
              <w:jc w:val="center"/>
              <w:textAlignment w:val="center"/>
              <w:rPr>
                <w:sz w:val="24"/>
                <w:szCs w:val="24"/>
              </w:rPr>
            </w:pPr>
            <w:r>
              <w:rPr>
                <w:sz w:val="24"/>
                <w:szCs w:val="24"/>
              </w:rPr>
              <w:t>商贸物流产业</w:t>
            </w:r>
          </w:p>
        </w:tc>
        <w:tc>
          <w:tcPr>
            <w:tcW w:w="6131" w:type="dxa"/>
            <w:tcBorders>
              <w:top w:val="single" w:color="auto" w:sz="4" w:space="0"/>
              <w:left w:val="nil"/>
              <w:bottom w:val="single" w:color="auto" w:sz="4" w:space="0"/>
              <w:right w:val="single" w:color="auto" w:sz="4" w:space="0"/>
            </w:tcBorders>
            <w:shd w:val="clear" w:color="auto" w:fill="auto"/>
            <w:vAlign w:val="center"/>
          </w:tcPr>
          <w:p w14:paraId="53D9F8A4">
            <w:pPr>
              <w:autoSpaceDE w:val="0"/>
              <w:spacing w:line="280" w:lineRule="exact"/>
              <w:textAlignment w:val="center"/>
              <w:rPr>
                <w:sz w:val="24"/>
                <w:szCs w:val="24"/>
              </w:rPr>
            </w:pPr>
            <w:r>
              <w:rPr>
                <w:sz w:val="24"/>
                <w:szCs w:val="24"/>
              </w:rPr>
              <w:t>建成中石化成品油库6.5万立方米，培育完善家居、建材、木材等大综物资批发市场。配套完善市场保供储备功能。</w:t>
            </w:r>
          </w:p>
        </w:tc>
        <w:tc>
          <w:tcPr>
            <w:tcW w:w="1434" w:type="dxa"/>
            <w:tcBorders>
              <w:top w:val="single" w:color="auto" w:sz="4" w:space="0"/>
              <w:left w:val="nil"/>
              <w:bottom w:val="single" w:color="auto" w:sz="4" w:space="0"/>
              <w:right w:val="single" w:color="auto" w:sz="4" w:space="0"/>
            </w:tcBorders>
            <w:shd w:val="clear" w:color="auto" w:fill="auto"/>
            <w:vAlign w:val="center"/>
          </w:tcPr>
          <w:p w14:paraId="6F39EB77">
            <w:pPr>
              <w:autoSpaceDE w:val="0"/>
              <w:spacing w:line="300" w:lineRule="exact"/>
              <w:textAlignment w:val="center"/>
              <w:rPr>
                <w:sz w:val="24"/>
                <w:szCs w:val="24"/>
              </w:rPr>
            </w:pPr>
            <w:r>
              <w:rPr>
                <w:sz w:val="24"/>
                <w:szCs w:val="24"/>
              </w:rPr>
              <w:t>麻旺镇</w:t>
            </w:r>
          </w:p>
        </w:tc>
      </w:tr>
      <w:tr w14:paraId="4B3F3CCC">
        <w:tblPrEx>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FE91D49">
            <w:pPr>
              <w:autoSpaceDE w:val="0"/>
              <w:spacing w:line="300" w:lineRule="exact"/>
              <w:jc w:val="center"/>
              <w:textAlignment w:val="center"/>
              <w:rPr>
                <w:sz w:val="24"/>
                <w:szCs w:val="24"/>
              </w:rPr>
            </w:pPr>
            <w:r>
              <w:rPr>
                <w:sz w:val="24"/>
                <w:szCs w:val="24"/>
              </w:rPr>
              <w:t>13</w:t>
            </w:r>
          </w:p>
        </w:tc>
        <w:tc>
          <w:tcPr>
            <w:tcW w:w="779" w:type="dxa"/>
            <w:tcBorders>
              <w:top w:val="single" w:color="auto" w:sz="4" w:space="0"/>
              <w:left w:val="nil"/>
              <w:bottom w:val="single" w:color="auto" w:sz="4" w:space="0"/>
              <w:right w:val="single" w:color="auto" w:sz="4" w:space="0"/>
            </w:tcBorders>
            <w:shd w:val="clear" w:color="auto" w:fill="auto"/>
            <w:vAlign w:val="center"/>
          </w:tcPr>
          <w:p w14:paraId="30A87ABC">
            <w:pPr>
              <w:autoSpaceDE w:val="0"/>
              <w:spacing w:line="280" w:lineRule="exact"/>
              <w:jc w:val="left"/>
              <w:textAlignment w:val="center"/>
              <w:rPr>
                <w:sz w:val="24"/>
                <w:szCs w:val="24"/>
              </w:rPr>
            </w:pPr>
            <w:r>
              <w:rPr>
                <w:sz w:val="24"/>
                <w:szCs w:val="24"/>
              </w:rPr>
              <w:t>龙潭特色商贸综合体</w:t>
            </w:r>
          </w:p>
        </w:tc>
        <w:tc>
          <w:tcPr>
            <w:tcW w:w="784" w:type="dxa"/>
            <w:tcBorders>
              <w:top w:val="single" w:color="auto" w:sz="4" w:space="0"/>
              <w:left w:val="nil"/>
              <w:bottom w:val="single" w:color="auto" w:sz="4" w:space="0"/>
              <w:right w:val="single" w:color="auto" w:sz="4" w:space="0"/>
            </w:tcBorders>
            <w:shd w:val="clear" w:color="auto" w:fill="auto"/>
            <w:vAlign w:val="center"/>
          </w:tcPr>
          <w:p w14:paraId="25E887D6">
            <w:pPr>
              <w:autoSpaceDE w:val="0"/>
              <w:spacing w:line="280" w:lineRule="exact"/>
              <w:jc w:val="left"/>
              <w:textAlignment w:val="center"/>
              <w:rPr>
                <w:sz w:val="24"/>
                <w:szCs w:val="24"/>
              </w:rPr>
            </w:pPr>
            <w:r>
              <w:rPr>
                <w:sz w:val="24"/>
                <w:szCs w:val="24"/>
              </w:rPr>
              <w:t>城市商贸综合体</w:t>
            </w:r>
          </w:p>
        </w:tc>
        <w:tc>
          <w:tcPr>
            <w:tcW w:w="6131" w:type="dxa"/>
            <w:tcBorders>
              <w:top w:val="single" w:color="auto" w:sz="4" w:space="0"/>
              <w:left w:val="nil"/>
              <w:bottom w:val="single" w:color="auto" w:sz="4" w:space="0"/>
              <w:right w:val="single" w:color="auto" w:sz="4" w:space="0"/>
            </w:tcBorders>
            <w:shd w:val="clear" w:color="auto" w:fill="auto"/>
            <w:vAlign w:val="center"/>
          </w:tcPr>
          <w:p w14:paraId="35CA651A">
            <w:pPr>
              <w:autoSpaceDE w:val="0"/>
              <w:spacing w:line="280" w:lineRule="exact"/>
              <w:textAlignment w:val="center"/>
              <w:rPr>
                <w:sz w:val="24"/>
                <w:szCs w:val="24"/>
              </w:rPr>
            </w:pPr>
            <w:r>
              <w:rPr>
                <w:sz w:val="24"/>
                <w:szCs w:val="24"/>
              </w:rPr>
              <w:t>打造特色市场1个，商贸旅游文化特色街区1条，完善吃住行游购娱等业态，培育古镇特色服务业集聚区。</w:t>
            </w:r>
          </w:p>
        </w:tc>
        <w:tc>
          <w:tcPr>
            <w:tcW w:w="1434" w:type="dxa"/>
            <w:tcBorders>
              <w:top w:val="single" w:color="auto" w:sz="4" w:space="0"/>
              <w:left w:val="nil"/>
              <w:bottom w:val="single" w:color="auto" w:sz="4" w:space="0"/>
              <w:right w:val="single" w:color="auto" w:sz="4" w:space="0"/>
            </w:tcBorders>
            <w:shd w:val="clear" w:color="auto" w:fill="auto"/>
            <w:vAlign w:val="center"/>
          </w:tcPr>
          <w:p w14:paraId="31F64CDE">
            <w:pPr>
              <w:autoSpaceDE w:val="0"/>
              <w:spacing w:line="300" w:lineRule="exact"/>
              <w:textAlignment w:val="center"/>
              <w:rPr>
                <w:sz w:val="24"/>
                <w:szCs w:val="24"/>
              </w:rPr>
            </w:pPr>
            <w:r>
              <w:rPr>
                <w:sz w:val="24"/>
                <w:szCs w:val="24"/>
              </w:rPr>
              <w:t>龙潭镇</w:t>
            </w:r>
          </w:p>
        </w:tc>
      </w:tr>
      <w:tr w14:paraId="246F917B">
        <w:tblPrEx>
          <w:tblCellMar>
            <w:top w:w="0" w:type="dxa"/>
            <w:left w:w="108" w:type="dxa"/>
            <w:bottom w:w="0" w:type="dxa"/>
            <w:right w:w="108" w:type="dxa"/>
          </w:tblCellMar>
        </w:tblPrEx>
        <w:trPr>
          <w:trHeight w:val="1110" w:hRule="atLeast"/>
          <w:jc w:val="center"/>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B812787">
            <w:pPr>
              <w:autoSpaceDE w:val="0"/>
              <w:spacing w:line="300" w:lineRule="exact"/>
              <w:jc w:val="center"/>
              <w:textAlignment w:val="center"/>
              <w:rPr>
                <w:sz w:val="24"/>
                <w:szCs w:val="24"/>
              </w:rPr>
            </w:pPr>
            <w:r>
              <w:rPr>
                <w:sz w:val="24"/>
                <w:szCs w:val="24"/>
              </w:rPr>
              <w:t>14</w:t>
            </w:r>
          </w:p>
        </w:tc>
        <w:tc>
          <w:tcPr>
            <w:tcW w:w="779" w:type="dxa"/>
            <w:tcBorders>
              <w:top w:val="single" w:color="auto" w:sz="4" w:space="0"/>
              <w:left w:val="nil"/>
              <w:bottom w:val="single" w:color="auto" w:sz="4" w:space="0"/>
              <w:right w:val="single" w:color="auto" w:sz="4" w:space="0"/>
            </w:tcBorders>
            <w:shd w:val="clear" w:color="auto" w:fill="auto"/>
            <w:vAlign w:val="center"/>
          </w:tcPr>
          <w:p w14:paraId="0EF89D8A">
            <w:pPr>
              <w:autoSpaceDE w:val="0"/>
              <w:spacing w:line="280" w:lineRule="exact"/>
              <w:jc w:val="left"/>
              <w:textAlignment w:val="center"/>
              <w:rPr>
                <w:sz w:val="24"/>
                <w:szCs w:val="24"/>
              </w:rPr>
            </w:pPr>
            <w:r>
              <w:rPr>
                <w:sz w:val="24"/>
                <w:szCs w:val="24"/>
              </w:rPr>
              <w:t>电商产业园</w:t>
            </w:r>
          </w:p>
        </w:tc>
        <w:tc>
          <w:tcPr>
            <w:tcW w:w="784" w:type="dxa"/>
            <w:tcBorders>
              <w:top w:val="single" w:color="auto" w:sz="4" w:space="0"/>
              <w:left w:val="nil"/>
              <w:bottom w:val="single" w:color="auto" w:sz="4" w:space="0"/>
              <w:right w:val="single" w:color="auto" w:sz="4" w:space="0"/>
            </w:tcBorders>
            <w:shd w:val="clear" w:color="auto" w:fill="auto"/>
            <w:vAlign w:val="center"/>
          </w:tcPr>
          <w:p w14:paraId="7DB3D342">
            <w:pPr>
              <w:autoSpaceDE w:val="0"/>
              <w:spacing w:line="280" w:lineRule="exact"/>
              <w:jc w:val="left"/>
              <w:textAlignment w:val="center"/>
              <w:rPr>
                <w:sz w:val="24"/>
                <w:szCs w:val="24"/>
              </w:rPr>
            </w:pPr>
            <w:r>
              <w:rPr>
                <w:sz w:val="24"/>
                <w:szCs w:val="24"/>
              </w:rPr>
              <w:t>商贸物流产业</w:t>
            </w:r>
          </w:p>
        </w:tc>
        <w:tc>
          <w:tcPr>
            <w:tcW w:w="6131" w:type="dxa"/>
            <w:tcBorders>
              <w:top w:val="single" w:color="auto" w:sz="4" w:space="0"/>
              <w:left w:val="nil"/>
              <w:bottom w:val="single" w:color="auto" w:sz="4" w:space="0"/>
              <w:right w:val="single" w:color="auto" w:sz="4" w:space="0"/>
            </w:tcBorders>
            <w:shd w:val="clear" w:color="auto" w:fill="auto"/>
            <w:vAlign w:val="center"/>
          </w:tcPr>
          <w:p w14:paraId="76B579DC">
            <w:pPr>
              <w:autoSpaceDE w:val="0"/>
              <w:spacing w:line="280" w:lineRule="exact"/>
              <w:textAlignment w:val="center"/>
              <w:rPr>
                <w:sz w:val="24"/>
                <w:szCs w:val="24"/>
              </w:rPr>
            </w:pPr>
            <w:r>
              <w:rPr>
                <w:sz w:val="24"/>
                <w:szCs w:val="24"/>
              </w:rPr>
              <w:t>投入资金2000万，打造电商研发中心，集聚电商全产业链，配套完善物流、仓储、培训、直播、运营、研发为一体的电商产业园。同步培育跨境电商、进出口贸易保税仓等业态。</w:t>
            </w:r>
          </w:p>
        </w:tc>
        <w:tc>
          <w:tcPr>
            <w:tcW w:w="1434" w:type="dxa"/>
            <w:tcBorders>
              <w:top w:val="single" w:color="auto" w:sz="4" w:space="0"/>
              <w:left w:val="nil"/>
              <w:bottom w:val="single" w:color="auto" w:sz="4" w:space="0"/>
              <w:right w:val="single" w:color="auto" w:sz="4" w:space="0"/>
            </w:tcBorders>
            <w:shd w:val="clear" w:color="auto" w:fill="auto"/>
            <w:vAlign w:val="center"/>
          </w:tcPr>
          <w:p w14:paraId="4539E1E4">
            <w:pPr>
              <w:autoSpaceDE w:val="0"/>
              <w:spacing w:line="300" w:lineRule="exact"/>
              <w:textAlignment w:val="center"/>
              <w:rPr>
                <w:sz w:val="24"/>
                <w:szCs w:val="24"/>
              </w:rPr>
            </w:pPr>
            <w:r>
              <w:rPr>
                <w:sz w:val="24"/>
                <w:szCs w:val="24"/>
              </w:rPr>
              <w:t>板溪镇</w:t>
            </w:r>
          </w:p>
        </w:tc>
      </w:tr>
      <w:tr w14:paraId="2BAC8567">
        <w:tblPrEx>
          <w:tblCellMar>
            <w:top w:w="0" w:type="dxa"/>
            <w:left w:w="108" w:type="dxa"/>
            <w:bottom w:w="0" w:type="dxa"/>
            <w:right w:w="108" w:type="dxa"/>
          </w:tblCellMar>
        </w:tblPrEx>
        <w:trPr>
          <w:trHeight w:val="1860" w:hRule="atLeast"/>
          <w:jc w:val="center"/>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29D609D">
            <w:pPr>
              <w:autoSpaceDE w:val="0"/>
              <w:spacing w:line="300" w:lineRule="exact"/>
              <w:jc w:val="left"/>
              <w:textAlignment w:val="center"/>
              <w:rPr>
                <w:sz w:val="24"/>
                <w:szCs w:val="24"/>
              </w:rPr>
            </w:pPr>
            <w:r>
              <w:rPr>
                <w:sz w:val="24"/>
                <w:szCs w:val="24"/>
              </w:rPr>
              <w:t>15</w:t>
            </w:r>
          </w:p>
        </w:tc>
        <w:tc>
          <w:tcPr>
            <w:tcW w:w="779" w:type="dxa"/>
            <w:tcBorders>
              <w:top w:val="single" w:color="auto" w:sz="4" w:space="0"/>
              <w:left w:val="nil"/>
              <w:bottom w:val="single" w:color="auto" w:sz="4" w:space="0"/>
              <w:right w:val="single" w:color="auto" w:sz="4" w:space="0"/>
            </w:tcBorders>
            <w:shd w:val="clear" w:color="auto" w:fill="auto"/>
            <w:vAlign w:val="center"/>
          </w:tcPr>
          <w:p w14:paraId="7EDDADA2">
            <w:pPr>
              <w:autoSpaceDE w:val="0"/>
              <w:spacing w:line="280" w:lineRule="exact"/>
              <w:jc w:val="left"/>
              <w:textAlignment w:val="center"/>
              <w:rPr>
                <w:sz w:val="24"/>
                <w:szCs w:val="24"/>
              </w:rPr>
            </w:pPr>
            <w:r>
              <w:rPr>
                <w:sz w:val="24"/>
                <w:szCs w:val="24"/>
              </w:rPr>
              <w:t>城区农贸市场超市化项目</w:t>
            </w:r>
          </w:p>
        </w:tc>
        <w:tc>
          <w:tcPr>
            <w:tcW w:w="784" w:type="dxa"/>
            <w:tcBorders>
              <w:top w:val="single" w:color="auto" w:sz="4" w:space="0"/>
              <w:left w:val="nil"/>
              <w:bottom w:val="single" w:color="auto" w:sz="4" w:space="0"/>
              <w:right w:val="single" w:color="auto" w:sz="4" w:space="0"/>
            </w:tcBorders>
            <w:shd w:val="clear" w:color="auto" w:fill="auto"/>
            <w:vAlign w:val="center"/>
          </w:tcPr>
          <w:p w14:paraId="70224A36">
            <w:pPr>
              <w:autoSpaceDE w:val="0"/>
              <w:spacing w:line="280" w:lineRule="exact"/>
              <w:jc w:val="left"/>
              <w:textAlignment w:val="center"/>
              <w:rPr>
                <w:sz w:val="24"/>
                <w:szCs w:val="24"/>
              </w:rPr>
            </w:pPr>
            <w:r>
              <w:rPr>
                <w:sz w:val="24"/>
                <w:szCs w:val="24"/>
              </w:rPr>
              <w:t>商贸物流产业</w:t>
            </w:r>
          </w:p>
        </w:tc>
        <w:tc>
          <w:tcPr>
            <w:tcW w:w="6131" w:type="dxa"/>
            <w:tcBorders>
              <w:top w:val="single" w:color="auto" w:sz="4" w:space="0"/>
              <w:left w:val="nil"/>
              <w:bottom w:val="single" w:color="auto" w:sz="4" w:space="0"/>
              <w:right w:val="single" w:color="auto" w:sz="4" w:space="0"/>
            </w:tcBorders>
            <w:shd w:val="clear" w:color="auto" w:fill="auto"/>
            <w:vAlign w:val="center"/>
          </w:tcPr>
          <w:p w14:paraId="447683CF">
            <w:pPr>
              <w:autoSpaceDE w:val="0"/>
              <w:spacing w:line="280" w:lineRule="exact"/>
              <w:textAlignment w:val="center"/>
              <w:rPr>
                <w:sz w:val="24"/>
                <w:szCs w:val="24"/>
              </w:rPr>
            </w:pPr>
            <w:r>
              <w:rPr>
                <w:sz w:val="24"/>
                <w:szCs w:val="24"/>
              </w:rPr>
              <w:t>对城区范围内农贸市场实施达标建设，实现超市化经营。投资1亿元，按照</w:t>
            </w:r>
            <w:r>
              <w:rPr>
                <w:rFonts w:hint="eastAsia"/>
                <w:sz w:val="24"/>
                <w:szCs w:val="24"/>
              </w:rPr>
              <w:t>“</w:t>
            </w:r>
            <w:r>
              <w:rPr>
                <w:sz w:val="24"/>
                <w:szCs w:val="24"/>
              </w:rPr>
              <w:t>统一产权归集、统一设计标准、统一施工建设、统一经营管理、规范市场秩序</w:t>
            </w:r>
            <w:r>
              <w:rPr>
                <w:rFonts w:hint="eastAsia"/>
                <w:sz w:val="24"/>
                <w:szCs w:val="24"/>
              </w:rPr>
              <w:t>”</w:t>
            </w:r>
            <w:r>
              <w:rPr>
                <w:sz w:val="24"/>
                <w:szCs w:val="24"/>
              </w:rPr>
              <w:t>的总体思路，通过引进有实力的农产品现代流通综合领域战略投资者，新建一批和改建一批，实现市城区农贸市场全面升级改造。</w:t>
            </w:r>
          </w:p>
        </w:tc>
        <w:tc>
          <w:tcPr>
            <w:tcW w:w="1434" w:type="dxa"/>
            <w:tcBorders>
              <w:top w:val="single" w:color="auto" w:sz="4" w:space="0"/>
              <w:left w:val="nil"/>
              <w:bottom w:val="single" w:color="auto" w:sz="4" w:space="0"/>
              <w:right w:val="single" w:color="auto" w:sz="4" w:space="0"/>
            </w:tcBorders>
            <w:shd w:val="clear" w:color="auto" w:fill="auto"/>
            <w:vAlign w:val="center"/>
          </w:tcPr>
          <w:p w14:paraId="51C67897">
            <w:pPr>
              <w:autoSpaceDE w:val="0"/>
              <w:spacing w:line="300" w:lineRule="exact"/>
              <w:textAlignment w:val="center"/>
              <w:rPr>
                <w:sz w:val="24"/>
                <w:szCs w:val="24"/>
              </w:rPr>
            </w:pPr>
            <w:r>
              <w:rPr>
                <w:sz w:val="24"/>
                <w:szCs w:val="24"/>
              </w:rPr>
              <w:t>桃花源街道、钟多街道</w:t>
            </w:r>
          </w:p>
        </w:tc>
      </w:tr>
      <w:tr w14:paraId="67FF0385">
        <w:tblPrEx>
          <w:tblCellMar>
            <w:top w:w="0" w:type="dxa"/>
            <w:left w:w="108" w:type="dxa"/>
            <w:bottom w:w="0" w:type="dxa"/>
            <w:right w:w="108" w:type="dxa"/>
          </w:tblCellMar>
        </w:tblPrEx>
        <w:trPr>
          <w:trHeight w:val="2690" w:hRule="atLeast"/>
          <w:jc w:val="center"/>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0BAF78D">
            <w:pPr>
              <w:autoSpaceDE w:val="0"/>
              <w:spacing w:line="300" w:lineRule="exact"/>
              <w:jc w:val="left"/>
              <w:textAlignment w:val="center"/>
              <w:rPr>
                <w:sz w:val="24"/>
                <w:szCs w:val="24"/>
              </w:rPr>
            </w:pPr>
            <w:r>
              <w:rPr>
                <w:sz w:val="24"/>
                <w:szCs w:val="24"/>
              </w:rPr>
              <w:t>16</w:t>
            </w:r>
          </w:p>
        </w:tc>
        <w:tc>
          <w:tcPr>
            <w:tcW w:w="779" w:type="dxa"/>
            <w:tcBorders>
              <w:top w:val="single" w:color="auto" w:sz="4" w:space="0"/>
              <w:left w:val="nil"/>
              <w:bottom w:val="single" w:color="auto" w:sz="4" w:space="0"/>
              <w:right w:val="single" w:color="auto" w:sz="4" w:space="0"/>
            </w:tcBorders>
            <w:shd w:val="clear" w:color="auto" w:fill="auto"/>
            <w:vAlign w:val="center"/>
          </w:tcPr>
          <w:p w14:paraId="27460EB9">
            <w:pPr>
              <w:autoSpaceDE w:val="0"/>
              <w:spacing w:line="280" w:lineRule="exact"/>
              <w:jc w:val="left"/>
              <w:textAlignment w:val="center"/>
              <w:rPr>
                <w:sz w:val="24"/>
                <w:szCs w:val="24"/>
              </w:rPr>
            </w:pPr>
            <w:r>
              <w:rPr>
                <w:sz w:val="24"/>
                <w:szCs w:val="24"/>
              </w:rPr>
              <w:t>智慧物流建设</w:t>
            </w:r>
          </w:p>
        </w:tc>
        <w:tc>
          <w:tcPr>
            <w:tcW w:w="784" w:type="dxa"/>
            <w:tcBorders>
              <w:top w:val="single" w:color="auto" w:sz="4" w:space="0"/>
              <w:left w:val="nil"/>
              <w:bottom w:val="single" w:color="auto" w:sz="4" w:space="0"/>
              <w:right w:val="single" w:color="auto" w:sz="4" w:space="0"/>
            </w:tcBorders>
            <w:shd w:val="clear" w:color="auto" w:fill="auto"/>
            <w:vAlign w:val="center"/>
          </w:tcPr>
          <w:p w14:paraId="1445F0EF">
            <w:pPr>
              <w:autoSpaceDE w:val="0"/>
              <w:spacing w:line="280" w:lineRule="exact"/>
              <w:jc w:val="left"/>
              <w:textAlignment w:val="center"/>
              <w:rPr>
                <w:sz w:val="24"/>
                <w:szCs w:val="24"/>
              </w:rPr>
            </w:pPr>
            <w:r>
              <w:rPr>
                <w:sz w:val="24"/>
                <w:szCs w:val="24"/>
              </w:rPr>
              <w:t>商贸物流产业</w:t>
            </w:r>
          </w:p>
        </w:tc>
        <w:tc>
          <w:tcPr>
            <w:tcW w:w="6131" w:type="dxa"/>
            <w:tcBorders>
              <w:top w:val="single" w:color="auto" w:sz="4" w:space="0"/>
              <w:left w:val="nil"/>
              <w:bottom w:val="single" w:color="auto" w:sz="4" w:space="0"/>
              <w:right w:val="single" w:color="auto" w:sz="4" w:space="0"/>
            </w:tcBorders>
            <w:shd w:val="clear" w:color="auto" w:fill="auto"/>
            <w:vAlign w:val="center"/>
          </w:tcPr>
          <w:p w14:paraId="7E559A3D">
            <w:pPr>
              <w:autoSpaceDE w:val="0"/>
              <w:spacing w:line="280" w:lineRule="exact"/>
              <w:textAlignment w:val="center"/>
              <w:rPr>
                <w:sz w:val="24"/>
                <w:szCs w:val="24"/>
              </w:rPr>
            </w:pPr>
            <w:r>
              <w:rPr>
                <w:sz w:val="24"/>
                <w:szCs w:val="24"/>
              </w:rPr>
              <w:t>加快物流企业信息化建设，推广应用电子单据、电子合同等数据化物流活动信息载体，支持建设自动化场站、智能型仓储等智慧物流设施，支持大型物流企业建设物流信息与交易平台。推动物流数据开放，提升物流交易水平，完善物流行业收费政策，强化涉及物流行业政府定价的涉企经营服务性收费管理。积极融入由市政府口岸物流办牵头建设的重庆智慧物流公共大数据平台。重点融入包括公路货运交易子系统、多式联运子系统、物流园区云系统、仓储云系统、城市共同配送信息服务等。</w:t>
            </w:r>
          </w:p>
        </w:tc>
        <w:tc>
          <w:tcPr>
            <w:tcW w:w="1434" w:type="dxa"/>
            <w:tcBorders>
              <w:top w:val="single" w:color="auto" w:sz="4" w:space="0"/>
              <w:left w:val="nil"/>
              <w:bottom w:val="single" w:color="auto" w:sz="4" w:space="0"/>
              <w:right w:val="single" w:color="auto" w:sz="4" w:space="0"/>
            </w:tcBorders>
            <w:shd w:val="clear" w:color="auto" w:fill="auto"/>
            <w:vAlign w:val="center"/>
          </w:tcPr>
          <w:p w14:paraId="24029314">
            <w:pPr>
              <w:autoSpaceDE w:val="0"/>
              <w:spacing w:line="300" w:lineRule="exact"/>
              <w:textAlignment w:val="center"/>
              <w:rPr>
                <w:sz w:val="24"/>
                <w:szCs w:val="24"/>
              </w:rPr>
            </w:pPr>
            <w:r>
              <w:rPr>
                <w:sz w:val="24"/>
                <w:szCs w:val="24"/>
              </w:rPr>
              <w:t>板溪镇</w:t>
            </w:r>
          </w:p>
        </w:tc>
      </w:tr>
      <w:tr w14:paraId="4BDA8FFB">
        <w:tblPrEx>
          <w:tblCellMar>
            <w:top w:w="0" w:type="dxa"/>
            <w:left w:w="108" w:type="dxa"/>
            <w:bottom w:w="0" w:type="dxa"/>
            <w:right w:w="108" w:type="dxa"/>
          </w:tblCellMar>
        </w:tblPrEx>
        <w:trPr>
          <w:trHeight w:val="2730" w:hRule="atLeast"/>
          <w:jc w:val="center"/>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1699749">
            <w:pPr>
              <w:autoSpaceDE w:val="0"/>
              <w:spacing w:line="300" w:lineRule="exact"/>
              <w:jc w:val="left"/>
              <w:textAlignment w:val="center"/>
              <w:rPr>
                <w:sz w:val="24"/>
                <w:szCs w:val="24"/>
              </w:rPr>
            </w:pPr>
            <w:r>
              <w:rPr>
                <w:sz w:val="24"/>
                <w:szCs w:val="24"/>
              </w:rPr>
              <w:t>17</w:t>
            </w:r>
          </w:p>
        </w:tc>
        <w:tc>
          <w:tcPr>
            <w:tcW w:w="779" w:type="dxa"/>
            <w:tcBorders>
              <w:top w:val="single" w:color="auto" w:sz="4" w:space="0"/>
              <w:left w:val="nil"/>
              <w:bottom w:val="single" w:color="auto" w:sz="4" w:space="0"/>
              <w:right w:val="single" w:color="auto" w:sz="4" w:space="0"/>
            </w:tcBorders>
            <w:shd w:val="clear" w:color="auto" w:fill="auto"/>
            <w:vAlign w:val="center"/>
          </w:tcPr>
          <w:p w14:paraId="1A014F0C">
            <w:pPr>
              <w:autoSpaceDE w:val="0"/>
              <w:spacing w:line="280" w:lineRule="exact"/>
              <w:jc w:val="left"/>
              <w:textAlignment w:val="center"/>
              <w:rPr>
                <w:sz w:val="24"/>
                <w:szCs w:val="24"/>
              </w:rPr>
            </w:pPr>
            <w:r>
              <w:rPr>
                <w:sz w:val="24"/>
                <w:szCs w:val="24"/>
              </w:rPr>
              <w:t>餐饮品牌</w:t>
            </w:r>
          </w:p>
        </w:tc>
        <w:tc>
          <w:tcPr>
            <w:tcW w:w="784" w:type="dxa"/>
            <w:tcBorders>
              <w:top w:val="single" w:color="auto" w:sz="4" w:space="0"/>
              <w:left w:val="nil"/>
              <w:bottom w:val="single" w:color="auto" w:sz="4" w:space="0"/>
              <w:right w:val="single" w:color="auto" w:sz="4" w:space="0"/>
            </w:tcBorders>
            <w:shd w:val="clear" w:color="auto" w:fill="auto"/>
            <w:vAlign w:val="center"/>
          </w:tcPr>
          <w:p w14:paraId="11356559">
            <w:pPr>
              <w:autoSpaceDE w:val="0"/>
              <w:spacing w:line="280" w:lineRule="exact"/>
              <w:jc w:val="left"/>
              <w:textAlignment w:val="center"/>
              <w:rPr>
                <w:sz w:val="24"/>
                <w:szCs w:val="24"/>
              </w:rPr>
            </w:pPr>
            <w:r>
              <w:rPr>
                <w:sz w:val="24"/>
                <w:szCs w:val="24"/>
              </w:rPr>
              <w:t>商贸物流产业</w:t>
            </w:r>
          </w:p>
        </w:tc>
        <w:tc>
          <w:tcPr>
            <w:tcW w:w="6131" w:type="dxa"/>
            <w:tcBorders>
              <w:top w:val="single" w:color="auto" w:sz="4" w:space="0"/>
              <w:left w:val="nil"/>
              <w:bottom w:val="single" w:color="auto" w:sz="4" w:space="0"/>
              <w:right w:val="single" w:color="auto" w:sz="4" w:space="0"/>
            </w:tcBorders>
            <w:shd w:val="clear" w:color="auto" w:fill="auto"/>
            <w:vAlign w:val="center"/>
          </w:tcPr>
          <w:p w14:paraId="131A26B4">
            <w:pPr>
              <w:autoSpaceDE w:val="0"/>
              <w:spacing w:line="280" w:lineRule="exact"/>
              <w:textAlignment w:val="center"/>
              <w:rPr>
                <w:sz w:val="24"/>
                <w:szCs w:val="24"/>
              </w:rPr>
            </w:pPr>
            <w:r>
              <w:rPr>
                <w:sz w:val="24"/>
                <w:szCs w:val="24"/>
              </w:rPr>
              <w:t>围绕酉阳桃花源文化、土家文化、红色文化等传统优秀文化，打造一批具有浓郁民俗、地域特点、生态特色的餐饮特色品牌。实施</w:t>
            </w:r>
            <w:r>
              <w:rPr>
                <w:rFonts w:hint="eastAsia"/>
                <w:sz w:val="24"/>
                <w:szCs w:val="24"/>
              </w:rPr>
              <w:t>“</w:t>
            </w:r>
            <w:r>
              <w:rPr>
                <w:sz w:val="24"/>
                <w:szCs w:val="24"/>
              </w:rPr>
              <w:t>吃在酉阳</w:t>
            </w:r>
            <w:r>
              <w:rPr>
                <w:rFonts w:hint="eastAsia"/>
                <w:sz w:val="24"/>
                <w:szCs w:val="24"/>
              </w:rPr>
              <w:t>”“</w:t>
            </w:r>
            <w:r>
              <w:rPr>
                <w:sz w:val="24"/>
                <w:szCs w:val="24"/>
              </w:rPr>
              <w:t>住在酉阳</w:t>
            </w:r>
            <w:r>
              <w:rPr>
                <w:rFonts w:hint="eastAsia"/>
                <w:sz w:val="24"/>
                <w:szCs w:val="24"/>
              </w:rPr>
              <w:t>”</w:t>
            </w:r>
            <w:r>
              <w:rPr>
                <w:sz w:val="24"/>
                <w:szCs w:val="24"/>
              </w:rPr>
              <w:t>系列推广行动，打造武陵山、桃花源地理标识特色产品。依托桃花源人文和生态资源重点打造</w:t>
            </w:r>
            <w:r>
              <w:rPr>
                <w:rFonts w:hint="eastAsia"/>
                <w:sz w:val="24"/>
                <w:szCs w:val="24"/>
              </w:rPr>
              <w:t>“</w:t>
            </w:r>
            <w:r>
              <w:rPr>
                <w:sz w:val="24"/>
                <w:szCs w:val="24"/>
              </w:rPr>
              <w:t>陶翁食记</w:t>
            </w:r>
            <w:r>
              <w:rPr>
                <w:rFonts w:hint="eastAsia"/>
                <w:sz w:val="24"/>
                <w:szCs w:val="24"/>
              </w:rPr>
              <w:t>”“</w:t>
            </w:r>
            <w:r>
              <w:rPr>
                <w:sz w:val="24"/>
                <w:szCs w:val="24"/>
              </w:rPr>
              <w:t>桃花源盛筵</w:t>
            </w:r>
            <w:r>
              <w:rPr>
                <w:rFonts w:hint="eastAsia"/>
                <w:sz w:val="24"/>
                <w:szCs w:val="24"/>
              </w:rPr>
              <w:t>”“</w:t>
            </w:r>
            <w:r>
              <w:rPr>
                <w:sz w:val="24"/>
                <w:szCs w:val="24"/>
              </w:rPr>
              <w:t>武陵第一桌</w:t>
            </w:r>
            <w:r>
              <w:rPr>
                <w:rFonts w:hint="eastAsia"/>
                <w:sz w:val="24"/>
                <w:szCs w:val="24"/>
              </w:rPr>
              <w:t>”“</w:t>
            </w:r>
            <w:r>
              <w:rPr>
                <w:sz w:val="24"/>
                <w:szCs w:val="24"/>
              </w:rPr>
              <w:t>土家宴</w:t>
            </w:r>
            <w:r>
              <w:rPr>
                <w:rFonts w:hint="eastAsia"/>
                <w:sz w:val="24"/>
                <w:szCs w:val="24"/>
              </w:rPr>
              <w:t>”</w:t>
            </w:r>
            <w:r>
              <w:rPr>
                <w:sz w:val="24"/>
                <w:szCs w:val="24"/>
              </w:rPr>
              <w:t>等特色品牌，并推出1-2个特色菜品。依托南腰界红色资源，打造</w:t>
            </w:r>
            <w:r>
              <w:rPr>
                <w:rFonts w:hint="eastAsia"/>
                <w:sz w:val="24"/>
                <w:szCs w:val="24"/>
              </w:rPr>
              <w:t>“</w:t>
            </w:r>
            <w:r>
              <w:rPr>
                <w:sz w:val="24"/>
                <w:szCs w:val="24"/>
              </w:rPr>
              <w:t>红军菜</w:t>
            </w:r>
            <w:r>
              <w:rPr>
                <w:rFonts w:hint="eastAsia"/>
                <w:sz w:val="24"/>
                <w:szCs w:val="24"/>
              </w:rPr>
              <w:t>”</w:t>
            </w:r>
            <w:r>
              <w:rPr>
                <w:sz w:val="24"/>
                <w:szCs w:val="24"/>
              </w:rPr>
              <w:t>品牌。依托龚滩古镇、百里乌江画廊的码头文化、纤夫文化及茶盐古道文化，打造</w:t>
            </w:r>
            <w:r>
              <w:rPr>
                <w:rFonts w:hint="eastAsia"/>
                <w:sz w:val="24"/>
                <w:szCs w:val="24"/>
              </w:rPr>
              <w:t>“</w:t>
            </w:r>
            <w:r>
              <w:rPr>
                <w:sz w:val="24"/>
                <w:szCs w:val="24"/>
              </w:rPr>
              <w:t>纤夫号子菜</w:t>
            </w:r>
            <w:r>
              <w:rPr>
                <w:rFonts w:hint="eastAsia"/>
                <w:sz w:val="24"/>
                <w:szCs w:val="24"/>
              </w:rPr>
              <w:t>”</w:t>
            </w:r>
            <w:r>
              <w:rPr>
                <w:sz w:val="24"/>
                <w:szCs w:val="24"/>
              </w:rPr>
              <w:t>品牌。</w:t>
            </w:r>
          </w:p>
        </w:tc>
        <w:tc>
          <w:tcPr>
            <w:tcW w:w="1434" w:type="dxa"/>
            <w:tcBorders>
              <w:top w:val="single" w:color="auto" w:sz="4" w:space="0"/>
              <w:left w:val="nil"/>
              <w:bottom w:val="single" w:color="auto" w:sz="4" w:space="0"/>
              <w:right w:val="single" w:color="auto" w:sz="4" w:space="0"/>
            </w:tcBorders>
            <w:shd w:val="clear" w:color="auto" w:fill="auto"/>
            <w:vAlign w:val="center"/>
          </w:tcPr>
          <w:p w14:paraId="147C9675">
            <w:pPr>
              <w:autoSpaceDE w:val="0"/>
              <w:spacing w:line="300" w:lineRule="exact"/>
              <w:textAlignment w:val="center"/>
              <w:rPr>
                <w:sz w:val="24"/>
                <w:szCs w:val="24"/>
              </w:rPr>
            </w:pPr>
          </w:p>
        </w:tc>
      </w:tr>
    </w:tbl>
    <w:p w14:paraId="3330098E">
      <w:pPr>
        <w:pStyle w:val="16"/>
      </w:pPr>
    </w:p>
    <w:p w14:paraId="3B61BACB"/>
    <w:p w14:paraId="7835B103">
      <w:pPr>
        <w:pStyle w:val="17"/>
        <w:ind w:firstLine="632"/>
      </w:pPr>
    </w:p>
    <w:p w14:paraId="5162C801">
      <w:pPr>
        <w:pStyle w:val="17"/>
        <w:ind w:firstLine="632"/>
      </w:pPr>
    </w:p>
    <w:p w14:paraId="68B4EB1C">
      <w:pPr>
        <w:pStyle w:val="17"/>
        <w:ind w:firstLine="632"/>
      </w:pPr>
    </w:p>
    <w:p w14:paraId="45A17930">
      <w:pPr>
        <w:pStyle w:val="17"/>
        <w:ind w:firstLine="632"/>
      </w:pPr>
    </w:p>
    <w:p w14:paraId="468A6F37">
      <w:pPr>
        <w:pStyle w:val="17"/>
        <w:ind w:firstLine="632"/>
      </w:pPr>
    </w:p>
    <w:p w14:paraId="4754B729">
      <w:pPr>
        <w:pStyle w:val="17"/>
        <w:ind w:firstLine="632"/>
      </w:pPr>
    </w:p>
    <w:p w14:paraId="77BC1FB8">
      <w:pPr>
        <w:pBdr>
          <w:top w:val="single" w:color="auto" w:sz="8" w:space="1"/>
        </w:pBdr>
        <w:shd w:val="clear" w:color="auto" w:fill="FFFFFF"/>
        <w:spacing w:line="560" w:lineRule="exact"/>
        <w:rPr>
          <w:rFonts w:hAnsi="方正仿宋_GBK" w:cs="方正仿宋_GBK"/>
          <w:color w:val="000000"/>
          <w:sz w:val="28"/>
          <w:szCs w:val="28"/>
          <w:shd w:val="clear" w:color="auto" w:fill="FFFFFF"/>
        </w:rPr>
      </w:pPr>
      <w:r>
        <w:rPr>
          <w:rFonts w:hint="eastAsia" w:hAnsi="方正仿宋_GBK" w:cs="方正仿宋_GBK"/>
          <w:color w:val="000000"/>
          <w:sz w:val="28"/>
          <w:szCs w:val="28"/>
          <w:shd w:val="clear" w:color="auto" w:fill="FFFFFF"/>
        </w:rPr>
        <w:t xml:space="preserve">  抄送：</w:t>
      </w:r>
      <w:r>
        <w:rPr>
          <w:rFonts w:hint="eastAsia" w:hAnsi="方正仿宋_GBK" w:cs="方正仿宋_GBK"/>
          <w:color w:val="000000"/>
          <w:spacing w:val="-4"/>
          <w:sz w:val="28"/>
          <w:szCs w:val="28"/>
          <w:shd w:val="clear" w:color="auto" w:fill="FFFFFF"/>
        </w:rPr>
        <w:t>县委各部门，县人大办，县政协办，县监委，县法院，县检察院</w:t>
      </w:r>
      <w:r>
        <w:rPr>
          <w:rFonts w:hint="eastAsia" w:hAnsi="方正仿宋_GBK" w:cs="方正仿宋_GBK"/>
          <w:color w:val="000000"/>
          <w:sz w:val="28"/>
          <w:szCs w:val="28"/>
          <w:shd w:val="clear" w:color="auto" w:fill="FFFFFF"/>
        </w:rPr>
        <w:t>，</w:t>
      </w:r>
    </w:p>
    <w:p w14:paraId="2475765E">
      <w:pPr>
        <w:pBdr>
          <w:top w:val="single" w:color="auto" w:sz="8" w:space="1"/>
        </w:pBdr>
        <w:shd w:val="clear" w:color="auto" w:fill="FFFFFF"/>
        <w:spacing w:line="560" w:lineRule="exact"/>
        <w:ind w:firstLine="1104" w:firstLineChars="400"/>
        <w:rPr>
          <w:rFonts w:hAnsi="方正仿宋_GBK" w:cs="方正仿宋_GBK"/>
          <w:color w:val="000000"/>
          <w:spacing w:val="-4"/>
          <w:sz w:val="28"/>
          <w:szCs w:val="28"/>
          <w:shd w:val="clear" w:color="auto" w:fill="FFFFFF"/>
        </w:rPr>
      </w:pPr>
      <w:r>
        <w:rPr>
          <w:rFonts w:hint="eastAsia" w:hAnsi="方正仿宋_GBK" w:cs="方正仿宋_GBK"/>
          <w:color w:val="000000"/>
          <w:sz w:val="28"/>
          <w:szCs w:val="28"/>
          <w:shd w:val="clear" w:color="auto" w:fill="FFFFFF"/>
        </w:rPr>
        <w:t>县人武部，各人民团体。</w:t>
      </w:r>
    </w:p>
    <w:p w14:paraId="64CF128A">
      <w:pPr>
        <w:pBdr>
          <w:top w:val="single" w:color="auto" w:sz="4" w:space="1"/>
          <w:bottom w:val="single" w:color="auto" w:sz="8" w:space="1"/>
        </w:pBdr>
        <w:shd w:val="clear" w:color="auto" w:fill="FFFFFF"/>
        <w:spacing w:line="560" w:lineRule="exact"/>
        <w:rPr>
          <w:rFonts w:ascii="宋体" w:hAnsi="宋体" w:cs="宋体"/>
          <w:kern w:val="0"/>
          <w:sz w:val="28"/>
          <w:szCs w:val="28"/>
          <w:shd w:val="clear" w:color="auto" w:fill="FFFFFF"/>
        </w:rPr>
      </w:pPr>
      <w:r>
        <w:rPr>
          <w:rFonts w:hint="eastAsia" w:hAnsi="方正仿宋_GBK" w:cs="方正仿宋_GBK"/>
          <w:color w:val="000000"/>
          <w:sz w:val="28"/>
          <w:szCs w:val="28"/>
          <w:shd w:val="clear" w:color="auto" w:fill="FFFFFF"/>
        </w:rPr>
        <w:t xml:space="preserve">  酉阳土家族苗族自治县人民政府办公室      2021年</w:t>
      </w:r>
      <w:r>
        <w:rPr>
          <w:rFonts w:hint="eastAsia" w:hAnsi="宋体" w:cs="方正仿宋_GBK"/>
          <w:color w:val="000000"/>
          <w:sz w:val="28"/>
          <w:szCs w:val="28"/>
          <w:shd w:val="clear" w:color="auto" w:fill="FFFFFF"/>
        </w:rPr>
        <w:t>12</w:t>
      </w:r>
      <w:r>
        <w:rPr>
          <w:rFonts w:hint="eastAsia" w:hAnsi="方正仿宋_GBK" w:cs="方正仿宋_GBK"/>
          <w:color w:val="000000"/>
          <w:sz w:val="28"/>
          <w:szCs w:val="28"/>
          <w:shd w:val="clear" w:color="auto" w:fill="FFFFFF"/>
        </w:rPr>
        <w:t>月</w:t>
      </w:r>
      <w:r>
        <w:rPr>
          <w:rFonts w:hint="eastAsia" w:hAnsi="宋体" w:cs="方正仿宋_GBK"/>
          <w:color w:val="000000"/>
          <w:sz w:val="28"/>
          <w:szCs w:val="28"/>
          <w:shd w:val="clear" w:color="auto" w:fill="FFFFFF"/>
        </w:rPr>
        <w:t>29</w:t>
      </w:r>
      <w:r>
        <w:rPr>
          <w:rFonts w:hint="eastAsia" w:hAnsi="方正仿宋_GBK" w:cs="方正仿宋_GBK"/>
          <w:color w:val="000000"/>
          <w:sz w:val="28"/>
          <w:szCs w:val="28"/>
          <w:shd w:val="clear" w:color="auto" w:fill="FFFFFF"/>
        </w:rPr>
        <w:t>日印发</w:t>
      </w:r>
      <w:r>
        <w:rPr>
          <w:rFonts w:hint="eastAsia" w:ascii="宋体" w:hAnsi="宋体" w:cs="宋体"/>
          <w:kern w:val="0"/>
          <w:sz w:val="28"/>
          <w:szCs w:val="28"/>
          <w:shd w:val="clear" w:color="auto" w:fill="FFFFFF"/>
        </w:rPr>
        <w:t xml:space="preserve"> </w:t>
      </w:r>
    </w:p>
    <w:sectPr>
      <w:headerReference r:id="rId3" w:type="default"/>
      <w:footerReference r:id="rId4" w:type="default"/>
      <w:footerReference r:id="rId5" w:type="even"/>
      <w:pgSz w:w="11906" w:h="16838"/>
      <w:pgMar w:top="2098" w:right="1531" w:bottom="1985" w:left="1531"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script"/>
    <w:pitch w:val="default"/>
    <w:sig w:usb0="00000001" w:usb1="080E0000" w:usb2="00000000" w:usb3="00000000" w:csb0="00040000" w:csb1="00000000"/>
  </w:font>
  <w:font w:name="monospace">
    <w:altName w:val="Courier New"/>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61968"/>
      <w:docPartObj>
        <w:docPartGallery w:val="autotext"/>
      </w:docPartObj>
    </w:sdtPr>
    <w:sdtEndPr>
      <w:rPr>
        <w:rFonts w:ascii="仿宋" w:hAnsi="仿宋" w:eastAsia="仿宋"/>
      </w:rPr>
    </w:sdtEndPr>
    <w:sdtContent>
      <w:p w14:paraId="583BDBFF">
        <w:pPr>
          <w:pStyle w:val="27"/>
          <w:snapToGrid/>
          <w:ind w:right="357"/>
          <w:jc w:val="right"/>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61991"/>
      <w:docPartObj>
        <w:docPartGallery w:val="autotext"/>
      </w:docPartObj>
    </w:sdtPr>
    <w:sdtContent>
      <w:p w14:paraId="3010518F">
        <w:pPr>
          <w:pStyle w:val="27"/>
          <w:snapToGrid/>
          <w:ind w:left="357"/>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D57DE">
    <w:pPr>
      <w:pBdr>
        <w:bottom w:val="none" w:color="auto" w:sz="0" w:space="1"/>
      </w:pBdr>
      <w:jc w:val="right"/>
      <w:rPr>
        <w:rFonts w:ascii="仿宋_GB2312" w:eastAsia="仿宋_GB2312"/>
        <w:b/>
        <w:i/>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255"/>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4"/>
    <w:multiLevelType w:val="multilevel"/>
    <w:tmpl w:val="00000004"/>
    <w:lvl w:ilvl="0" w:tentative="0">
      <w:start w:val="1"/>
      <w:numFmt w:val="japaneseCounting"/>
      <w:pStyle w:val="146"/>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90A67A9"/>
    <w:multiLevelType w:val="multilevel"/>
    <w:tmpl w:val="390A67A9"/>
    <w:lvl w:ilvl="0" w:tentative="0">
      <w:start w:val="1"/>
      <w:numFmt w:val="decimal"/>
      <w:lvlText w:val="%1"/>
      <w:lvlJc w:val="left"/>
      <w:pPr>
        <w:tabs>
          <w:tab w:val="left" w:pos="567"/>
        </w:tabs>
        <w:ind w:left="567" w:hanging="567"/>
      </w:pPr>
      <w:rPr>
        <w:rFonts w:hint="eastAsia"/>
      </w:rPr>
    </w:lvl>
    <w:lvl w:ilvl="1" w:tentative="0">
      <w:start w:val="1"/>
      <w:numFmt w:val="decimal"/>
      <w:lvlText w:val="%1.%2"/>
      <w:lvlJc w:val="left"/>
      <w:pPr>
        <w:tabs>
          <w:tab w:val="left" w:pos="680"/>
        </w:tabs>
        <w:ind w:left="680" w:hanging="680"/>
      </w:pPr>
      <w:rPr>
        <w:rFonts w:hint="eastAsia"/>
      </w:rPr>
    </w:lvl>
    <w:lvl w:ilvl="2" w:tentative="0">
      <w:start w:val="1"/>
      <w:numFmt w:val="decimal"/>
      <w:lvlText w:val="%1.%2.%3"/>
      <w:lvlJc w:val="left"/>
      <w:pPr>
        <w:tabs>
          <w:tab w:val="left" w:pos="1293"/>
        </w:tabs>
        <w:ind w:left="0" w:firstLine="573"/>
      </w:pPr>
      <w:rPr>
        <w:rFonts w:hint="eastAsia"/>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RlMTI0ZmZkNWVkNDk2ZTg4NWYwOTQyMjQxMmY4NGEifQ=="/>
  </w:docVars>
  <w:rsids>
    <w:rsidRoot w:val="00172A27"/>
    <w:rsid w:val="000007BA"/>
    <w:rsid w:val="00002D86"/>
    <w:rsid w:val="0005309A"/>
    <w:rsid w:val="0005728D"/>
    <w:rsid w:val="00065F00"/>
    <w:rsid w:val="00081B15"/>
    <w:rsid w:val="0008520A"/>
    <w:rsid w:val="000920CA"/>
    <w:rsid w:val="00095E83"/>
    <w:rsid w:val="000A4265"/>
    <w:rsid w:val="000C4CB4"/>
    <w:rsid w:val="000E3B4C"/>
    <w:rsid w:val="00103368"/>
    <w:rsid w:val="00105837"/>
    <w:rsid w:val="00112AB8"/>
    <w:rsid w:val="001263E0"/>
    <w:rsid w:val="001336F9"/>
    <w:rsid w:val="001476FA"/>
    <w:rsid w:val="00150281"/>
    <w:rsid w:val="001524A9"/>
    <w:rsid w:val="001525AB"/>
    <w:rsid w:val="00152967"/>
    <w:rsid w:val="00160493"/>
    <w:rsid w:val="00160785"/>
    <w:rsid w:val="00162008"/>
    <w:rsid w:val="00172A27"/>
    <w:rsid w:val="00192887"/>
    <w:rsid w:val="00195C03"/>
    <w:rsid w:val="001B5503"/>
    <w:rsid w:val="001C1F24"/>
    <w:rsid w:val="001D7535"/>
    <w:rsid w:val="002050CC"/>
    <w:rsid w:val="00207D28"/>
    <w:rsid w:val="002139C2"/>
    <w:rsid w:val="002170B3"/>
    <w:rsid w:val="002331E2"/>
    <w:rsid w:val="00242778"/>
    <w:rsid w:val="00254109"/>
    <w:rsid w:val="00292A72"/>
    <w:rsid w:val="002A45E0"/>
    <w:rsid w:val="002B184D"/>
    <w:rsid w:val="002D3275"/>
    <w:rsid w:val="002E3577"/>
    <w:rsid w:val="002F0DE1"/>
    <w:rsid w:val="00305ED6"/>
    <w:rsid w:val="003077C7"/>
    <w:rsid w:val="00331ACD"/>
    <w:rsid w:val="00332A9B"/>
    <w:rsid w:val="00332BC7"/>
    <w:rsid w:val="003434A9"/>
    <w:rsid w:val="003473AB"/>
    <w:rsid w:val="00361D5E"/>
    <w:rsid w:val="00362BAA"/>
    <w:rsid w:val="003639D7"/>
    <w:rsid w:val="00363F42"/>
    <w:rsid w:val="003657E3"/>
    <w:rsid w:val="00380C2C"/>
    <w:rsid w:val="00384136"/>
    <w:rsid w:val="003858B1"/>
    <w:rsid w:val="003916FE"/>
    <w:rsid w:val="003C4EBE"/>
    <w:rsid w:val="003D371F"/>
    <w:rsid w:val="00415529"/>
    <w:rsid w:val="00415B76"/>
    <w:rsid w:val="00427E1B"/>
    <w:rsid w:val="00430D3E"/>
    <w:rsid w:val="00431827"/>
    <w:rsid w:val="004353B2"/>
    <w:rsid w:val="004402F4"/>
    <w:rsid w:val="00451D30"/>
    <w:rsid w:val="00454E82"/>
    <w:rsid w:val="00456BBA"/>
    <w:rsid w:val="00462964"/>
    <w:rsid w:val="004721E5"/>
    <w:rsid w:val="00473EF8"/>
    <w:rsid w:val="004873F6"/>
    <w:rsid w:val="004C5CE0"/>
    <w:rsid w:val="004F2495"/>
    <w:rsid w:val="004F457A"/>
    <w:rsid w:val="005048C5"/>
    <w:rsid w:val="00520D35"/>
    <w:rsid w:val="0054297E"/>
    <w:rsid w:val="00547083"/>
    <w:rsid w:val="0055226F"/>
    <w:rsid w:val="005544EB"/>
    <w:rsid w:val="005548A1"/>
    <w:rsid w:val="00562DC2"/>
    <w:rsid w:val="00575172"/>
    <w:rsid w:val="005776B3"/>
    <w:rsid w:val="00584E51"/>
    <w:rsid w:val="005A259E"/>
    <w:rsid w:val="005B4694"/>
    <w:rsid w:val="005B56CB"/>
    <w:rsid w:val="005B6BA7"/>
    <w:rsid w:val="005B7C25"/>
    <w:rsid w:val="005C0223"/>
    <w:rsid w:val="005C3007"/>
    <w:rsid w:val="005E76DC"/>
    <w:rsid w:val="005F1F2D"/>
    <w:rsid w:val="005F45D4"/>
    <w:rsid w:val="00623C7C"/>
    <w:rsid w:val="00632839"/>
    <w:rsid w:val="00655DA8"/>
    <w:rsid w:val="006740FC"/>
    <w:rsid w:val="00685BF0"/>
    <w:rsid w:val="00694C94"/>
    <w:rsid w:val="00696C18"/>
    <w:rsid w:val="00696CAE"/>
    <w:rsid w:val="006B0014"/>
    <w:rsid w:val="006B70E1"/>
    <w:rsid w:val="006B7FAD"/>
    <w:rsid w:val="006F7F06"/>
    <w:rsid w:val="007008FA"/>
    <w:rsid w:val="0070200A"/>
    <w:rsid w:val="007026D3"/>
    <w:rsid w:val="007053D1"/>
    <w:rsid w:val="00712966"/>
    <w:rsid w:val="00723430"/>
    <w:rsid w:val="00723E18"/>
    <w:rsid w:val="00723F33"/>
    <w:rsid w:val="007240B0"/>
    <w:rsid w:val="00743E8B"/>
    <w:rsid w:val="00747BA5"/>
    <w:rsid w:val="0075392D"/>
    <w:rsid w:val="00763F0C"/>
    <w:rsid w:val="00766CD0"/>
    <w:rsid w:val="00785C29"/>
    <w:rsid w:val="00787381"/>
    <w:rsid w:val="007A5357"/>
    <w:rsid w:val="007A5CCB"/>
    <w:rsid w:val="007D3028"/>
    <w:rsid w:val="00800974"/>
    <w:rsid w:val="0080195B"/>
    <w:rsid w:val="00811822"/>
    <w:rsid w:val="00812678"/>
    <w:rsid w:val="00830980"/>
    <w:rsid w:val="00833015"/>
    <w:rsid w:val="00834B7D"/>
    <w:rsid w:val="008502B5"/>
    <w:rsid w:val="00864CDD"/>
    <w:rsid w:val="008854F1"/>
    <w:rsid w:val="008955B7"/>
    <w:rsid w:val="008A2CDA"/>
    <w:rsid w:val="008B6263"/>
    <w:rsid w:val="008E0D8A"/>
    <w:rsid w:val="008F347B"/>
    <w:rsid w:val="008F79DC"/>
    <w:rsid w:val="00907D17"/>
    <w:rsid w:val="00916C0F"/>
    <w:rsid w:val="009340F2"/>
    <w:rsid w:val="00937582"/>
    <w:rsid w:val="00941860"/>
    <w:rsid w:val="00952552"/>
    <w:rsid w:val="00957CA6"/>
    <w:rsid w:val="009819C7"/>
    <w:rsid w:val="00991095"/>
    <w:rsid w:val="009A028B"/>
    <w:rsid w:val="009A64EB"/>
    <w:rsid w:val="009B3AE2"/>
    <w:rsid w:val="009D4016"/>
    <w:rsid w:val="009D408E"/>
    <w:rsid w:val="009F6275"/>
    <w:rsid w:val="00A05E8E"/>
    <w:rsid w:val="00A13733"/>
    <w:rsid w:val="00A13DA7"/>
    <w:rsid w:val="00A47AA4"/>
    <w:rsid w:val="00A621AA"/>
    <w:rsid w:val="00A62CC4"/>
    <w:rsid w:val="00A6743E"/>
    <w:rsid w:val="00A849BD"/>
    <w:rsid w:val="00A86E28"/>
    <w:rsid w:val="00A95C26"/>
    <w:rsid w:val="00AA2558"/>
    <w:rsid w:val="00AB0FF0"/>
    <w:rsid w:val="00AC1410"/>
    <w:rsid w:val="00AD0571"/>
    <w:rsid w:val="00B017BB"/>
    <w:rsid w:val="00B3177B"/>
    <w:rsid w:val="00B64FAE"/>
    <w:rsid w:val="00B734A1"/>
    <w:rsid w:val="00B80EF2"/>
    <w:rsid w:val="00B81A27"/>
    <w:rsid w:val="00B8533D"/>
    <w:rsid w:val="00BA2DF3"/>
    <w:rsid w:val="00BB429E"/>
    <w:rsid w:val="00BC0D48"/>
    <w:rsid w:val="00BC212F"/>
    <w:rsid w:val="00BD0477"/>
    <w:rsid w:val="00BD0B3B"/>
    <w:rsid w:val="00BD3BC6"/>
    <w:rsid w:val="00BD462D"/>
    <w:rsid w:val="00BE05B7"/>
    <w:rsid w:val="00BE1545"/>
    <w:rsid w:val="00BE25C2"/>
    <w:rsid w:val="00BE3D21"/>
    <w:rsid w:val="00BF3233"/>
    <w:rsid w:val="00BF3EC8"/>
    <w:rsid w:val="00BF4744"/>
    <w:rsid w:val="00C05C19"/>
    <w:rsid w:val="00C20FBE"/>
    <w:rsid w:val="00C23989"/>
    <w:rsid w:val="00C26523"/>
    <w:rsid w:val="00C33785"/>
    <w:rsid w:val="00C451F3"/>
    <w:rsid w:val="00C4528D"/>
    <w:rsid w:val="00C534EB"/>
    <w:rsid w:val="00C772FD"/>
    <w:rsid w:val="00C9014D"/>
    <w:rsid w:val="00C97D03"/>
    <w:rsid w:val="00CA1CBB"/>
    <w:rsid w:val="00CA2356"/>
    <w:rsid w:val="00CB770A"/>
    <w:rsid w:val="00CC3BDC"/>
    <w:rsid w:val="00CD4151"/>
    <w:rsid w:val="00CE1AA8"/>
    <w:rsid w:val="00CE4B9F"/>
    <w:rsid w:val="00CF0B87"/>
    <w:rsid w:val="00D13BFE"/>
    <w:rsid w:val="00D179EF"/>
    <w:rsid w:val="00D17EEE"/>
    <w:rsid w:val="00D22350"/>
    <w:rsid w:val="00D56F28"/>
    <w:rsid w:val="00D620E9"/>
    <w:rsid w:val="00D74037"/>
    <w:rsid w:val="00D80073"/>
    <w:rsid w:val="00D94071"/>
    <w:rsid w:val="00D95C57"/>
    <w:rsid w:val="00D97EC4"/>
    <w:rsid w:val="00DA1EAE"/>
    <w:rsid w:val="00DA2D54"/>
    <w:rsid w:val="00DA3635"/>
    <w:rsid w:val="00DB0824"/>
    <w:rsid w:val="00DB139C"/>
    <w:rsid w:val="00DB2DE8"/>
    <w:rsid w:val="00DE76CC"/>
    <w:rsid w:val="00DF2587"/>
    <w:rsid w:val="00E00049"/>
    <w:rsid w:val="00E16E6F"/>
    <w:rsid w:val="00E34184"/>
    <w:rsid w:val="00E67E35"/>
    <w:rsid w:val="00E80227"/>
    <w:rsid w:val="00E87ADB"/>
    <w:rsid w:val="00E9658F"/>
    <w:rsid w:val="00EA0F69"/>
    <w:rsid w:val="00EB64AE"/>
    <w:rsid w:val="00ED4402"/>
    <w:rsid w:val="00EE1E12"/>
    <w:rsid w:val="00F047A3"/>
    <w:rsid w:val="00F16F98"/>
    <w:rsid w:val="00F304D6"/>
    <w:rsid w:val="00F36DB8"/>
    <w:rsid w:val="00F40B3B"/>
    <w:rsid w:val="00F43543"/>
    <w:rsid w:val="00F53409"/>
    <w:rsid w:val="00F61BD9"/>
    <w:rsid w:val="00F731C7"/>
    <w:rsid w:val="00F76CB4"/>
    <w:rsid w:val="00F81541"/>
    <w:rsid w:val="00F81C60"/>
    <w:rsid w:val="00F93984"/>
    <w:rsid w:val="00FB6D69"/>
    <w:rsid w:val="00FD56B7"/>
    <w:rsid w:val="00FD78CC"/>
    <w:rsid w:val="00FE2C48"/>
    <w:rsid w:val="00FE7A30"/>
    <w:rsid w:val="00FF093E"/>
    <w:rsid w:val="00FF4938"/>
    <w:rsid w:val="01125883"/>
    <w:rsid w:val="012D6707"/>
    <w:rsid w:val="015B1572"/>
    <w:rsid w:val="020A0570"/>
    <w:rsid w:val="02747764"/>
    <w:rsid w:val="036E5050"/>
    <w:rsid w:val="03936BAA"/>
    <w:rsid w:val="03D17E11"/>
    <w:rsid w:val="04AD3FD7"/>
    <w:rsid w:val="04C5618D"/>
    <w:rsid w:val="051F65AE"/>
    <w:rsid w:val="062D6588"/>
    <w:rsid w:val="06D363CE"/>
    <w:rsid w:val="085C6881"/>
    <w:rsid w:val="09D878F7"/>
    <w:rsid w:val="0A9E456D"/>
    <w:rsid w:val="0BCA7BAF"/>
    <w:rsid w:val="0BE24C93"/>
    <w:rsid w:val="0C7D29B3"/>
    <w:rsid w:val="0DED06BC"/>
    <w:rsid w:val="0E1A0207"/>
    <w:rsid w:val="0FAE5BDB"/>
    <w:rsid w:val="10BB2C26"/>
    <w:rsid w:val="10EC4ABD"/>
    <w:rsid w:val="11404D56"/>
    <w:rsid w:val="11766CAD"/>
    <w:rsid w:val="126262BE"/>
    <w:rsid w:val="131C1665"/>
    <w:rsid w:val="13493A24"/>
    <w:rsid w:val="13C2584E"/>
    <w:rsid w:val="13E05C18"/>
    <w:rsid w:val="1559157E"/>
    <w:rsid w:val="189327F8"/>
    <w:rsid w:val="18986B9D"/>
    <w:rsid w:val="18A15B16"/>
    <w:rsid w:val="19B32640"/>
    <w:rsid w:val="1A2C1F24"/>
    <w:rsid w:val="1D0E1BF2"/>
    <w:rsid w:val="1DB32C56"/>
    <w:rsid w:val="22194D23"/>
    <w:rsid w:val="24F86665"/>
    <w:rsid w:val="25131C55"/>
    <w:rsid w:val="26CA653C"/>
    <w:rsid w:val="270657A6"/>
    <w:rsid w:val="27FE41AE"/>
    <w:rsid w:val="288D213E"/>
    <w:rsid w:val="28B7541C"/>
    <w:rsid w:val="293A35F9"/>
    <w:rsid w:val="29C46BCB"/>
    <w:rsid w:val="29FA1A60"/>
    <w:rsid w:val="2CBB0FCC"/>
    <w:rsid w:val="2DF0732B"/>
    <w:rsid w:val="2DFF69FA"/>
    <w:rsid w:val="310D0EB1"/>
    <w:rsid w:val="32096E54"/>
    <w:rsid w:val="338F21D8"/>
    <w:rsid w:val="33B109AC"/>
    <w:rsid w:val="384265AC"/>
    <w:rsid w:val="38C6257C"/>
    <w:rsid w:val="39982641"/>
    <w:rsid w:val="3AAD778B"/>
    <w:rsid w:val="3B5C1491"/>
    <w:rsid w:val="3DC87539"/>
    <w:rsid w:val="3DCA79CF"/>
    <w:rsid w:val="3DD26444"/>
    <w:rsid w:val="3E4926FE"/>
    <w:rsid w:val="3F616F4D"/>
    <w:rsid w:val="406016C2"/>
    <w:rsid w:val="41C92B42"/>
    <w:rsid w:val="435D0606"/>
    <w:rsid w:val="44B30D45"/>
    <w:rsid w:val="47194B11"/>
    <w:rsid w:val="484C7F11"/>
    <w:rsid w:val="486C2B6D"/>
    <w:rsid w:val="4BD76886"/>
    <w:rsid w:val="4BDE4A9D"/>
    <w:rsid w:val="4BEF330A"/>
    <w:rsid w:val="4CE076DB"/>
    <w:rsid w:val="4D693E12"/>
    <w:rsid w:val="4D92138E"/>
    <w:rsid w:val="4EAA71CF"/>
    <w:rsid w:val="51F07A28"/>
    <w:rsid w:val="522445F2"/>
    <w:rsid w:val="53A1637C"/>
    <w:rsid w:val="53FD7AC1"/>
    <w:rsid w:val="544E7344"/>
    <w:rsid w:val="574A7606"/>
    <w:rsid w:val="57606A27"/>
    <w:rsid w:val="58CE1957"/>
    <w:rsid w:val="59F07FBC"/>
    <w:rsid w:val="5A275AC5"/>
    <w:rsid w:val="5A7E398E"/>
    <w:rsid w:val="5B2E3333"/>
    <w:rsid w:val="5CBA4FAA"/>
    <w:rsid w:val="5D4B7A43"/>
    <w:rsid w:val="5E7E012A"/>
    <w:rsid w:val="5EB07402"/>
    <w:rsid w:val="5F3204BB"/>
    <w:rsid w:val="610165CA"/>
    <w:rsid w:val="61794DA3"/>
    <w:rsid w:val="61AA3743"/>
    <w:rsid w:val="61F3637C"/>
    <w:rsid w:val="633C766E"/>
    <w:rsid w:val="683E7CCA"/>
    <w:rsid w:val="69CA7C4F"/>
    <w:rsid w:val="6BDB335D"/>
    <w:rsid w:val="6C39767D"/>
    <w:rsid w:val="6DAA1352"/>
    <w:rsid w:val="6DB06116"/>
    <w:rsid w:val="6E4C5A3E"/>
    <w:rsid w:val="6E75446C"/>
    <w:rsid w:val="725737D5"/>
    <w:rsid w:val="764076B8"/>
    <w:rsid w:val="78920E82"/>
    <w:rsid w:val="78D31130"/>
    <w:rsid w:val="79096622"/>
    <w:rsid w:val="7930499D"/>
    <w:rsid w:val="795501D9"/>
    <w:rsid w:val="79A65D8C"/>
    <w:rsid w:val="7A9121CF"/>
    <w:rsid w:val="7C3A5E68"/>
    <w:rsid w:val="7FB35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自选图形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nhideWhenUsed="0" w:uiPriority="0" w:semiHidden="0"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iPriority="99" w:semiHidden="0" w:name="HTML Preformatted"/>
    <w:lsdException w:qFormat="1" w:unhideWhenUsed="0" w:uiPriority="99" w:semiHidden="0"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2"/>
      <w:lang w:val="en-US" w:eastAsia="zh-CN" w:bidi="ar-SA"/>
    </w:rPr>
  </w:style>
  <w:style w:type="paragraph" w:styleId="3">
    <w:name w:val="heading 1"/>
    <w:basedOn w:val="1"/>
    <w:next w:val="1"/>
    <w:link w:val="89"/>
    <w:qFormat/>
    <w:uiPriority w:val="0"/>
    <w:pPr>
      <w:keepNext/>
      <w:keepLines/>
      <w:spacing w:before="340" w:after="330" w:line="480" w:lineRule="auto"/>
      <w:outlineLvl w:val="0"/>
    </w:pPr>
    <w:rPr>
      <w:rFonts w:eastAsia="方正小标宋_GBK"/>
      <w:bCs/>
      <w:kern w:val="44"/>
      <w:sz w:val="36"/>
      <w:szCs w:val="44"/>
    </w:rPr>
  </w:style>
  <w:style w:type="paragraph" w:styleId="4">
    <w:name w:val="heading 2"/>
    <w:basedOn w:val="1"/>
    <w:next w:val="1"/>
    <w:link w:val="80"/>
    <w:qFormat/>
    <w:uiPriority w:val="0"/>
    <w:pPr>
      <w:keepNext/>
      <w:spacing w:before="360"/>
      <w:outlineLvl w:val="1"/>
    </w:pPr>
    <w:rPr>
      <w:b/>
      <w:kern w:val="0"/>
      <w:sz w:val="30"/>
      <w:szCs w:val="32"/>
    </w:rPr>
  </w:style>
  <w:style w:type="paragraph" w:styleId="5">
    <w:name w:val="heading 3"/>
    <w:basedOn w:val="1"/>
    <w:next w:val="1"/>
    <w:link w:val="66"/>
    <w:qFormat/>
    <w:uiPriority w:val="0"/>
    <w:pPr>
      <w:keepNext/>
      <w:keepLines/>
      <w:spacing w:before="200" w:line="500" w:lineRule="exact"/>
      <w:outlineLvl w:val="2"/>
    </w:pPr>
    <w:rPr>
      <w:b/>
      <w:bCs/>
      <w:sz w:val="30"/>
      <w:szCs w:val="32"/>
    </w:rPr>
  </w:style>
  <w:style w:type="paragraph" w:styleId="6">
    <w:name w:val="heading 4"/>
    <w:basedOn w:val="1"/>
    <w:next w:val="1"/>
    <w:link w:val="99"/>
    <w:qFormat/>
    <w:uiPriority w:val="99"/>
    <w:pPr>
      <w:keepNext/>
      <w:keepLines/>
      <w:numPr>
        <w:ilvl w:val="3"/>
        <w:numId w:val="1"/>
      </w:numPr>
      <w:spacing w:before="100" w:beforeAutospacing="1" w:line="500" w:lineRule="exact"/>
      <w:outlineLvl w:val="3"/>
    </w:pPr>
    <w:rPr>
      <w:b/>
      <w:bCs/>
      <w:kern w:val="0"/>
      <w:sz w:val="28"/>
      <w:szCs w:val="28"/>
    </w:rPr>
  </w:style>
  <w:style w:type="paragraph" w:styleId="7">
    <w:name w:val="heading 5"/>
    <w:basedOn w:val="1"/>
    <w:next w:val="1"/>
    <w:link w:val="85"/>
    <w:qFormat/>
    <w:uiPriority w:val="99"/>
    <w:pPr>
      <w:keepNext/>
      <w:keepLines/>
      <w:numPr>
        <w:ilvl w:val="4"/>
        <w:numId w:val="1"/>
      </w:numPr>
      <w:spacing w:before="100" w:beforeAutospacing="1" w:line="460" w:lineRule="exact"/>
      <w:outlineLvl w:val="4"/>
    </w:pPr>
    <w:rPr>
      <w:rFonts w:eastAsia="黑体"/>
      <w:bCs/>
      <w:kern w:val="0"/>
      <w:sz w:val="28"/>
      <w:szCs w:val="28"/>
    </w:rPr>
  </w:style>
  <w:style w:type="paragraph" w:styleId="8">
    <w:name w:val="heading 6"/>
    <w:basedOn w:val="1"/>
    <w:next w:val="1"/>
    <w:link w:val="67"/>
    <w:qFormat/>
    <w:uiPriority w:val="99"/>
    <w:pPr>
      <w:keepNext/>
      <w:keepLines/>
      <w:numPr>
        <w:ilvl w:val="5"/>
        <w:numId w:val="1"/>
      </w:numPr>
      <w:spacing w:before="100" w:beforeAutospacing="1" w:line="320" w:lineRule="atLeast"/>
      <w:jc w:val="center"/>
      <w:outlineLvl w:val="5"/>
    </w:pPr>
    <w:rPr>
      <w:b/>
      <w:bCs/>
      <w:kern w:val="0"/>
      <w:sz w:val="28"/>
      <w:szCs w:val="28"/>
    </w:rPr>
  </w:style>
  <w:style w:type="paragraph" w:styleId="9">
    <w:name w:val="heading 7"/>
    <w:basedOn w:val="1"/>
    <w:next w:val="1"/>
    <w:link w:val="70"/>
    <w:qFormat/>
    <w:uiPriority w:val="99"/>
    <w:pPr>
      <w:keepNext/>
      <w:keepLines/>
      <w:numPr>
        <w:ilvl w:val="6"/>
        <w:numId w:val="1"/>
      </w:numPr>
      <w:spacing w:before="100" w:beforeAutospacing="1" w:after="64" w:line="320" w:lineRule="atLeast"/>
      <w:outlineLvl w:val="6"/>
    </w:pPr>
    <w:rPr>
      <w:b/>
      <w:bCs/>
      <w:kern w:val="0"/>
      <w:sz w:val="24"/>
      <w:szCs w:val="24"/>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2">
    <w:name w:val="Heading1"/>
    <w:basedOn w:val="1"/>
    <w:next w:val="1"/>
    <w:qFormat/>
    <w:uiPriority w:val="0"/>
    <w:pPr>
      <w:keepNext/>
      <w:keepLines/>
      <w:spacing w:before="340" w:after="330" w:line="578" w:lineRule="auto"/>
      <w:textAlignment w:val="baseline"/>
    </w:pPr>
    <w:rPr>
      <w:b/>
      <w:bCs/>
      <w:kern w:val="44"/>
      <w:sz w:val="44"/>
      <w:szCs w:val="44"/>
    </w:rPr>
  </w:style>
  <w:style w:type="paragraph" w:styleId="10">
    <w:name w:val="List 3"/>
    <w:basedOn w:val="1"/>
    <w:qFormat/>
    <w:uiPriority w:val="99"/>
    <w:pPr>
      <w:spacing w:line="280" w:lineRule="exact"/>
      <w:jc w:val="center"/>
    </w:pPr>
    <w:rPr>
      <w:szCs w:val="21"/>
    </w:rPr>
  </w:style>
  <w:style w:type="paragraph" w:styleId="11">
    <w:name w:val="toc 7"/>
    <w:basedOn w:val="1"/>
    <w:next w:val="1"/>
    <w:qFormat/>
    <w:uiPriority w:val="39"/>
    <w:pPr>
      <w:spacing w:beforeAutospacing="1" w:line="460" w:lineRule="exact"/>
      <w:ind w:left="1680"/>
      <w:jc w:val="left"/>
    </w:pPr>
    <w:rPr>
      <w:rFonts w:cs="Calibri"/>
      <w:sz w:val="18"/>
      <w:szCs w:val="18"/>
    </w:rPr>
  </w:style>
  <w:style w:type="paragraph" w:styleId="12">
    <w:name w:val="Normal Indent"/>
    <w:basedOn w:val="1"/>
    <w:qFormat/>
    <w:uiPriority w:val="99"/>
    <w:pPr>
      <w:ind w:firstLine="420" w:firstLineChars="200"/>
    </w:pPr>
    <w:rPr>
      <w:szCs w:val="24"/>
    </w:rPr>
  </w:style>
  <w:style w:type="paragraph" w:styleId="13">
    <w:name w:val="caption"/>
    <w:basedOn w:val="1"/>
    <w:next w:val="1"/>
    <w:qFormat/>
    <w:uiPriority w:val="99"/>
    <w:pPr>
      <w:keepNext/>
      <w:snapToGrid w:val="0"/>
      <w:jc w:val="center"/>
    </w:pPr>
    <w:rPr>
      <w:rFonts w:ascii="黑体" w:hAnsi="黑体" w:eastAsia="黑体"/>
      <w:bCs/>
      <w:szCs w:val="21"/>
    </w:rPr>
  </w:style>
  <w:style w:type="paragraph" w:styleId="14">
    <w:name w:val="Document Map"/>
    <w:basedOn w:val="1"/>
    <w:link w:val="95"/>
    <w:qFormat/>
    <w:uiPriority w:val="0"/>
    <w:pPr>
      <w:shd w:val="clear" w:color="auto" w:fill="000080"/>
      <w:spacing w:before="100" w:beforeAutospacing="1" w:line="460" w:lineRule="exact"/>
    </w:pPr>
    <w:rPr>
      <w:kern w:val="0"/>
      <w:sz w:val="28"/>
      <w:szCs w:val="28"/>
    </w:rPr>
  </w:style>
  <w:style w:type="paragraph" w:styleId="15">
    <w:name w:val="annotation text"/>
    <w:basedOn w:val="1"/>
    <w:link w:val="108"/>
    <w:qFormat/>
    <w:uiPriority w:val="99"/>
    <w:pPr>
      <w:spacing w:before="100" w:beforeAutospacing="1" w:line="460" w:lineRule="exact"/>
      <w:ind w:firstLine="200" w:firstLineChars="200"/>
      <w:jc w:val="left"/>
    </w:pPr>
    <w:rPr>
      <w:kern w:val="0"/>
      <w:sz w:val="28"/>
      <w:szCs w:val="28"/>
    </w:rPr>
  </w:style>
  <w:style w:type="paragraph" w:styleId="16">
    <w:name w:val="Body Text"/>
    <w:basedOn w:val="1"/>
    <w:next w:val="17"/>
    <w:link w:val="63"/>
    <w:qFormat/>
    <w:uiPriority w:val="99"/>
    <w:pPr>
      <w:spacing w:before="100" w:beforeAutospacing="1" w:after="120" w:line="460" w:lineRule="exact"/>
    </w:pPr>
    <w:rPr>
      <w:kern w:val="0"/>
      <w:sz w:val="28"/>
      <w:szCs w:val="28"/>
    </w:rPr>
  </w:style>
  <w:style w:type="paragraph" w:customStyle="1" w:styleId="17">
    <w:name w:val="列出段落1"/>
    <w:basedOn w:val="1"/>
    <w:qFormat/>
    <w:uiPriority w:val="99"/>
    <w:pPr>
      <w:ind w:firstLine="420" w:firstLineChars="200"/>
    </w:pPr>
  </w:style>
  <w:style w:type="paragraph" w:styleId="18">
    <w:name w:val="Body Text Indent"/>
    <w:basedOn w:val="1"/>
    <w:link w:val="86"/>
    <w:qFormat/>
    <w:uiPriority w:val="0"/>
    <w:pPr>
      <w:spacing w:before="100" w:beforeAutospacing="1" w:after="120" w:line="460" w:lineRule="exact"/>
      <w:ind w:left="420" w:leftChars="200"/>
    </w:pPr>
    <w:rPr>
      <w:kern w:val="0"/>
      <w:sz w:val="28"/>
      <w:szCs w:val="28"/>
    </w:rPr>
  </w:style>
  <w:style w:type="paragraph" w:styleId="19">
    <w:name w:val="List 2"/>
    <w:basedOn w:val="1"/>
    <w:qFormat/>
    <w:uiPriority w:val="99"/>
    <w:pPr>
      <w:spacing w:before="100" w:beforeAutospacing="1" w:line="460" w:lineRule="exact"/>
      <w:ind w:left="100" w:leftChars="200" w:hanging="200" w:hangingChars="200"/>
    </w:pPr>
    <w:rPr>
      <w:sz w:val="28"/>
      <w:szCs w:val="28"/>
    </w:rPr>
  </w:style>
  <w:style w:type="paragraph" w:styleId="20">
    <w:name w:val="toc 5"/>
    <w:basedOn w:val="1"/>
    <w:next w:val="1"/>
    <w:qFormat/>
    <w:uiPriority w:val="39"/>
    <w:pPr>
      <w:spacing w:beforeAutospacing="1" w:line="460" w:lineRule="exact"/>
      <w:ind w:left="1120"/>
      <w:jc w:val="left"/>
    </w:pPr>
    <w:rPr>
      <w:rFonts w:cs="Calibri"/>
      <w:sz w:val="18"/>
      <w:szCs w:val="18"/>
    </w:rPr>
  </w:style>
  <w:style w:type="paragraph" w:styleId="21">
    <w:name w:val="toc 3"/>
    <w:basedOn w:val="1"/>
    <w:next w:val="1"/>
    <w:qFormat/>
    <w:uiPriority w:val="39"/>
    <w:pPr>
      <w:tabs>
        <w:tab w:val="right" w:leader="dot" w:pos="8776"/>
      </w:tabs>
      <w:spacing w:line="400" w:lineRule="exact"/>
      <w:ind w:left="561"/>
      <w:jc w:val="left"/>
    </w:pPr>
    <w:rPr>
      <w:rFonts w:cs="Calibri"/>
      <w:iCs/>
      <w:sz w:val="24"/>
      <w:szCs w:val="24"/>
    </w:rPr>
  </w:style>
  <w:style w:type="paragraph" w:styleId="22">
    <w:name w:val="Plain Text"/>
    <w:basedOn w:val="1"/>
    <w:link w:val="72"/>
    <w:qFormat/>
    <w:uiPriority w:val="99"/>
    <w:rPr>
      <w:rFonts w:ascii="宋体" w:hAnsi="Courier New"/>
      <w:kern w:val="0"/>
      <w:sz w:val="20"/>
      <w:szCs w:val="21"/>
    </w:rPr>
  </w:style>
  <w:style w:type="paragraph" w:styleId="23">
    <w:name w:val="toc 8"/>
    <w:basedOn w:val="1"/>
    <w:next w:val="1"/>
    <w:qFormat/>
    <w:uiPriority w:val="39"/>
    <w:pPr>
      <w:spacing w:beforeAutospacing="1" w:line="460" w:lineRule="exact"/>
      <w:ind w:left="1960"/>
      <w:jc w:val="left"/>
    </w:pPr>
    <w:rPr>
      <w:rFonts w:cs="Calibri"/>
      <w:sz w:val="18"/>
      <w:szCs w:val="18"/>
    </w:rPr>
  </w:style>
  <w:style w:type="paragraph" w:styleId="24">
    <w:name w:val="Date"/>
    <w:basedOn w:val="1"/>
    <w:next w:val="1"/>
    <w:link w:val="88"/>
    <w:qFormat/>
    <w:uiPriority w:val="99"/>
    <w:pPr>
      <w:spacing w:before="100" w:beforeAutospacing="1" w:line="460" w:lineRule="exact"/>
      <w:ind w:left="100" w:leftChars="2500"/>
    </w:pPr>
    <w:rPr>
      <w:kern w:val="0"/>
      <w:sz w:val="28"/>
      <w:szCs w:val="28"/>
    </w:rPr>
  </w:style>
  <w:style w:type="paragraph" w:styleId="25">
    <w:name w:val="Body Text Indent 2"/>
    <w:basedOn w:val="1"/>
    <w:link w:val="113"/>
    <w:qFormat/>
    <w:uiPriority w:val="0"/>
    <w:pPr>
      <w:spacing w:line="360" w:lineRule="auto"/>
      <w:ind w:firstLine="480"/>
    </w:pPr>
    <w:rPr>
      <w:spacing w:val="4"/>
      <w:kern w:val="0"/>
      <w:sz w:val="28"/>
      <w:szCs w:val="24"/>
    </w:rPr>
  </w:style>
  <w:style w:type="paragraph" w:styleId="26">
    <w:name w:val="Balloon Text"/>
    <w:basedOn w:val="1"/>
    <w:link w:val="74"/>
    <w:qFormat/>
    <w:uiPriority w:val="0"/>
    <w:pPr>
      <w:spacing w:before="100" w:beforeAutospacing="1" w:line="460" w:lineRule="exact"/>
    </w:pPr>
    <w:rPr>
      <w:kern w:val="0"/>
      <w:sz w:val="18"/>
      <w:szCs w:val="18"/>
    </w:rPr>
  </w:style>
  <w:style w:type="paragraph" w:styleId="27">
    <w:name w:val="footer"/>
    <w:basedOn w:val="1"/>
    <w:link w:val="118"/>
    <w:qFormat/>
    <w:uiPriority w:val="99"/>
    <w:pPr>
      <w:tabs>
        <w:tab w:val="center" w:pos="4153"/>
        <w:tab w:val="right" w:pos="8306"/>
      </w:tabs>
      <w:snapToGrid w:val="0"/>
      <w:jc w:val="left"/>
    </w:pPr>
    <w:rPr>
      <w:rFonts w:ascii="Calibri" w:hAnsi="Calibri"/>
      <w:kern w:val="0"/>
      <w:sz w:val="18"/>
      <w:szCs w:val="18"/>
    </w:rPr>
  </w:style>
  <w:style w:type="paragraph" w:styleId="28">
    <w:name w:val="header"/>
    <w:basedOn w:val="1"/>
    <w:link w:val="100"/>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9">
    <w:name w:val="toc 1"/>
    <w:basedOn w:val="1"/>
    <w:next w:val="1"/>
    <w:qFormat/>
    <w:uiPriority w:val="39"/>
    <w:pPr>
      <w:tabs>
        <w:tab w:val="right" w:leader="dot" w:pos="8776"/>
      </w:tabs>
      <w:adjustRightInd w:val="0"/>
      <w:snapToGrid w:val="0"/>
      <w:spacing w:beforeLines="50" w:line="360" w:lineRule="auto"/>
    </w:pPr>
    <w:rPr>
      <w:rFonts w:ascii="黑体" w:hAnsi="黑体" w:eastAsia="仿宋_GB2312" w:cs="Calibri"/>
      <w:b/>
      <w:bCs/>
      <w:caps/>
      <w:szCs w:val="21"/>
    </w:rPr>
  </w:style>
  <w:style w:type="paragraph" w:styleId="30">
    <w:name w:val="toc 4"/>
    <w:basedOn w:val="1"/>
    <w:next w:val="1"/>
    <w:qFormat/>
    <w:uiPriority w:val="39"/>
    <w:pPr>
      <w:spacing w:beforeAutospacing="1" w:line="460" w:lineRule="exact"/>
      <w:ind w:left="840"/>
      <w:jc w:val="left"/>
    </w:pPr>
    <w:rPr>
      <w:rFonts w:cs="Calibri"/>
      <w:sz w:val="18"/>
      <w:szCs w:val="18"/>
    </w:rPr>
  </w:style>
  <w:style w:type="paragraph" w:styleId="31">
    <w:name w:val="List"/>
    <w:basedOn w:val="1"/>
    <w:qFormat/>
    <w:uiPriority w:val="99"/>
    <w:pPr>
      <w:spacing w:line="300" w:lineRule="exact"/>
      <w:jc w:val="center"/>
    </w:pPr>
    <w:rPr>
      <w:sz w:val="24"/>
      <w:szCs w:val="24"/>
    </w:rPr>
  </w:style>
  <w:style w:type="paragraph" w:styleId="32">
    <w:name w:val="footnote text"/>
    <w:basedOn w:val="1"/>
    <w:link w:val="104"/>
    <w:qFormat/>
    <w:uiPriority w:val="99"/>
    <w:pPr>
      <w:snapToGrid w:val="0"/>
      <w:jc w:val="left"/>
    </w:pPr>
    <w:rPr>
      <w:sz w:val="18"/>
      <w:szCs w:val="18"/>
    </w:rPr>
  </w:style>
  <w:style w:type="paragraph" w:styleId="33">
    <w:name w:val="toc 6"/>
    <w:basedOn w:val="1"/>
    <w:next w:val="1"/>
    <w:qFormat/>
    <w:uiPriority w:val="39"/>
    <w:pPr>
      <w:spacing w:beforeAutospacing="1" w:line="460" w:lineRule="exact"/>
      <w:ind w:left="1400"/>
      <w:jc w:val="left"/>
    </w:pPr>
    <w:rPr>
      <w:rFonts w:cs="Calibri"/>
      <w:sz w:val="18"/>
      <w:szCs w:val="18"/>
    </w:rPr>
  </w:style>
  <w:style w:type="paragraph" w:styleId="34">
    <w:name w:val="Body Text Indent 3"/>
    <w:basedOn w:val="1"/>
    <w:link w:val="110"/>
    <w:qFormat/>
    <w:uiPriority w:val="99"/>
    <w:pPr>
      <w:tabs>
        <w:tab w:val="left" w:pos="5880"/>
      </w:tabs>
      <w:spacing w:before="100" w:beforeAutospacing="1" w:line="460" w:lineRule="exact"/>
      <w:ind w:firstLine="560" w:firstLineChars="200"/>
    </w:pPr>
    <w:rPr>
      <w:color w:val="FF0000"/>
      <w:kern w:val="0"/>
      <w:sz w:val="28"/>
      <w:szCs w:val="28"/>
    </w:rPr>
  </w:style>
  <w:style w:type="paragraph" w:styleId="35">
    <w:name w:val="toc 2"/>
    <w:basedOn w:val="1"/>
    <w:next w:val="1"/>
    <w:qFormat/>
    <w:uiPriority w:val="39"/>
    <w:pPr>
      <w:tabs>
        <w:tab w:val="right" w:leader="dot" w:pos="8776"/>
      </w:tabs>
      <w:spacing w:line="400" w:lineRule="exact"/>
      <w:ind w:left="278"/>
      <w:jc w:val="left"/>
    </w:pPr>
    <w:rPr>
      <w:rFonts w:ascii="黑体" w:hAnsi="黑体" w:eastAsia="仿宋_GB2312" w:cs="Calibri"/>
      <w:b/>
      <w:smallCaps/>
      <w:szCs w:val="21"/>
    </w:rPr>
  </w:style>
  <w:style w:type="paragraph" w:styleId="36">
    <w:name w:val="toc 9"/>
    <w:basedOn w:val="1"/>
    <w:next w:val="1"/>
    <w:qFormat/>
    <w:uiPriority w:val="39"/>
    <w:pPr>
      <w:spacing w:beforeAutospacing="1" w:line="460" w:lineRule="exact"/>
      <w:ind w:left="2240"/>
      <w:jc w:val="left"/>
    </w:pPr>
    <w:rPr>
      <w:rFonts w:cs="Calibri"/>
      <w:sz w:val="18"/>
      <w:szCs w:val="18"/>
    </w:rPr>
  </w:style>
  <w:style w:type="paragraph" w:styleId="37">
    <w:name w:val="Body Text 2"/>
    <w:basedOn w:val="1"/>
    <w:link w:val="96"/>
    <w:qFormat/>
    <w:uiPriority w:val="99"/>
    <w:pPr>
      <w:spacing w:after="120" w:line="480" w:lineRule="auto"/>
    </w:pPr>
  </w:style>
  <w:style w:type="paragraph" w:styleId="38">
    <w:name w:val="List 4"/>
    <w:basedOn w:val="1"/>
    <w:qFormat/>
    <w:uiPriority w:val="99"/>
    <w:pPr>
      <w:spacing w:line="260" w:lineRule="exact"/>
      <w:jc w:val="center"/>
    </w:pPr>
    <w:rPr>
      <w:szCs w:val="21"/>
    </w:rPr>
  </w:style>
  <w:style w:type="paragraph" w:styleId="39">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黑体" w:hAnsi="Courier New" w:eastAsia="黑体"/>
      <w:kern w:val="0"/>
      <w:sz w:val="20"/>
    </w:rPr>
  </w:style>
  <w:style w:type="paragraph" w:styleId="40">
    <w:name w:val="Normal (Web)"/>
    <w:basedOn w:val="1"/>
    <w:qFormat/>
    <w:uiPriority w:val="99"/>
    <w:pPr>
      <w:widowControl/>
      <w:spacing w:before="100" w:beforeAutospacing="1" w:after="100" w:afterAutospacing="1" w:line="460" w:lineRule="exact"/>
      <w:jc w:val="left"/>
    </w:pPr>
    <w:rPr>
      <w:rFonts w:ascii="宋体" w:hAnsi="宋体" w:cs="宋体"/>
      <w:kern w:val="0"/>
      <w:sz w:val="24"/>
      <w:szCs w:val="24"/>
    </w:rPr>
  </w:style>
  <w:style w:type="paragraph" w:styleId="41">
    <w:name w:val="Title"/>
    <w:next w:val="1"/>
    <w:link w:val="101"/>
    <w:qFormat/>
    <w:uiPriority w:val="99"/>
    <w:pPr>
      <w:adjustRightInd w:val="0"/>
      <w:snapToGrid w:val="0"/>
      <w:spacing w:before="240" w:after="60"/>
      <w:jc w:val="center"/>
      <w:outlineLvl w:val="0"/>
    </w:pPr>
    <w:rPr>
      <w:rFonts w:ascii="Cambria" w:hAnsi="Cambria" w:eastAsia="方正黑体_GBK" w:cs="Times New Roman"/>
      <w:b/>
      <w:bCs/>
      <w:snapToGrid w:val="0"/>
      <w:sz w:val="44"/>
      <w:szCs w:val="32"/>
      <w:lang w:val="en-US" w:eastAsia="zh-CN" w:bidi="ar-SA"/>
    </w:rPr>
  </w:style>
  <w:style w:type="paragraph" w:styleId="42">
    <w:name w:val="annotation subject"/>
    <w:basedOn w:val="15"/>
    <w:next w:val="15"/>
    <w:link w:val="60"/>
    <w:qFormat/>
    <w:uiPriority w:val="99"/>
    <w:pPr>
      <w:ind w:firstLine="0" w:firstLineChars="0"/>
    </w:pPr>
    <w:rPr>
      <w:b/>
      <w:bCs/>
    </w:rPr>
  </w:style>
  <w:style w:type="table" w:styleId="44">
    <w:name w:val="Table Grid"/>
    <w:basedOn w:val="43"/>
    <w:qFormat/>
    <w:uiPriority w:val="0"/>
    <w:pPr>
      <w:widowControl w:val="0"/>
      <w:spacing w:before="100" w:beforeAutospacing="1" w:line="460" w:lineRule="exac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22"/>
    <w:rPr>
      <w:b/>
      <w:bCs/>
    </w:rPr>
  </w:style>
  <w:style w:type="character" w:styleId="47">
    <w:name w:val="page number"/>
    <w:basedOn w:val="45"/>
    <w:qFormat/>
    <w:uiPriority w:val="99"/>
  </w:style>
  <w:style w:type="character" w:styleId="48">
    <w:name w:val="Emphasis"/>
    <w:qFormat/>
    <w:uiPriority w:val="20"/>
    <w:rPr>
      <w:i/>
      <w:iCs/>
    </w:rPr>
  </w:style>
  <w:style w:type="character" w:styleId="49">
    <w:name w:val="HTML Definition"/>
    <w:qFormat/>
    <w:uiPriority w:val="99"/>
    <w:rPr>
      <w:rFonts w:cs="Times New Roman"/>
      <w:i/>
    </w:rPr>
  </w:style>
  <w:style w:type="character" w:styleId="50">
    <w:name w:val="Hyperlink"/>
    <w:qFormat/>
    <w:uiPriority w:val="99"/>
    <w:rPr>
      <w:color w:val="0000FF"/>
      <w:u w:val="single"/>
    </w:rPr>
  </w:style>
  <w:style w:type="character" w:styleId="51">
    <w:name w:val="HTML Code"/>
    <w:qFormat/>
    <w:uiPriority w:val="99"/>
    <w:rPr>
      <w:rFonts w:ascii="monospace" w:hAnsi="monospace" w:cs="monospace"/>
      <w:sz w:val="21"/>
      <w:szCs w:val="21"/>
    </w:rPr>
  </w:style>
  <w:style w:type="character" w:styleId="52">
    <w:name w:val="annotation reference"/>
    <w:qFormat/>
    <w:uiPriority w:val="99"/>
    <w:rPr>
      <w:sz w:val="21"/>
      <w:szCs w:val="21"/>
    </w:rPr>
  </w:style>
  <w:style w:type="character" w:styleId="53">
    <w:name w:val="footnote reference"/>
    <w:qFormat/>
    <w:uiPriority w:val="99"/>
    <w:rPr>
      <w:rFonts w:cs="Times New Roman"/>
      <w:vertAlign w:val="superscript"/>
    </w:rPr>
  </w:style>
  <w:style w:type="character" w:styleId="54">
    <w:name w:val="HTML Keyboard"/>
    <w:qFormat/>
    <w:uiPriority w:val="99"/>
    <w:rPr>
      <w:rFonts w:ascii="monospace" w:hAnsi="monospace" w:cs="monospace"/>
      <w:sz w:val="21"/>
      <w:szCs w:val="21"/>
    </w:rPr>
  </w:style>
  <w:style w:type="character" w:styleId="55">
    <w:name w:val="HTML Sample"/>
    <w:qFormat/>
    <w:uiPriority w:val="99"/>
    <w:rPr>
      <w:rFonts w:ascii="monospace" w:hAnsi="monospace" w:cs="monospace"/>
      <w:sz w:val="21"/>
      <w:szCs w:val="21"/>
    </w:rPr>
  </w:style>
  <w:style w:type="character" w:customStyle="1" w:styleId="56">
    <w:name w:val="访问过的超链接1"/>
    <w:qFormat/>
    <w:uiPriority w:val="99"/>
    <w:rPr>
      <w:color w:val="800080"/>
      <w:u w:val="single"/>
    </w:rPr>
  </w:style>
  <w:style w:type="character" w:customStyle="1" w:styleId="57">
    <w:name w:val="批注主题 字符"/>
    <w:qFormat/>
    <w:uiPriority w:val="99"/>
    <w:rPr>
      <w:rFonts w:cs="Times New Roman"/>
      <w:b/>
      <w:bCs/>
      <w:kern w:val="2"/>
      <w:sz w:val="22"/>
      <w:szCs w:val="22"/>
    </w:rPr>
  </w:style>
  <w:style w:type="character" w:customStyle="1" w:styleId="58">
    <w:name w:val="纯文本 字符"/>
    <w:qFormat/>
    <w:uiPriority w:val="99"/>
    <w:rPr>
      <w:rFonts w:ascii="宋体" w:hAnsi="Courier New" w:eastAsia="宋体" w:cs="Courier New"/>
      <w:kern w:val="2"/>
      <w:sz w:val="21"/>
      <w:szCs w:val="21"/>
    </w:rPr>
  </w:style>
  <w:style w:type="character" w:customStyle="1" w:styleId="59">
    <w:name w:val="页眉 字符"/>
    <w:qFormat/>
    <w:uiPriority w:val="99"/>
    <w:rPr>
      <w:rFonts w:cs="Times New Roman"/>
      <w:sz w:val="18"/>
      <w:szCs w:val="18"/>
    </w:rPr>
  </w:style>
  <w:style w:type="character" w:customStyle="1" w:styleId="60">
    <w:name w:val="批注主题 Char"/>
    <w:link w:val="42"/>
    <w:qFormat/>
    <w:uiPriority w:val="99"/>
    <w:rPr>
      <w:rFonts w:ascii="Times New Roman" w:hAnsi="Times New Roman" w:eastAsia="宋体" w:cs="Times New Roman"/>
      <w:b/>
      <w:bCs/>
      <w:sz w:val="28"/>
      <w:szCs w:val="28"/>
    </w:rPr>
  </w:style>
  <w:style w:type="character" w:customStyle="1" w:styleId="61">
    <w:name w:val="font61"/>
    <w:qFormat/>
    <w:uiPriority w:val="99"/>
    <w:rPr>
      <w:rFonts w:ascii="宋体" w:hAnsi="宋体" w:eastAsia="宋体" w:cs="Times New Roman"/>
      <w:color w:val="000000"/>
      <w:sz w:val="20"/>
      <w:szCs w:val="20"/>
      <w:u w:val="none"/>
    </w:rPr>
  </w:style>
  <w:style w:type="character" w:customStyle="1" w:styleId="62">
    <w:name w:val="批注文字 字符"/>
    <w:qFormat/>
    <w:uiPriority w:val="99"/>
    <w:rPr>
      <w:rFonts w:cs="Times New Roman"/>
      <w:kern w:val="2"/>
      <w:sz w:val="22"/>
      <w:szCs w:val="22"/>
    </w:rPr>
  </w:style>
  <w:style w:type="character" w:customStyle="1" w:styleId="63">
    <w:name w:val="正文文本 Char"/>
    <w:link w:val="16"/>
    <w:qFormat/>
    <w:uiPriority w:val="99"/>
    <w:rPr>
      <w:rFonts w:ascii="Times New Roman" w:hAnsi="Times New Roman" w:eastAsia="宋体" w:cs="Times New Roman"/>
      <w:sz w:val="28"/>
      <w:szCs w:val="28"/>
    </w:rPr>
  </w:style>
  <w:style w:type="character" w:customStyle="1" w:styleId="64">
    <w:name w:val="标题4 Char"/>
    <w:link w:val="65"/>
    <w:qFormat/>
    <w:uiPriority w:val="0"/>
    <w:rPr>
      <w:rFonts w:ascii="Times New Roman" w:hAnsi="Times New Roman" w:eastAsia="方正仿宋_GBK"/>
      <w:bCs/>
      <w:kern w:val="2"/>
      <w:sz w:val="28"/>
      <w:szCs w:val="24"/>
    </w:rPr>
  </w:style>
  <w:style w:type="paragraph" w:customStyle="1" w:styleId="65">
    <w:name w:val="标题4"/>
    <w:basedOn w:val="5"/>
    <w:link w:val="64"/>
    <w:qFormat/>
    <w:uiPriority w:val="0"/>
    <w:pPr>
      <w:widowControl/>
      <w:adjustRightInd w:val="0"/>
      <w:snapToGrid w:val="0"/>
      <w:spacing w:before="0" w:line="360" w:lineRule="auto"/>
      <w:jc w:val="left"/>
    </w:pPr>
    <w:rPr>
      <w:b w:val="0"/>
      <w:sz w:val="28"/>
      <w:szCs w:val="24"/>
    </w:rPr>
  </w:style>
  <w:style w:type="character" w:customStyle="1" w:styleId="66">
    <w:name w:val="标题 3 Char"/>
    <w:link w:val="5"/>
    <w:qFormat/>
    <w:uiPriority w:val="0"/>
    <w:rPr>
      <w:rFonts w:ascii="Times New Roman" w:hAnsi="Times New Roman" w:eastAsia="方正仿宋_GBK"/>
      <w:b/>
      <w:bCs/>
      <w:kern w:val="2"/>
      <w:sz w:val="30"/>
      <w:szCs w:val="32"/>
    </w:rPr>
  </w:style>
  <w:style w:type="character" w:customStyle="1" w:styleId="67">
    <w:name w:val="标题 6 Char"/>
    <w:link w:val="8"/>
    <w:qFormat/>
    <w:uiPriority w:val="99"/>
    <w:rPr>
      <w:rFonts w:ascii="Times New Roman" w:hAnsi="Times New Roman"/>
      <w:b/>
      <w:bCs/>
      <w:sz w:val="28"/>
      <w:szCs w:val="28"/>
    </w:rPr>
  </w:style>
  <w:style w:type="character" w:customStyle="1" w:styleId="68">
    <w:name w:val="标题 4 字符"/>
    <w:qFormat/>
    <w:uiPriority w:val="99"/>
    <w:rPr>
      <w:rFonts w:ascii="Times New Roman" w:hAnsi="Times New Roman" w:eastAsia="宋体" w:cs="Times New Roman"/>
      <w:b/>
      <w:bCs/>
      <w:sz w:val="28"/>
      <w:szCs w:val="28"/>
    </w:rPr>
  </w:style>
  <w:style w:type="character" w:customStyle="1" w:styleId="69">
    <w:name w:val="font41"/>
    <w:qFormat/>
    <w:uiPriority w:val="99"/>
    <w:rPr>
      <w:rFonts w:ascii="Times New Roman" w:hAnsi="Times New Roman" w:cs="Times New Roman"/>
      <w:color w:val="000000"/>
      <w:sz w:val="20"/>
      <w:szCs w:val="20"/>
      <w:u w:val="none"/>
    </w:rPr>
  </w:style>
  <w:style w:type="character" w:customStyle="1" w:styleId="70">
    <w:name w:val="标题 7 Char"/>
    <w:link w:val="9"/>
    <w:qFormat/>
    <w:uiPriority w:val="99"/>
    <w:rPr>
      <w:rFonts w:ascii="Times New Roman" w:hAnsi="Times New Roman"/>
      <w:b/>
      <w:bCs/>
      <w:sz w:val="24"/>
      <w:szCs w:val="24"/>
    </w:rPr>
  </w:style>
  <w:style w:type="character" w:customStyle="1" w:styleId="71">
    <w:name w:val="标题 字符"/>
    <w:qFormat/>
    <w:uiPriority w:val="99"/>
    <w:rPr>
      <w:rFonts w:ascii="Cambria" w:hAnsi="Cambria" w:eastAsia="方正黑体_GBK" w:cs="Times New Roman"/>
      <w:b/>
      <w:bCs/>
      <w:snapToGrid/>
      <w:sz w:val="32"/>
      <w:szCs w:val="32"/>
      <w:lang w:val="en-US" w:eastAsia="zh-CN" w:bidi="ar-SA"/>
    </w:rPr>
  </w:style>
  <w:style w:type="character" w:customStyle="1" w:styleId="72">
    <w:name w:val="纯文本 Char"/>
    <w:link w:val="22"/>
    <w:qFormat/>
    <w:uiPriority w:val="99"/>
    <w:rPr>
      <w:rFonts w:ascii="宋体" w:hAnsi="Courier New" w:eastAsia="宋体" w:cs="Courier New"/>
      <w:szCs w:val="21"/>
    </w:rPr>
  </w:style>
  <w:style w:type="character" w:customStyle="1" w:styleId="73">
    <w:name w:val="bds_nopic2"/>
    <w:qFormat/>
    <w:uiPriority w:val="99"/>
    <w:rPr>
      <w:rFonts w:cs="Times New Roman"/>
    </w:rPr>
  </w:style>
  <w:style w:type="character" w:customStyle="1" w:styleId="74">
    <w:name w:val="批注框文本 Char"/>
    <w:link w:val="26"/>
    <w:qFormat/>
    <w:uiPriority w:val="0"/>
    <w:rPr>
      <w:rFonts w:ascii="Times New Roman" w:hAnsi="Times New Roman" w:eastAsia="宋体" w:cs="Times New Roman"/>
      <w:sz w:val="18"/>
      <w:szCs w:val="18"/>
    </w:rPr>
  </w:style>
  <w:style w:type="character" w:customStyle="1" w:styleId="75">
    <w:name w:val="正文文本缩进 字符"/>
    <w:qFormat/>
    <w:uiPriority w:val="99"/>
    <w:rPr>
      <w:rFonts w:ascii="宋体" w:hAnsi="宋体" w:eastAsia="宋体" w:cs="宋体"/>
      <w:kern w:val="0"/>
      <w:sz w:val="24"/>
      <w:szCs w:val="24"/>
    </w:rPr>
  </w:style>
  <w:style w:type="character" w:customStyle="1" w:styleId="76">
    <w:name w:val="正文文本 字符"/>
    <w:qFormat/>
    <w:uiPriority w:val="99"/>
    <w:rPr>
      <w:rFonts w:cs="Times New Roman"/>
      <w:kern w:val="2"/>
      <w:sz w:val="22"/>
      <w:szCs w:val="22"/>
    </w:rPr>
  </w:style>
  <w:style w:type="character" w:customStyle="1" w:styleId="77">
    <w:name w:val="标题 7 字符"/>
    <w:qFormat/>
    <w:uiPriority w:val="99"/>
    <w:rPr>
      <w:rFonts w:ascii="Times New Roman" w:hAnsi="Times New Roman" w:eastAsia="宋体" w:cs="Times New Roman"/>
      <w:b/>
      <w:bCs/>
      <w:sz w:val="24"/>
      <w:szCs w:val="24"/>
    </w:rPr>
  </w:style>
  <w:style w:type="character" w:customStyle="1" w:styleId="78">
    <w:name w:val="标题 1 字符"/>
    <w:qFormat/>
    <w:uiPriority w:val="0"/>
    <w:rPr>
      <w:rFonts w:ascii="Times New Roman" w:hAnsi="Times New Roman" w:eastAsia="宋体" w:cs="Times New Roman"/>
      <w:b/>
      <w:bCs/>
      <w:kern w:val="44"/>
      <w:sz w:val="44"/>
      <w:szCs w:val="44"/>
    </w:rPr>
  </w:style>
  <w:style w:type="character" w:customStyle="1" w:styleId="79">
    <w:name w:val="ico2"/>
    <w:qFormat/>
    <w:uiPriority w:val="99"/>
    <w:rPr>
      <w:rFonts w:cs="Times New Roman"/>
    </w:rPr>
  </w:style>
  <w:style w:type="character" w:customStyle="1" w:styleId="80">
    <w:name w:val="标题 2 Char"/>
    <w:link w:val="4"/>
    <w:qFormat/>
    <w:uiPriority w:val="0"/>
    <w:rPr>
      <w:rFonts w:ascii="Times New Roman" w:hAnsi="Times New Roman"/>
      <w:b/>
      <w:sz w:val="30"/>
      <w:szCs w:val="32"/>
    </w:rPr>
  </w:style>
  <w:style w:type="character" w:customStyle="1" w:styleId="81">
    <w:name w:val="gray"/>
    <w:basedOn w:val="45"/>
    <w:qFormat/>
    <w:uiPriority w:val="99"/>
  </w:style>
  <w:style w:type="character" w:customStyle="1" w:styleId="82">
    <w:name w:val="正文文本缩进 3 字符"/>
    <w:qFormat/>
    <w:uiPriority w:val="99"/>
    <w:rPr>
      <w:rFonts w:cs="Times New Roman"/>
      <w:kern w:val="2"/>
      <w:sz w:val="16"/>
      <w:szCs w:val="16"/>
    </w:rPr>
  </w:style>
  <w:style w:type="character" w:customStyle="1" w:styleId="83">
    <w:name w:val="标题 5 字符"/>
    <w:qFormat/>
    <w:uiPriority w:val="99"/>
    <w:rPr>
      <w:rFonts w:ascii="Times New Roman" w:hAnsi="Times New Roman" w:eastAsia="黑体" w:cs="Times New Roman"/>
      <w:bCs/>
      <w:sz w:val="28"/>
      <w:szCs w:val="28"/>
    </w:rPr>
  </w:style>
  <w:style w:type="character" w:customStyle="1" w:styleId="84">
    <w:name w:val="标题 6 字符"/>
    <w:qFormat/>
    <w:uiPriority w:val="99"/>
    <w:rPr>
      <w:rFonts w:ascii="Times New Roman" w:hAnsi="Times New Roman" w:eastAsia="宋体" w:cs="Times New Roman"/>
      <w:b/>
      <w:bCs/>
      <w:sz w:val="28"/>
      <w:szCs w:val="28"/>
    </w:rPr>
  </w:style>
  <w:style w:type="character" w:customStyle="1" w:styleId="85">
    <w:name w:val="标题 5 Char"/>
    <w:link w:val="7"/>
    <w:qFormat/>
    <w:uiPriority w:val="99"/>
    <w:rPr>
      <w:rFonts w:ascii="Times New Roman" w:hAnsi="Times New Roman" w:eastAsia="黑体"/>
      <w:bCs/>
      <w:sz w:val="28"/>
      <w:szCs w:val="28"/>
    </w:rPr>
  </w:style>
  <w:style w:type="character" w:customStyle="1" w:styleId="86">
    <w:name w:val="正文文本缩进 Char"/>
    <w:link w:val="18"/>
    <w:qFormat/>
    <w:uiPriority w:val="0"/>
    <w:rPr>
      <w:rFonts w:ascii="Times New Roman" w:hAnsi="Times New Roman" w:eastAsia="宋体" w:cs="Times New Roman"/>
      <w:sz w:val="28"/>
      <w:szCs w:val="28"/>
    </w:rPr>
  </w:style>
  <w:style w:type="character" w:customStyle="1" w:styleId="87">
    <w:name w:val="bds_nopic"/>
    <w:qFormat/>
    <w:uiPriority w:val="99"/>
    <w:rPr>
      <w:rFonts w:cs="Times New Roman"/>
    </w:rPr>
  </w:style>
  <w:style w:type="character" w:customStyle="1" w:styleId="88">
    <w:name w:val="日期 Char"/>
    <w:link w:val="24"/>
    <w:qFormat/>
    <w:uiPriority w:val="99"/>
    <w:rPr>
      <w:rFonts w:ascii="Times New Roman" w:hAnsi="Times New Roman" w:eastAsia="宋体" w:cs="Times New Roman"/>
      <w:sz w:val="28"/>
      <w:szCs w:val="28"/>
    </w:rPr>
  </w:style>
  <w:style w:type="character" w:customStyle="1" w:styleId="89">
    <w:name w:val="标题 1 Char"/>
    <w:link w:val="3"/>
    <w:qFormat/>
    <w:uiPriority w:val="0"/>
    <w:rPr>
      <w:rFonts w:eastAsia="方正小标宋_GBK"/>
      <w:bCs/>
      <w:kern w:val="44"/>
      <w:sz w:val="36"/>
      <w:szCs w:val="44"/>
    </w:rPr>
  </w:style>
  <w:style w:type="character" w:customStyle="1" w:styleId="90">
    <w:name w:val="文档结构图 字符"/>
    <w:qFormat/>
    <w:uiPriority w:val="99"/>
    <w:rPr>
      <w:rFonts w:ascii="宋体" w:eastAsia="宋体" w:cs="Times New Roman"/>
      <w:sz w:val="18"/>
      <w:szCs w:val="18"/>
    </w:rPr>
  </w:style>
  <w:style w:type="character" w:customStyle="1" w:styleId="91">
    <w:name w:val="书籍标题1"/>
    <w:qFormat/>
    <w:uiPriority w:val="33"/>
    <w:rPr>
      <w:b/>
      <w:bCs/>
      <w:smallCaps/>
      <w:spacing w:val="5"/>
    </w:rPr>
  </w:style>
  <w:style w:type="character" w:customStyle="1" w:styleId="92">
    <w:name w:val="标题 2 字符"/>
    <w:qFormat/>
    <w:uiPriority w:val="0"/>
    <w:rPr>
      <w:rFonts w:ascii="Times New Roman" w:hAnsi="Times New Roman" w:eastAsia="宋体" w:cs="Times New Roman"/>
      <w:b/>
      <w:sz w:val="32"/>
      <w:szCs w:val="32"/>
    </w:rPr>
  </w:style>
  <w:style w:type="character" w:customStyle="1" w:styleId="93">
    <w:name w:val="正文文本 2 字符"/>
    <w:qFormat/>
    <w:uiPriority w:val="99"/>
    <w:rPr>
      <w:rFonts w:cs="Times New Roman"/>
      <w:kern w:val="2"/>
      <w:sz w:val="22"/>
      <w:szCs w:val="22"/>
    </w:rPr>
  </w:style>
  <w:style w:type="character" w:customStyle="1" w:styleId="94">
    <w:name w:val="bds_nopic1"/>
    <w:qFormat/>
    <w:uiPriority w:val="99"/>
    <w:rPr>
      <w:rFonts w:cs="Times New Roman"/>
    </w:rPr>
  </w:style>
  <w:style w:type="character" w:customStyle="1" w:styleId="95">
    <w:name w:val="文档结构图 Char"/>
    <w:link w:val="14"/>
    <w:qFormat/>
    <w:uiPriority w:val="0"/>
    <w:rPr>
      <w:rFonts w:ascii="Times New Roman" w:hAnsi="Times New Roman" w:eastAsia="宋体" w:cs="Times New Roman"/>
      <w:sz w:val="28"/>
      <w:szCs w:val="28"/>
      <w:shd w:val="clear" w:color="auto" w:fill="000080"/>
    </w:rPr>
  </w:style>
  <w:style w:type="character" w:customStyle="1" w:styleId="96">
    <w:name w:val="正文文本 2 Char"/>
    <w:link w:val="37"/>
    <w:qFormat/>
    <w:uiPriority w:val="99"/>
    <w:rPr>
      <w:kern w:val="2"/>
      <w:sz w:val="21"/>
      <w:szCs w:val="22"/>
    </w:rPr>
  </w:style>
  <w:style w:type="character" w:customStyle="1" w:styleId="97">
    <w:name w:val="font51"/>
    <w:qFormat/>
    <w:uiPriority w:val="99"/>
    <w:rPr>
      <w:rFonts w:ascii="宋体" w:hAnsi="宋体" w:eastAsia="宋体" w:cs="Times New Roman"/>
      <w:color w:val="000000"/>
      <w:sz w:val="20"/>
      <w:szCs w:val="20"/>
      <w:u w:val="none"/>
    </w:rPr>
  </w:style>
  <w:style w:type="character" w:customStyle="1" w:styleId="98">
    <w:name w:val="批注框文本 字符"/>
    <w:qFormat/>
    <w:uiPriority w:val="99"/>
    <w:rPr>
      <w:rFonts w:cs="Times New Roman"/>
      <w:sz w:val="18"/>
      <w:szCs w:val="18"/>
    </w:rPr>
  </w:style>
  <w:style w:type="character" w:customStyle="1" w:styleId="99">
    <w:name w:val="标题 4 Char"/>
    <w:link w:val="6"/>
    <w:qFormat/>
    <w:uiPriority w:val="99"/>
    <w:rPr>
      <w:rFonts w:ascii="Times New Roman" w:hAnsi="Times New Roman"/>
      <w:b/>
      <w:bCs/>
      <w:sz w:val="28"/>
      <w:szCs w:val="28"/>
    </w:rPr>
  </w:style>
  <w:style w:type="character" w:customStyle="1" w:styleId="100">
    <w:name w:val="页眉 Char"/>
    <w:link w:val="28"/>
    <w:qFormat/>
    <w:uiPriority w:val="99"/>
    <w:rPr>
      <w:rFonts w:ascii="Calibri" w:hAnsi="Calibri" w:eastAsia="宋体" w:cs="Times New Roman"/>
      <w:sz w:val="18"/>
      <w:szCs w:val="18"/>
    </w:rPr>
  </w:style>
  <w:style w:type="character" w:customStyle="1" w:styleId="101">
    <w:name w:val="标题 Char"/>
    <w:link w:val="41"/>
    <w:qFormat/>
    <w:uiPriority w:val="99"/>
    <w:rPr>
      <w:rFonts w:ascii="Cambria" w:hAnsi="Cambria" w:eastAsia="方正黑体_GBK"/>
      <w:b/>
      <w:bCs/>
      <w:snapToGrid w:val="0"/>
      <w:sz w:val="44"/>
      <w:szCs w:val="32"/>
      <w:lang w:val="en-US" w:eastAsia="zh-CN" w:bidi="ar-SA"/>
    </w:rPr>
  </w:style>
  <w:style w:type="character" w:customStyle="1" w:styleId="102">
    <w:name w:val="font11"/>
    <w:qFormat/>
    <w:uiPriority w:val="99"/>
    <w:rPr>
      <w:rFonts w:ascii="宋体" w:hAnsi="宋体" w:eastAsia="宋体" w:cs="宋体"/>
      <w:color w:val="000000"/>
      <w:sz w:val="18"/>
      <w:szCs w:val="18"/>
      <w:u w:val="none"/>
    </w:rPr>
  </w:style>
  <w:style w:type="character" w:customStyle="1" w:styleId="103">
    <w:name w:val="bds_more1"/>
    <w:qFormat/>
    <w:uiPriority w:val="99"/>
    <w:rPr>
      <w:rFonts w:cs="Times New Roman"/>
    </w:rPr>
  </w:style>
  <w:style w:type="character" w:customStyle="1" w:styleId="104">
    <w:name w:val="脚注文本 Char"/>
    <w:link w:val="32"/>
    <w:qFormat/>
    <w:uiPriority w:val="99"/>
    <w:rPr>
      <w:kern w:val="2"/>
      <w:sz w:val="18"/>
      <w:szCs w:val="18"/>
    </w:rPr>
  </w:style>
  <w:style w:type="character" w:customStyle="1" w:styleId="105">
    <w:name w:val="页脚 字符"/>
    <w:qFormat/>
    <w:uiPriority w:val="99"/>
    <w:rPr>
      <w:rFonts w:cs="Times New Roman"/>
      <w:sz w:val="18"/>
      <w:szCs w:val="18"/>
    </w:rPr>
  </w:style>
  <w:style w:type="character" w:customStyle="1" w:styleId="106">
    <w:name w:val="bjh-p"/>
    <w:qFormat/>
    <w:uiPriority w:val="0"/>
  </w:style>
  <w:style w:type="character" w:customStyle="1" w:styleId="107">
    <w:name w:val="标题 3 字符"/>
    <w:qFormat/>
    <w:uiPriority w:val="0"/>
    <w:rPr>
      <w:rFonts w:ascii="Times New Roman" w:hAnsi="Times New Roman" w:cs="Times New Roman"/>
      <w:b/>
      <w:bCs/>
      <w:kern w:val="2"/>
      <w:sz w:val="32"/>
      <w:szCs w:val="32"/>
    </w:rPr>
  </w:style>
  <w:style w:type="character" w:customStyle="1" w:styleId="108">
    <w:name w:val="批注文字 Char"/>
    <w:link w:val="15"/>
    <w:qFormat/>
    <w:uiPriority w:val="99"/>
    <w:rPr>
      <w:rFonts w:ascii="Times New Roman" w:hAnsi="Times New Roman" w:eastAsia="宋体" w:cs="Times New Roman"/>
      <w:sz w:val="28"/>
      <w:szCs w:val="28"/>
    </w:rPr>
  </w:style>
  <w:style w:type="character" w:customStyle="1" w:styleId="109">
    <w:name w:val="bds_more"/>
    <w:qFormat/>
    <w:uiPriority w:val="99"/>
    <w:rPr>
      <w:rFonts w:ascii="宋体" w:hAnsi="宋体" w:eastAsia="宋体" w:cs="宋体"/>
    </w:rPr>
  </w:style>
  <w:style w:type="character" w:customStyle="1" w:styleId="110">
    <w:name w:val="正文文本缩进 3 Char"/>
    <w:link w:val="34"/>
    <w:qFormat/>
    <w:uiPriority w:val="99"/>
    <w:rPr>
      <w:rFonts w:ascii="Times New Roman" w:hAnsi="Times New Roman" w:eastAsia="宋体" w:cs="Times New Roman"/>
      <w:color w:val="FF0000"/>
      <w:sz w:val="28"/>
      <w:szCs w:val="28"/>
    </w:rPr>
  </w:style>
  <w:style w:type="character" w:customStyle="1" w:styleId="111">
    <w:name w:val="apple-converted-space"/>
    <w:basedOn w:val="45"/>
    <w:qFormat/>
    <w:uiPriority w:val="99"/>
  </w:style>
  <w:style w:type="character" w:customStyle="1" w:styleId="112">
    <w:name w:val="font31"/>
    <w:qFormat/>
    <w:uiPriority w:val="99"/>
    <w:rPr>
      <w:rFonts w:ascii="宋体" w:hAnsi="宋体" w:eastAsia="宋体" w:cs="Times New Roman"/>
      <w:b/>
      <w:bCs/>
      <w:color w:val="000000"/>
      <w:sz w:val="20"/>
      <w:szCs w:val="20"/>
      <w:u w:val="none"/>
    </w:rPr>
  </w:style>
  <w:style w:type="character" w:customStyle="1" w:styleId="113">
    <w:name w:val="正文文本缩进 2 Char"/>
    <w:link w:val="25"/>
    <w:qFormat/>
    <w:uiPriority w:val="0"/>
    <w:rPr>
      <w:rFonts w:ascii="Times New Roman" w:hAnsi="Times New Roman" w:eastAsia="宋体" w:cs="Times New Roman"/>
      <w:spacing w:val="4"/>
      <w:sz w:val="28"/>
      <w:szCs w:val="24"/>
    </w:rPr>
  </w:style>
  <w:style w:type="character" w:customStyle="1" w:styleId="114">
    <w:name w:val="bds_more2"/>
    <w:qFormat/>
    <w:uiPriority w:val="99"/>
    <w:rPr>
      <w:rFonts w:cs="Times New Roman"/>
    </w:rPr>
  </w:style>
  <w:style w:type="character" w:customStyle="1" w:styleId="115">
    <w:name w:val="书籍标题11"/>
    <w:qFormat/>
    <w:uiPriority w:val="99"/>
    <w:rPr>
      <w:b/>
      <w:smallCaps/>
      <w:spacing w:val="5"/>
    </w:rPr>
  </w:style>
  <w:style w:type="character" w:customStyle="1" w:styleId="116">
    <w:name w:val="正文文本缩进 2 字符"/>
    <w:qFormat/>
    <w:uiPriority w:val="99"/>
    <w:rPr>
      <w:rFonts w:cs="Times New Roman"/>
    </w:rPr>
  </w:style>
  <w:style w:type="character" w:customStyle="1" w:styleId="117">
    <w:name w:val="font81"/>
    <w:qFormat/>
    <w:uiPriority w:val="99"/>
    <w:rPr>
      <w:rFonts w:ascii="Times New Roman" w:hAnsi="Times New Roman" w:cs="Times New Roman"/>
      <w:b/>
      <w:bCs/>
      <w:color w:val="000000"/>
      <w:sz w:val="20"/>
      <w:szCs w:val="20"/>
      <w:u w:val="none"/>
    </w:rPr>
  </w:style>
  <w:style w:type="character" w:customStyle="1" w:styleId="118">
    <w:name w:val="页脚 Char"/>
    <w:link w:val="27"/>
    <w:qFormat/>
    <w:uiPriority w:val="99"/>
    <w:rPr>
      <w:rFonts w:ascii="Calibri" w:hAnsi="Calibri" w:eastAsia="宋体" w:cs="Times New Roman"/>
      <w:sz w:val="18"/>
      <w:szCs w:val="18"/>
    </w:rPr>
  </w:style>
  <w:style w:type="character" w:customStyle="1" w:styleId="119">
    <w:name w:val="日期 字符"/>
    <w:qFormat/>
    <w:uiPriority w:val="99"/>
    <w:rPr>
      <w:rFonts w:cs="Times New Roman"/>
      <w:kern w:val="2"/>
      <w:sz w:val="22"/>
      <w:szCs w:val="22"/>
    </w:rPr>
  </w:style>
  <w:style w:type="character" w:customStyle="1" w:styleId="120">
    <w:name w:val="目录001 Char"/>
    <w:link w:val="121"/>
    <w:qFormat/>
    <w:uiPriority w:val="0"/>
    <w:rPr>
      <w:rFonts w:ascii="Times New Roman" w:hAnsi="Times New Roman" w:eastAsia="黑体"/>
      <w:b/>
      <w:kern w:val="2"/>
      <w:sz w:val="32"/>
      <w:szCs w:val="22"/>
    </w:rPr>
  </w:style>
  <w:style w:type="paragraph" w:customStyle="1" w:styleId="121">
    <w:name w:val="目录001"/>
    <w:basedOn w:val="1"/>
    <w:link w:val="120"/>
    <w:qFormat/>
    <w:uiPriority w:val="0"/>
    <w:pPr>
      <w:spacing w:line="360" w:lineRule="auto"/>
      <w:jc w:val="center"/>
    </w:pPr>
    <w:rPr>
      <w:rFonts w:eastAsia="黑体"/>
      <w:b/>
    </w:rPr>
  </w:style>
  <w:style w:type="paragraph" w:customStyle="1" w:styleId="122">
    <w:name w:val="reader-word-layer reader-word-s7-8"/>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3">
    <w:name w:val="reader-word-layer reader-word-s3-17"/>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4">
    <w:name w:val="样式3"/>
    <w:basedOn w:val="8"/>
    <w:qFormat/>
    <w:uiPriority w:val="99"/>
    <w:rPr>
      <w:b w:val="0"/>
      <w:color w:val="000000"/>
    </w:rPr>
  </w:style>
  <w:style w:type="paragraph" w:customStyle="1" w:styleId="125">
    <w:name w:val="reader-word-layer reader-word-s7-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6">
    <w:name w:val="reader-word-layer reader-word-s12-7"/>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7">
    <w:name w:val="reader-word-layer reader-word-s1-17"/>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8">
    <w:name w:val="reader-word-layer reader-word-s6-1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9">
    <w:name w:val="reader-word-layer reader-word-s2-4"/>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0">
    <w:name w:val="reader-word-layer reader-word-s12-16"/>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1">
    <w:name w:val="ygs标题三"/>
    <w:basedOn w:val="5"/>
    <w:qFormat/>
    <w:uiPriority w:val="99"/>
    <w:pPr>
      <w:spacing w:before="0" w:line="360" w:lineRule="auto"/>
      <w:ind w:firstLine="422"/>
      <w:jc w:val="left"/>
    </w:pPr>
    <w:rPr>
      <w:rFonts w:ascii="宋体" w:hAnsi="宋体"/>
      <w:b w:val="0"/>
      <w:bCs w:val="0"/>
      <w:color w:val="FF0000"/>
      <w:sz w:val="28"/>
      <w:szCs w:val="28"/>
    </w:rPr>
  </w:style>
  <w:style w:type="paragraph" w:customStyle="1" w:styleId="132">
    <w:name w:val="reader-word-layer reader-word-s1-12 reader-word-s1-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3">
    <w:name w:val="reader-word-layer reader-word-s3-7"/>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4">
    <w:name w:val="reader-word-layer reader-word-s3-6"/>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5">
    <w:name w:val="reader-word-layer reader-word-s3-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6">
    <w:name w:val="reader-word-layer reader-word-s12-18"/>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7">
    <w:name w:val="reader-word-layer reader-word-s6-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8">
    <w:name w:val="reader-word-layer reader-word-s3-1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9">
    <w:name w:val="样式1"/>
    <w:basedOn w:val="6"/>
    <w:qFormat/>
    <w:uiPriority w:val="99"/>
    <w:pPr>
      <w:ind w:firstLine="643"/>
    </w:pPr>
  </w:style>
  <w:style w:type="paragraph" w:customStyle="1" w:styleId="140">
    <w:name w:val="reader-word-layer reader-word-s3-16"/>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41">
    <w:name w:val="Char 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142">
    <w:name w:val="reader-word-layer reader-word-s11-2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43">
    <w:name w:val="reader-word-layer reader-word-s12-4"/>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44">
    <w:name w:val="reader-word-layer reader-word-s12-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45">
    <w:name w:val="reader-word-layer reader-word-s11-3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46">
    <w:name w:val="Char12"/>
    <w:basedOn w:val="1"/>
    <w:qFormat/>
    <w:uiPriority w:val="99"/>
    <w:pPr>
      <w:numPr>
        <w:ilvl w:val="0"/>
        <w:numId w:val="2"/>
      </w:numPr>
      <w:ind w:firstLine="0"/>
    </w:pPr>
    <w:rPr>
      <w:sz w:val="24"/>
      <w:szCs w:val="24"/>
    </w:rPr>
  </w:style>
  <w:style w:type="paragraph" w:customStyle="1" w:styleId="147">
    <w:name w:val="reader-word-layer reader-word-s2-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48">
    <w:name w:val="Char Char Char Char Char Char1 Char Char Char Char Char Char Char Char Char 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149">
    <w:name w:val="reader-word-layer reader-word-s13-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50">
    <w:name w:val="Char Char Char Char Char Char Char1"/>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151">
    <w:name w:val="reader-word-layer reader-word-s12-1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52">
    <w:name w:val="reader-word-layer reader-word-s6-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53">
    <w:name w:val="表"/>
    <w:basedOn w:val="1"/>
    <w:qFormat/>
    <w:uiPriority w:val="99"/>
    <w:pPr>
      <w:spacing w:line="360" w:lineRule="auto"/>
    </w:pPr>
    <w:rPr>
      <w:sz w:val="13"/>
      <w:szCs w:val="13"/>
    </w:rPr>
  </w:style>
  <w:style w:type="paragraph" w:customStyle="1" w:styleId="154">
    <w:name w:val="reader-word-layer reader-word-s3-1 reader-word-s3-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55">
    <w:name w:val="样式5"/>
    <w:basedOn w:val="10"/>
    <w:qFormat/>
    <w:uiPriority w:val="99"/>
    <w:pPr>
      <w:widowControl/>
      <w:spacing w:line="300" w:lineRule="exact"/>
    </w:pPr>
    <w:rPr>
      <w:rFonts w:ascii="宋体" w:hAnsi="宋体" w:cs="宋体"/>
      <w:b/>
      <w:bCs/>
      <w:kern w:val="0"/>
    </w:rPr>
  </w:style>
  <w:style w:type="paragraph" w:customStyle="1" w:styleId="156">
    <w:name w:val="reader-word-layer reader-word-s6-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57">
    <w:name w:val="标题2"/>
    <w:basedOn w:val="1"/>
    <w:qFormat/>
    <w:uiPriority w:val="0"/>
    <w:pPr>
      <w:snapToGrid w:val="0"/>
      <w:spacing w:before="100" w:beforeAutospacing="1" w:line="298" w:lineRule="auto"/>
      <w:outlineLvl w:val="1"/>
    </w:pPr>
    <w:rPr>
      <w:rFonts w:eastAsia="方正黑体_GBK"/>
      <w:sz w:val="30"/>
      <w:szCs w:val="30"/>
    </w:rPr>
  </w:style>
  <w:style w:type="paragraph" w:customStyle="1" w:styleId="158">
    <w:name w:val="reader-word-layer reader-word-s1-0 reader-word-s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59">
    <w:name w:val="reader-word-layer reader-word-s12-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60">
    <w:name w:val="reader-word-layer reader-word-s2-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61">
    <w:name w:val="reader-word-layer reader-word-s1-8"/>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62">
    <w:name w:val="封面001"/>
    <w:basedOn w:val="1"/>
    <w:qFormat/>
    <w:uiPriority w:val="0"/>
    <w:pPr>
      <w:adjustRightInd w:val="0"/>
      <w:snapToGrid w:val="0"/>
      <w:spacing w:line="360" w:lineRule="auto"/>
      <w:ind w:firstLine="200" w:firstLineChars="200"/>
      <w:jc w:val="left"/>
    </w:pPr>
    <w:rPr>
      <w:rFonts w:eastAsia="黑体"/>
      <w:sz w:val="30"/>
      <w:szCs w:val="30"/>
    </w:rPr>
  </w:style>
  <w:style w:type="paragraph" w:customStyle="1" w:styleId="163">
    <w:name w:val="reader-word-layer reader-word-s1-0 reader-word-s1-6"/>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64">
    <w:name w:val="reader-word-layer reader-word-s13-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65">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66">
    <w:name w:val="Char1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167">
    <w:name w:val="reader-word-layer reader-word-s2-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68">
    <w:name w:val="reader-word-layer reader-word-s6-14"/>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69">
    <w:name w:val="列出段落11"/>
    <w:basedOn w:val="1"/>
    <w:qFormat/>
    <w:uiPriority w:val="99"/>
    <w:pPr>
      <w:ind w:firstLine="420" w:firstLineChars="200"/>
    </w:pPr>
    <w:rPr>
      <w:szCs w:val="24"/>
    </w:rPr>
  </w:style>
  <w:style w:type="paragraph" w:customStyle="1" w:styleId="170">
    <w:name w:val="reader-word-layer reader-word-s7-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71">
    <w:name w:val="标题1"/>
    <w:basedOn w:val="1"/>
    <w:qFormat/>
    <w:uiPriority w:val="99"/>
    <w:pPr>
      <w:spacing w:before="240" w:after="60" w:line="480" w:lineRule="auto"/>
      <w:ind w:left="100" w:leftChars="100" w:right="100" w:rightChars="100"/>
      <w:jc w:val="center"/>
      <w:outlineLvl w:val="0"/>
    </w:pPr>
    <w:rPr>
      <w:rFonts w:ascii="黑体" w:hAnsi="Arial" w:eastAsia="黑体" w:cs="Arial"/>
      <w:b/>
      <w:bCs/>
      <w:sz w:val="36"/>
      <w:szCs w:val="36"/>
    </w:rPr>
  </w:style>
  <w:style w:type="paragraph" w:customStyle="1" w:styleId="172">
    <w:name w:val="reader-word-layer reader-word-s7-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73">
    <w:name w:val="reader-word-layer reader-word-s12-6"/>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74">
    <w:name w:val="reader-word-layer reader-word-s12-14"/>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75">
    <w:name w:val="reader-word-layer reader-word-s12-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76">
    <w:name w:val="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177">
    <w:name w:val="Char1"/>
    <w:basedOn w:val="1"/>
    <w:qFormat/>
    <w:uiPriority w:val="99"/>
    <w:pPr>
      <w:tabs>
        <w:tab w:val="left" w:pos="961"/>
      </w:tabs>
      <w:ind w:left="961"/>
    </w:pPr>
    <w:rPr>
      <w:sz w:val="24"/>
      <w:szCs w:val="24"/>
    </w:rPr>
  </w:style>
  <w:style w:type="paragraph" w:customStyle="1" w:styleId="178">
    <w:name w:val="Char Char1 Char Char Char Char Char Char Char Char Char Char Char Char1"/>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179">
    <w:name w:val="Char Char1 Char Char Char Char Char Char Char Char Char Char Char Char1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180">
    <w:name w:val="reader-word-layer reader-word-s2-1 reader-word-s2-6"/>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81">
    <w:name w:val="reader-word-layer reader-word-s2-7"/>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82">
    <w:name w:val="Char Char Char1 Char Char Char Char Char Char Char Char Char Char Char Char Char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83">
    <w:name w:val="reader-word-layer reader-word-s2-1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84">
    <w:name w:val="reader-word-layer reader-word-s11-17"/>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85">
    <w:name w:val="reader-word-layer reader-word-s1-16"/>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86">
    <w:name w:val="p0"/>
    <w:basedOn w:val="1"/>
    <w:qFormat/>
    <w:uiPriority w:val="99"/>
    <w:pPr>
      <w:widowControl/>
    </w:pPr>
    <w:rPr>
      <w:kern w:val="0"/>
      <w:szCs w:val="21"/>
    </w:rPr>
  </w:style>
  <w:style w:type="paragraph" w:customStyle="1" w:styleId="187">
    <w:name w:val="reader-word-layer reader-word-s12-2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88">
    <w:name w:val="reader-word-layer reader-word-s1-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89">
    <w:name w:val="_Style 3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0">
    <w:name w:val="reader-word-layer reader-word-s2-6"/>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91">
    <w:name w:val="reader-word-layer reader-word-s1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92">
    <w:name w:val="reader-word-layer reader-word-s3-14"/>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93">
    <w:name w:val="reader-word-layer reader-word-s1-12 reader-word-s1-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94">
    <w:name w:val="Char Char Char Char Char Char Char Char Char Char"/>
    <w:basedOn w:val="1"/>
    <w:qFormat/>
    <w:uiPriority w:val="0"/>
    <w:pPr>
      <w:ind w:left="720" w:hanging="720"/>
    </w:pPr>
    <w:rPr>
      <w:sz w:val="24"/>
      <w:szCs w:val="24"/>
    </w:rPr>
  </w:style>
  <w:style w:type="paragraph" w:customStyle="1" w:styleId="195">
    <w:name w:val="样式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96">
    <w:name w:val="reader-word-layer reader-word-s1-14"/>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97">
    <w:name w:val="样式2"/>
    <w:basedOn w:val="31"/>
    <w:qFormat/>
    <w:uiPriority w:val="99"/>
    <w:pPr>
      <w:spacing w:line="360" w:lineRule="exact"/>
    </w:pPr>
    <w:rPr>
      <w:rFonts w:ascii="宋体" w:hAnsi="宋体"/>
      <w:color w:val="000000"/>
    </w:rPr>
  </w:style>
  <w:style w:type="paragraph" w:customStyle="1" w:styleId="198">
    <w:name w:val="标题3"/>
    <w:basedOn w:val="41"/>
    <w:qFormat/>
    <w:uiPriority w:val="99"/>
    <w:pPr>
      <w:widowControl w:val="0"/>
      <w:adjustRightInd/>
      <w:snapToGrid/>
      <w:ind w:firstLine="200" w:firstLineChars="200"/>
      <w:jc w:val="left"/>
    </w:pPr>
    <w:rPr>
      <w:rFonts w:ascii="Arial" w:hAnsi="Arial" w:eastAsia="仿宋_GB2312" w:cs="Arial"/>
      <w:snapToGrid/>
      <w:kern w:val="2"/>
      <w:sz w:val="32"/>
    </w:rPr>
  </w:style>
  <w:style w:type="paragraph" w:customStyle="1" w:styleId="199">
    <w:name w:val="Char Char Char Char Char Char Char Char Char Char Char Char"/>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200">
    <w:name w:val="reader-word-layer reader-word-s2-1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1">
    <w:name w:val="表格文字"/>
    <w:basedOn w:val="1"/>
    <w:qFormat/>
    <w:uiPriority w:val="99"/>
    <w:pPr>
      <w:autoSpaceDE w:val="0"/>
      <w:autoSpaceDN w:val="0"/>
      <w:adjustRightInd w:val="0"/>
      <w:spacing w:line="300" w:lineRule="exact"/>
      <w:jc w:val="center"/>
    </w:pPr>
    <w:rPr>
      <w:rFonts w:ascii="宋体" w:cs="宋体"/>
      <w:kern w:val="0"/>
      <w:sz w:val="24"/>
      <w:szCs w:val="24"/>
    </w:rPr>
  </w:style>
  <w:style w:type="paragraph" w:customStyle="1" w:styleId="202">
    <w:name w:val="reader-word-layer reader-word-s3-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3">
    <w:name w:val="reader-word-layer reader-word-s7-4"/>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4">
    <w:name w:val="reader-word-layer reader-word-s13-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5">
    <w:name w:val="Char Char Char Char Char Char1 Char Char Char Char Char Char Char Char Char Char Char Char Char1"/>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206">
    <w:name w:val="Char Char1 Char Char Char Char Char Char Char Char Char Char Char Char2"/>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207">
    <w:name w:val="reader-word-layer reader-word-s13-1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8">
    <w:name w:val="Char Char1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09">
    <w:name w:val="Char Char Char Char Char Char 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210">
    <w:name w:val="TOC 标题1"/>
    <w:basedOn w:val="3"/>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211">
    <w:name w:val="Char"/>
    <w:basedOn w:val="1"/>
    <w:qFormat/>
    <w:uiPriority w:val="0"/>
    <w:pPr>
      <w:tabs>
        <w:tab w:val="left" w:pos="360"/>
      </w:tabs>
    </w:pPr>
    <w:rPr>
      <w:sz w:val="24"/>
      <w:szCs w:val="24"/>
    </w:rPr>
  </w:style>
  <w:style w:type="paragraph" w:customStyle="1" w:styleId="212">
    <w:name w:val="表标题"/>
    <w:basedOn w:val="5"/>
    <w:qFormat/>
    <w:uiPriority w:val="99"/>
    <w:pPr>
      <w:keepNext w:val="0"/>
      <w:keepLines w:val="0"/>
      <w:adjustRightInd w:val="0"/>
      <w:snapToGrid w:val="0"/>
      <w:spacing w:beforeLines="50" w:line="360" w:lineRule="auto"/>
      <w:jc w:val="center"/>
      <w:outlineLvl w:val="9"/>
    </w:pPr>
    <w:rPr>
      <w:rFonts w:ascii="仿宋_GB2312" w:eastAsia="仿宋_GB2312"/>
      <w:bCs w:val="0"/>
      <w:color w:val="000000"/>
      <w:sz w:val="21"/>
      <w:szCs w:val="21"/>
    </w:rPr>
  </w:style>
  <w:style w:type="paragraph" w:customStyle="1" w:styleId="213">
    <w:name w:val="reader-word-layer reader-word-s3-18"/>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14">
    <w:name w:val="样式4"/>
    <w:basedOn w:val="7"/>
    <w:qFormat/>
    <w:uiPriority w:val="99"/>
    <w:pPr>
      <w:spacing w:line="500" w:lineRule="exact"/>
    </w:pPr>
    <w:rPr>
      <w:b/>
    </w:rPr>
  </w:style>
  <w:style w:type="paragraph" w:customStyle="1" w:styleId="215">
    <w:name w:val="reader-word-layer reader-word-s2-8"/>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16">
    <w:name w:val="reader-word-layer reader-word-s2-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17">
    <w:name w:val="reader-word-layer reader-word-s13-6"/>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18">
    <w:name w:val="reader-word-layer reader-word-s11-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19">
    <w:name w:val="reader-word-layer reader-word-s7-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20">
    <w:name w:val="reader-word-layer reader-word-s12-1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21">
    <w:name w:val="Char Char Char Char Char Char Char2"/>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222">
    <w:name w:val="reader-word-layer reader-word-s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23">
    <w:name w:val="reader-word-layer reader-word-s1-18"/>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24">
    <w:name w:val="reader-word-layer reader-word-s6-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25">
    <w:name w:val="reader-word-layer reader-word-s2-8 reader-word-s2-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26">
    <w:name w:val="reader-word-layer reader-word-s3-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27">
    <w:name w:val="_Style 34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228">
    <w:name w:val="reader-word-layer reader-word-s6-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29">
    <w:name w:val="表格"/>
    <w:basedOn w:val="1"/>
    <w:qFormat/>
    <w:uiPriority w:val="99"/>
    <w:pPr>
      <w:adjustRightInd w:val="0"/>
      <w:snapToGrid w:val="0"/>
      <w:ind w:left="-43" w:leftChars="-50" w:right="-120" w:rightChars="-43" w:hanging="97" w:hangingChars="46"/>
      <w:jc w:val="center"/>
    </w:pPr>
    <w:rPr>
      <w:rFonts w:ascii="宋体" w:hAnsi="宋体"/>
      <w:snapToGrid w:val="0"/>
      <w:szCs w:val="20"/>
    </w:rPr>
  </w:style>
  <w:style w:type="paragraph" w:customStyle="1" w:styleId="230">
    <w:name w:val="reader-word-layer reader-word-s2-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1">
    <w:name w:val="reader-word-layer reader-word-s2-1 reader-word-s2-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2">
    <w:name w:val="Char11"/>
    <w:basedOn w:val="1"/>
    <w:qFormat/>
    <w:uiPriority w:val="99"/>
    <w:pPr>
      <w:tabs>
        <w:tab w:val="left" w:pos="360"/>
      </w:tabs>
    </w:pPr>
    <w:rPr>
      <w:sz w:val="24"/>
      <w:szCs w:val="24"/>
    </w:rPr>
  </w:style>
  <w:style w:type="paragraph" w:customStyle="1" w:styleId="233">
    <w:name w:val="reader-word-layer reader-word-s1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4">
    <w:name w:val="reader-word-layer reader-word-s12-17"/>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5">
    <w:name w:val="reader-word-layer reader-word-s11-14"/>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6">
    <w:name w:val="reader-word-layer reader-word-s6-1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7">
    <w:name w:val="reader-word-layer reader-word-s7-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8">
    <w:name w:val="样式 左侧:  2 字符 首行缩进:  1.1 字符"/>
    <w:basedOn w:val="1"/>
    <w:qFormat/>
    <w:uiPriority w:val="99"/>
    <w:pPr>
      <w:adjustRightInd w:val="0"/>
      <w:snapToGrid w:val="0"/>
      <w:spacing w:before="120" w:line="500" w:lineRule="exact"/>
      <w:ind w:firstLine="560" w:firstLineChars="200"/>
    </w:pPr>
    <w:rPr>
      <w:snapToGrid w:val="0"/>
      <w:kern w:val="0"/>
      <w:sz w:val="28"/>
      <w:szCs w:val="21"/>
    </w:rPr>
  </w:style>
  <w:style w:type="paragraph" w:customStyle="1" w:styleId="239">
    <w:name w:val="reader-word-layer reader-word-s13-4"/>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40">
    <w:name w:val="reader-word-layer reader-word-s11-2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41">
    <w:name w:val="reader-word-layer reader-word-s2-14"/>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42">
    <w:name w:val="reader-word-layer reader-word-s11-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43">
    <w:name w:val="样式 标题 1"/>
    <w:basedOn w:val="3"/>
    <w:qFormat/>
    <w:uiPriority w:val="99"/>
    <w:pPr>
      <w:spacing w:before="720" w:after="360" w:line="360" w:lineRule="auto"/>
      <w:jc w:val="center"/>
    </w:pPr>
    <w:rPr>
      <w:szCs w:val="20"/>
    </w:rPr>
  </w:style>
  <w:style w:type="paragraph" w:customStyle="1" w:styleId="244">
    <w:name w:val="reader-word-layer reader-word-s1-7"/>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45">
    <w:name w:val="reader-word-layer reader-word-s13-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46">
    <w:name w:val="reader-word-layer reader-word-s3-8"/>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47">
    <w:name w:val="Default"/>
    <w:next w:val="1"/>
    <w:qFormat/>
    <w:uiPriority w:val="0"/>
    <w:pPr>
      <w:widowControl w:val="0"/>
      <w:autoSpaceDE w:val="0"/>
      <w:autoSpaceDN w:val="0"/>
      <w:adjustRightInd w:val="0"/>
    </w:pPr>
    <w:rPr>
      <w:rFonts w:ascii="方正仿宋_GBK" w:hAnsi="Times New Roman" w:eastAsia="方正仿宋_GBK" w:cs="黑体"/>
      <w:color w:val="000000"/>
      <w:sz w:val="32"/>
      <w:szCs w:val="24"/>
      <w:lang w:val="en-US" w:eastAsia="zh-CN" w:bidi="ar-SA"/>
    </w:rPr>
  </w:style>
  <w:style w:type="paragraph" w:customStyle="1" w:styleId="248">
    <w:name w:val="Char1 Char Char Char1"/>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249">
    <w:name w:val="reader-word-layer reader-word-s11-4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50">
    <w:name w:val="TOC 标题2"/>
    <w:basedOn w:val="3"/>
    <w:next w:val="1"/>
    <w:qFormat/>
    <w:uiPriority w:val="99"/>
    <w:pPr>
      <w:widowControl/>
      <w:spacing w:before="480" w:after="0" w:line="276" w:lineRule="auto"/>
      <w:jc w:val="left"/>
      <w:outlineLvl w:val="9"/>
    </w:pPr>
    <w:rPr>
      <w:rFonts w:ascii="Cambria" w:hAnsi="Cambria" w:eastAsia="宋体"/>
      <w:color w:val="365F91"/>
      <w:kern w:val="0"/>
      <w:sz w:val="28"/>
      <w:szCs w:val="28"/>
    </w:rPr>
  </w:style>
  <w:style w:type="paragraph" w:customStyle="1" w:styleId="251">
    <w:name w:val="Char2"/>
    <w:basedOn w:val="1"/>
    <w:qFormat/>
    <w:uiPriority w:val="99"/>
    <w:pPr>
      <w:tabs>
        <w:tab w:val="left" w:pos="720"/>
      </w:tabs>
      <w:ind w:left="1060"/>
    </w:pPr>
    <w:rPr>
      <w:sz w:val="24"/>
      <w:szCs w:val="24"/>
    </w:rPr>
  </w:style>
  <w:style w:type="paragraph" w:customStyle="1" w:styleId="252">
    <w:name w:val="reader-word-layer reader-word-s3-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53">
    <w:name w:val="TOC 标题11"/>
    <w:basedOn w:val="3"/>
    <w:next w:val="1"/>
    <w:qFormat/>
    <w:uiPriority w:val="99"/>
    <w:pPr>
      <w:widowControl/>
      <w:spacing w:before="480" w:after="0" w:line="276" w:lineRule="auto"/>
      <w:jc w:val="left"/>
      <w:outlineLvl w:val="9"/>
    </w:pPr>
    <w:rPr>
      <w:rFonts w:ascii="Cambria" w:hAnsi="Cambria" w:eastAsia="宋体"/>
      <w:b/>
      <w:color w:val="365F91"/>
      <w:kern w:val="0"/>
      <w:sz w:val="28"/>
      <w:szCs w:val="28"/>
    </w:rPr>
  </w:style>
  <w:style w:type="paragraph" w:customStyle="1" w:styleId="254">
    <w:name w:val="Char Char Char1 Char Char Char Char"/>
    <w:basedOn w:val="1"/>
    <w:qFormat/>
    <w:uiPriority w:val="99"/>
    <w:pPr>
      <w:widowControl/>
      <w:spacing w:after="160" w:line="240" w:lineRule="exact"/>
      <w:jc w:val="left"/>
    </w:pPr>
    <w:rPr>
      <w:kern w:val="0"/>
      <w:sz w:val="24"/>
      <w:szCs w:val="24"/>
      <w:lang w:eastAsia="en-US" w:bidi="en-US"/>
    </w:rPr>
  </w:style>
  <w:style w:type="paragraph" w:customStyle="1" w:styleId="255">
    <w:name w:val="1级标题"/>
    <w:basedOn w:val="3"/>
    <w:qFormat/>
    <w:uiPriority w:val="99"/>
    <w:pPr>
      <w:widowControl/>
      <w:numPr>
        <w:ilvl w:val="0"/>
        <w:numId w:val="3"/>
      </w:numPr>
      <w:tabs>
        <w:tab w:val="left" w:pos="420"/>
      </w:tabs>
      <w:spacing w:beforeLines="150" w:after="300" w:line="360" w:lineRule="auto"/>
      <w:jc w:val="center"/>
    </w:pPr>
    <w:rPr>
      <w:rFonts w:ascii="黑体" w:hAnsi="仿宋" w:eastAsia="黑体"/>
      <w:b/>
      <w:sz w:val="32"/>
      <w:szCs w:val="32"/>
    </w:rPr>
  </w:style>
  <w:style w:type="paragraph" w:customStyle="1" w:styleId="256">
    <w:name w:val="Char Char Char1 Char Char Char Char1"/>
    <w:basedOn w:val="1"/>
    <w:qFormat/>
    <w:uiPriority w:val="99"/>
    <w:pPr>
      <w:widowControl/>
      <w:spacing w:after="160" w:line="240" w:lineRule="exact"/>
      <w:jc w:val="left"/>
    </w:pPr>
    <w:rPr>
      <w:kern w:val="0"/>
      <w:sz w:val="24"/>
      <w:szCs w:val="24"/>
      <w:lang w:eastAsia="en-US"/>
    </w:rPr>
  </w:style>
  <w:style w:type="paragraph" w:customStyle="1" w:styleId="257">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58">
    <w:name w:val="样式 3级标题 + 加粗"/>
    <w:basedOn w:val="1"/>
    <w:qFormat/>
    <w:uiPriority w:val="99"/>
    <w:pPr>
      <w:spacing w:beforeLines="50" w:afterLines="50" w:line="360" w:lineRule="auto"/>
      <w:jc w:val="left"/>
      <w:outlineLvl w:val="2"/>
    </w:pPr>
    <w:rPr>
      <w:rFonts w:ascii="仿宋_GB2312" w:hAnsi="仿宋" w:eastAsia="仿宋_GB2312"/>
      <w:bCs/>
      <w:sz w:val="28"/>
      <w:szCs w:val="28"/>
    </w:rPr>
  </w:style>
  <w:style w:type="paragraph" w:customStyle="1" w:styleId="259">
    <w:name w:val="_Style 4"/>
    <w:basedOn w:val="1"/>
    <w:next w:val="1"/>
    <w:qFormat/>
    <w:uiPriority w:val="99"/>
    <w:pPr>
      <w:spacing w:line="360" w:lineRule="auto"/>
      <w:ind w:firstLine="200" w:firstLineChars="200"/>
    </w:pPr>
    <w:rPr>
      <w:szCs w:val="24"/>
    </w:rPr>
  </w:style>
  <w:style w:type="paragraph" w:customStyle="1" w:styleId="260">
    <w:name w:val="reader-word-layer reader-word-s13-8"/>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61">
    <w:name w:val="reader-word-layer reader-word-s7-7"/>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62">
    <w:name w:val="样式 行距: 1.5 倍行距 首行缩进:  2 字符"/>
    <w:basedOn w:val="1"/>
    <w:qFormat/>
    <w:uiPriority w:val="99"/>
    <w:pPr>
      <w:spacing w:before="100" w:beforeAutospacing="1" w:line="360" w:lineRule="auto"/>
      <w:ind w:firstLine="200" w:firstLineChars="200"/>
    </w:pPr>
    <w:rPr>
      <w:rFonts w:cs="宋体"/>
      <w:sz w:val="28"/>
      <w:szCs w:val="20"/>
    </w:rPr>
  </w:style>
  <w:style w:type="paragraph" w:customStyle="1" w:styleId="263">
    <w:name w:val="Char Char1 Char Char Char Char Char Char Char Char Char Char Char Char Char Char1 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264">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265">
    <w:name w:val="Char Char Char1 Char Char Char Char Char Char Char 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66">
    <w:name w:val="reader-word-layer reader-word-s3-4"/>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67">
    <w:name w:val="reader-word-layer reader-word-s6-2 reader-word-s6-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68">
    <w:name w:val="Char Char131"/>
    <w:basedOn w:val="1"/>
    <w:qFormat/>
    <w:uiPriority w:val="99"/>
    <w:pPr>
      <w:widowControl/>
      <w:spacing w:after="160" w:line="240" w:lineRule="exact"/>
      <w:jc w:val="left"/>
    </w:pPr>
  </w:style>
  <w:style w:type="paragraph" w:customStyle="1" w:styleId="269">
    <w:name w:val="Char Char13"/>
    <w:basedOn w:val="1"/>
    <w:qFormat/>
    <w:uiPriority w:val="99"/>
    <w:pPr>
      <w:widowControl/>
      <w:spacing w:after="160" w:line="240" w:lineRule="exact"/>
      <w:jc w:val="left"/>
    </w:pPr>
  </w:style>
  <w:style w:type="paragraph" w:customStyle="1" w:styleId="270">
    <w:name w:val="reader-word-layer reader-word-s12-4 reader-word-s12-8"/>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71">
    <w:name w:val="reader-word-layer reader-word-s7-6"/>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72">
    <w:name w:val="2级编号"/>
    <w:basedOn w:val="1"/>
    <w:qFormat/>
    <w:uiPriority w:val="0"/>
    <w:pPr>
      <w:widowControl/>
      <w:adjustRightInd w:val="0"/>
      <w:spacing w:before="260" w:after="260" w:line="360" w:lineRule="auto"/>
      <w:jc w:val="left"/>
      <w:outlineLvl w:val="1"/>
    </w:pPr>
    <w:rPr>
      <w:rFonts w:ascii="仿宋_GB2312" w:hAnsi="仿宋" w:eastAsia="仿宋_GB2312"/>
      <w:b/>
      <w:kern w:val="0"/>
      <w:sz w:val="28"/>
      <w:szCs w:val="28"/>
    </w:rPr>
  </w:style>
  <w:style w:type="paragraph" w:customStyle="1" w:styleId="273">
    <w:name w:val="列出段落12"/>
    <w:basedOn w:val="1"/>
    <w:qFormat/>
    <w:uiPriority w:val="99"/>
    <w:pPr>
      <w:ind w:firstLine="420" w:firstLineChars="200"/>
    </w:pPr>
  </w:style>
  <w:style w:type="paragraph" w:customStyle="1" w:styleId="274">
    <w:name w:val="reader-word-layer reader-word-s1-1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75">
    <w:name w:val="reader-word-layer reader-word-s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76">
    <w:name w:val="Char Char Char Char Char Char Char Char Char Char1"/>
    <w:basedOn w:val="1"/>
    <w:qFormat/>
    <w:uiPriority w:val="99"/>
    <w:pPr>
      <w:tabs>
        <w:tab w:val="left" w:pos="720"/>
      </w:tabs>
      <w:ind w:left="1060" w:hanging="420"/>
    </w:pPr>
    <w:rPr>
      <w:sz w:val="24"/>
      <w:szCs w:val="24"/>
    </w:rPr>
  </w:style>
  <w:style w:type="paragraph" w:customStyle="1" w:styleId="277">
    <w:name w:val="三级标题"/>
    <w:basedOn w:val="1"/>
    <w:qFormat/>
    <w:uiPriority w:val="99"/>
    <w:pPr>
      <w:spacing w:line="560" w:lineRule="exact"/>
      <w:ind w:firstLine="200" w:firstLineChars="200"/>
      <w:outlineLvl w:val="2"/>
    </w:pPr>
    <w:rPr>
      <w:rFonts w:eastAsia="仿宋_GB2312"/>
      <w:b/>
      <w:sz w:val="30"/>
      <w:szCs w:val="30"/>
    </w:rPr>
  </w:style>
  <w:style w:type="paragraph" w:customStyle="1" w:styleId="278">
    <w:name w:val="reader-word-layer reader-word-s11-27"/>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reader-word-layer reader-word-s13-1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0">
    <w:name w:val="reader-word-layer reader-word-s11-38"/>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1">
    <w:name w:val="zhueconte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2">
    <w:name w:val="BodyText"/>
    <w:basedOn w:val="1"/>
    <w:next w:val="283"/>
    <w:qFormat/>
    <w:uiPriority w:val="0"/>
    <w:pPr>
      <w:jc w:val="center"/>
      <w:textAlignment w:val="baseline"/>
    </w:pPr>
  </w:style>
  <w:style w:type="paragraph" w:customStyle="1" w:styleId="283">
    <w:name w:val="UserStyle_0"/>
    <w:qFormat/>
    <w:uiPriority w:val="0"/>
    <w:pPr>
      <w:textAlignment w:val="baseline"/>
    </w:pPr>
    <w:rPr>
      <w:rFonts w:ascii="Helvetica" w:hAnsi="Helvetica" w:eastAsia="Helvetica" w:cs="Times New Roman"/>
      <w:color w:val="000000"/>
      <w:sz w:val="22"/>
      <w:szCs w:val="22"/>
      <w:lang w:val="en-US" w:eastAsia="zh-CN" w:bidi="ar-SA"/>
    </w:rPr>
  </w:style>
  <w:style w:type="character" w:customStyle="1" w:styleId="284">
    <w:name w:val="16"/>
    <w:basedOn w:val="45"/>
    <w:qFormat/>
    <w:uiPriority w:val="0"/>
    <w:rPr>
      <w:rFonts w:hint="eastAsia" w:ascii="方正仿宋_GBK" w:hAnsi="方正仿宋_GBK" w:eastAsia="方正仿宋_GBK" w:cs="方正仿宋_GBK"/>
      <w:color w:val="000000"/>
      <w:sz w:val="24"/>
      <w:szCs w:val="24"/>
    </w:rPr>
  </w:style>
  <w:style w:type="character" w:customStyle="1" w:styleId="285">
    <w:name w:val="17"/>
    <w:basedOn w:val="45"/>
    <w:qFormat/>
    <w:uiPriority w:val="0"/>
    <w:rPr>
      <w:rFonts w:hint="eastAsia" w:ascii="宋体" w:hAnsi="宋体" w:eastAsia="宋体" w:cs="宋体"/>
      <w:color w:val="000000"/>
      <w:sz w:val="24"/>
      <w:szCs w:val="24"/>
    </w:rPr>
  </w:style>
  <w:style w:type="character" w:customStyle="1" w:styleId="286">
    <w:name w:val="10"/>
    <w:basedOn w:val="45"/>
    <w:qFormat/>
    <w:uiPriority w:val="0"/>
    <w:rPr>
      <w:rFonts w:hint="default" w:ascii="Times New Roman" w:hAnsi="Times New Roman" w:cs="Times New Roman"/>
    </w:rPr>
  </w:style>
  <w:style w:type="character" w:customStyle="1" w:styleId="287">
    <w:name w:val="15"/>
    <w:basedOn w:val="45"/>
    <w:qFormat/>
    <w:uiPriority w:val="0"/>
    <w:rPr>
      <w:rFonts w:hint="default" w:ascii="Times New Roman" w:hAnsi="Times New Roman" w:cs="Times New Roman"/>
      <w:color w:val="000000"/>
      <w:sz w:val="24"/>
      <w:szCs w:val="24"/>
    </w:rPr>
  </w:style>
  <w:style w:type="paragraph" w:customStyle="1" w:styleId="288">
    <w:name w:val="报告正文"/>
    <w:basedOn w:val="1"/>
    <w:qFormat/>
    <w:uiPriority w:val="0"/>
    <w:pPr>
      <w:spacing w:line="560" w:lineRule="exact"/>
      <w:ind w:firstLine="560" w:firstLineChars="200"/>
    </w:pPr>
    <w:rPr>
      <w:rFonts w:eastAsia="仿宋_GB2312"/>
      <w:sz w:val="28"/>
      <w:szCs w:val="28"/>
    </w:rPr>
  </w:style>
  <w:style w:type="paragraph" w:customStyle="1" w:styleId="289">
    <w:name w:val="标准"/>
    <w:basedOn w:val="1"/>
    <w:qFormat/>
    <w:uiPriority w:val="0"/>
    <w:pPr>
      <w:ind w:firstLine="200" w:firstLineChars="200"/>
    </w:pPr>
    <w:rPr>
      <w:rFonts w:hint="eastAsia" w:ascii="仿宋_GB2312" w:hAnsi="宋体" w:eastAsia="仿宋_GB2312"/>
      <w:kern w:val="0"/>
      <w:sz w:val="24"/>
      <w:szCs w:val="24"/>
    </w:rPr>
  </w:style>
  <w:style w:type="character" w:customStyle="1" w:styleId="290">
    <w:name w:val="21"/>
    <w:basedOn w:val="45"/>
    <w:qFormat/>
    <w:uiPriority w:val="0"/>
    <w:rPr>
      <w:rFonts w:hint="default" w:ascii="Times New Roman" w:hAnsi="Times New Roman" w:cs="Times New Roman"/>
      <w:color w:val="000000"/>
      <w:sz w:val="20"/>
      <w:szCs w:val="20"/>
    </w:rPr>
  </w:style>
  <w:style w:type="character" w:customStyle="1" w:styleId="291">
    <w:name w:val="20"/>
    <w:basedOn w:val="45"/>
    <w:qFormat/>
    <w:uiPriority w:val="0"/>
    <w:rPr>
      <w:rFonts w:hint="default" w:ascii="Times New Roman" w:hAnsi="Times New Roman" w:cs="Times New Roman"/>
      <w:color w:val="000000"/>
      <w:sz w:val="20"/>
      <w:szCs w:val="20"/>
    </w:rPr>
  </w:style>
  <w:style w:type="character" w:customStyle="1" w:styleId="292">
    <w:name w:val="23"/>
    <w:basedOn w:val="45"/>
    <w:qFormat/>
    <w:uiPriority w:val="0"/>
    <w:rPr>
      <w:rFonts w:hint="eastAsia" w:ascii="宋体" w:hAnsi="宋体" w:eastAsia="宋体" w:cs="宋体"/>
      <w:color w:val="000000"/>
      <w:sz w:val="20"/>
      <w:szCs w:val="20"/>
    </w:rPr>
  </w:style>
  <w:style w:type="character" w:customStyle="1" w:styleId="293">
    <w:name w:val="18"/>
    <w:basedOn w:val="45"/>
    <w:qFormat/>
    <w:uiPriority w:val="0"/>
    <w:rPr>
      <w:rFonts w:hint="eastAsia" w:ascii="宋体" w:hAnsi="宋体" w:eastAsia="宋体" w:cs="宋体"/>
      <w:color w:val="000000"/>
      <w:sz w:val="20"/>
      <w:szCs w:val="20"/>
    </w:rPr>
  </w:style>
  <w:style w:type="character" w:customStyle="1" w:styleId="294">
    <w:name w:val="25"/>
    <w:basedOn w:val="45"/>
    <w:qFormat/>
    <w:uiPriority w:val="0"/>
    <w:rPr>
      <w:rFonts w:hint="eastAsia" w:ascii="宋体" w:hAnsi="宋体" w:eastAsia="宋体" w:cs="宋体"/>
      <w:color w:val="000000"/>
      <w:sz w:val="20"/>
      <w:szCs w:val="20"/>
    </w:rPr>
  </w:style>
  <w:style w:type="character" w:customStyle="1" w:styleId="295">
    <w:name w:val="19"/>
    <w:basedOn w:val="45"/>
    <w:qFormat/>
    <w:uiPriority w:val="0"/>
    <w:rPr>
      <w:rFonts w:hint="eastAsia" w:ascii="宋体" w:hAnsi="宋体" w:eastAsia="宋体" w:cs="宋体"/>
      <w:color w:val="000000"/>
      <w:sz w:val="20"/>
      <w:szCs w:val="20"/>
    </w:rPr>
  </w:style>
  <w:style w:type="character" w:customStyle="1" w:styleId="296">
    <w:name w:val="22"/>
    <w:basedOn w:val="45"/>
    <w:qFormat/>
    <w:uiPriority w:val="0"/>
    <w:rPr>
      <w:rFonts w:hint="default" w:ascii="Times New Roman" w:hAnsi="Times New Roman" w:cs="Times New Roman"/>
      <w:color w:val="000000"/>
      <w:sz w:val="20"/>
      <w:szCs w:val="20"/>
      <w:vertAlign w:val="superscript"/>
    </w:rPr>
  </w:style>
  <w:style w:type="character" w:customStyle="1" w:styleId="297">
    <w:name w:val="24"/>
    <w:basedOn w:val="45"/>
    <w:qFormat/>
    <w:uiPriority w:val="0"/>
    <w:rPr>
      <w:rFonts w:hint="eastAsia" w:ascii="宋体" w:hAnsi="宋体" w:eastAsia="宋体" w:cs="宋体"/>
      <w:color w:val="000000"/>
      <w:sz w:val="20"/>
      <w:szCs w:val="20"/>
    </w:rPr>
  </w:style>
  <w:style w:type="paragraph" w:customStyle="1" w:styleId="298">
    <w:name w:val="正文内容"/>
    <w:unhideWhenUsed/>
    <w:qFormat/>
    <w:uiPriority w:val="0"/>
    <w:pPr>
      <w:widowControl w:val="0"/>
      <w:spacing w:line="560" w:lineRule="exact"/>
      <w:ind w:firstLine="640" w:firstLineChars="200"/>
      <w:jc w:val="both"/>
    </w:pPr>
    <w:rPr>
      <w:rFonts w:hint="eastAsia" w:ascii="方正仿宋_GBK" w:hAnsi="Times New Roman" w:eastAsia="方正仿宋_GBK" w:cs="Times New Roman"/>
      <w:kern w:val="2"/>
      <w:sz w:val="32"/>
      <w:lang w:val="en-US" w:eastAsia="zh-CN" w:bidi="ar-SA"/>
    </w:rPr>
  </w:style>
  <w:style w:type="character" w:customStyle="1" w:styleId="299">
    <w:name w:val="NormalCharacter"/>
    <w:unhideWhenUsed/>
    <w:qFormat/>
    <w:uiPriority w:val="0"/>
    <w:rPr>
      <w:rFonts w:hint="default" w:ascii="Calibri" w:hAnsi="Calibri" w:eastAsia="方正仿宋_GBK"/>
      <w:kern w:val="2"/>
      <w:sz w:val="32"/>
      <w:lang w:val="en-US" w:eastAsia="zh-CN"/>
    </w:rPr>
  </w:style>
  <w:style w:type="paragraph" w:customStyle="1" w:styleId="300">
    <w:name w:val="正文缩进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1"/>
    <customShpInfo spid="_x0000_s2052"/>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B678F8-AB09-4155-BB26-A7429DCF4CB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195</Words>
  <Characters>228</Characters>
  <Lines>155</Lines>
  <Paragraphs>43</Paragraphs>
  <TotalTime>3</TotalTime>
  <ScaleCrop>false</ScaleCrop>
  <LinksUpToDate>false</LinksUpToDate>
  <CharactersWithSpaces>273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2021-12-30T09:14:00Z</dcterms:created>
  <dc:creator>wyl</dc:creator>
  <cp:lastModifiedBy>温星星</cp:lastModifiedBy>
  <cp:lastPrinted>2021-12-30T09:17:00Z</cp:lastPrinted>
  <dcterms:modified xsi:type="dcterms:W3CDTF">2025-01-15T06:36:26Z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cf1e60af764444bb9bf03718eedd624b</vt:lpwstr>
  </property>
  <property fmtid="{D5CDD505-2E9C-101B-9397-08002B2CF9AE}" pid="4" name="KSOTemplateDocerSaveRecord">
    <vt:lpwstr>eyJoZGlkIjoiZDRlMTI0ZmZkNWVkNDk2ZTg4NWYwOTQyMjQxMmY4NGEiLCJ1c2VySWQiOiIxMzIzODcwMDMzIn0=</vt:lpwstr>
  </property>
</Properties>
</file>