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17F0C">
      <w:pPr>
        <w:pStyle w:val="3"/>
        <w:spacing w:before="0" w:beforeAutospacing="0" w:after="0" w:afterAutospacing="0"/>
        <w:jc w:val="center"/>
        <w:rPr>
          <w:rFonts w:ascii="Times New Roman" w:hAnsi="Times New Roman" w:eastAsia="方正仿宋_GBK"/>
          <w:b w:val="0"/>
          <w:color w:val="000000"/>
          <w:sz w:val="32"/>
        </w:rPr>
      </w:pPr>
      <w:r>
        <w:rPr>
          <w:rFonts w:ascii="Times New Roman" w:hAnsi="Times New Roman" w:eastAsia="方正仿宋_GBK"/>
          <w:b w:val="0"/>
          <w:color w:val="000000"/>
          <w:sz w:val="32"/>
        </w:rPr>
        <w:pict>
          <v:group id="_x0000_s2050" o:spid="_x0000_s2050" o:spt="203" style="position:absolute;left:0pt;margin-left:-14.15pt;margin-top:4.75pt;height:234.6pt;width:479.25pt;z-index:251659264;mso-width-relative:page;mso-height-relative:page;" coordorigin="1248,2223" coordsize="9585,4692">
            <o:lock v:ext="edit"/>
            <v:shape id="文本框 2" o:spid="_x0000_s2051" o:spt="202" alt="文本框: 酉阳土家族苗族自治县人民政府办公室文件&#10;&#10;" type="#_x0000_t202" style="position:absolute;left:1248;top:2223;height:3555;width:9585;" stroked="t" coordsize="21600,21600">
              <v:path/>
              <v:fill focussize="0,0"/>
              <v:stroke weight="1pt" color="#FFFFFF" dashstyle="dash"/>
              <v:imagedata o:title=""/>
              <o:lock v:ext="edit"/>
              <v:textbox>
                <w:txbxContent>
                  <w:p w14:paraId="56E7C2F8">
                    <w:pPr>
                      <w:snapToGrid w:val="0"/>
                      <w:ind w:firstLine="198"/>
                      <w:jc w:val="center"/>
                      <w:rPr>
                        <w:rFonts w:ascii="方正小标宋_GBK" w:hAnsi="方正小标宋_GBK" w:eastAsia="方正小标宋_GBK" w:cs="方正小标宋_GBK"/>
                        <w:b/>
                        <w:color w:val="000000"/>
                        <w:w w:val="50"/>
                        <w:sz w:val="104"/>
                        <w:szCs w:val="104"/>
                      </w:rPr>
                    </w:pPr>
                  </w:p>
                  <w:p w14:paraId="6C6430A7">
                    <w:pPr>
                      <w:snapToGrid w:val="0"/>
                      <w:jc w:val="center"/>
                      <w:rPr>
                        <w:rFonts w:ascii="方正小标宋_GBK" w:hAnsi="方正小标宋_GBK" w:eastAsia="方正小标宋_GBK" w:cs="方正小标宋_GBK"/>
                        <w:b/>
                        <w:color w:val="FF0000"/>
                        <w:spacing w:val="-12"/>
                        <w:w w:val="50"/>
                        <w:sz w:val="101"/>
                        <w:szCs w:val="101"/>
                      </w:rPr>
                    </w:pPr>
                    <w:r>
                      <w:rPr>
                        <w:rFonts w:hint="eastAsia" w:ascii="方正小标宋_GBK" w:hAnsi="方正小标宋_GBK" w:eastAsia="方正小标宋_GBK" w:cs="方正小标宋_GBK"/>
                        <w:b/>
                        <w:color w:val="FF0000"/>
                        <w:spacing w:val="-12"/>
                        <w:w w:val="50"/>
                        <w:sz w:val="101"/>
                        <w:szCs w:val="101"/>
                      </w:rPr>
                      <w:t>酉阳土家族苗族自治县人民政府办公室文件</w:t>
                    </w:r>
                  </w:p>
                  <w:p w14:paraId="0BA44902">
                    <w:pPr>
                      <w:jc w:val="center"/>
                    </w:pPr>
                  </w:p>
                </w:txbxContent>
              </v:textbox>
            </v:shape>
            <v:shape id="自选图形 3" o:spid="_x0000_s2052" o:spt="32" type="#_x0000_t32" style="position:absolute;left:1545;top:6915;height:0;width:9243;" o:connectortype="straight" filled="f" stroked="t" coordsize="21600,21600">
              <v:path arrowok="t"/>
              <v:fill on="f" focussize="0,0"/>
              <v:stroke weight="1.75pt" color="#FF0000"/>
              <v:imagedata o:title=""/>
              <o:lock v:ext="edit"/>
            </v:shape>
          </v:group>
        </w:pict>
      </w:r>
    </w:p>
    <w:p w14:paraId="5D8A45E1">
      <w:pPr>
        <w:rPr>
          <w:color w:val="000000"/>
        </w:rPr>
      </w:pPr>
    </w:p>
    <w:p w14:paraId="6F4FE9FF">
      <w:pPr>
        <w:pStyle w:val="2"/>
        <w:rPr>
          <w:rFonts w:ascii="Times New Roman"/>
          <w:sz w:val="32"/>
        </w:rPr>
      </w:pPr>
    </w:p>
    <w:p w14:paraId="480B0E5D">
      <w:pPr>
        <w:rPr>
          <w:color w:val="000000"/>
        </w:rPr>
      </w:pPr>
    </w:p>
    <w:p w14:paraId="4C60E78B">
      <w:pPr>
        <w:pStyle w:val="2"/>
        <w:rPr>
          <w:rFonts w:ascii="Times New Roman"/>
          <w:sz w:val="32"/>
        </w:rPr>
      </w:pPr>
    </w:p>
    <w:p w14:paraId="47676F6B"/>
    <w:p w14:paraId="52C1712F">
      <w:pPr>
        <w:pStyle w:val="3"/>
        <w:spacing w:before="0" w:beforeAutospacing="0" w:after="0" w:afterAutospacing="0"/>
        <w:jc w:val="center"/>
        <w:rPr>
          <w:rFonts w:ascii="Times New Roman" w:hAnsi="Times New Roman" w:eastAsia="方正仿宋_GBK"/>
          <w:b w:val="0"/>
          <w:color w:val="000000"/>
          <w:sz w:val="32"/>
        </w:rPr>
      </w:pPr>
    </w:p>
    <w:p w14:paraId="01DD280E">
      <w:pPr>
        <w:pStyle w:val="3"/>
        <w:spacing w:before="0" w:beforeAutospacing="0" w:after="0" w:afterAutospacing="0"/>
        <w:jc w:val="center"/>
        <w:rPr>
          <w:rFonts w:ascii="Times New Roman" w:hAnsi="Times New Roman" w:eastAsia="方正仿宋_GBK"/>
          <w:b w:val="0"/>
          <w:color w:val="000000"/>
          <w:sz w:val="32"/>
        </w:rPr>
      </w:pPr>
      <w:r>
        <w:rPr>
          <w:rFonts w:hint="eastAsia" w:ascii="Times New Roman" w:hAnsi="Times New Roman" w:eastAsia="方正仿宋_GBK"/>
          <w:b w:val="0"/>
          <w:color w:val="000000"/>
          <w:sz w:val="32"/>
        </w:rPr>
        <w:t>酉阳府办发〔2021〕11号</w:t>
      </w:r>
    </w:p>
    <w:p w14:paraId="1F53A531"/>
    <w:p w14:paraId="338376E3">
      <w:pPr>
        <w:pStyle w:val="2"/>
      </w:pPr>
    </w:p>
    <w:p w14:paraId="068BBDE5">
      <w:pPr>
        <w:pStyle w:val="3"/>
        <w:snapToGrid w:val="0"/>
        <w:spacing w:before="0" w:beforeAutospacing="0" w:after="0" w:afterAutospacing="0"/>
        <w:jc w:val="center"/>
        <w:rPr>
          <w:rFonts w:ascii="Times New Roman" w:hAnsi="Times New Roman" w:eastAsia="方正小标宋_GBK"/>
          <w:b w:val="0"/>
          <w:sz w:val="44"/>
        </w:rPr>
      </w:pPr>
      <w:r>
        <w:rPr>
          <w:rFonts w:hint="eastAsia" w:ascii="Times New Roman" w:hAnsi="Times New Roman" w:eastAsia="方正小标宋_GBK"/>
          <w:b w:val="0"/>
          <w:color w:val="000000"/>
          <w:sz w:val="44"/>
        </w:rPr>
        <w:t>酉阳土家族苗族自治县人民政府办公室</w:t>
      </w:r>
    </w:p>
    <w:p w14:paraId="56D9B9D8">
      <w:pPr>
        <w:snapToGrid w:val="0"/>
        <w:jc w:val="center"/>
        <w:textAlignment w:val="baseline"/>
        <w:rPr>
          <w:rFonts w:eastAsia="方正小标宋_GBK"/>
          <w:kern w:val="0"/>
          <w:sz w:val="44"/>
        </w:rPr>
      </w:pPr>
      <w:r>
        <w:rPr>
          <w:rFonts w:hint="eastAsia" w:eastAsia="方正小标宋_GBK"/>
          <w:kern w:val="0"/>
          <w:sz w:val="44"/>
        </w:rPr>
        <w:t>关于印发酉阳自治县人力资源和社会保障事业发展“十四五”规划（2021-2025年）的通知</w:t>
      </w:r>
    </w:p>
    <w:p w14:paraId="0F7181F3">
      <w:pPr>
        <w:rPr>
          <w:rFonts w:eastAsia="仿宋_GB2312"/>
        </w:rPr>
      </w:pPr>
      <w:r>
        <w:rPr>
          <w:rFonts w:eastAsia="仿宋_GB2312"/>
        </w:rPr>
        <w:t xml:space="preserve"> </w:t>
      </w:r>
    </w:p>
    <w:p w14:paraId="5A3284F4">
      <w:pPr>
        <w:spacing w:line="540" w:lineRule="exact"/>
      </w:pPr>
      <w:r>
        <w:rPr>
          <w:rFonts w:hint="eastAsia"/>
        </w:rPr>
        <w:t>各乡镇人民政府，各街道办事处，县府各部门，有关单位：</w:t>
      </w:r>
    </w:p>
    <w:p w14:paraId="6497BADC">
      <w:pPr>
        <w:spacing w:line="540" w:lineRule="exact"/>
        <w:ind w:firstLine="636" w:firstLineChars="200"/>
      </w:pPr>
      <w:r>
        <w:rPr>
          <w:rFonts w:hint="eastAsia"/>
        </w:rPr>
        <w:t>《酉阳自治县人力资源和社会保障事业发展“十四五”规划（2021-2025年）》已经县政府同意，现印发给你们，请认真抓好贯彻落实。</w:t>
      </w:r>
    </w:p>
    <w:p w14:paraId="7CA19410">
      <w:pPr>
        <w:spacing w:line="540" w:lineRule="exact"/>
        <w:rPr>
          <w:rFonts w:eastAsia="宋体"/>
          <w:sz w:val="21"/>
        </w:rPr>
      </w:pPr>
    </w:p>
    <w:p w14:paraId="36A7970F">
      <w:pPr>
        <w:spacing w:line="540" w:lineRule="exact"/>
        <w:ind w:firstLine="636" w:firstLineChars="200"/>
      </w:pPr>
      <w:r>
        <w:t xml:space="preserve">               </w:t>
      </w:r>
      <w:r>
        <w:rPr>
          <w:rFonts w:hint="eastAsia"/>
        </w:rPr>
        <w:t>酉阳土家族苗族自治县人民政府办公室</w:t>
      </w:r>
    </w:p>
    <w:p w14:paraId="295305CD">
      <w:pPr>
        <w:spacing w:line="540" w:lineRule="exact"/>
        <w:ind w:firstLine="636" w:firstLineChars="200"/>
      </w:pPr>
      <w:r>
        <w:t xml:space="preserve">                         2021</w:t>
      </w:r>
      <w:r>
        <w:rPr>
          <w:rFonts w:hint="eastAsia"/>
        </w:rPr>
        <w:t>年</w:t>
      </w:r>
      <w:r>
        <w:t>12</w:t>
      </w:r>
      <w:r>
        <w:rPr>
          <w:rFonts w:hint="eastAsia"/>
        </w:rPr>
        <w:t>月29日</w:t>
      </w:r>
    </w:p>
    <w:p w14:paraId="196B1386">
      <w:pPr>
        <w:spacing w:line="540" w:lineRule="exact"/>
        <w:ind w:firstLine="636" w:firstLineChars="200"/>
      </w:pPr>
      <w:r>
        <w:rPr>
          <w:rFonts w:hint="eastAsia"/>
        </w:rPr>
        <w:t>（此件公开发布）</w:t>
      </w:r>
    </w:p>
    <w:p w14:paraId="37968D2C">
      <w:pPr>
        <w:adjustRightInd w:val="0"/>
        <w:sectPr>
          <w:headerReference r:id="rId5" w:type="first"/>
          <w:headerReference r:id="rId3" w:type="default"/>
          <w:footerReference r:id="rId6" w:type="default"/>
          <w:headerReference r:id="rId4" w:type="even"/>
          <w:pgSz w:w="11906" w:h="16838"/>
          <w:pgMar w:top="2098" w:right="1474" w:bottom="1985" w:left="1531" w:header="851" w:footer="1474" w:gutter="0"/>
          <w:cols w:space="720" w:num="1"/>
          <w:docGrid w:type="linesAndChars" w:linePitch="579" w:charSpace="-432"/>
        </w:sectPr>
      </w:pPr>
    </w:p>
    <w:p w14:paraId="4C3C3548">
      <w:pPr>
        <w:adjustRightInd w:val="0"/>
        <w:snapToGrid w:val="0"/>
        <w:jc w:val="center"/>
        <w:rPr>
          <w:rFonts w:eastAsia="方正小标宋_GBK"/>
          <w:color w:val="000000" w:themeColor="text1"/>
          <w:spacing w:val="-11"/>
          <w:sz w:val="48"/>
          <w:szCs w:val="48"/>
        </w:rPr>
      </w:pPr>
    </w:p>
    <w:p w14:paraId="59B0B6B1">
      <w:pPr>
        <w:adjustRightInd w:val="0"/>
        <w:snapToGrid w:val="0"/>
        <w:jc w:val="center"/>
        <w:rPr>
          <w:rFonts w:eastAsia="方正小标宋_GBK"/>
          <w:color w:val="000000" w:themeColor="text1"/>
          <w:spacing w:val="-11"/>
          <w:sz w:val="48"/>
          <w:szCs w:val="48"/>
        </w:rPr>
      </w:pPr>
    </w:p>
    <w:p w14:paraId="04DAF43E">
      <w:pPr>
        <w:adjustRightInd w:val="0"/>
        <w:snapToGrid w:val="0"/>
        <w:jc w:val="center"/>
        <w:rPr>
          <w:rFonts w:eastAsia="方正小标宋_GBK"/>
          <w:color w:val="000000" w:themeColor="text1"/>
          <w:spacing w:val="-11"/>
          <w:sz w:val="44"/>
          <w:szCs w:val="44"/>
        </w:rPr>
      </w:pPr>
      <w:r>
        <w:rPr>
          <w:rFonts w:hint="eastAsia" w:eastAsia="方正小标宋_GBK"/>
          <w:color w:val="000000" w:themeColor="text1"/>
          <w:spacing w:val="-11"/>
          <w:sz w:val="44"/>
          <w:szCs w:val="44"/>
        </w:rPr>
        <w:t>酉阳自治县人力资源和社会保障事业发展</w:t>
      </w:r>
    </w:p>
    <w:p w14:paraId="31E827E9">
      <w:pPr>
        <w:adjustRightInd w:val="0"/>
        <w:snapToGrid w:val="0"/>
        <w:jc w:val="center"/>
        <w:rPr>
          <w:rFonts w:eastAsia="方正小标宋_GBK"/>
          <w:color w:val="000000" w:themeColor="text1"/>
          <w:sz w:val="44"/>
          <w:szCs w:val="44"/>
        </w:rPr>
      </w:pPr>
      <w:r>
        <w:rPr>
          <w:rFonts w:hint="eastAsia" w:eastAsia="方正小标宋_GBK"/>
          <w:color w:val="000000" w:themeColor="text1"/>
          <w:sz w:val="44"/>
          <w:szCs w:val="44"/>
        </w:rPr>
        <w:t>“十四五”规划（2021-2025年）</w:t>
      </w:r>
    </w:p>
    <w:p w14:paraId="2756546A">
      <w:pPr>
        <w:adjustRightInd w:val="0"/>
        <w:ind w:firstLine="632" w:firstLineChars="200"/>
      </w:pPr>
    </w:p>
    <w:p w14:paraId="50E0F92C">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依据《重庆市人力资源和社会保障事业发展“十四五”规划（2</w:t>
      </w:r>
      <w:r>
        <w:rPr>
          <w:rFonts w:ascii="Times New Roman" w:hAnsi="Times New Roman" w:eastAsia="方正仿宋_GBK" w:cs="Times New Roman"/>
          <w:color w:val="000000" w:themeColor="text1"/>
          <w:sz w:val="32"/>
          <w:szCs w:val="32"/>
        </w:rPr>
        <w:t>021</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2025</w:t>
      </w:r>
      <w:r>
        <w:rPr>
          <w:rFonts w:hint="eastAsia" w:ascii="Times New Roman" w:hAnsi="Times New Roman" w:eastAsia="方正仿宋_GBK" w:cs="Times New Roman"/>
          <w:color w:val="000000" w:themeColor="text1"/>
          <w:sz w:val="32"/>
          <w:szCs w:val="32"/>
        </w:rPr>
        <w:t>年）》和《酉阳土家族苗族自治县国民经济和社会发展第十四个五年规划和</w:t>
      </w:r>
      <w:bookmarkStart w:id="56" w:name="_GoBack"/>
      <w:bookmarkEnd w:id="56"/>
      <w:r>
        <w:rPr>
          <w:rFonts w:hint="eastAsia" w:ascii="Times New Roman" w:hAnsi="Times New Roman" w:eastAsia="方正仿宋_GBK" w:cs="Times New Roman"/>
          <w:color w:val="000000" w:themeColor="text1"/>
          <w:sz w:val="32"/>
          <w:szCs w:val="32"/>
          <w:lang w:eastAsia="zh-CN"/>
        </w:rPr>
        <w:t>二〇三五年远景目标</w:t>
      </w:r>
      <w:r>
        <w:rPr>
          <w:rFonts w:hint="eastAsia" w:ascii="Times New Roman" w:hAnsi="Times New Roman" w:eastAsia="方正仿宋_GBK" w:cs="Times New Roman"/>
          <w:color w:val="000000" w:themeColor="text1"/>
          <w:sz w:val="32"/>
          <w:szCs w:val="32"/>
        </w:rPr>
        <w:t>纲要》等规定，结合酉阳自治县人力资源和社会保障事业发展现状，编制酉阳自治县人力资源和社会保障事业发展“十四五”规划（2021—2025年）。</w:t>
      </w:r>
    </w:p>
    <w:p w14:paraId="50BC20DC">
      <w:pPr>
        <w:pStyle w:val="3"/>
        <w:widowControl w:val="0"/>
        <w:adjustRightInd w:val="0"/>
        <w:spacing w:before="435" w:beforeAutospacing="0" w:after="217" w:afterAutospacing="0"/>
        <w:jc w:val="center"/>
        <w:rPr>
          <w:rFonts w:ascii="Times New Roman" w:hAnsi="Times New Roman" w:eastAsia="方正黑体_GBK" w:cs="Times New Roman"/>
          <w:b w:val="0"/>
          <w:bCs w:val="0"/>
          <w:color w:val="000000" w:themeColor="text1"/>
          <w:sz w:val="32"/>
          <w:szCs w:val="32"/>
        </w:rPr>
      </w:pPr>
      <w:bookmarkStart w:id="0" w:name="_Toc81142147"/>
      <w:r>
        <w:rPr>
          <w:rFonts w:hint="eastAsia" w:ascii="Times New Roman" w:hAnsi="Times New Roman" w:eastAsia="方正黑体_GBK" w:cs="Times New Roman"/>
          <w:b w:val="0"/>
          <w:bCs w:val="0"/>
          <w:color w:val="000000" w:themeColor="text1"/>
          <w:sz w:val="32"/>
          <w:szCs w:val="32"/>
        </w:rPr>
        <w:t>第一章 指导思想和主要目标</w:t>
      </w:r>
      <w:bookmarkEnd w:id="0"/>
      <w:r>
        <w:rPr>
          <w:rFonts w:hint="eastAsia" w:ascii="Times New Roman" w:hAnsi="Times New Roman" w:eastAsia="方正黑体_GBK" w:cs="Times New Roman"/>
          <w:b w:val="0"/>
          <w:bCs w:val="0"/>
          <w:color w:val="000000" w:themeColor="text1"/>
          <w:sz w:val="32"/>
          <w:szCs w:val="32"/>
        </w:rPr>
        <w:t xml:space="preserve"> </w:t>
      </w:r>
    </w:p>
    <w:p w14:paraId="49294827">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bookmarkStart w:id="1" w:name="_Hlk62034124"/>
      <w:r>
        <w:rPr>
          <w:rFonts w:hint="eastAsia" w:ascii="Times New Roman" w:hAnsi="Times New Roman" w:eastAsia="方正仿宋_GBK" w:cs="Times New Roman"/>
          <w:color w:val="000000" w:themeColor="text1"/>
          <w:sz w:val="32"/>
          <w:szCs w:val="32"/>
        </w:rPr>
        <w:t>“十三五”时期是我县人力社保事业快速发展的五年，“十四五”时期是机遇和挑战都有新发展变化的重要战略机遇期，全县人力社保系统将抓住机遇，应对挑战，趋利避害，奋勇前进。</w:t>
      </w:r>
      <w:bookmarkEnd w:id="1"/>
    </w:p>
    <w:p w14:paraId="4C17EBA1">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2" w:name="_Toc81142148"/>
      <w:r>
        <w:rPr>
          <w:rFonts w:hint="eastAsia" w:ascii="Times New Roman" w:hAnsi="Times New Roman" w:eastAsia="方正楷体_GBK" w:cs="Times New Roman"/>
          <w:b w:val="0"/>
          <w:bCs w:val="0"/>
          <w:color w:val="000000" w:themeColor="text1"/>
        </w:rPr>
        <w:t>第一节 发展基础</w:t>
      </w:r>
      <w:bookmarkEnd w:id="2"/>
    </w:p>
    <w:p w14:paraId="7B3E209C">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三</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时期是酉阳自治县经济和社会高质量发展的五年，也是全县人力资源和社会保障事业顺势发展的五年。五年来，在县委、县政府的坚强领导下，全县人力资源和社会保障系统坚持民生为本和人才优先的总基调，实施就业优先战略和积极就业政策，推动更充分就业，全民参保计划稳步推进，人才人事工作落到实处，努力构建和谐劳动关系，全面完成了</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三</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时期的主要目标和重点任务，为</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四</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时期发展奠定了坚实基础。</w:t>
      </w:r>
    </w:p>
    <w:p w14:paraId="7E9B7B8A">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就业局势总体稳定。全力稳就业、保居民就业，实施创业带动就业行动，扎实做好重点群体就业，积极开展</w:t>
      </w:r>
      <w:r>
        <w:rPr>
          <w:rFonts w:ascii="Times New Roman" w:hAnsi="Times New Roman" w:eastAsia="方正仿宋_GBK" w:cs="Times New Roman"/>
          <w:color w:val="000000" w:themeColor="text1"/>
          <w:sz w:val="32"/>
          <w:szCs w:val="32"/>
        </w:rPr>
        <w:t>就业技能培训</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三</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时期，全县城镇新增就业</w:t>
      </w:r>
      <w:r>
        <w:rPr>
          <w:rFonts w:ascii="Times New Roman" w:hAnsi="Times New Roman" w:eastAsia="方正仿宋_GBK" w:cs="Times New Roman"/>
          <w:color w:val="000000" w:themeColor="text1"/>
          <w:sz w:val="32"/>
          <w:szCs w:val="32"/>
        </w:rPr>
        <w:t>2.3</w:t>
      </w:r>
      <w:r>
        <w:rPr>
          <w:rFonts w:hint="eastAsia" w:ascii="Times New Roman" w:hAnsi="Times New Roman" w:eastAsia="方正仿宋_GBK" w:cs="Times New Roman"/>
          <w:color w:val="000000" w:themeColor="text1"/>
          <w:sz w:val="32"/>
          <w:szCs w:val="32"/>
        </w:rPr>
        <w:t>万人，城镇登记失业率均在年度控制目标</w:t>
      </w:r>
      <w:r>
        <w:rPr>
          <w:rFonts w:ascii="Times New Roman" w:hAnsi="Times New Roman" w:eastAsia="方正仿宋_GBK" w:cs="Times New Roman"/>
          <w:color w:val="000000" w:themeColor="text1"/>
          <w:sz w:val="32"/>
          <w:szCs w:val="32"/>
        </w:rPr>
        <w:t>3.8</w:t>
      </w:r>
      <w:r>
        <w:rPr>
          <w:rFonts w:hint="eastAsia" w:ascii="Times New Roman" w:hAnsi="Times New Roman" w:eastAsia="方正仿宋_GBK" w:cs="Times New Roman"/>
          <w:color w:val="000000" w:themeColor="text1"/>
          <w:sz w:val="32"/>
          <w:szCs w:val="32"/>
        </w:rPr>
        <w:t>%以内；重点群体就业保持稳定，</w:t>
      </w:r>
      <w:r>
        <w:rPr>
          <w:rFonts w:ascii="Times New Roman" w:hAnsi="Times New Roman" w:eastAsia="方正仿宋_GBK" w:cs="Times New Roman"/>
          <w:color w:val="000000" w:themeColor="text1"/>
          <w:sz w:val="32"/>
          <w:szCs w:val="32"/>
        </w:rPr>
        <w:t>高校毕业生就业率始终保持在95%以上</w:t>
      </w:r>
      <w:r>
        <w:rPr>
          <w:rFonts w:hint="eastAsia" w:ascii="Times New Roman" w:hAnsi="Times New Roman" w:eastAsia="方正仿宋_GBK" w:cs="Times New Roman"/>
          <w:color w:val="000000" w:themeColor="text1"/>
          <w:sz w:val="32"/>
          <w:szCs w:val="32"/>
        </w:rPr>
        <w:t>；全县城镇零就业家庭实现动态清零；创业倍增效应凸显，发放创业担保贷款5608人次</w:t>
      </w:r>
      <w:r>
        <w:rPr>
          <w:rFonts w:ascii="Times New Roman" w:hAnsi="Times New Roman" w:eastAsia="方正仿宋_GBK" w:cs="Times New Roman"/>
          <w:color w:val="000000" w:themeColor="text1"/>
          <w:sz w:val="32"/>
          <w:szCs w:val="32"/>
        </w:rPr>
        <w:t>7.7</w:t>
      </w:r>
      <w:r>
        <w:rPr>
          <w:rFonts w:hint="eastAsia" w:ascii="Times New Roman" w:hAnsi="Times New Roman" w:eastAsia="方正仿宋_GBK" w:cs="Times New Roman"/>
          <w:color w:val="000000" w:themeColor="text1"/>
          <w:sz w:val="32"/>
          <w:szCs w:val="32"/>
        </w:rPr>
        <w:t>亿元，直接扶持5608人创业，带动就业</w:t>
      </w:r>
      <w:r>
        <w:rPr>
          <w:rFonts w:ascii="Times New Roman" w:hAnsi="Times New Roman" w:eastAsia="方正仿宋_GBK" w:cs="Times New Roman"/>
          <w:color w:val="000000" w:themeColor="text1"/>
          <w:sz w:val="32"/>
          <w:szCs w:val="32"/>
        </w:rPr>
        <w:t>2.7</w:t>
      </w:r>
      <w:r>
        <w:rPr>
          <w:rFonts w:hint="eastAsia" w:ascii="Times New Roman" w:hAnsi="Times New Roman" w:eastAsia="方正仿宋_GBK" w:cs="Times New Roman"/>
          <w:color w:val="000000" w:themeColor="text1"/>
          <w:sz w:val="32"/>
          <w:szCs w:val="32"/>
        </w:rPr>
        <w:t>万人；职业培训精准覆盖，开展补贴性培训</w:t>
      </w:r>
      <w:r>
        <w:rPr>
          <w:rFonts w:ascii="Times New Roman" w:hAnsi="Times New Roman" w:eastAsia="方正仿宋_GBK" w:cs="Times New Roman"/>
          <w:color w:val="000000" w:themeColor="text1"/>
          <w:sz w:val="32"/>
          <w:szCs w:val="32"/>
        </w:rPr>
        <w:t>2.9</w:t>
      </w:r>
      <w:r>
        <w:rPr>
          <w:rFonts w:hint="eastAsia" w:ascii="Times New Roman" w:hAnsi="Times New Roman" w:eastAsia="方正仿宋_GBK" w:cs="Times New Roman"/>
          <w:color w:val="000000" w:themeColor="text1"/>
          <w:sz w:val="32"/>
          <w:szCs w:val="32"/>
        </w:rPr>
        <w:t>万人；为企业发放稳定岗位补贴82</w:t>
      </w:r>
      <w:r>
        <w:rPr>
          <w:rFonts w:ascii="Times New Roman" w:hAnsi="Times New Roman" w:eastAsia="方正仿宋_GBK" w:cs="Times New Roman"/>
          <w:color w:val="000000" w:themeColor="text1"/>
          <w:sz w:val="32"/>
          <w:szCs w:val="32"/>
        </w:rPr>
        <w:t>1</w:t>
      </w:r>
      <w:r>
        <w:rPr>
          <w:rFonts w:hint="eastAsia" w:ascii="Times New Roman" w:hAnsi="Times New Roman" w:eastAsia="方正仿宋_GBK" w:cs="Times New Roman"/>
          <w:color w:val="000000" w:themeColor="text1"/>
          <w:sz w:val="32"/>
          <w:szCs w:val="32"/>
        </w:rPr>
        <w:t>万元，困难企业稳岗返还384万元。</w:t>
      </w:r>
    </w:p>
    <w:p w14:paraId="1B6B6474">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社会保障能力进一步增强。实施全民参保计划</w:t>
      </w:r>
      <w:r>
        <w:rPr>
          <w:rFonts w:ascii="Times New Roman" w:hAnsi="Times New Roman" w:eastAsia="方正仿宋_GBK" w:cs="Times New Roman"/>
          <w:color w:val="000000" w:themeColor="text1"/>
          <w:sz w:val="32"/>
          <w:szCs w:val="32"/>
        </w:rPr>
        <w:t>，确保社会保障全覆盖</w:t>
      </w:r>
      <w:r>
        <w:rPr>
          <w:rFonts w:hint="eastAsia" w:ascii="Times New Roman" w:hAnsi="Times New Roman" w:eastAsia="方正仿宋_GBK" w:cs="Times New Roman"/>
          <w:color w:val="000000" w:themeColor="text1"/>
          <w:sz w:val="32"/>
          <w:szCs w:val="32"/>
        </w:rPr>
        <w:t>，参保覆盖面持续扩大；不断完善风险监督制度，强化基金安全可持续运行；</w:t>
      </w:r>
      <w:r>
        <w:rPr>
          <w:rFonts w:ascii="Times New Roman" w:hAnsi="Times New Roman" w:eastAsia="方正仿宋_GBK" w:cs="Times New Roman"/>
          <w:color w:val="000000" w:themeColor="text1"/>
          <w:sz w:val="32"/>
          <w:szCs w:val="32"/>
        </w:rPr>
        <w:t>全面落实社会保险待遇，城镇、城乡基本养老待遇每月按时足额发放</w:t>
      </w:r>
      <w:r>
        <w:rPr>
          <w:rFonts w:hint="eastAsia" w:ascii="Times New Roman" w:hAnsi="Times New Roman" w:eastAsia="方正仿宋_GBK" w:cs="Times New Roman"/>
          <w:color w:val="000000" w:themeColor="text1"/>
          <w:sz w:val="32"/>
          <w:szCs w:val="32"/>
        </w:rPr>
        <w:t>，连续五年调高养老基金标准，社保待遇稳步提高；积极落实各项援企稳岗政策，降费减负落地到位，助力企业减负增效。</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三</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期末，全县参加城乡居民社会养老保险总人数达36.3万人，城镇企业职工基本养老保险参保人数达4.5万人，机关事业养老保险参保人数达1.6万人，征地农转非参保人数达3.6万人，工伤保险参保人数达3.8万人以上，失业保险参保人数达3.9万人。</w:t>
      </w:r>
    </w:p>
    <w:p w14:paraId="0BB86731">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人才兴县战略大力实施。持续优化人才发展环境，壮大专业技术人才队伍和技能人才队伍，为酉阳自治县经济和社会发展提供了坚实的人才支撑；制定了《酉阳自治县人才建设系列管理办法》《酉阳自治县卫生计生事业单位人事管理办法》等规定，开展对现有人才的培训工作。</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三</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期末，引进各类人才1951人，其中：专技人才1435人，评定专业技术人员中级职称4822人，累计培训专技人员9万余人次，技能人才培训</w:t>
      </w:r>
      <w:r>
        <w:rPr>
          <w:rFonts w:ascii="Times New Roman" w:hAnsi="Times New Roman" w:eastAsia="方正仿宋_GBK" w:cs="Times New Roman"/>
          <w:color w:val="000000" w:themeColor="text1"/>
          <w:sz w:val="32"/>
          <w:szCs w:val="32"/>
        </w:rPr>
        <w:t>3.5</w:t>
      </w:r>
      <w:r>
        <w:rPr>
          <w:rFonts w:hint="eastAsia" w:ascii="Times New Roman" w:hAnsi="Times New Roman" w:eastAsia="方正仿宋_GBK" w:cs="Times New Roman"/>
          <w:color w:val="000000" w:themeColor="text1"/>
          <w:sz w:val="32"/>
          <w:szCs w:val="32"/>
        </w:rPr>
        <w:t>万余人次；技能人才达6.4万人，高技能人才数量达1.66万人。</w:t>
      </w:r>
    </w:p>
    <w:p w14:paraId="78275199">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和谐劳动关系逐步构建。完善劳动人事争议调解制度，加强劳动人事争议调解保障；劳动保障监察“两网化”管理实现全覆盖，不断完善执法机制，实现了劳动关系的市场化和法治化；劳动合同制和平等协商制度进一步透明，基本实现了劳资双方的公平、公正、平等关系；</w:t>
      </w:r>
      <w:r>
        <w:rPr>
          <w:rFonts w:ascii="Times New Roman" w:hAnsi="Times New Roman" w:eastAsia="方正仿宋_GBK" w:cs="Times New Roman"/>
          <w:color w:val="000000" w:themeColor="text1"/>
          <w:sz w:val="32"/>
          <w:szCs w:val="32"/>
        </w:rPr>
        <w:t>开展根治欠薪专项行动</w:t>
      </w:r>
      <w:r>
        <w:rPr>
          <w:rFonts w:hint="eastAsia" w:ascii="Times New Roman" w:hAnsi="Times New Roman" w:eastAsia="方正仿宋_GBK" w:cs="Times New Roman"/>
          <w:color w:val="000000" w:themeColor="text1"/>
          <w:sz w:val="32"/>
          <w:szCs w:val="32"/>
        </w:rPr>
        <w:t>，保障农民工及时足额获得工资。</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三</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期末，企业劳动合同签订率达到98%以上，劳动人事争议仲裁案件结案率达到95%以上，劳动人事争议调解成功率达到60%以上。</w:t>
      </w:r>
    </w:p>
    <w:p w14:paraId="7DB2999E">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人事和工资收入分配制度改革稳步推进。全面落实公务员改革制度，落实事业单位人事制度改革，促进事业单位人事管理更加科学和规范；不断完善企业最低工资保障机制和工资支付保障机制，进一步健全企业职工工资决定和正常增长机制；逐步实施机关事业单位收入分配制度改革，顺利实施职务与级别相结合的公务员工资制度，事业单位实行岗位绩效工资制度，顺利完成机关事业单位调整基本工资标准和增加离退休费工作，逐步形成防治“吃空饷”问题长效机制。</w:t>
      </w:r>
    </w:p>
    <w:p w14:paraId="2C9F1CBA">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公共服务能力进一步提升。实现了就业创业服务工作城乡统筹覆盖全员、全渝通办辐射全域，建立了覆盖城乡的“三级”社会保险经办服务平台；严格落实“减材料、减流程、减环节、减成本”等“四减”要求，狠抓行风建设；推进人力社保系统信息化建设，就业、社保等管理系统升级完善，网上信息查询、政策咨询和业务在线办理全面实现；投入近700万元对15个乡镇（街道）社保所进行标准和规范化建设，较大程度改善了乡镇（街道）社保就业办公条件。</w:t>
      </w:r>
    </w:p>
    <w:p w14:paraId="1F1BDB41">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扶贫工作成效显著。充分发挥人力社保系统优势，贯彻精准扶贫、精准脱贫基本方略，创新扶贫工作机制和模式，助力脱贫攻坚工作；切实加大对建卡贫困户的就业扶持，不断拓宽贫困群体的就业渠道，圆满完成山东东营对口帮扶贫困人口劳务输出任务，积极开展贫困人口创业培训和职业技能培训，不断提升就业创业能力。</w:t>
      </w:r>
    </w:p>
    <w:p w14:paraId="627B7EB8">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我们清醒地认识到，前进过程中还面临不少困难和问题。</w:t>
      </w:r>
      <w:r>
        <w:rPr>
          <w:rFonts w:hint="eastAsia" w:ascii="Times New Roman" w:hAnsi="Times New Roman" w:eastAsia="方正仿宋_GBK" w:cs="Times New Roman"/>
          <w:color w:val="000000" w:themeColor="text1"/>
          <w:sz w:val="32"/>
          <w:szCs w:val="32"/>
        </w:rPr>
        <w:t>就业总量压力特别是青年就业压力不容忽视，就业结构性矛盾突出；社保基金收支平衡压力加大，社会保障制度的可持续性发展面临挑战；制约和影响人才发展的客观环境尚未有效改善，工作合力尚未有效发挥，高层次、高技能人才短缺；产业转型升级、新经济新业态发展给协调劳动关系提出了新挑战；人力社保公共服务与人民的期盼尚有差距。人力社保部门将会认真对待</w:t>
      </w:r>
      <w:r>
        <w:rPr>
          <w:rFonts w:ascii="Times New Roman" w:hAnsi="Times New Roman" w:eastAsia="方正仿宋_GBK" w:cs="Times New Roman"/>
          <w:color w:val="000000" w:themeColor="text1"/>
          <w:sz w:val="32"/>
          <w:szCs w:val="32"/>
        </w:rPr>
        <w:t>这些问题</w:t>
      </w:r>
      <w:r>
        <w:rPr>
          <w:rFonts w:hint="eastAsia" w:ascii="Times New Roman" w:hAnsi="Times New Roman" w:eastAsia="方正仿宋_GBK" w:cs="Times New Roman"/>
          <w:color w:val="000000" w:themeColor="text1"/>
          <w:sz w:val="32"/>
          <w:szCs w:val="32"/>
        </w:rPr>
        <w:t>，在</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四</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时期将着力化解和</w:t>
      </w:r>
      <w:r>
        <w:rPr>
          <w:rFonts w:ascii="Times New Roman" w:hAnsi="Times New Roman" w:eastAsia="方正仿宋_GBK" w:cs="Times New Roman"/>
          <w:color w:val="000000" w:themeColor="text1"/>
          <w:sz w:val="32"/>
          <w:szCs w:val="32"/>
        </w:rPr>
        <w:t>切实解决。</w:t>
      </w:r>
    </w:p>
    <w:p w14:paraId="091BFD03">
      <w:pPr>
        <w:adjustRightInd w:val="0"/>
        <w:spacing w:before="217" w:after="217"/>
        <w:jc w:val="center"/>
        <w:rPr>
          <w:rFonts w:ascii="方正黑体_GBK" w:hAnsi="方正黑体_GBK" w:eastAsia="方正黑体_GBK" w:cs="方正黑体_GBK"/>
          <w:color w:val="000000" w:themeColor="text1"/>
        </w:rPr>
      </w:pPr>
      <w:r>
        <w:rPr>
          <w:rFonts w:hint="eastAsia" w:ascii="方正黑体_GBK" w:hAnsi="方正黑体_GBK" w:eastAsia="方正黑体_GBK" w:cs="方正黑体_GBK"/>
          <w:color w:val="000000" w:themeColor="text1"/>
        </w:rPr>
        <w:t>专栏1 “十三五”规划主要发展指标完成情况表</w:t>
      </w:r>
      <w:r>
        <w:rPr>
          <w:rFonts w:hint="eastAsia" w:ascii="方正黑体_GBK" w:hAnsi="方正黑体_GBK" w:eastAsia="方正黑体_GBK" w:cs="方正黑体_GBK"/>
          <w:color w:val="000000" w:themeColor="text1"/>
        </w:rPr>
        <w:tab/>
      </w:r>
    </w:p>
    <w:p w14:paraId="75DA73FC">
      <w:pPr>
        <w:pStyle w:val="2"/>
      </w:pPr>
    </w:p>
    <w:tbl>
      <w:tblPr>
        <w:tblStyle w:val="20"/>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992"/>
        <w:gridCol w:w="1134"/>
        <w:gridCol w:w="1134"/>
        <w:gridCol w:w="1276"/>
      </w:tblGrid>
      <w:tr w14:paraId="4AD5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single" w:color="auto" w:sz="4" w:space="0"/>
            </w:tcBorders>
          </w:tcPr>
          <w:p w14:paraId="5C6C5B55">
            <w:pPr>
              <w:adjustRightInd w:val="0"/>
              <w:snapToGrid w:val="0"/>
              <w:spacing w:line="400" w:lineRule="exact"/>
              <w:jc w:val="center"/>
              <w:rPr>
                <w:rFonts w:eastAsia="方正黑体_GBK"/>
                <w:color w:val="000000" w:themeColor="text1"/>
                <w:sz w:val="24"/>
                <w:szCs w:val="24"/>
              </w:rPr>
            </w:pPr>
            <w:r>
              <w:rPr>
                <w:rFonts w:eastAsia="方正黑体_GBK"/>
                <w:color w:val="000000" w:themeColor="text1"/>
                <w:sz w:val="24"/>
                <w:szCs w:val="24"/>
              </w:rPr>
              <w:t>指标名称</w:t>
            </w:r>
          </w:p>
        </w:tc>
        <w:tc>
          <w:tcPr>
            <w:tcW w:w="992" w:type="dxa"/>
            <w:tcBorders>
              <w:top w:val="single" w:color="auto" w:sz="4" w:space="0"/>
              <w:left w:val="single" w:color="auto" w:sz="4" w:space="0"/>
              <w:bottom w:val="single" w:color="auto" w:sz="4" w:space="0"/>
              <w:right w:val="single" w:color="auto" w:sz="4" w:space="0"/>
            </w:tcBorders>
          </w:tcPr>
          <w:p w14:paraId="0FD02682">
            <w:pPr>
              <w:adjustRightInd w:val="0"/>
              <w:snapToGrid w:val="0"/>
              <w:spacing w:line="400" w:lineRule="exact"/>
              <w:jc w:val="center"/>
              <w:rPr>
                <w:rFonts w:eastAsia="方正黑体_GBK"/>
                <w:color w:val="000000" w:themeColor="text1"/>
                <w:sz w:val="24"/>
                <w:szCs w:val="24"/>
              </w:rPr>
            </w:pPr>
            <w:r>
              <w:rPr>
                <w:rFonts w:eastAsia="方正黑体_GBK"/>
                <w:color w:val="000000" w:themeColor="text1"/>
                <w:sz w:val="24"/>
                <w:szCs w:val="24"/>
              </w:rPr>
              <w:t>2015年</w:t>
            </w:r>
          </w:p>
        </w:tc>
        <w:tc>
          <w:tcPr>
            <w:tcW w:w="1134" w:type="dxa"/>
            <w:tcBorders>
              <w:top w:val="single" w:color="auto" w:sz="4" w:space="0"/>
              <w:left w:val="single" w:color="auto" w:sz="4" w:space="0"/>
              <w:bottom w:val="single" w:color="auto" w:sz="4" w:space="0"/>
              <w:right w:val="single" w:color="auto" w:sz="4" w:space="0"/>
            </w:tcBorders>
          </w:tcPr>
          <w:p w14:paraId="37E49BEA">
            <w:pPr>
              <w:adjustRightInd w:val="0"/>
              <w:snapToGrid w:val="0"/>
              <w:spacing w:line="400" w:lineRule="exact"/>
              <w:jc w:val="center"/>
              <w:rPr>
                <w:rFonts w:eastAsia="方正黑体_GBK"/>
                <w:color w:val="000000" w:themeColor="text1"/>
                <w:sz w:val="24"/>
                <w:szCs w:val="24"/>
              </w:rPr>
            </w:pPr>
            <w:r>
              <w:rPr>
                <w:rFonts w:eastAsia="方正黑体_GBK"/>
                <w:color w:val="000000" w:themeColor="text1"/>
                <w:sz w:val="24"/>
                <w:szCs w:val="24"/>
              </w:rPr>
              <w:t>指标值</w:t>
            </w:r>
          </w:p>
        </w:tc>
        <w:tc>
          <w:tcPr>
            <w:tcW w:w="1134" w:type="dxa"/>
            <w:tcBorders>
              <w:top w:val="single" w:color="auto" w:sz="4" w:space="0"/>
              <w:left w:val="single" w:color="auto" w:sz="4" w:space="0"/>
              <w:bottom w:val="single" w:color="auto" w:sz="4" w:space="0"/>
              <w:right w:val="single" w:color="auto" w:sz="4" w:space="0"/>
            </w:tcBorders>
          </w:tcPr>
          <w:p w14:paraId="5E052C3B">
            <w:pPr>
              <w:adjustRightInd w:val="0"/>
              <w:snapToGrid w:val="0"/>
              <w:spacing w:line="400" w:lineRule="exact"/>
              <w:jc w:val="center"/>
              <w:rPr>
                <w:rFonts w:eastAsia="方正黑体_GBK"/>
                <w:color w:val="000000" w:themeColor="text1"/>
                <w:sz w:val="24"/>
                <w:szCs w:val="24"/>
              </w:rPr>
            </w:pPr>
            <w:r>
              <w:rPr>
                <w:rFonts w:eastAsia="方正黑体_GBK"/>
                <w:color w:val="000000" w:themeColor="text1"/>
                <w:sz w:val="24"/>
                <w:szCs w:val="24"/>
              </w:rPr>
              <w:t>2020年</w:t>
            </w:r>
          </w:p>
        </w:tc>
        <w:tc>
          <w:tcPr>
            <w:tcW w:w="1276" w:type="dxa"/>
            <w:tcBorders>
              <w:top w:val="single" w:color="auto" w:sz="4" w:space="0"/>
              <w:left w:val="single" w:color="auto" w:sz="4" w:space="0"/>
              <w:bottom w:val="single" w:color="auto" w:sz="4" w:space="0"/>
              <w:right w:val="single" w:color="auto" w:sz="4" w:space="0"/>
            </w:tcBorders>
          </w:tcPr>
          <w:p w14:paraId="3A298A49">
            <w:pPr>
              <w:adjustRightInd w:val="0"/>
              <w:snapToGrid w:val="0"/>
              <w:spacing w:line="400" w:lineRule="exact"/>
              <w:jc w:val="center"/>
              <w:rPr>
                <w:rFonts w:eastAsia="方正黑体_GBK"/>
                <w:color w:val="000000" w:themeColor="text1"/>
                <w:sz w:val="24"/>
                <w:szCs w:val="24"/>
              </w:rPr>
            </w:pPr>
            <w:r>
              <w:rPr>
                <w:rFonts w:eastAsia="方正黑体_GBK"/>
                <w:color w:val="000000" w:themeColor="text1"/>
                <w:sz w:val="24"/>
                <w:szCs w:val="24"/>
              </w:rPr>
              <w:t>执行情况</w:t>
            </w:r>
          </w:p>
        </w:tc>
      </w:tr>
      <w:tr w14:paraId="41BF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nil"/>
            </w:tcBorders>
            <w:vAlign w:val="center"/>
          </w:tcPr>
          <w:p w14:paraId="12639083">
            <w:pPr>
              <w:adjustRightInd w:val="0"/>
              <w:snapToGrid w:val="0"/>
              <w:spacing w:line="400" w:lineRule="exact"/>
              <w:rPr>
                <w:kern w:val="0"/>
                <w:sz w:val="21"/>
                <w:szCs w:val="21"/>
              </w:rPr>
            </w:pPr>
            <w:r>
              <w:rPr>
                <w:rFonts w:eastAsia="方正黑体_GBK"/>
                <w:color w:val="000000" w:themeColor="text1"/>
                <w:kern w:val="0"/>
                <w:sz w:val="24"/>
                <w:szCs w:val="24"/>
              </w:rPr>
              <w:t>一、就业</w:t>
            </w:r>
          </w:p>
        </w:tc>
        <w:tc>
          <w:tcPr>
            <w:tcW w:w="992" w:type="dxa"/>
            <w:tcBorders>
              <w:top w:val="single" w:color="auto" w:sz="4" w:space="0"/>
              <w:left w:val="nil"/>
              <w:bottom w:val="single" w:color="auto" w:sz="4" w:space="0"/>
              <w:right w:val="nil"/>
            </w:tcBorders>
            <w:vAlign w:val="center"/>
          </w:tcPr>
          <w:p w14:paraId="751BB632">
            <w:pPr>
              <w:adjustRightInd w:val="0"/>
              <w:snapToGrid w:val="0"/>
              <w:spacing w:before="100" w:after="100" w:line="400" w:lineRule="exact"/>
              <w:rPr>
                <w:kern w:val="0"/>
                <w:sz w:val="21"/>
                <w:szCs w:val="21"/>
              </w:rPr>
            </w:pPr>
          </w:p>
        </w:tc>
        <w:tc>
          <w:tcPr>
            <w:tcW w:w="1134" w:type="dxa"/>
            <w:tcBorders>
              <w:top w:val="single" w:color="auto" w:sz="4" w:space="0"/>
              <w:left w:val="nil"/>
              <w:bottom w:val="single" w:color="auto" w:sz="4" w:space="0"/>
              <w:right w:val="nil"/>
            </w:tcBorders>
            <w:vAlign w:val="center"/>
          </w:tcPr>
          <w:p w14:paraId="4BB90105">
            <w:pPr>
              <w:adjustRightInd w:val="0"/>
              <w:snapToGrid w:val="0"/>
              <w:spacing w:before="100" w:after="100" w:line="400" w:lineRule="exact"/>
              <w:rPr>
                <w:kern w:val="0"/>
                <w:sz w:val="21"/>
                <w:szCs w:val="21"/>
              </w:rPr>
            </w:pPr>
          </w:p>
        </w:tc>
        <w:tc>
          <w:tcPr>
            <w:tcW w:w="1134" w:type="dxa"/>
            <w:tcBorders>
              <w:top w:val="single" w:color="auto" w:sz="4" w:space="0"/>
              <w:left w:val="nil"/>
              <w:bottom w:val="single" w:color="auto" w:sz="4" w:space="0"/>
              <w:right w:val="nil"/>
            </w:tcBorders>
          </w:tcPr>
          <w:p w14:paraId="17F7AC0F">
            <w:pPr>
              <w:adjustRightInd w:val="0"/>
              <w:snapToGrid w:val="0"/>
              <w:spacing w:before="100" w:after="100" w:line="400" w:lineRule="exact"/>
              <w:rPr>
                <w:kern w:val="0"/>
                <w:sz w:val="21"/>
                <w:szCs w:val="21"/>
              </w:rPr>
            </w:pPr>
          </w:p>
        </w:tc>
        <w:tc>
          <w:tcPr>
            <w:tcW w:w="1276" w:type="dxa"/>
            <w:tcBorders>
              <w:top w:val="single" w:color="auto" w:sz="4" w:space="0"/>
              <w:left w:val="nil"/>
              <w:bottom w:val="single" w:color="auto" w:sz="4" w:space="0"/>
              <w:right w:val="single" w:color="auto" w:sz="4" w:space="0"/>
            </w:tcBorders>
          </w:tcPr>
          <w:p w14:paraId="5AF5D9CF">
            <w:pPr>
              <w:adjustRightInd w:val="0"/>
              <w:snapToGrid w:val="0"/>
              <w:spacing w:before="100" w:after="100" w:line="400" w:lineRule="exact"/>
              <w:rPr>
                <w:kern w:val="0"/>
                <w:sz w:val="21"/>
                <w:szCs w:val="21"/>
              </w:rPr>
            </w:pPr>
          </w:p>
        </w:tc>
      </w:tr>
      <w:tr w14:paraId="6BAB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single" w:color="auto" w:sz="4" w:space="0"/>
            </w:tcBorders>
            <w:vAlign w:val="center"/>
          </w:tcPr>
          <w:p w14:paraId="4CA5F2FF">
            <w:pPr>
              <w:adjustRightInd w:val="0"/>
              <w:snapToGrid w:val="0"/>
              <w:spacing w:line="400" w:lineRule="exact"/>
              <w:rPr>
                <w:color w:val="000000" w:themeColor="text1"/>
                <w:kern w:val="0"/>
                <w:sz w:val="24"/>
                <w:szCs w:val="24"/>
              </w:rPr>
            </w:pPr>
            <w:r>
              <w:rPr>
                <w:color w:val="000000" w:themeColor="text1"/>
                <w:kern w:val="0"/>
                <w:sz w:val="24"/>
                <w:szCs w:val="24"/>
              </w:rPr>
              <w:t>1.城镇新增就业人数（万人）</w:t>
            </w:r>
          </w:p>
        </w:tc>
        <w:tc>
          <w:tcPr>
            <w:tcW w:w="992" w:type="dxa"/>
            <w:tcBorders>
              <w:top w:val="single" w:color="auto" w:sz="4" w:space="0"/>
              <w:left w:val="single" w:color="auto" w:sz="4" w:space="0"/>
              <w:bottom w:val="single" w:color="auto" w:sz="4" w:space="0"/>
              <w:right w:val="single" w:color="auto" w:sz="4" w:space="0"/>
            </w:tcBorders>
            <w:vAlign w:val="center"/>
          </w:tcPr>
          <w:p w14:paraId="5AF9FB0F">
            <w:pPr>
              <w:adjustRightInd w:val="0"/>
              <w:snapToGrid w:val="0"/>
              <w:spacing w:line="400" w:lineRule="exact"/>
              <w:jc w:val="center"/>
              <w:rPr>
                <w:color w:val="000000" w:themeColor="text1"/>
                <w:kern w:val="0"/>
                <w:sz w:val="24"/>
                <w:szCs w:val="24"/>
              </w:rPr>
            </w:pPr>
            <w:r>
              <w:rPr>
                <w:color w:val="000000" w:themeColor="text1"/>
                <w:kern w:val="0"/>
                <w:sz w:val="24"/>
                <w:szCs w:val="24"/>
              </w:rPr>
              <w:t>【3.2】</w:t>
            </w:r>
          </w:p>
        </w:tc>
        <w:tc>
          <w:tcPr>
            <w:tcW w:w="1134" w:type="dxa"/>
            <w:tcBorders>
              <w:top w:val="single" w:color="auto" w:sz="4" w:space="0"/>
              <w:left w:val="single" w:color="auto" w:sz="4" w:space="0"/>
              <w:bottom w:val="single" w:color="auto" w:sz="4" w:space="0"/>
              <w:right w:val="single" w:color="auto" w:sz="4" w:space="0"/>
            </w:tcBorders>
            <w:vAlign w:val="center"/>
          </w:tcPr>
          <w:p w14:paraId="781A8BA3">
            <w:pPr>
              <w:adjustRightInd w:val="0"/>
              <w:snapToGrid w:val="0"/>
              <w:spacing w:line="400" w:lineRule="exact"/>
              <w:jc w:val="center"/>
              <w:rPr>
                <w:color w:val="000000" w:themeColor="text1"/>
                <w:kern w:val="0"/>
                <w:sz w:val="24"/>
                <w:szCs w:val="24"/>
              </w:rPr>
            </w:pPr>
            <w:r>
              <w:rPr>
                <w:color w:val="000000" w:themeColor="text1"/>
                <w:kern w:val="0"/>
                <w:sz w:val="24"/>
                <w:szCs w:val="24"/>
              </w:rPr>
              <w:t>【2.2】</w:t>
            </w:r>
          </w:p>
        </w:tc>
        <w:tc>
          <w:tcPr>
            <w:tcW w:w="1134" w:type="dxa"/>
            <w:tcBorders>
              <w:top w:val="single" w:color="auto" w:sz="4" w:space="0"/>
              <w:left w:val="single" w:color="auto" w:sz="4" w:space="0"/>
              <w:bottom w:val="single" w:color="auto" w:sz="4" w:space="0"/>
              <w:right w:val="single" w:color="auto" w:sz="4" w:space="0"/>
            </w:tcBorders>
            <w:vAlign w:val="center"/>
          </w:tcPr>
          <w:p w14:paraId="6CBCF9AE">
            <w:pPr>
              <w:adjustRightInd w:val="0"/>
              <w:snapToGrid w:val="0"/>
              <w:spacing w:line="400" w:lineRule="exact"/>
              <w:jc w:val="center"/>
              <w:rPr>
                <w:color w:val="000000" w:themeColor="text1"/>
                <w:kern w:val="0"/>
                <w:sz w:val="24"/>
                <w:szCs w:val="24"/>
              </w:rPr>
            </w:pPr>
            <w:r>
              <w:rPr>
                <w:color w:val="000000" w:themeColor="text1"/>
                <w:kern w:val="0"/>
                <w:sz w:val="24"/>
                <w:szCs w:val="24"/>
              </w:rPr>
              <w:t>【2.27】</w:t>
            </w:r>
          </w:p>
        </w:tc>
        <w:tc>
          <w:tcPr>
            <w:tcW w:w="1276" w:type="dxa"/>
            <w:tcBorders>
              <w:top w:val="single" w:color="auto" w:sz="4" w:space="0"/>
              <w:left w:val="single" w:color="auto" w:sz="4" w:space="0"/>
              <w:bottom w:val="single" w:color="auto" w:sz="4" w:space="0"/>
              <w:right w:val="single" w:color="auto" w:sz="4" w:space="0"/>
            </w:tcBorders>
          </w:tcPr>
          <w:p w14:paraId="5F705E7C">
            <w:pPr>
              <w:adjustRightInd w:val="0"/>
              <w:snapToGrid w:val="0"/>
              <w:spacing w:line="400" w:lineRule="exact"/>
              <w:jc w:val="center"/>
              <w:rPr>
                <w:color w:val="000000" w:themeColor="text1"/>
                <w:kern w:val="0"/>
                <w:sz w:val="24"/>
                <w:szCs w:val="24"/>
              </w:rPr>
            </w:pPr>
            <w:r>
              <w:rPr>
                <w:color w:val="000000" w:themeColor="text1"/>
                <w:kern w:val="0"/>
                <w:sz w:val="24"/>
                <w:szCs w:val="24"/>
              </w:rPr>
              <w:t>完成</w:t>
            </w:r>
          </w:p>
        </w:tc>
      </w:tr>
      <w:tr w14:paraId="340B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single" w:color="auto" w:sz="4" w:space="0"/>
            </w:tcBorders>
            <w:vAlign w:val="center"/>
          </w:tcPr>
          <w:p w14:paraId="4E831CB2">
            <w:pPr>
              <w:adjustRightInd w:val="0"/>
              <w:snapToGrid w:val="0"/>
              <w:spacing w:line="400" w:lineRule="exact"/>
              <w:rPr>
                <w:color w:val="000000" w:themeColor="text1"/>
                <w:kern w:val="0"/>
                <w:sz w:val="24"/>
                <w:szCs w:val="24"/>
              </w:rPr>
            </w:pPr>
            <w:r>
              <w:rPr>
                <w:color w:val="000000" w:themeColor="text1"/>
                <w:kern w:val="0"/>
                <w:sz w:val="24"/>
                <w:szCs w:val="24"/>
              </w:rPr>
              <w:t>2.城镇登记失业率（%）</w:t>
            </w:r>
          </w:p>
        </w:tc>
        <w:tc>
          <w:tcPr>
            <w:tcW w:w="992" w:type="dxa"/>
            <w:tcBorders>
              <w:top w:val="single" w:color="auto" w:sz="4" w:space="0"/>
              <w:left w:val="single" w:color="auto" w:sz="4" w:space="0"/>
              <w:bottom w:val="single" w:color="auto" w:sz="4" w:space="0"/>
              <w:right w:val="single" w:color="auto" w:sz="4" w:space="0"/>
            </w:tcBorders>
            <w:vAlign w:val="center"/>
          </w:tcPr>
          <w:p w14:paraId="10E28EDB">
            <w:pPr>
              <w:adjustRightInd w:val="0"/>
              <w:snapToGrid w:val="0"/>
              <w:spacing w:line="400" w:lineRule="exact"/>
              <w:jc w:val="center"/>
              <w:rPr>
                <w:color w:val="000000" w:themeColor="text1"/>
                <w:kern w:val="0"/>
                <w:sz w:val="24"/>
                <w:szCs w:val="24"/>
              </w:rPr>
            </w:pPr>
            <w:r>
              <w:rPr>
                <w:color w:val="000000" w:themeColor="text1"/>
                <w:kern w:val="0"/>
                <w:sz w:val="24"/>
                <w:szCs w:val="24"/>
              </w:rPr>
              <w:t>2.77</w:t>
            </w:r>
          </w:p>
        </w:tc>
        <w:tc>
          <w:tcPr>
            <w:tcW w:w="1134" w:type="dxa"/>
            <w:tcBorders>
              <w:top w:val="single" w:color="auto" w:sz="4" w:space="0"/>
              <w:left w:val="single" w:color="auto" w:sz="4" w:space="0"/>
              <w:bottom w:val="single" w:color="auto" w:sz="4" w:space="0"/>
              <w:right w:val="single" w:color="auto" w:sz="4" w:space="0"/>
            </w:tcBorders>
            <w:vAlign w:val="center"/>
          </w:tcPr>
          <w:p w14:paraId="6BF02D1E">
            <w:pPr>
              <w:adjustRightInd w:val="0"/>
              <w:snapToGrid w:val="0"/>
              <w:spacing w:line="400" w:lineRule="exact"/>
              <w:jc w:val="center"/>
              <w:rPr>
                <w:color w:val="000000" w:themeColor="text1"/>
                <w:kern w:val="0"/>
                <w:sz w:val="24"/>
                <w:szCs w:val="24"/>
              </w:rPr>
            </w:pPr>
            <w:r>
              <w:rPr>
                <w:color w:val="000000" w:themeColor="text1"/>
                <w:kern w:val="0"/>
                <w:sz w:val="24"/>
                <w:szCs w:val="24"/>
              </w:rPr>
              <w:t>3.7</w:t>
            </w:r>
          </w:p>
        </w:tc>
        <w:tc>
          <w:tcPr>
            <w:tcW w:w="1134" w:type="dxa"/>
            <w:tcBorders>
              <w:top w:val="single" w:color="auto" w:sz="4" w:space="0"/>
              <w:left w:val="single" w:color="auto" w:sz="4" w:space="0"/>
              <w:bottom w:val="single" w:color="auto" w:sz="4" w:space="0"/>
              <w:right w:val="single" w:color="auto" w:sz="4" w:space="0"/>
            </w:tcBorders>
            <w:vAlign w:val="center"/>
          </w:tcPr>
          <w:p w14:paraId="2494BD6A">
            <w:pPr>
              <w:adjustRightInd w:val="0"/>
              <w:snapToGrid w:val="0"/>
              <w:spacing w:line="400" w:lineRule="exact"/>
              <w:jc w:val="center"/>
              <w:rPr>
                <w:color w:val="000000" w:themeColor="text1"/>
                <w:kern w:val="0"/>
                <w:sz w:val="24"/>
                <w:szCs w:val="24"/>
              </w:rPr>
            </w:pPr>
            <w:r>
              <w:rPr>
                <w:color w:val="000000" w:themeColor="text1"/>
                <w:kern w:val="0"/>
                <w:sz w:val="24"/>
                <w:szCs w:val="24"/>
              </w:rPr>
              <w:t>3.7</w:t>
            </w:r>
          </w:p>
        </w:tc>
        <w:tc>
          <w:tcPr>
            <w:tcW w:w="1276" w:type="dxa"/>
            <w:tcBorders>
              <w:top w:val="single" w:color="auto" w:sz="4" w:space="0"/>
              <w:left w:val="single" w:color="auto" w:sz="4" w:space="0"/>
              <w:bottom w:val="single" w:color="auto" w:sz="4" w:space="0"/>
              <w:right w:val="single" w:color="auto" w:sz="4" w:space="0"/>
            </w:tcBorders>
          </w:tcPr>
          <w:p w14:paraId="627934B5">
            <w:pPr>
              <w:adjustRightInd w:val="0"/>
              <w:snapToGrid w:val="0"/>
              <w:spacing w:line="400" w:lineRule="exact"/>
              <w:jc w:val="center"/>
              <w:rPr>
                <w:color w:val="000000" w:themeColor="text1"/>
                <w:kern w:val="0"/>
                <w:sz w:val="24"/>
                <w:szCs w:val="24"/>
              </w:rPr>
            </w:pPr>
            <w:r>
              <w:rPr>
                <w:color w:val="000000" w:themeColor="text1"/>
                <w:kern w:val="0"/>
                <w:sz w:val="24"/>
                <w:szCs w:val="24"/>
              </w:rPr>
              <w:t>完成</w:t>
            </w:r>
          </w:p>
        </w:tc>
      </w:tr>
      <w:tr w14:paraId="5771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nil"/>
            </w:tcBorders>
            <w:vAlign w:val="center"/>
          </w:tcPr>
          <w:p w14:paraId="74783FF1">
            <w:pPr>
              <w:adjustRightInd w:val="0"/>
              <w:snapToGrid w:val="0"/>
              <w:spacing w:line="400" w:lineRule="exact"/>
              <w:rPr>
                <w:rFonts w:eastAsia="宋体"/>
                <w:color w:val="000000" w:themeColor="text1"/>
                <w:kern w:val="0"/>
                <w:sz w:val="24"/>
                <w:szCs w:val="24"/>
              </w:rPr>
            </w:pPr>
            <w:r>
              <w:rPr>
                <w:rFonts w:eastAsia="方正黑体_GBK"/>
                <w:color w:val="000000" w:themeColor="text1"/>
                <w:kern w:val="0"/>
                <w:sz w:val="24"/>
                <w:szCs w:val="24"/>
              </w:rPr>
              <w:t>二、社会保障</w:t>
            </w:r>
          </w:p>
        </w:tc>
        <w:tc>
          <w:tcPr>
            <w:tcW w:w="992" w:type="dxa"/>
            <w:tcBorders>
              <w:top w:val="single" w:color="auto" w:sz="4" w:space="0"/>
              <w:left w:val="nil"/>
              <w:bottom w:val="single" w:color="auto" w:sz="4" w:space="0"/>
              <w:right w:val="nil"/>
            </w:tcBorders>
            <w:vAlign w:val="center"/>
          </w:tcPr>
          <w:p w14:paraId="13847C82">
            <w:pPr>
              <w:adjustRightInd w:val="0"/>
              <w:snapToGrid w:val="0"/>
              <w:spacing w:before="100" w:after="100" w:line="400" w:lineRule="exact"/>
              <w:rPr>
                <w:kern w:val="0"/>
                <w:sz w:val="21"/>
                <w:szCs w:val="21"/>
              </w:rPr>
            </w:pPr>
            <w:r>
              <w:rPr>
                <w:kern w:val="0"/>
                <w:sz w:val="21"/>
                <w:szCs w:val="21"/>
              </w:rPr>
              <w:t xml:space="preserve"> </w:t>
            </w:r>
          </w:p>
        </w:tc>
        <w:tc>
          <w:tcPr>
            <w:tcW w:w="1134" w:type="dxa"/>
            <w:tcBorders>
              <w:top w:val="single" w:color="auto" w:sz="4" w:space="0"/>
              <w:left w:val="nil"/>
              <w:bottom w:val="single" w:color="auto" w:sz="4" w:space="0"/>
              <w:right w:val="nil"/>
            </w:tcBorders>
            <w:vAlign w:val="center"/>
          </w:tcPr>
          <w:p w14:paraId="659F8E12">
            <w:pPr>
              <w:adjustRightInd w:val="0"/>
              <w:snapToGrid w:val="0"/>
              <w:spacing w:before="100" w:after="100" w:line="400" w:lineRule="exact"/>
              <w:rPr>
                <w:kern w:val="0"/>
                <w:sz w:val="21"/>
                <w:szCs w:val="21"/>
              </w:rPr>
            </w:pPr>
            <w:r>
              <w:rPr>
                <w:kern w:val="0"/>
                <w:sz w:val="21"/>
                <w:szCs w:val="21"/>
              </w:rPr>
              <w:t xml:space="preserve"> </w:t>
            </w:r>
          </w:p>
        </w:tc>
        <w:tc>
          <w:tcPr>
            <w:tcW w:w="1134" w:type="dxa"/>
            <w:tcBorders>
              <w:top w:val="single" w:color="auto" w:sz="4" w:space="0"/>
              <w:left w:val="nil"/>
              <w:bottom w:val="single" w:color="auto" w:sz="4" w:space="0"/>
              <w:right w:val="nil"/>
            </w:tcBorders>
          </w:tcPr>
          <w:p w14:paraId="1B32D0EA">
            <w:pPr>
              <w:adjustRightInd w:val="0"/>
              <w:snapToGrid w:val="0"/>
              <w:spacing w:before="100" w:after="100" w:line="400" w:lineRule="exact"/>
              <w:rPr>
                <w:kern w:val="0"/>
                <w:sz w:val="21"/>
                <w:szCs w:val="21"/>
              </w:rPr>
            </w:pPr>
          </w:p>
        </w:tc>
        <w:tc>
          <w:tcPr>
            <w:tcW w:w="1276" w:type="dxa"/>
            <w:tcBorders>
              <w:top w:val="single" w:color="auto" w:sz="4" w:space="0"/>
              <w:left w:val="nil"/>
              <w:bottom w:val="single" w:color="auto" w:sz="4" w:space="0"/>
              <w:right w:val="single" w:color="auto" w:sz="4" w:space="0"/>
            </w:tcBorders>
          </w:tcPr>
          <w:p w14:paraId="0A3D78D7">
            <w:pPr>
              <w:adjustRightInd w:val="0"/>
              <w:snapToGrid w:val="0"/>
              <w:spacing w:before="100" w:after="100" w:line="400" w:lineRule="exact"/>
              <w:rPr>
                <w:kern w:val="0"/>
                <w:sz w:val="21"/>
                <w:szCs w:val="21"/>
              </w:rPr>
            </w:pPr>
            <w:r>
              <w:rPr>
                <w:kern w:val="0"/>
                <w:sz w:val="21"/>
                <w:szCs w:val="21"/>
              </w:rPr>
              <w:t xml:space="preserve"> </w:t>
            </w:r>
          </w:p>
        </w:tc>
      </w:tr>
      <w:tr w14:paraId="0C1A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single" w:color="auto" w:sz="4" w:space="0"/>
            </w:tcBorders>
            <w:vAlign w:val="center"/>
          </w:tcPr>
          <w:p w14:paraId="787C1216">
            <w:pPr>
              <w:adjustRightInd w:val="0"/>
              <w:snapToGrid w:val="0"/>
              <w:spacing w:line="400" w:lineRule="exact"/>
              <w:rPr>
                <w:color w:val="000000" w:themeColor="text1"/>
                <w:kern w:val="0"/>
                <w:sz w:val="24"/>
                <w:szCs w:val="24"/>
              </w:rPr>
            </w:pPr>
            <w:r>
              <w:rPr>
                <w:color w:val="000000" w:themeColor="text1"/>
                <w:kern w:val="0"/>
                <w:sz w:val="24"/>
                <w:szCs w:val="24"/>
              </w:rPr>
              <w:t>3.城乡居民社会养老保险参保（万人）</w:t>
            </w:r>
          </w:p>
        </w:tc>
        <w:tc>
          <w:tcPr>
            <w:tcW w:w="992" w:type="dxa"/>
            <w:tcBorders>
              <w:top w:val="single" w:color="auto" w:sz="4" w:space="0"/>
              <w:left w:val="single" w:color="auto" w:sz="4" w:space="0"/>
              <w:bottom w:val="single" w:color="auto" w:sz="4" w:space="0"/>
              <w:right w:val="single" w:color="auto" w:sz="4" w:space="0"/>
            </w:tcBorders>
            <w:vAlign w:val="center"/>
          </w:tcPr>
          <w:p w14:paraId="7F984B2F">
            <w:pPr>
              <w:adjustRightInd w:val="0"/>
              <w:snapToGrid w:val="0"/>
              <w:spacing w:line="400" w:lineRule="exact"/>
              <w:jc w:val="center"/>
              <w:rPr>
                <w:color w:val="000000" w:themeColor="text1"/>
                <w:kern w:val="0"/>
                <w:sz w:val="24"/>
                <w:szCs w:val="24"/>
              </w:rPr>
            </w:pPr>
            <w:r>
              <w:rPr>
                <w:color w:val="000000" w:themeColor="text1"/>
                <w:kern w:val="0"/>
                <w:sz w:val="24"/>
                <w:szCs w:val="24"/>
              </w:rPr>
              <w:t>31.26</w:t>
            </w:r>
          </w:p>
        </w:tc>
        <w:tc>
          <w:tcPr>
            <w:tcW w:w="1134" w:type="dxa"/>
            <w:tcBorders>
              <w:top w:val="single" w:color="auto" w:sz="4" w:space="0"/>
              <w:left w:val="single" w:color="auto" w:sz="4" w:space="0"/>
              <w:bottom w:val="single" w:color="auto" w:sz="4" w:space="0"/>
              <w:right w:val="single" w:color="auto" w:sz="4" w:space="0"/>
            </w:tcBorders>
            <w:vAlign w:val="center"/>
          </w:tcPr>
          <w:p w14:paraId="33AF2493">
            <w:pPr>
              <w:adjustRightInd w:val="0"/>
              <w:snapToGrid w:val="0"/>
              <w:spacing w:line="400" w:lineRule="exact"/>
              <w:jc w:val="center"/>
              <w:rPr>
                <w:color w:val="000000" w:themeColor="text1"/>
                <w:kern w:val="0"/>
                <w:sz w:val="24"/>
                <w:szCs w:val="24"/>
              </w:rPr>
            </w:pPr>
            <w:r>
              <w:rPr>
                <w:color w:val="000000" w:themeColor="text1"/>
                <w:kern w:val="0"/>
                <w:sz w:val="24"/>
                <w:szCs w:val="24"/>
              </w:rPr>
              <w:t>31.27</w:t>
            </w:r>
          </w:p>
        </w:tc>
        <w:tc>
          <w:tcPr>
            <w:tcW w:w="1134" w:type="dxa"/>
            <w:tcBorders>
              <w:top w:val="single" w:color="auto" w:sz="4" w:space="0"/>
              <w:left w:val="single" w:color="auto" w:sz="4" w:space="0"/>
              <w:bottom w:val="single" w:color="auto" w:sz="4" w:space="0"/>
              <w:right w:val="single" w:color="auto" w:sz="4" w:space="0"/>
            </w:tcBorders>
          </w:tcPr>
          <w:p w14:paraId="6DCFB7C3">
            <w:pPr>
              <w:adjustRightInd w:val="0"/>
              <w:snapToGrid w:val="0"/>
              <w:spacing w:line="400" w:lineRule="exact"/>
              <w:jc w:val="center"/>
              <w:rPr>
                <w:color w:val="000000" w:themeColor="text1"/>
                <w:kern w:val="0"/>
                <w:sz w:val="24"/>
                <w:szCs w:val="24"/>
              </w:rPr>
            </w:pPr>
            <w:r>
              <w:rPr>
                <w:color w:val="000000" w:themeColor="text1"/>
                <w:kern w:val="0"/>
                <w:sz w:val="24"/>
                <w:szCs w:val="24"/>
              </w:rPr>
              <w:t>36.3</w:t>
            </w:r>
          </w:p>
        </w:tc>
        <w:tc>
          <w:tcPr>
            <w:tcW w:w="1276" w:type="dxa"/>
            <w:tcBorders>
              <w:top w:val="single" w:color="auto" w:sz="4" w:space="0"/>
              <w:left w:val="single" w:color="auto" w:sz="4" w:space="0"/>
              <w:bottom w:val="single" w:color="auto" w:sz="4" w:space="0"/>
              <w:right w:val="single" w:color="auto" w:sz="4" w:space="0"/>
            </w:tcBorders>
          </w:tcPr>
          <w:p w14:paraId="64B5C376">
            <w:pPr>
              <w:adjustRightInd w:val="0"/>
              <w:snapToGrid w:val="0"/>
              <w:spacing w:line="400" w:lineRule="exact"/>
              <w:jc w:val="center"/>
              <w:rPr>
                <w:color w:val="000000" w:themeColor="text1"/>
                <w:kern w:val="0"/>
                <w:sz w:val="24"/>
                <w:szCs w:val="24"/>
              </w:rPr>
            </w:pPr>
            <w:r>
              <w:rPr>
                <w:color w:val="000000" w:themeColor="text1"/>
                <w:kern w:val="0"/>
                <w:sz w:val="24"/>
                <w:szCs w:val="24"/>
              </w:rPr>
              <w:t>完成</w:t>
            </w:r>
          </w:p>
        </w:tc>
      </w:tr>
      <w:tr w14:paraId="1C3B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single" w:color="auto" w:sz="4" w:space="0"/>
            </w:tcBorders>
            <w:vAlign w:val="center"/>
          </w:tcPr>
          <w:p w14:paraId="5BB48494">
            <w:pPr>
              <w:adjustRightInd w:val="0"/>
              <w:snapToGrid w:val="0"/>
              <w:spacing w:line="400" w:lineRule="exact"/>
              <w:rPr>
                <w:color w:val="000000" w:themeColor="text1"/>
                <w:kern w:val="0"/>
                <w:sz w:val="24"/>
                <w:szCs w:val="24"/>
              </w:rPr>
            </w:pPr>
            <w:r>
              <w:rPr>
                <w:color w:val="000000" w:themeColor="text1"/>
                <w:kern w:val="0"/>
                <w:sz w:val="24"/>
                <w:szCs w:val="24"/>
              </w:rPr>
              <w:t>4.城镇职工基本养老保险参保（万人）</w:t>
            </w:r>
          </w:p>
        </w:tc>
        <w:tc>
          <w:tcPr>
            <w:tcW w:w="992" w:type="dxa"/>
            <w:tcBorders>
              <w:top w:val="single" w:color="auto" w:sz="4" w:space="0"/>
              <w:left w:val="single" w:color="auto" w:sz="4" w:space="0"/>
              <w:bottom w:val="single" w:color="auto" w:sz="4" w:space="0"/>
              <w:right w:val="single" w:color="auto" w:sz="4" w:space="0"/>
            </w:tcBorders>
            <w:vAlign w:val="center"/>
          </w:tcPr>
          <w:p w14:paraId="4BEF1508">
            <w:pPr>
              <w:adjustRightInd w:val="0"/>
              <w:snapToGrid w:val="0"/>
              <w:spacing w:line="400" w:lineRule="exact"/>
              <w:jc w:val="center"/>
              <w:rPr>
                <w:color w:val="000000" w:themeColor="text1"/>
                <w:kern w:val="0"/>
                <w:sz w:val="24"/>
                <w:szCs w:val="24"/>
              </w:rPr>
            </w:pPr>
            <w:r>
              <w:rPr>
                <w:color w:val="000000" w:themeColor="text1"/>
                <w:kern w:val="0"/>
                <w:sz w:val="24"/>
                <w:szCs w:val="24"/>
              </w:rPr>
              <w:t>2.4</w:t>
            </w:r>
          </w:p>
        </w:tc>
        <w:tc>
          <w:tcPr>
            <w:tcW w:w="1134" w:type="dxa"/>
            <w:tcBorders>
              <w:top w:val="single" w:color="auto" w:sz="4" w:space="0"/>
              <w:left w:val="single" w:color="auto" w:sz="4" w:space="0"/>
              <w:bottom w:val="single" w:color="auto" w:sz="4" w:space="0"/>
              <w:right w:val="single" w:color="auto" w:sz="4" w:space="0"/>
            </w:tcBorders>
            <w:vAlign w:val="center"/>
          </w:tcPr>
          <w:p w14:paraId="01780856">
            <w:pPr>
              <w:adjustRightInd w:val="0"/>
              <w:snapToGrid w:val="0"/>
              <w:spacing w:line="400" w:lineRule="exact"/>
              <w:jc w:val="center"/>
              <w:rPr>
                <w:color w:val="000000" w:themeColor="text1"/>
                <w:kern w:val="0"/>
                <w:sz w:val="24"/>
                <w:szCs w:val="24"/>
              </w:rPr>
            </w:pPr>
            <w:r>
              <w:rPr>
                <w:color w:val="000000" w:themeColor="text1"/>
                <w:kern w:val="0"/>
                <w:sz w:val="24"/>
                <w:szCs w:val="24"/>
              </w:rPr>
              <w:t>2.5</w:t>
            </w:r>
          </w:p>
        </w:tc>
        <w:tc>
          <w:tcPr>
            <w:tcW w:w="1134" w:type="dxa"/>
            <w:tcBorders>
              <w:top w:val="single" w:color="auto" w:sz="4" w:space="0"/>
              <w:left w:val="single" w:color="auto" w:sz="4" w:space="0"/>
              <w:bottom w:val="single" w:color="auto" w:sz="4" w:space="0"/>
              <w:right w:val="single" w:color="auto" w:sz="4" w:space="0"/>
            </w:tcBorders>
          </w:tcPr>
          <w:p w14:paraId="6266C504">
            <w:pPr>
              <w:adjustRightInd w:val="0"/>
              <w:snapToGrid w:val="0"/>
              <w:spacing w:line="400" w:lineRule="exact"/>
              <w:jc w:val="center"/>
              <w:rPr>
                <w:color w:val="000000" w:themeColor="text1"/>
                <w:kern w:val="0"/>
                <w:sz w:val="24"/>
                <w:szCs w:val="24"/>
              </w:rPr>
            </w:pPr>
            <w:r>
              <w:rPr>
                <w:color w:val="000000" w:themeColor="text1"/>
                <w:kern w:val="0"/>
                <w:sz w:val="24"/>
                <w:szCs w:val="24"/>
              </w:rPr>
              <w:t>4.5</w:t>
            </w:r>
          </w:p>
        </w:tc>
        <w:tc>
          <w:tcPr>
            <w:tcW w:w="1276" w:type="dxa"/>
            <w:tcBorders>
              <w:top w:val="single" w:color="auto" w:sz="4" w:space="0"/>
              <w:left w:val="single" w:color="auto" w:sz="4" w:space="0"/>
              <w:bottom w:val="single" w:color="auto" w:sz="4" w:space="0"/>
              <w:right w:val="single" w:color="auto" w:sz="4" w:space="0"/>
            </w:tcBorders>
          </w:tcPr>
          <w:p w14:paraId="79378166">
            <w:pPr>
              <w:adjustRightInd w:val="0"/>
              <w:snapToGrid w:val="0"/>
              <w:spacing w:line="400" w:lineRule="exact"/>
              <w:jc w:val="center"/>
              <w:rPr>
                <w:color w:val="000000" w:themeColor="text1"/>
                <w:kern w:val="0"/>
                <w:sz w:val="24"/>
                <w:szCs w:val="24"/>
              </w:rPr>
            </w:pPr>
            <w:r>
              <w:rPr>
                <w:color w:val="000000" w:themeColor="text1"/>
                <w:kern w:val="0"/>
                <w:sz w:val="24"/>
                <w:szCs w:val="24"/>
              </w:rPr>
              <w:t>完成</w:t>
            </w:r>
          </w:p>
        </w:tc>
      </w:tr>
      <w:tr w14:paraId="4A8C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single" w:color="auto" w:sz="4" w:space="0"/>
            </w:tcBorders>
            <w:vAlign w:val="center"/>
          </w:tcPr>
          <w:p w14:paraId="50A605B8">
            <w:pPr>
              <w:adjustRightInd w:val="0"/>
              <w:snapToGrid w:val="0"/>
              <w:spacing w:line="400" w:lineRule="exact"/>
              <w:rPr>
                <w:color w:val="000000" w:themeColor="text1"/>
                <w:kern w:val="0"/>
                <w:sz w:val="24"/>
                <w:szCs w:val="24"/>
              </w:rPr>
            </w:pPr>
            <w:r>
              <w:rPr>
                <w:color w:val="000000" w:themeColor="text1"/>
                <w:kern w:val="0"/>
                <w:sz w:val="24"/>
                <w:szCs w:val="24"/>
              </w:rPr>
              <w:t>5.工伤保险参保（万人）</w:t>
            </w:r>
          </w:p>
        </w:tc>
        <w:tc>
          <w:tcPr>
            <w:tcW w:w="992" w:type="dxa"/>
            <w:tcBorders>
              <w:top w:val="single" w:color="auto" w:sz="4" w:space="0"/>
              <w:left w:val="single" w:color="auto" w:sz="4" w:space="0"/>
              <w:bottom w:val="single" w:color="auto" w:sz="4" w:space="0"/>
              <w:right w:val="single" w:color="auto" w:sz="4" w:space="0"/>
            </w:tcBorders>
            <w:vAlign w:val="center"/>
          </w:tcPr>
          <w:p w14:paraId="71EB354E">
            <w:pPr>
              <w:adjustRightInd w:val="0"/>
              <w:snapToGrid w:val="0"/>
              <w:spacing w:line="400" w:lineRule="exact"/>
              <w:jc w:val="center"/>
              <w:rPr>
                <w:color w:val="000000" w:themeColor="text1"/>
                <w:kern w:val="0"/>
                <w:sz w:val="24"/>
                <w:szCs w:val="24"/>
              </w:rPr>
            </w:pPr>
            <w:r>
              <w:rPr>
                <w:color w:val="000000" w:themeColor="text1"/>
                <w:kern w:val="0"/>
                <w:sz w:val="24"/>
                <w:szCs w:val="24"/>
              </w:rPr>
              <w:t>3.4</w:t>
            </w:r>
          </w:p>
        </w:tc>
        <w:tc>
          <w:tcPr>
            <w:tcW w:w="1134" w:type="dxa"/>
            <w:tcBorders>
              <w:top w:val="single" w:color="auto" w:sz="4" w:space="0"/>
              <w:left w:val="single" w:color="auto" w:sz="4" w:space="0"/>
              <w:bottom w:val="single" w:color="auto" w:sz="4" w:space="0"/>
              <w:right w:val="single" w:color="auto" w:sz="4" w:space="0"/>
            </w:tcBorders>
            <w:vAlign w:val="center"/>
          </w:tcPr>
          <w:p w14:paraId="702A6C50">
            <w:pPr>
              <w:adjustRightInd w:val="0"/>
              <w:snapToGrid w:val="0"/>
              <w:spacing w:line="400" w:lineRule="exact"/>
              <w:jc w:val="center"/>
              <w:rPr>
                <w:color w:val="000000" w:themeColor="text1"/>
                <w:kern w:val="0"/>
                <w:sz w:val="24"/>
                <w:szCs w:val="24"/>
              </w:rPr>
            </w:pPr>
            <w:r>
              <w:rPr>
                <w:color w:val="000000" w:themeColor="text1"/>
                <w:kern w:val="0"/>
                <w:sz w:val="24"/>
                <w:szCs w:val="24"/>
              </w:rPr>
              <w:t>3.6</w:t>
            </w:r>
          </w:p>
        </w:tc>
        <w:tc>
          <w:tcPr>
            <w:tcW w:w="1134" w:type="dxa"/>
            <w:tcBorders>
              <w:top w:val="single" w:color="auto" w:sz="4" w:space="0"/>
              <w:left w:val="single" w:color="auto" w:sz="4" w:space="0"/>
              <w:bottom w:val="single" w:color="auto" w:sz="4" w:space="0"/>
              <w:right w:val="single" w:color="auto" w:sz="4" w:space="0"/>
            </w:tcBorders>
          </w:tcPr>
          <w:p w14:paraId="4C805252">
            <w:pPr>
              <w:adjustRightInd w:val="0"/>
              <w:snapToGrid w:val="0"/>
              <w:spacing w:line="400" w:lineRule="exact"/>
              <w:jc w:val="center"/>
              <w:rPr>
                <w:color w:val="000000" w:themeColor="text1"/>
                <w:kern w:val="0"/>
                <w:sz w:val="24"/>
                <w:szCs w:val="24"/>
              </w:rPr>
            </w:pPr>
            <w:r>
              <w:rPr>
                <w:color w:val="000000" w:themeColor="text1"/>
                <w:kern w:val="0"/>
                <w:sz w:val="24"/>
                <w:szCs w:val="24"/>
              </w:rPr>
              <w:t>3.8</w:t>
            </w:r>
          </w:p>
        </w:tc>
        <w:tc>
          <w:tcPr>
            <w:tcW w:w="1276" w:type="dxa"/>
            <w:tcBorders>
              <w:top w:val="single" w:color="auto" w:sz="4" w:space="0"/>
              <w:left w:val="single" w:color="auto" w:sz="4" w:space="0"/>
              <w:bottom w:val="single" w:color="auto" w:sz="4" w:space="0"/>
              <w:right w:val="single" w:color="auto" w:sz="4" w:space="0"/>
            </w:tcBorders>
          </w:tcPr>
          <w:p w14:paraId="2E1ABB3F">
            <w:pPr>
              <w:adjustRightInd w:val="0"/>
              <w:snapToGrid w:val="0"/>
              <w:spacing w:line="400" w:lineRule="exact"/>
              <w:jc w:val="center"/>
              <w:rPr>
                <w:color w:val="000000" w:themeColor="text1"/>
                <w:kern w:val="0"/>
                <w:sz w:val="24"/>
                <w:szCs w:val="24"/>
              </w:rPr>
            </w:pPr>
            <w:r>
              <w:rPr>
                <w:color w:val="000000" w:themeColor="text1"/>
                <w:kern w:val="0"/>
                <w:sz w:val="24"/>
                <w:szCs w:val="24"/>
              </w:rPr>
              <w:t>完成</w:t>
            </w:r>
          </w:p>
        </w:tc>
      </w:tr>
      <w:tr w14:paraId="19D7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single" w:color="auto" w:sz="4" w:space="0"/>
            </w:tcBorders>
            <w:vAlign w:val="center"/>
          </w:tcPr>
          <w:p w14:paraId="7F70E8AD">
            <w:pPr>
              <w:adjustRightInd w:val="0"/>
              <w:snapToGrid w:val="0"/>
              <w:spacing w:line="400" w:lineRule="exact"/>
              <w:rPr>
                <w:color w:val="000000" w:themeColor="text1"/>
                <w:kern w:val="0"/>
                <w:sz w:val="24"/>
                <w:szCs w:val="24"/>
              </w:rPr>
            </w:pPr>
            <w:r>
              <w:rPr>
                <w:color w:val="000000" w:themeColor="text1"/>
                <w:kern w:val="0"/>
                <w:sz w:val="24"/>
                <w:szCs w:val="24"/>
              </w:rPr>
              <w:t>6.失业保险参保（万人）</w:t>
            </w:r>
          </w:p>
        </w:tc>
        <w:tc>
          <w:tcPr>
            <w:tcW w:w="992" w:type="dxa"/>
            <w:tcBorders>
              <w:top w:val="single" w:color="auto" w:sz="4" w:space="0"/>
              <w:left w:val="single" w:color="auto" w:sz="4" w:space="0"/>
              <w:bottom w:val="single" w:color="auto" w:sz="4" w:space="0"/>
              <w:right w:val="single" w:color="auto" w:sz="4" w:space="0"/>
            </w:tcBorders>
            <w:vAlign w:val="center"/>
          </w:tcPr>
          <w:p w14:paraId="57DDF8A2">
            <w:pPr>
              <w:adjustRightInd w:val="0"/>
              <w:snapToGrid w:val="0"/>
              <w:spacing w:line="400" w:lineRule="exact"/>
              <w:jc w:val="center"/>
              <w:rPr>
                <w:color w:val="000000" w:themeColor="text1"/>
                <w:kern w:val="0"/>
                <w:sz w:val="24"/>
                <w:szCs w:val="24"/>
              </w:rPr>
            </w:pPr>
            <w:r>
              <w:rPr>
                <w:color w:val="000000" w:themeColor="text1"/>
                <w:kern w:val="0"/>
                <w:sz w:val="24"/>
                <w:szCs w:val="24"/>
              </w:rPr>
              <w:t>2.91</w:t>
            </w:r>
          </w:p>
        </w:tc>
        <w:tc>
          <w:tcPr>
            <w:tcW w:w="1134" w:type="dxa"/>
            <w:tcBorders>
              <w:top w:val="single" w:color="auto" w:sz="4" w:space="0"/>
              <w:left w:val="single" w:color="auto" w:sz="4" w:space="0"/>
              <w:bottom w:val="single" w:color="auto" w:sz="4" w:space="0"/>
              <w:right w:val="single" w:color="auto" w:sz="4" w:space="0"/>
            </w:tcBorders>
            <w:vAlign w:val="center"/>
          </w:tcPr>
          <w:p w14:paraId="19F0DA88">
            <w:pPr>
              <w:adjustRightInd w:val="0"/>
              <w:snapToGrid w:val="0"/>
              <w:spacing w:line="400" w:lineRule="exact"/>
              <w:jc w:val="center"/>
              <w:rPr>
                <w:color w:val="000000" w:themeColor="text1"/>
                <w:kern w:val="0"/>
                <w:sz w:val="24"/>
                <w:szCs w:val="24"/>
              </w:rPr>
            </w:pPr>
            <w:r>
              <w:rPr>
                <w:color w:val="000000" w:themeColor="text1"/>
                <w:kern w:val="0"/>
                <w:sz w:val="24"/>
                <w:szCs w:val="24"/>
              </w:rPr>
              <w:t>3.5</w:t>
            </w:r>
          </w:p>
        </w:tc>
        <w:tc>
          <w:tcPr>
            <w:tcW w:w="1134" w:type="dxa"/>
            <w:tcBorders>
              <w:top w:val="single" w:color="auto" w:sz="4" w:space="0"/>
              <w:left w:val="single" w:color="auto" w:sz="4" w:space="0"/>
              <w:bottom w:val="single" w:color="auto" w:sz="4" w:space="0"/>
              <w:right w:val="single" w:color="auto" w:sz="4" w:space="0"/>
            </w:tcBorders>
          </w:tcPr>
          <w:p w14:paraId="4FFFB537">
            <w:pPr>
              <w:adjustRightInd w:val="0"/>
              <w:snapToGrid w:val="0"/>
              <w:spacing w:line="400" w:lineRule="exact"/>
              <w:jc w:val="center"/>
              <w:rPr>
                <w:color w:val="000000" w:themeColor="text1"/>
                <w:kern w:val="0"/>
                <w:sz w:val="24"/>
                <w:szCs w:val="24"/>
              </w:rPr>
            </w:pPr>
            <w:r>
              <w:rPr>
                <w:color w:val="000000" w:themeColor="text1"/>
                <w:kern w:val="0"/>
                <w:sz w:val="24"/>
                <w:szCs w:val="24"/>
              </w:rPr>
              <w:t>3.7</w:t>
            </w:r>
          </w:p>
        </w:tc>
        <w:tc>
          <w:tcPr>
            <w:tcW w:w="1276" w:type="dxa"/>
            <w:tcBorders>
              <w:top w:val="single" w:color="auto" w:sz="4" w:space="0"/>
              <w:left w:val="single" w:color="auto" w:sz="4" w:space="0"/>
              <w:bottom w:val="single" w:color="auto" w:sz="4" w:space="0"/>
              <w:right w:val="single" w:color="auto" w:sz="4" w:space="0"/>
            </w:tcBorders>
          </w:tcPr>
          <w:p w14:paraId="3B2AC2DD">
            <w:pPr>
              <w:adjustRightInd w:val="0"/>
              <w:snapToGrid w:val="0"/>
              <w:spacing w:line="400" w:lineRule="exact"/>
              <w:jc w:val="center"/>
              <w:rPr>
                <w:color w:val="000000" w:themeColor="text1"/>
                <w:kern w:val="0"/>
                <w:sz w:val="24"/>
                <w:szCs w:val="24"/>
              </w:rPr>
            </w:pPr>
            <w:r>
              <w:rPr>
                <w:color w:val="000000" w:themeColor="text1"/>
                <w:kern w:val="0"/>
                <w:sz w:val="24"/>
                <w:szCs w:val="24"/>
              </w:rPr>
              <w:t>完成</w:t>
            </w:r>
          </w:p>
        </w:tc>
      </w:tr>
      <w:tr w14:paraId="7608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6" w:type="dxa"/>
            <w:gridSpan w:val="5"/>
            <w:tcBorders>
              <w:top w:val="single" w:color="auto" w:sz="4" w:space="0"/>
              <w:left w:val="single" w:color="auto" w:sz="4" w:space="0"/>
              <w:bottom w:val="single" w:color="auto" w:sz="4" w:space="0"/>
              <w:right w:val="single" w:color="auto" w:sz="4" w:space="0"/>
            </w:tcBorders>
          </w:tcPr>
          <w:p w14:paraId="412A9246">
            <w:pPr>
              <w:adjustRightInd w:val="0"/>
              <w:snapToGrid w:val="0"/>
              <w:spacing w:line="400" w:lineRule="exact"/>
              <w:rPr>
                <w:kern w:val="0"/>
                <w:sz w:val="21"/>
                <w:szCs w:val="21"/>
              </w:rPr>
            </w:pPr>
            <w:r>
              <w:rPr>
                <w:rFonts w:eastAsia="方正黑体_GBK"/>
                <w:color w:val="000000" w:themeColor="text1"/>
                <w:kern w:val="0"/>
                <w:sz w:val="24"/>
                <w:szCs w:val="24"/>
              </w:rPr>
              <w:t>三、人事人才</w:t>
            </w:r>
          </w:p>
        </w:tc>
      </w:tr>
      <w:tr w14:paraId="37AD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single" w:color="auto" w:sz="4" w:space="0"/>
            </w:tcBorders>
            <w:vAlign w:val="center"/>
          </w:tcPr>
          <w:p w14:paraId="1BF95BED">
            <w:pPr>
              <w:adjustRightInd w:val="0"/>
              <w:snapToGrid w:val="0"/>
              <w:spacing w:line="400" w:lineRule="exact"/>
              <w:rPr>
                <w:color w:val="000000" w:themeColor="text1"/>
                <w:kern w:val="0"/>
                <w:sz w:val="24"/>
                <w:szCs w:val="24"/>
              </w:rPr>
            </w:pPr>
            <w:r>
              <w:rPr>
                <w:color w:val="000000" w:themeColor="text1"/>
                <w:kern w:val="0"/>
                <w:sz w:val="24"/>
                <w:szCs w:val="24"/>
              </w:rPr>
              <w:t>7.人才资源总量（万人）</w:t>
            </w:r>
          </w:p>
        </w:tc>
        <w:tc>
          <w:tcPr>
            <w:tcW w:w="992" w:type="dxa"/>
            <w:tcBorders>
              <w:top w:val="single" w:color="auto" w:sz="4" w:space="0"/>
              <w:left w:val="single" w:color="auto" w:sz="4" w:space="0"/>
              <w:bottom w:val="single" w:color="auto" w:sz="4" w:space="0"/>
              <w:right w:val="single" w:color="auto" w:sz="4" w:space="0"/>
            </w:tcBorders>
            <w:vAlign w:val="center"/>
          </w:tcPr>
          <w:p w14:paraId="06CF7AEF">
            <w:pPr>
              <w:adjustRightInd w:val="0"/>
              <w:snapToGrid w:val="0"/>
              <w:spacing w:line="400" w:lineRule="exact"/>
              <w:jc w:val="center"/>
              <w:rPr>
                <w:color w:val="000000" w:themeColor="text1"/>
                <w:kern w:val="0"/>
                <w:sz w:val="24"/>
                <w:szCs w:val="24"/>
              </w:rPr>
            </w:pPr>
            <w:r>
              <w:rPr>
                <w:color w:val="000000" w:themeColor="text1"/>
                <w:kern w:val="0"/>
                <w:sz w:val="24"/>
                <w:szCs w:val="24"/>
              </w:rPr>
              <w:t>2.0</w:t>
            </w:r>
          </w:p>
        </w:tc>
        <w:tc>
          <w:tcPr>
            <w:tcW w:w="1134" w:type="dxa"/>
            <w:tcBorders>
              <w:top w:val="single" w:color="auto" w:sz="4" w:space="0"/>
              <w:left w:val="single" w:color="auto" w:sz="4" w:space="0"/>
              <w:bottom w:val="single" w:color="auto" w:sz="4" w:space="0"/>
              <w:right w:val="single" w:color="auto" w:sz="4" w:space="0"/>
            </w:tcBorders>
            <w:vAlign w:val="center"/>
          </w:tcPr>
          <w:p w14:paraId="3604AAF2">
            <w:pPr>
              <w:adjustRightInd w:val="0"/>
              <w:snapToGrid w:val="0"/>
              <w:spacing w:line="400" w:lineRule="exact"/>
              <w:jc w:val="center"/>
              <w:rPr>
                <w:color w:val="000000" w:themeColor="text1"/>
                <w:kern w:val="0"/>
                <w:sz w:val="24"/>
                <w:szCs w:val="24"/>
              </w:rPr>
            </w:pPr>
            <w:r>
              <w:rPr>
                <w:color w:val="000000" w:themeColor="text1"/>
                <w:kern w:val="0"/>
                <w:sz w:val="24"/>
                <w:szCs w:val="24"/>
              </w:rPr>
              <w:t>4.0</w:t>
            </w:r>
          </w:p>
        </w:tc>
        <w:tc>
          <w:tcPr>
            <w:tcW w:w="1134" w:type="dxa"/>
            <w:tcBorders>
              <w:top w:val="single" w:color="auto" w:sz="4" w:space="0"/>
              <w:left w:val="single" w:color="auto" w:sz="4" w:space="0"/>
              <w:bottom w:val="single" w:color="auto" w:sz="4" w:space="0"/>
              <w:right w:val="single" w:color="auto" w:sz="4" w:space="0"/>
            </w:tcBorders>
          </w:tcPr>
          <w:p w14:paraId="48C89E39">
            <w:pPr>
              <w:adjustRightInd w:val="0"/>
              <w:snapToGrid w:val="0"/>
              <w:spacing w:line="400" w:lineRule="exact"/>
              <w:jc w:val="center"/>
              <w:rPr>
                <w:color w:val="000000" w:themeColor="text1"/>
                <w:kern w:val="0"/>
                <w:sz w:val="24"/>
                <w:szCs w:val="24"/>
              </w:rPr>
            </w:pPr>
            <w:r>
              <w:rPr>
                <w:color w:val="000000" w:themeColor="text1"/>
                <w:kern w:val="0"/>
                <w:sz w:val="24"/>
                <w:szCs w:val="24"/>
              </w:rPr>
              <w:t>4.0</w:t>
            </w:r>
          </w:p>
        </w:tc>
        <w:tc>
          <w:tcPr>
            <w:tcW w:w="1276" w:type="dxa"/>
            <w:tcBorders>
              <w:top w:val="single" w:color="auto" w:sz="4" w:space="0"/>
              <w:left w:val="single" w:color="auto" w:sz="4" w:space="0"/>
              <w:bottom w:val="single" w:color="auto" w:sz="4" w:space="0"/>
              <w:right w:val="single" w:color="auto" w:sz="4" w:space="0"/>
            </w:tcBorders>
          </w:tcPr>
          <w:p w14:paraId="6E3024FF">
            <w:pPr>
              <w:adjustRightInd w:val="0"/>
              <w:snapToGrid w:val="0"/>
              <w:spacing w:line="400" w:lineRule="exact"/>
              <w:jc w:val="center"/>
              <w:rPr>
                <w:color w:val="000000" w:themeColor="text1"/>
                <w:kern w:val="0"/>
                <w:sz w:val="24"/>
                <w:szCs w:val="24"/>
              </w:rPr>
            </w:pPr>
            <w:r>
              <w:rPr>
                <w:color w:val="000000" w:themeColor="text1"/>
                <w:kern w:val="0"/>
                <w:sz w:val="24"/>
                <w:szCs w:val="24"/>
              </w:rPr>
              <w:t>完成</w:t>
            </w:r>
          </w:p>
        </w:tc>
      </w:tr>
      <w:tr w14:paraId="6A18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single" w:color="auto" w:sz="4" w:space="0"/>
            </w:tcBorders>
            <w:vAlign w:val="center"/>
          </w:tcPr>
          <w:p w14:paraId="0624CD46">
            <w:pPr>
              <w:adjustRightInd w:val="0"/>
              <w:snapToGrid w:val="0"/>
              <w:spacing w:line="400" w:lineRule="exact"/>
              <w:rPr>
                <w:color w:val="000000" w:themeColor="text1"/>
                <w:kern w:val="0"/>
                <w:sz w:val="24"/>
                <w:szCs w:val="24"/>
              </w:rPr>
            </w:pPr>
            <w:r>
              <w:rPr>
                <w:color w:val="000000" w:themeColor="text1"/>
                <w:kern w:val="0"/>
                <w:sz w:val="24"/>
                <w:szCs w:val="24"/>
              </w:rPr>
              <w:t>8.专业技术人才总量（万人）</w:t>
            </w:r>
          </w:p>
        </w:tc>
        <w:tc>
          <w:tcPr>
            <w:tcW w:w="992" w:type="dxa"/>
            <w:tcBorders>
              <w:top w:val="single" w:color="auto" w:sz="4" w:space="0"/>
              <w:left w:val="single" w:color="auto" w:sz="4" w:space="0"/>
              <w:bottom w:val="single" w:color="auto" w:sz="4" w:space="0"/>
              <w:right w:val="single" w:color="auto" w:sz="4" w:space="0"/>
            </w:tcBorders>
            <w:vAlign w:val="center"/>
          </w:tcPr>
          <w:p w14:paraId="2827F11D">
            <w:pPr>
              <w:adjustRightInd w:val="0"/>
              <w:snapToGrid w:val="0"/>
              <w:spacing w:line="400" w:lineRule="exact"/>
              <w:jc w:val="center"/>
              <w:rPr>
                <w:color w:val="000000" w:themeColor="text1"/>
                <w:kern w:val="0"/>
                <w:sz w:val="24"/>
                <w:szCs w:val="24"/>
              </w:rPr>
            </w:pPr>
            <w:r>
              <w:rPr>
                <w:color w:val="000000" w:themeColor="text1"/>
                <w:kern w:val="0"/>
                <w:sz w:val="24"/>
                <w:szCs w:val="24"/>
              </w:rPr>
              <w:t>0.9</w:t>
            </w:r>
          </w:p>
        </w:tc>
        <w:tc>
          <w:tcPr>
            <w:tcW w:w="1134" w:type="dxa"/>
            <w:tcBorders>
              <w:top w:val="single" w:color="auto" w:sz="4" w:space="0"/>
              <w:left w:val="single" w:color="auto" w:sz="4" w:space="0"/>
              <w:bottom w:val="single" w:color="auto" w:sz="4" w:space="0"/>
              <w:right w:val="single" w:color="auto" w:sz="4" w:space="0"/>
            </w:tcBorders>
            <w:vAlign w:val="center"/>
          </w:tcPr>
          <w:p w14:paraId="10024817">
            <w:pPr>
              <w:adjustRightInd w:val="0"/>
              <w:snapToGrid w:val="0"/>
              <w:spacing w:line="400" w:lineRule="exact"/>
              <w:jc w:val="center"/>
              <w:rPr>
                <w:color w:val="000000" w:themeColor="text1"/>
                <w:kern w:val="0"/>
                <w:sz w:val="24"/>
                <w:szCs w:val="24"/>
              </w:rPr>
            </w:pPr>
            <w:r>
              <w:rPr>
                <w:color w:val="000000" w:themeColor="text1"/>
                <w:kern w:val="0"/>
                <w:sz w:val="24"/>
                <w:szCs w:val="24"/>
              </w:rPr>
              <w:t>1.2</w:t>
            </w:r>
          </w:p>
        </w:tc>
        <w:tc>
          <w:tcPr>
            <w:tcW w:w="1134" w:type="dxa"/>
            <w:tcBorders>
              <w:top w:val="single" w:color="auto" w:sz="4" w:space="0"/>
              <w:left w:val="single" w:color="auto" w:sz="4" w:space="0"/>
              <w:bottom w:val="single" w:color="auto" w:sz="4" w:space="0"/>
              <w:right w:val="single" w:color="auto" w:sz="4" w:space="0"/>
            </w:tcBorders>
          </w:tcPr>
          <w:p w14:paraId="4D9176F5">
            <w:pPr>
              <w:adjustRightInd w:val="0"/>
              <w:snapToGrid w:val="0"/>
              <w:spacing w:line="400" w:lineRule="exact"/>
              <w:jc w:val="center"/>
              <w:rPr>
                <w:color w:val="000000" w:themeColor="text1"/>
                <w:kern w:val="0"/>
                <w:sz w:val="24"/>
                <w:szCs w:val="24"/>
              </w:rPr>
            </w:pPr>
            <w:r>
              <w:rPr>
                <w:color w:val="000000" w:themeColor="text1"/>
                <w:kern w:val="0"/>
                <w:sz w:val="24"/>
                <w:szCs w:val="24"/>
              </w:rPr>
              <w:t>1.2</w:t>
            </w:r>
          </w:p>
        </w:tc>
        <w:tc>
          <w:tcPr>
            <w:tcW w:w="1276" w:type="dxa"/>
            <w:tcBorders>
              <w:top w:val="single" w:color="auto" w:sz="4" w:space="0"/>
              <w:left w:val="single" w:color="auto" w:sz="4" w:space="0"/>
              <w:bottom w:val="single" w:color="auto" w:sz="4" w:space="0"/>
              <w:right w:val="single" w:color="auto" w:sz="4" w:space="0"/>
            </w:tcBorders>
          </w:tcPr>
          <w:p w14:paraId="1F42CFAD">
            <w:pPr>
              <w:adjustRightInd w:val="0"/>
              <w:snapToGrid w:val="0"/>
              <w:spacing w:line="400" w:lineRule="exact"/>
              <w:jc w:val="center"/>
              <w:rPr>
                <w:color w:val="000000" w:themeColor="text1"/>
                <w:kern w:val="0"/>
                <w:sz w:val="24"/>
                <w:szCs w:val="24"/>
              </w:rPr>
            </w:pPr>
            <w:r>
              <w:rPr>
                <w:color w:val="000000" w:themeColor="text1"/>
                <w:kern w:val="0"/>
                <w:sz w:val="24"/>
                <w:szCs w:val="24"/>
              </w:rPr>
              <w:t>完成</w:t>
            </w:r>
          </w:p>
        </w:tc>
      </w:tr>
      <w:tr w14:paraId="3493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6" w:type="dxa"/>
            <w:gridSpan w:val="5"/>
            <w:tcBorders>
              <w:top w:val="single" w:color="auto" w:sz="4" w:space="0"/>
              <w:left w:val="single" w:color="auto" w:sz="4" w:space="0"/>
              <w:bottom w:val="single" w:color="auto" w:sz="4" w:space="0"/>
              <w:right w:val="single" w:color="auto" w:sz="4" w:space="0"/>
            </w:tcBorders>
          </w:tcPr>
          <w:p w14:paraId="1F186E9A">
            <w:pPr>
              <w:adjustRightInd w:val="0"/>
              <w:snapToGrid w:val="0"/>
              <w:spacing w:line="400" w:lineRule="exact"/>
              <w:rPr>
                <w:color w:val="000000" w:themeColor="text1"/>
                <w:kern w:val="0"/>
                <w:sz w:val="24"/>
                <w:szCs w:val="24"/>
              </w:rPr>
            </w:pPr>
            <w:r>
              <w:rPr>
                <w:rFonts w:eastAsia="方正黑体_GBK"/>
                <w:color w:val="000000" w:themeColor="text1"/>
                <w:kern w:val="0"/>
                <w:sz w:val="24"/>
                <w:szCs w:val="24"/>
              </w:rPr>
              <w:t>四、劳动关系</w:t>
            </w:r>
          </w:p>
        </w:tc>
      </w:tr>
      <w:tr w14:paraId="6D5C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single" w:color="auto" w:sz="4" w:space="0"/>
            </w:tcBorders>
            <w:vAlign w:val="center"/>
          </w:tcPr>
          <w:p w14:paraId="0CAD1D4F">
            <w:pPr>
              <w:adjustRightInd w:val="0"/>
              <w:snapToGrid w:val="0"/>
              <w:spacing w:line="400" w:lineRule="exact"/>
              <w:rPr>
                <w:color w:val="000000" w:themeColor="text1"/>
                <w:kern w:val="0"/>
                <w:sz w:val="24"/>
                <w:szCs w:val="24"/>
              </w:rPr>
            </w:pPr>
            <w:r>
              <w:rPr>
                <w:color w:val="000000" w:themeColor="text1"/>
                <w:kern w:val="0"/>
                <w:sz w:val="24"/>
                <w:szCs w:val="24"/>
              </w:rPr>
              <w:t>9.企业劳动合同签订率（%）</w:t>
            </w:r>
          </w:p>
        </w:tc>
        <w:tc>
          <w:tcPr>
            <w:tcW w:w="992" w:type="dxa"/>
            <w:tcBorders>
              <w:top w:val="single" w:color="auto" w:sz="4" w:space="0"/>
              <w:left w:val="single" w:color="auto" w:sz="4" w:space="0"/>
              <w:bottom w:val="single" w:color="auto" w:sz="4" w:space="0"/>
              <w:right w:val="single" w:color="auto" w:sz="4" w:space="0"/>
            </w:tcBorders>
            <w:vAlign w:val="center"/>
          </w:tcPr>
          <w:p w14:paraId="0B21E550">
            <w:pPr>
              <w:adjustRightInd w:val="0"/>
              <w:snapToGrid w:val="0"/>
              <w:spacing w:line="400" w:lineRule="exact"/>
              <w:jc w:val="center"/>
              <w:rPr>
                <w:color w:val="000000" w:themeColor="text1"/>
                <w:kern w:val="0"/>
                <w:sz w:val="24"/>
                <w:szCs w:val="24"/>
              </w:rPr>
            </w:pPr>
            <w:r>
              <w:rPr>
                <w:color w:val="000000" w:themeColor="text1"/>
                <w:kern w:val="0"/>
                <w:sz w:val="24"/>
                <w:szCs w:val="24"/>
              </w:rPr>
              <w:t>90</w:t>
            </w:r>
          </w:p>
        </w:tc>
        <w:tc>
          <w:tcPr>
            <w:tcW w:w="1134" w:type="dxa"/>
            <w:tcBorders>
              <w:top w:val="single" w:color="auto" w:sz="4" w:space="0"/>
              <w:left w:val="single" w:color="auto" w:sz="4" w:space="0"/>
              <w:bottom w:val="single" w:color="auto" w:sz="4" w:space="0"/>
              <w:right w:val="single" w:color="auto" w:sz="4" w:space="0"/>
            </w:tcBorders>
            <w:vAlign w:val="center"/>
          </w:tcPr>
          <w:p w14:paraId="16888165">
            <w:pPr>
              <w:adjustRightInd w:val="0"/>
              <w:snapToGrid w:val="0"/>
              <w:spacing w:line="400" w:lineRule="exact"/>
              <w:jc w:val="center"/>
              <w:rPr>
                <w:color w:val="000000" w:themeColor="text1"/>
                <w:kern w:val="0"/>
                <w:sz w:val="24"/>
                <w:szCs w:val="24"/>
              </w:rPr>
            </w:pPr>
            <w:r>
              <w:rPr>
                <w:color w:val="000000" w:themeColor="text1"/>
                <w:kern w:val="0"/>
                <w:sz w:val="24"/>
                <w:szCs w:val="24"/>
              </w:rPr>
              <w:t>95</w:t>
            </w:r>
          </w:p>
        </w:tc>
        <w:tc>
          <w:tcPr>
            <w:tcW w:w="1134" w:type="dxa"/>
            <w:tcBorders>
              <w:top w:val="single" w:color="auto" w:sz="4" w:space="0"/>
              <w:left w:val="single" w:color="auto" w:sz="4" w:space="0"/>
              <w:bottom w:val="single" w:color="auto" w:sz="4" w:space="0"/>
              <w:right w:val="single" w:color="auto" w:sz="4" w:space="0"/>
            </w:tcBorders>
          </w:tcPr>
          <w:p w14:paraId="44C51E48">
            <w:pPr>
              <w:adjustRightInd w:val="0"/>
              <w:snapToGrid w:val="0"/>
              <w:spacing w:line="400" w:lineRule="exact"/>
              <w:jc w:val="center"/>
              <w:rPr>
                <w:color w:val="000000" w:themeColor="text1"/>
                <w:kern w:val="0"/>
                <w:sz w:val="24"/>
                <w:szCs w:val="24"/>
              </w:rPr>
            </w:pPr>
            <w:r>
              <w:rPr>
                <w:color w:val="000000" w:themeColor="text1"/>
                <w:kern w:val="0"/>
                <w:sz w:val="24"/>
                <w:szCs w:val="24"/>
              </w:rPr>
              <w:t>98</w:t>
            </w:r>
          </w:p>
        </w:tc>
        <w:tc>
          <w:tcPr>
            <w:tcW w:w="1276" w:type="dxa"/>
            <w:tcBorders>
              <w:top w:val="single" w:color="auto" w:sz="4" w:space="0"/>
              <w:left w:val="single" w:color="auto" w:sz="4" w:space="0"/>
              <w:bottom w:val="single" w:color="auto" w:sz="4" w:space="0"/>
              <w:right w:val="single" w:color="auto" w:sz="4" w:space="0"/>
            </w:tcBorders>
          </w:tcPr>
          <w:p w14:paraId="25ED3ED0">
            <w:pPr>
              <w:adjustRightInd w:val="0"/>
              <w:snapToGrid w:val="0"/>
              <w:spacing w:line="400" w:lineRule="exact"/>
              <w:jc w:val="center"/>
              <w:rPr>
                <w:color w:val="000000" w:themeColor="text1"/>
                <w:kern w:val="0"/>
                <w:sz w:val="24"/>
                <w:szCs w:val="24"/>
              </w:rPr>
            </w:pPr>
            <w:r>
              <w:rPr>
                <w:color w:val="000000" w:themeColor="text1"/>
                <w:kern w:val="0"/>
                <w:sz w:val="24"/>
                <w:szCs w:val="24"/>
              </w:rPr>
              <w:t>完成</w:t>
            </w:r>
          </w:p>
        </w:tc>
      </w:tr>
      <w:tr w14:paraId="4D4E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40" w:type="dxa"/>
            <w:tcBorders>
              <w:top w:val="single" w:color="auto" w:sz="4" w:space="0"/>
              <w:left w:val="single" w:color="auto" w:sz="4" w:space="0"/>
              <w:bottom w:val="single" w:color="auto" w:sz="4" w:space="0"/>
              <w:right w:val="single" w:color="auto" w:sz="4" w:space="0"/>
            </w:tcBorders>
            <w:vAlign w:val="center"/>
          </w:tcPr>
          <w:p w14:paraId="192AA372">
            <w:pPr>
              <w:adjustRightInd w:val="0"/>
              <w:snapToGrid w:val="0"/>
              <w:spacing w:line="400" w:lineRule="exact"/>
              <w:rPr>
                <w:color w:val="000000" w:themeColor="text1"/>
                <w:kern w:val="0"/>
                <w:sz w:val="24"/>
                <w:szCs w:val="24"/>
              </w:rPr>
            </w:pPr>
            <w:r>
              <w:rPr>
                <w:color w:val="000000" w:themeColor="text1"/>
                <w:kern w:val="0"/>
                <w:sz w:val="24"/>
                <w:szCs w:val="24"/>
              </w:rPr>
              <w:t>10.劳动人事争议仲裁结案率（%）</w:t>
            </w:r>
          </w:p>
        </w:tc>
        <w:tc>
          <w:tcPr>
            <w:tcW w:w="992" w:type="dxa"/>
            <w:tcBorders>
              <w:top w:val="single" w:color="auto" w:sz="4" w:space="0"/>
              <w:left w:val="single" w:color="auto" w:sz="4" w:space="0"/>
              <w:bottom w:val="single" w:color="auto" w:sz="4" w:space="0"/>
              <w:right w:val="single" w:color="auto" w:sz="4" w:space="0"/>
            </w:tcBorders>
            <w:vAlign w:val="center"/>
          </w:tcPr>
          <w:p w14:paraId="04239F0A">
            <w:pPr>
              <w:adjustRightInd w:val="0"/>
              <w:snapToGrid w:val="0"/>
              <w:spacing w:line="400" w:lineRule="exact"/>
              <w:jc w:val="center"/>
              <w:rPr>
                <w:color w:val="000000" w:themeColor="text1"/>
                <w:kern w:val="0"/>
                <w:sz w:val="24"/>
                <w:szCs w:val="24"/>
              </w:rPr>
            </w:pPr>
            <w:r>
              <w:rPr>
                <w:color w:val="000000" w:themeColor="text1"/>
                <w:kern w:val="0"/>
                <w:sz w:val="24"/>
                <w:szCs w:val="24"/>
              </w:rPr>
              <w:t>91</w:t>
            </w:r>
          </w:p>
        </w:tc>
        <w:tc>
          <w:tcPr>
            <w:tcW w:w="1134" w:type="dxa"/>
            <w:tcBorders>
              <w:top w:val="single" w:color="auto" w:sz="4" w:space="0"/>
              <w:left w:val="single" w:color="auto" w:sz="4" w:space="0"/>
              <w:bottom w:val="single" w:color="auto" w:sz="4" w:space="0"/>
              <w:right w:val="single" w:color="auto" w:sz="4" w:space="0"/>
            </w:tcBorders>
            <w:vAlign w:val="center"/>
          </w:tcPr>
          <w:p w14:paraId="392EE095">
            <w:pPr>
              <w:adjustRightInd w:val="0"/>
              <w:snapToGrid w:val="0"/>
              <w:spacing w:line="400" w:lineRule="exact"/>
              <w:jc w:val="center"/>
              <w:rPr>
                <w:color w:val="000000" w:themeColor="text1"/>
                <w:kern w:val="0"/>
                <w:sz w:val="24"/>
                <w:szCs w:val="24"/>
              </w:rPr>
            </w:pPr>
            <w:r>
              <w:rPr>
                <w:color w:val="000000" w:themeColor="text1"/>
                <w:kern w:val="0"/>
                <w:sz w:val="24"/>
                <w:szCs w:val="24"/>
              </w:rPr>
              <w:t>92</w:t>
            </w:r>
          </w:p>
        </w:tc>
        <w:tc>
          <w:tcPr>
            <w:tcW w:w="1134" w:type="dxa"/>
            <w:tcBorders>
              <w:top w:val="single" w:color="auto" w:sz="4" w:space="0"/>
              <w:left w:val="single" w:color="auto" w:sz="4" w:space="0"/>
              <w:bottom w:val="single" w:color="auto" w:sz="4" w:space="0"/>
              <w:right w:val="single" w:color="auto" w:sz="4" w:space="0"/>
            </w:tcBorders>
          </w:tcPr>
          <w:p w14:paraId="3D0576E4">
            <w:pPr>
              <w:adjustRightInd w:val="0"/>
              <w:snapToGrid w:val="0"/>
              <w:spacing w:line="400" w:lineRule="exact"/>
              <w:jc w:val="center"/>
              <w:rPr>
                <w:color w:val="000000" w:themeColor="text1"/>
                <w:kern w:val="0"/>
                <w:sz w:val="24"/>
                <w:szCs w:val="24"/>
              </w:rPr>
            </w:pPr>
            <w:r>
              <w:rPr>
                <w:color w:val="000000" w:themeColor="text1"/>
                <w:kern w:val="0"/>
                <w:sz w:val="24"/>
                <w:szCs w:val="24"/>
              </w:rPr>
              <w:t>95</w:t>
            </w:r>
          </w:p>
        </w:tc>
        <w:tc>
          <w:tcPr>
            <w:tcW w:w="1276" w:type="dxa"/>
            <w:tcBorders>
              <w:top w:val="single" w:color="auto" w:sz="4" w:space="0"/>
              <w:left w:val="single" w:color="auto" w:sz="4" w:space="0"/>
              <w:bottom w:val="single" w:color="auto" w:sz="4" w:space="0"/>
              <w:right w:val="single" w:color="auto" w:sz="4" w:space="0"/>
            </w:tcBorders>
          </w:tcPr>
          <w:p w14:paraId="5B10B333">
            <w:pPr>
              <w:adjustRightInd w:val="0"/>
              <w:snapToGrid w:val="0"/>
              <w:spacing w:line="400" w:lineRule="exact"/>
              <w:jc w:val="center"/>
              <w:rPr>
                <w:color w:val="000000" w:themeColor="text1"/>
                <w:kern w:val="0"/>
                <w:sz w:val="24"/>
                <w:szCs w:val="24"/>
              </w:rPr>
            </w:pPr>
            <w:r>
              <w:rPr>
                <w:color w:val="000000" w:themeColor="text1"/>
                <w:kern w:val="0"/>
                <w:sz w:val="24"/>
                <w:szCs w:val="24"/>
              </w:rPr>
              <w:t>完成</w:t>
            </w:r>
          </w:p>
        </w:tc>
      </w:tr>
    </w:tbl>
    <w:p w14:paraId="47253E4F">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bookmarkStart w:id="3" w:name="_Toc81142149"/>
    </w:p>
    <w:p w14:paraId="670D4FCA">
      <w:pPr>
        <w:pStyle w:val="4"/>
        <w:adjustRightInd w:val="0"/>
        <w:spacing w:before="217" w:after="217" w:line="240" w:lineRule="auto"/>
        <w:jc w:val="center"/>
        <w:rPr>
          <w:rFonts w:ascii="Times New Roman" w:hAnsi="Times New Roman" w:eastAsia="方正楷体_GBK" w:cs="Times New Roman"/>
          <w:b w:val="0"/>
          <w:bCs w:val="0"/>
          <w:color w:val="000000" w:themeColor="text1"/>
        </w:rPr>
      </w:pPr>
      <w:r>
        <w:rPr>
          <w:rFonts w:hint="eastAsia" w:ascii="Times New Roman" w:hAnsi="Times New Roman" w:eastAsia="方正楷体_GBK" w:cs="Times New Roman"/>
          <w:b w:val="0"/>
          <w:bCs w:val="0"/>
          <w:color w:val="000000" w:themeColor="text1"/>
        </w:rPr>
        <w:t>第二节 指导思想</w:t>
      </w:r>
      <w:bookmarkEnd w:id="3"/>
    </w:p>
    <w:p w14:paraId="1EF2EFB4">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高举中国特色社会主义伟大旗帜，深入贯彻党的十九大和十九届二中、三中、四中、五中</w:t>
      </w:r>
      <w:r>
        <w:rPr>
          <w:rFonts w:hint="eastAsia" w:ascii="Times New Roman" w:hAnsi="Times New Roman" w:eastAsia="方正仿宋_GBK" w:cs="Times New Roman"/>
          <w:color w:val="000000" w:themeColor="text1"/>
          <w:sz w:val="32"/>
          <w:szCs w:val="32"/>
        </w:rPr>
        <w:t>、六中</w:t>
      </w:r>
      <w:r>
        <w:rPr>
          <w:rFonts w:ascii="Times New Roman" w:hAnsi="Times New Roman" w:eastAsia="方正仿宋_GBK" w:cs="Times New Roman"/>
          <w:color w:val="000000" w:themeColor="text1"/>
          <w:sz w:val="32"/>
          <w:szCs w:val="32"/>
        </w:rPr>
        <w:t>全会精神，坚持以马克思列宁主义、毛泽东思想、邓小平理论、“三个代表”重要思想、科学发展观、习近平新时代中国特色社会主义思想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坚持稳中求进工作总基调，</w:t>
      </w:r>
      <w:bookmarkStart w:id="4" w:name="_Hlk77488297"/>
      <w:r>
        <w:rPr>
          <w:rFonts w:hint="eastAsia" w:ascii="Times New Roman" w:hAnsi="Times New Roman" w:eastAsia="方正仿宋_GBK" w:cs="Times New Roman"/>
          <w:color w:val="000000" w:themeColor="text1"/>
          <w:sz w:val="32"/>
          <w:szCs w:val="32"/>
        </w:rPr>
        <w:t>以推动人力社保事业高质量发展为主题，以深化人力社保政策改革创新为主线，</w:t>
      </w:r>
      <w:bookmarkEnd w:id="4"/>
      <w:r>
        <w:rPr>
          <w:rFonts w:ascii="Times New Roman" w:hAnsi="Times New Roman" w:eastAsia="方正仿宋_GBK" w:cs="Times New Roman"/>
          <w:color w:val="000000" w:themeColor="text1"/>
          <w:sz w:val="32"/>
          <w:szCs w:val="32"/>
        </w:rPr>
        <w:t>以</w:t>
      </w:r>
      <w:r>
        <w:rPr>
          <w:rFonts w:hint="eastAsia" w:ascii="Times New Roman" w:hAnsi="Times New Roman" w:eastAsia="方正仿宋_GBK" w:cs="Times New Roman"/>
          <w:color w:val="000000" w:themeColor="text1"/>
          <w:sz w:val="32"/>
          <w:szCs w:val="32"/>
        </w:rPr>
        <w:t>改革创新</w:t>
      </w:r>
      <w:r>
        <w:rPr>
          <w:rFonts w:ascii="Times New Roman" w:hAnsi="Times New Roman" w:eastAsia="方正仿宋_GBK" w:cs="Times New Roman"/>
          <w:color w:val="000000" w:themeColor="text1"/>
          <w:sz w:val="32"/>
          <w:szCs w:val="32"/>
        </w:rPr>
        <w:t>为根本动力，</w:t>
      </w:r>
      <w:r>
        <w:rPr>
          <w:rFonts w:hint="eastAsia" w:ascii="Times New Roman" w:hAnsi="Times New Roman" w:eastAsia="方正仿宋_GBK" w:cs="Times New Roman"/>
          <w:color w:val="000000" w:themeColor="text1"/>
          <w:sz w:val="32"/>
          <w:szCs w:val="32"/>
        </w:rPr>
        <w:t>以满足广大群众日益增长的美好生活需要为根本目的</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统筹推进就业创业、社会保障、人事人才、劳动关系等工作，认真贯彻落实“1234”战略目标，为</w:t>
      </w:r>
      <w:r>
        <w:rPr>
          <w:rFonts w:ascii="Times New Roman" w:hAnsi="Times New Roman" w:eastAsia="方正仿宋_GBK" w:cs="Times New Roman"/>
          <w:color w:val="000000" w:themeColor="text1"/>
          <w:sz w:val="32"/>
          <w:szCs w:val="32"/>
        </w:rPr>
        <w:t>把酉阳建设成为渝东南武陵山区城镇群重要战略支点、</w:t>
      </w:r>
      <w:r>
        <w:rPr>
          <w:rFonts w:hint="eastAsia" w:ascii="Times New Roman" w:hAnsi="Times New Roman" w:eastAsia="方正仿宋_GBK" w:cs="Times New Roman"/>
          <w:color w:val="000000" w:themeColor="text1"/>
          <w:sz w:val="32"/>
          <w:szCs w:val="32"/>
        </w:rPr>
        <w:t>全国著名旅游县城、康养度假基地、生态特色农业基地和民俗生态旅游目的地</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打造文旅融合新标杆，绿色创新发展新高地、人与自然和谐宜居新典范贡献人社力量。</w:t>
      </w:r>
    </w:p>
    <w:p w14:paraId="2A709EDF">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5" w:name="_Toc81142150"/>
      <w:r>
        <w:rPr>
          <w:rFonts w:hint="eastAsia" w:ascii="Times New Roman" w:hAnsi="Times New Roman" w:eastAsia="方正楷体_GBK" w:cs="Times New Roman"/>
          <w:b w:val="0"/>
          <w:bCs w:val="0"/>
          <w:color w:val="000000" w:themeColor="text1"/>
        </w:rPr>
        <w:t>第三节 基本原则</w:t>
      </w:r>
      <w:bookmarkEnd w:id="5"/>
    </w:p>
    <w:p w14:paraId="10DE934A">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坚持党的全面领导。</w:t>
      </w:r>
      <w:r>
        <w:rPr>
          <w:rFonts w:hint="eastAsia" w:ascii="Times New Roman" w:hAnsi="Times New Roman" w:eastAsia="方正仿宋_GBK" w:cs="Times New Roman"/>
          <w:color w:val="000000" w:themeColor="text1"/>
          <w:sz w:val="32"/>
          <w:szCs w:val="32"/>
        </w:rPr>
        <w:t>坚持把党的领导贯穿于人力资源和社会保障工作的各个方面，</w:t>
      </w:r>
      <w:r>
        <w:rPr>
          <w:rFonts w:ascii="Times New Roman" w:hAnsi="Times New Roman" w:eastAsia="方正仿宋_GBK" w:cs="Times New Roman"/>
          <w:color w:val="000000" w:themeColor="text1"/>
          <w:sz w:val="32"/>
          <w:szCs w:val="32"/>
        </w:rPr>
        <w:t>始终在思想上</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政治上</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行动上同以习近平同志为核心的党中央保持高度一致，不断提高贯彻新发展理念、构建新发展格局的能力和水平，</w:t>
      </w:r>
      <w:r>
        <w:rPr>
          <w:rFonts w:hint="eastAsia" w:ascii="Times New Roman" w:hAnsi="Times New Roman" w:eastAsia="方正仿宋_GBK" w:cs="Times New Roman"/>
          <w:color w:val="000000" w:themeColor="text1"/>
          <w:sz w:val="32"/>
          <w:szCs w:val="32"/>
        </w:rPr>
        <w:t>为实现高质量发展提供根本保证。</w:t>
      </w:r>
    </w:p>
    <w:p w14:paraId="1F70A2AB">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坚持人民至上、民生为本。坚持以人民为中心的发展思想，把增进民生福祉、促进社会公平作为发展社会保障事业的根本出发点和落脚点，进一步健全基本公共服务体系，不断增强人民群众获得感、幸福感、安全感。</w:t>
      </w:r>
    </w:p>
    <w:p w14:paraId="145CE970">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坚持发展导向、推动改革。将新发展理念贯穿到人力社保事业发展的全过程，深刻把握以国内大循环为主体、国内国际双循环相互促进的新发展格局，统筹人力社保事业实现更高质量、更有效率、更加公平、更可持续、更为安全的发展。深化人力资源和社会保障领域制度改革，破除制约高质量发展、高品质生活的体制机制障碍。</w:t>
      </w:r>
    </w:p>
    <w:p w14:paraId="569E3058">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坚持依法行政、促进公平。坚持依法行政，运用法治思维和法治方式推进高质量发展。更加注重机会公平，保障基本民生，补齐民生短板。以制度公平保障群众权利公平，以政策落实保证群众权利实现，努力维护和平衡好各类群体的合法权益。</w:t>
      </w:r>
    </w:p>
    <w:p w14:paraId="6B430A82">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坚持问题导向</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夯实基础</w:t>
      </w:r>
      <w:r>
        <w:rPr>
          <w:rFonts w:hint="eastAsia" w:ascii="Times New Roman" w:hAnsi="Times New Roman" w:eastAsia="方正仿宋_GBK" w:cs="Times New Roman"/>
          <w:color w:val="000000" w:themeColor="text1"/>
          <w:sz w:val="32"/>
          <w:szCs w:val="32"/>
        </w:rPr>
        <w:t>。聚焦人力资源和社会保障领域的突出短板和薄弱环节，集中资源、精准投向，着力推进高质量发展。认真分析查找服务群众的堵点、痛点、难点问题，持续加强和提升基层公共服务能力，切实解决好为民服务</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最后一公里</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问题。</w:t>
      </w:r>
    </w:p>
    <w:p w14:paraId="0AD08C69">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6" w:name="_Toc81142151"/>
      <w:r>
        <w:rPr>
          <w:rFonts w:hint="eastAsia" w:ascii="Times New Roman" w:hAnsi="Times New Roman" w:eastAsia="方正楷体_GBK" w:cs="Times New Roman"/>
          <w:b w:val="0"/>
          <w:bCs w:val="0"/>
          <w:color w:val="000000" w:themeColor="text1"/>
        </w:rPr>
        <w:t>第四节 主要目标</w:t>
      </w:r>
      <w:bookmarkEnd w:id="6"/>
    </w:p>
    <w:p w14:paraId="26F504B0">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紧紧围绕</w:t>
      </w:r>
      <w:r>
        <w:rPr>
          <w:rFonts w:hint="eastAsia" w:ascii="Times New Roman" w:hAnsi="Times New Roman" w:eastAsia="方正仿宋_GBK" w:cs="Times New Roman"/>
          <w:color w:val="000000" w:themeColor="text1"/>
          <w:sz w:val="32"/>
          <w:szCs w:val="32"/>
          <w:lang w:eastAsia="zh-CN"/>
        </w:rPr>
        <w:t>全面建设社会主义现代化国家</w:t>
      </w:r>
      <w:r>
        <w:rPr>
          <w:rFonts w:ascii="Times New Roman" w:hAnsi="Times New Roman" w:eastAsia="方正仿宋_GBK" w:cs="Times New Roman"/>
          <w:color w:val="000000" w:themeColor="text1"/>
          <w:sz w:val="32"/>
          <w:szCs w:val="32"/>
        </w:rPr>
        <w:t>的宏伟目标，综合考虑宏观环境、发展条件和承载能力，</w:t>
      </w:r>
      <w:r>
        <w:rPr>
          <w:rFonts w:hint="eastAsia" w:ascii="Times New Roman" w:hAnsi="Times New Roman" w:eastAsia="方正仿宋_GBK" w:cs="Times New Roman"/>
          <w:color w:val="000000" w:themeColor="text1"/>
          <w:sz w:val="32"/>
          <w:szCs w:val="32"/>
        </w:rPr>
        <w:t>提出</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四</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时期主要目标</w:t>
      </w:r>
      <w:r>
        <w:rPr>
          <w:rFonts w:ascii="Times New Roman" w:hAnsi="Times New Roman" w:eastAsia="方正仿宋_GBK" w:cs="Times New Roman"/>
          <w:color w:val="000000" w:themeColor="text1"/>
          <w:sz w:val="32"/>
          <w:szCs w:val="32"/>
        </w:rPr>
        <w:t>和二O</w:t>
      </w:r>
      <w:r>
        <w:rPr>
          <w:rFonts w:hint="eastAsia" w:ascii="Times New Roman" w:hAnsi="Times New Roman" w:eastAsia="方正仿宋_GBK" w:cs="Times New Roman"/>
          <w:color w:val="000000" w:themeColor="text1"/>
          <w:sz w:val="32"/>
          <w:szCs w:val="32"/>
        </w:rPr>
        <w:t>三五</w:t>
      </w:r>
      <w:r>
        <w:rPr>
          <w:rFonts w:ascii="Times New Roman" w:hAnsi="Times New Roman" w:eastAsia="方正仿宋_GBK" w:cs="Times New Roman"/>
          <w:color w:val="000000" w:themeColor="text1"/>
          <w:sz w:val="32"/>
          <w:szCs w:val="32"/>
        </w:rPr>
        <w:t>年远</w:t>
      </w:r>
      <w:r>
        <w:rPr>
          <w:rFonts w:hint="eastAsia" w:ascii="Times New Roman" w:hAnsi="Times New Roman" w:eastAsia="方正仿宋_GBK" w:cs="Times New Roman"/>
          <w:color w:val="000000" w:themeColor="text1"/>
          <w:sz w:val="32"/>
          <w:szCs w:val="32"/>
        </w:rPr>
        <w:t>景目标</w:t>
      </w:r>
      <w:r>
        <w:rPr>
          <w:rFonts w:ascii="Times New Roman" w:hAnsi="Times New Roman" w:eastAsia="方正仿宋_GBK" w:cs="Times New Roman"/>
          <w:color w:val="000000" w:themeColor="text1"/>
          <w:sz w:val="32"/>
          <w:szCs w:val="32"/>
        </w:rPr>
        <w:t>。</w:t>
      </w:r>
    </w:p>
    <w:p w14:paraId="64DB082C">
      <w:pPr>
        <w:pStyle w:val="17"/>
        <w:widowControl w:val="0"/>
        <w:shd w:val="clear" w:color="auto" w:fill="FFFFFF"/>
        <w:adjustRightInd w:val="0"/>
        <w:spacing w:before="0" w:beforeAutospacing="0" w:after="0" w:afterAutospacing="0"/>
        <w:ind w:firstLine="632" w:firstLineChars="200"/>
        <w:jc w:val="both"/>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“十四五”时期的主要目标为：</w:t>
      </w:r>
    </w:p>
    <w:p w14:paraId="0E44D42E">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着力构建与时代同步的人力资源和社会保障事业，推动全县人力资源和社会保障事业取得新发展，为酉阳打造成渝东南武陵山区城镇群的重要战略支点、全国宜居宜游目的地提供人力资源和社会保障支撑。</w:t>
      </w:r>
    </w:p>
    <w:p w14:paraId="42D697C8">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——就业更加充分，质量稳步提高。</w:t>
      </w:r>
      <w:bookmarkStart w:id="7" w:name="_Hlk71010274"/>
      <w:r>
        <w:rPr>
          <w:rFonts w:hint="eastAsia" w:ascii="Times New Roman" w:hAnsi="Times New Roman" w:eastAsia="方正仿宋_GBK" w:cs="Times New Roman"/>
          <w:color w:val="000000" w:themeColor="text1"/>
          <w:sz w:val="32"/>
          <w:szCs w:val="32"/>
        </w:rPr>
        <w:t>就业容量不断扩大，</w:t>
      </w:r>
      <w:bookmarkEnd w:id="7"/>
      <w:r>
        <w:rPr>
          <w:rFonts w:hint="eastAsia" w:ascii="Times New Roman" w:hAnsi="Times New Roman" w:eastAsia="方正仿宋_GBK" w:cs="Times New Roman"/>
          <w:color w:val="000000" w:themeColor="text1"/>
          <w:sz w:val="32"/>
          <w:szCs w:val="32"/>
        </w:rPr>
        <w:t>创业带动就业效应更加明显，重点群体就业有保障，就业者就业创业能力不断提升，人力资源市场体系更加开放有序，就业服务体系更加健全。</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四</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期末，全县实现城镇新增就业</w:t>
      </w:r>
      <w:r>
        <w:rPr>
          <w:rFonts w:ascii="Times New Roman" w:hAnsi="Times New Roman" w:eastAsia="方正仿宋_GBK" w:cs="Times New Roman"/>
          <w:color w:val="000000" w:themeColor="text1"/>
          <w:sz w:val="32"/>
          <w:szCs w:val="32"/>
        </w:rPr>
        <w:t>2</w:t>
      </w:r>
      <w:r>
        <w:rPr>
          <w:rFonts w:hint="eastAsia" w:ascii="Times New Roman" w:hAnsi="Times New Roman" w:eastAsia="方正仿宋_GBK" w:cs="Times New Roman"/>
          <w:color w:val="000000" w:themeColor="text1"/>
          <w:sz w:val="32"/>
          <w:szCs w:val="32"/>
        </w:rPr>
        <w:t>万人。</w:t>
      </w:r>
    </w:p>
    <w:p w14:paraId="5F4F7530">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——多层次社会保障体系更加健全</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统筹城乡的社会保险制度不断完善，社会保险覆盖面持续巩固，社会保险待遇稳步提高，基金运行更加</w:t>
      </w:r>
      <w:r>
        <w:rPr>
          <w:rFonts w:ascii="Times New Roman" w:hAnsi="Times New Roman" w:eastAsia="方正仿宋_GBK" w:cs="Times New Roman"/>
          <w:color w:val="000000" w:themeColor="text1"/>
          <w:sz w:val="32"/>
          <w:szCs w:val="32"/>
        </w:rPr>
        <w:t>安全</w:t>
      </w:r>
      <w:r>
        <w:rPr>
          <w:rFonts w:hint="eastAsia" w:ascii="Times New Roman" w:hAnsi="Times New Roman" w:eastAsia="方正仿宋_GBK" w:cs="Times New Roman"/>
          <w:color w:val="000000" w:themeColor="text1"/>
          <w:sz w:val="32"/>
          <w:szCs w:val="32"/>
        </w:rPr>
        <w:t>平稳，社会保险经办管理服务能力进一步提升。至</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四</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期末，全县基本养老保险参保率超过9</w:t>
      </w:r>
      <w:r>
        <w:rPr>
          <w:rFonts w:ascii="Times New Roman" w:hAnsi="Times New Roman" w:eastAsia="方正仿宋_GBK" w:cs="Times New Roman"/>
          <w:color w:val="000000" w:themeColor="text1"/>
          <w:sz w:val="32"/>
          <w:szCs w:val="32"/>
        </w:rPr>
        <w:t>5</w:t>
      </w:r>
      <w:r>
        <w:rPr>
          <w:rFonts w:hint="eastAsia" w:ascii="Times New Roman" w:hAnsi="Times New Roman" w:eastAsia="方正仿宋_GBK" w:cs="Times New Roman"/>
          <w:color w:val="000000" w:themeColor="text1"/>
          <w:sz w:val="32"/>
          <w:szCs w:val="32"/>
        </w:rPr>
        <w:t>%，失业保险、工伤保险参保人数分别达到4.1万人、4.3万人。</w:t>
      </w:r>
    </w:p>
    <w:p w14:paraId="5F22F5DD">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——人才队伍规模和质量进一步提升。专业技术人才体制机制和事业单位人事制度改革进一步深化，人才公共服务体系更加健全，人才效能更好发挥。到</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四</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期末，全县专业技术人才总量达到1.39万人，全县技能人才总量超过</w:t>
      </w:r>
      <w:r>
        <w:rPr>
          <w:rFonts w:ascii="Times New Roman" w:hAnsi="Times New Roman" w:eastAsia="方正仿宋_GBK" w:cs="Times New Roman"/>
          <w:color w:val="000000" w:themeColor="text1"/>
          <w:sz w:val="32"/>
          <w:szCs w:val="32"/>
        </w:rPr>
        <w:t>7.0</w:t>
      </w:r>
      <w:r>
        <w:rPr>
          <w:rFonts w:hint="eastAsia" w:ascii="Times New Roman" w:hAnsi="Times New Roman" w:eastAsia="方正仿宋_GBK" w:cs="Times New Roman"/>
          <w:color w:val="000000" w:themeColor="text1"/>
          <w:sz w:val="32"/>
          <w:szCs w:val="32"/>
        </w:rPr>
        <w:t>万人。</w:t>
      </w:r>
    </w:p>
    <w:p w14:paraId="52263BD1">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——和谐稳定的劳动关系得以保持。劳动关系协调和劳动人事争议处理机制不断完善，劳动保障监察执法能力不断提升，</w:t>
      </w:r>
      <w:bookmarkStart w:id="8" w:name="_Hlk63065779"/>
      <w:r>
        <w:rPr>
          <w:rFonts w:ascii="Times New Roman" w:hAnsi="Times New Roman" w:eastAsia="方正仿宋_GBK" w:cs="Times New Roman"/>
          <w:color w:val="000000" w:themeColor="text1"/>
          <w:sz w:val="32"/>
          <w:szCs w:val="32"/>
        </w:rPr>
        <w:t>劳动报酬在初次分配中的比重进一步提高，拖欠农民工工资问题得到解决，劳资双方合法权益得到保障</w:t>
      </w:r>
      <w:r>
        <w:rPr>
          <w:rFonts w:hint="eastAsia" w:ascii="Times New Roman" w:hAnsi="Times New Roman" w:eastAsia="方正仿宋_GBK" w:cs="Times New Roman"/>
          <w:color w:val="000000" w:themeColor="text1"/>
          <w:sz w:val="32"/>
          <w:szCs w:val="32"/>
        </w:rPr>
        <w:t>。到</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四</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期末，全县劳动人事争议调解成功率超过6</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Times New Roman"/>
          <w:color w:val="000000" w:themeColor="text1"/>
          <w:sz w:val="32"/>
          <w:szCs w:val="32"/>
        </w:rPr>
        <w:t>%，劳动人事争议仲裁结案率超过9</w:t>
      </w:r>
      <w:r>
        <w:rPr>
          <w:rFonts w:ascii="Times New Roman" w:hAnsi="Times New Roman" w:eastAsia="方正仿宋_GBK" w:cs="Times New Roman"/>
          <w:color w:val="000000" w:themeColor="text1"/>
          <w:sz w:val="32"/>
          <w:szCs w:val="32"/>
        </w:rPr>
        <w:t>0</w:t>
      </w:r>
      <w:r>
        <w:rPr>
          <w:rFonts w:hint="eastAsia" w:ascii="Times New Roman" w:hAnsi="Times New Roman" w:eastAsia="方正仿宋_GBK" w:cs="Times New Roman"/>
          <w:color w:val="000000" w:themeColor="text1"/>
          <w:sz w:val="32"/>
          <w:szCs w:val="32"/>
        </w:rPr>
        <w:t>%。</w:t>
      </w:r>
      <w:bookmarkEnd w:id="8"/>
    </w:p>
    <w:p w14:paraId="629127FD">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——基本公共服务能力和水平进一步提升。</w:t>
      </w:r>
      <w:bookmarkStart w:id="9" w:name="_Hlk63066145"/>
      <w:bookmarkStart w:id="10" w:name="_Hlk65420443"/>
      <w:r>
        <w:rPr>
          <w:rFonts w:hint="eastAsia" w:ascii="Times New Roman" w:hAnsi="Times New Roman" w:eastAsia="方正仿宋_GBK" w:cs="Times New Roman"/>
          <w:color w:val="000000" w:themeColor="text1"/>
          <w:sz w:val="32"/>
          <w:szCs w:val="32"/>
        </w:rPr>
        <w:t>上下联动、内部一体、外部协调、过程可控的基本公共服务体系基本形成，智慧服务能力和服务质效不断提升，社保卡应用广泛普及，人力社保基本公共服务更加均衡优质</w:t>
      </w:r>
      <w:r>
        <w:rPr>
          <w:rFonts w:ascii="Times New Roman" w:hAnsi="Times New Roman" w:eastAsia="方正仿宋_GBK" w:cs="Times New Roman"/>
          <w:color w:val="000000" w:themeColor="text1"/>
          <w:sz w:val="32"/>
          <w:szCs w:val="32"/>
        </w:rPr>
        <w:t>。</w:t>
      </w:r>
      <w:bookmarkEnd w:id="9"/>
      <w:bookmarkEnd w:id="10"/>
    </w:p>
    <w:p w14:paraId="5F2A5486">
      <w:pPr>
        <w:pStyle w:val="17"/>
        <w:widowControl w:val="0"/>
        <w:shd w:val="clear" w:color="auto" w:fill="FFFFFF"/>
        <w:adjustRightInd w:val="0"/>
        <w:spacing w:before="0" w:beforeAutospacing="0" w:after="0" w:afterAutospacing="0"/>
        <w:ind w:firstLine="632" w:firstLineChars="200"/>
        <w:jc w:val="both"/>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二〇三五年远景目标为：</w:t>
      </w:r>
    </w:p>
    <w:p w14:paraId="40AD675C">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bookmarkStart w:id="11" w:name="_Hlk77500221"/>
      <w:r>
        <w:rPr>
          <w:rFonts w:ascii="Times New Roman" w:hAnsi="Times New Roman" w:eastAsia="方正仿宋_GBK" w:cs="Times New Roman"/>
          <w:color w:val="000000" w:themeColor="text1"/>
          <w:sz w:val="32"/>
          <w:szCs w:val="32"/>
        </w:rPr>
        <w:t>展望 2035 年，随着我</w:t>
      </w:r>
      <w:r>
        <w:rPr>
          <w:rFonts w:hint="eastAsia" w:ascii="Times New Roman" w:hAnsi="Times New Roman" w:eastAsia="方正仿宋_GBK" w:cs="Times New Roman"/>
          <w:color w:val="000000" w:themeColor="text1"/>
          <w:sz w:val="32"/>
          <w:szCs w:val="32"/>
        </w:rPr>
        <w:t>县</w:t>
      </w:r>
      <w:r>
        <w:rPr>
          <w:rFonts w:ascii="Times New Roman" w:hAnsi="Times New Roman" w:eastAsia="方正仿宋_GBK" w:cs="Times New Roman"/>
          <w:color w:val="000000" w:themeColor="text1"/>
          <w:sz w:val="32"/>
          <w:szCs w:val="32"/>
        </w:rPr>
        <w:t>基本实现现代化，人力资源和社会保障制度体系将更加科学完善。</w:t>
      </w:r>
      <w:bookmarkEnd w:id="11"/>
      <w:r>
        <w:rPr>
          <w:rFonts w:hint="eastAsia" w:ascii="Times New Roman" w:hAnsi="Times New Roman" w:eastAsia="方正仿宋_GBK" w:cs="Times New Roman"/>
          <w:color w:val="000000" w:themeColor="text1"/>
          <w:sz w:val="32"/>
          <w:szCs w:val="32"/>
        </w:rPr>
        <w:t>更高质量更加充分的就业基本实现，</w:t>
      </w:r>
      <w:r>
        <w:rPr>
          <w:rFonts w:ascii="Times New Roman" w:hAnsi="Times New Roman" w:eastAsia="方正仿宋_GBK" w:cs="Times New Roman"/>
          <w:color w:val="000000" w:themeColor="text1"/>
          <w:sz w:val="32"/>
          <w:szCs w:val="32"/>
        </w:rPr>
        <w:t>劳动者技能素养普遍提升，劳动者的全面发展取得实质性进展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覆盖全民、统筹城乡、公平统一、可持续的</w:t>
      </w:r>
      <w:r>
        <w:rPr>
          <w:rFonts w:hint="eastAsia" w:ascii="Times New Roman" w:hAnsi="Times New Roman" w:eastAsia="方正仿宋_GBK" w:cs="Times New Roman"/>
          <w:color w:val="000000" w:themeColor="text1"/>
          <w:sz w:val="32"/>
          <w:szCs w:val="32"/>
        </w:rPr>
        <w:t>多层次社会保障体系更加健全，</w:t>
      </w:r>
      <w:r>
        <w:rPr>
          <w:rFonts w:ascii="Times New Roman" w:hAnsi="Times New Roman" w:eastAsia="方正仿宋_GBK" w:cs="Times New Roman"/>
          <w:color w:val="000000" w:themeColor="text1"/>
          <w:sz w:val="32"/>
          <w:szCs w:val="32"/>
        </w:rPr>
        <w:t>人人享受社会保障的获得感和幸福感显著增强</w:t>
      </w:r>
      <w:r>
        <w:rPr>
          <w:rFonts w:hint="eastAsia" w:ascii="Times New Roman" w:hAnsi="Times New Roman" w:eastAsia="方正仿宋_GBK" w:cs="Times New Roman"/>
          <w:color w:val="000000" w:themeColor="text1"/>
          <w:sz w:val="32"/>
          <w:szCs w:val="32"/>
        </w:rPr>
        <w:t>；人才强县基本建成，</w:t>
      </w:r>
      <w:r>
        <w:rPr>
          <w:rFonts w:ascii="Times New Roman" w:hAnsi="Times New Roman" w:eastAsia="方正仿宋_GBK" w:cs="Times New Roman"/>
          <w:color w:val="000000" w:themeColor="text1"/>
          <w:sz w:val="32"/>
          <w:szCs w:val="32"/>
        </w:rPr>
        <w:t>人才规模、结构更加合理</w:t>
      </w:r>
      <w:r>
        <w:rPr>
          <w:rFonts w:hint="eastAsia" w:ascii="Times New Roman" w:hAnsi="Times New Roman" w:eastAsia="方正仿宋_GBK" w:cs="Times New Roman"/>
          <w:color w:val="000000" w:themeColor="text1"/>
          <w:sz w:val="32"/>
          <w:szCs w:val="32"/>
        </w:rPr>
        <w:t>；劳动关系更加和谐稳定；人力社保基本公共服务实现均等化。</w:t>
      </w:r>
    </w:p>
    <w:p w14:paraId="5D46622A">
      <w:pPr>
        <w:adjustRightInd w:val="0"/>
        <w:spacing w:before="217" w:after="217"/>
        <w:jc w:val="center"/>
        <w:rPr>
          <w:rFonts w:ascii="方正黑体_GBK" w:hAnsi="方正黑体_GBK" w:eastAsia="方正黑体_GBK" w:cs="方正黑体_GBK"/>
          <w:color w:val="000000" w:themeColor="text1"/>
        </w:rPr>
      </w:pPr>
      <w:r>
        <w:rPr>
          <w:rFonts w:hint="eastAsia" w:ascii="方正黑体_GBK" w:hAnsi="方正黑体_GBK" w:eastAsia="方正黑体_GBK" w:cs="方正黑体_GBK"/>
          <w:color w:val="000000" w:themeColor="text1"/>
        </w:rPr>
        <w:t>专栏2  “十四五”时期主要指标</w:t>
      </w:r>
    </w:p>
    <w:tbl>
      <w:tblPr>
        <w:tblStyle w:val="20"/>
        <w:tblW w:w="867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28"/>
        <w:gridCol w:w="32"/>
        <w:gridCol w:w="1272"/>
        <w:gridCol w:w="84"/>
        <w:gridCol w:w="1335"/>
        <w:gridCol w:w="1421"/>
      </w:tblGrid>
      <w:tr w14:paraId="50AC74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outset" w:color="auto" w:sz="6" w:space="0"/>
              <w:left w:val="outset" w:color="auto" w:sz="6" w:space="0"/>
              <w:bottom w:val="outset" w:color="auto" w:sz="6" w:space="0"/>
              <w:right w:val="single" w:color="auto" w:sz="4" w:space="0"/>
            </w:tcBorders>
            <w:shd w:val="clear" w:color="auto" w:fill="auto"/>
            <w:vAlign w:val="center"/>
          </w:tcPr>
          <w:p w14:paraId="23C74C2C">
            <w:pPr>
              <w:adjustRightInd w:val="0"/>
              <w:snapToGrid w:val="0"/>
              <w:spacing w:line="400" w:lineRule="exact"/>
              <w:jc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sz w:val="24"/>
                <w:szCs w:val="24"/>
              </w:rPr>
              <w:t>指标</w:t>
            </w:r>
          </w:p>
        </w:tc>
        <w:tc>
          <w:tcPr>
            <w:tcW w:w="1388" w:type="dxa"/>
            <w:gridSpan w:val="3"/>
            <w:tcBorders>
              <w:top w:val="outset" w:color="auto" w:sz="6" w:space="0"/>
              <w:left w:val="single" w:color="auto" w:sz="4" w:space="0"/>
              <w:bottom w:val="outset" w:color="auto" w:sz="6" w:space="0"/>
              <w:right w:val="outset" w:color="auto" w:sz="6" w:space="0"/>
            </w:tcBorders>
            <w:shd w:val="clear" w:color="auto" w:fill="auto"/>
            <w:vAlign w:val="center"/>
          </w:tcPr>
          <w:p w14:paraId="603BA496">
            <w:pPr>
              <w:adjustRightInd w:val="0"/>
              <w:snapToGrid w:val="0"/>
              <w:spacing w:line="400" w:lineRule="exact"/>
              <w:jc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sz w:val="24"/>
                <w:szCs w:val="24"/>
              </w:rPr>
              <w:t>2020年基数</w:t>
            </w:r>
          </w:p>
        </w:tc>
        <w:tc>
          <w:tcPr>
            <w:tcW w:w="1335" w:type="dxa"/>
            <w:tcBorders>
              <w:top w:val="outset" w:color="auto" w:sz="6" w:space="0"/>
              <w:left w:val="outset" w:color="auto" w:sz="6" w:space="0"/>
              <w:bottom w:val="outset" w:color="auto" w:sz="6" w:space="0"/>
              <w:right w:val="outset" w:color="auto" w:sz="6" w:space="0"/>
            </w:tcBorders>
            <w:shd w:val="clear" w:color="auto" w:fill="auto"/>
            <w:vAlign w:val="center"/>
          </w:tcPr>
          <w:p w14:paraId="362120EA">
            <w:pPr>
              <w:adjustRightInd w:val="0"/>
              <w:snapToGrid w:val="0"/>
              <w:spacing w:line="400" w:lineRule="exact"/>
              <w:jc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sz w:val="24"/>
                <w:szCs w:val="24"/>
              </w:rPr>
              <w:t>2025年目标</w:t>
            </w:r>
          </w:p>
        </w:tc>
        <w:tc>
          <w:tcPr>
            <w:tcW w:w="1421" w:type="dxa"/>
            <w:tcBorders>
              <w:top w:val="outset" w:color="auto" w:sz="6" w:space="0"/>
              <w:left w:val="outset" w:color="auto" w:sz="6" w:space="0"/>
              <w:bottom w:val="outset" w:color="auto" w:sz="6" w:space="0"/>
              <w:right w:val="outset" w:color="auto" w:sz="6" w:space="0"/>
            </w:tcBorders>
            <w:shd w:val="clear" w:color="auto" w:fill="auto"/>
            <w:vAlign w:val="center"/>
          </w:tcPr>
          <w:p w14:paraId="64E3C985">
            <w:pPr>
              <w:adjustRightInd w:val="0"/>
              <w:snapToGrid w:val="0"/>
              <w:spacing w:line="400" w:lineRule="exact"/>
              <w:jc w:val="center"/>
              <w:rPr>
                <w:rFonts w:ascii="方正黑体_GBK" w:hAnsi="方正黑体_GBK" w:eastAsia="方正黑体_GBK" w:cs="方正黑体_GBK"/>
                <w:color w:val="000000" w:themeColor="text1"/>
                <w:sz w:val="24"/>
                <w:szCs w:val="24"/>
              </w:rPr>
            </w:pPr>
            <w:r>
              <w:rPr>
                <w:rFonts w:hint="eastAsia" w:ascii="方正黑体_GBK" w:hAnsi="方正黑体_GBK" w:eastAsia="方正黑体_GBK" w:cs="方正黑体_GBK"/>
                <w:color w:val="000000" w:themeColor="text1"/>
                <w:sz w:val="24"/>
                <w:szCs w:val="24"/>
              </w:rPr>
              <w:t>指标属性</w:t>
            </w:r>
          </w:p>
        </w:tc>
      </w:tr>
      <w:tr w14:paraId="5E3896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72" w:type="dxa"/>
            <w:gridSpan w:val="6"/>
            <w:tcBorders>
              <w:top w:val="outset" w:color="auto" w:sz="6" w:space="0"/>
              <w:left w:val="outset" w:color="auto" w:sz="6" w:space="0"/>
              <w:bottom w:val="outset" w:color="auto" w:sz="6" w:space="0"/>
              <w:right w:val="outset" w:color="auto" w:sz="6" w:space="0"/>
            </w:tcBorders>
            <w:shd w:val="clear" w:color="auto" w:fill="auto"/>
          </w:tcPr>
          <w:p w14:paraId="1DB2F4A2">
            <w:pPr>
              <w:adjustRightInd w:val="0"/>
              <w:snapToGrid w:val="0"/>
              <w:spacing w:line="400" w:lineRule="exact"/>
              <w:rPr>
                <w:kern w:val="0"/>
                <w:sz w:val="21"/>
                <w:szCs w:val="21"/>
              </w:rPr>
            </w:pPr>
            <w:r>
              <w:rPr>
                <w:rFonts w:hint="eastAsia" w:ascii="方正黑体_GBK" w:hAnsi="方正黑体_GBK" w:eastAsia="方正黑体_GBK" w:cs="方正黑体_GBK"/>
                <w:color w:val="000000" w:themeColor="text1"/>
                <w:sz w:val="24"/>
                <w:szCs w:val="24"/>
              </w:rPr>
              <w:t>一、就业创业</w:t>
            </w:r>
          </w:p>
        </w:tc>
      </w:tr>
      <w:tr w14:paraId="541B20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outset" w:color="auto" w:sz="6" w:space="0"/>
              <w:left w:val="outset" w:color="auto" w:sz="6" w:space="0"/>
              <w:bottom w:val="single" w:color="auto" w:sz="4" w:space="0"/>
              <w:right w:val="single" w:color="auto" w:sz="4" w:space="0"/>
            </w:tcBorders>
            <w:shd w:val="clear" w:color="auto" w:fill="auto"/>
          </w:tcPr>
          <w:p w14:paraId="3D129156">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1.城镇新增就业人数（万人）</w:t>
            </w:r>
          </w:p>
        </w:tc>
        <w:tc>
          <w:tcPr>
            <w:tcW w:w="1388" w:type="dxa"/>
            <w:gridSpan w:val="3"/>
            <w:tcBorders>
              <w:top w:val="outset" w:color="auto" w:sz="6" w:space="0"/>
              <w:left w:val="single" w:color="auto" w:sz="4" w:space="0"/>
              <w:bottom w:val="single" w:color="auto" w:sz="4" w:space="0"/>
              <w:right w:val="outset" w:color="auto" w:sz="6" w:space="0"/>
            </w:tcBorders>
            <w:shd w:val="clear" w:color="auto" w:fill="auto"/>
          </w:tcPr>
          <w:p w14:paraId="245CC72B">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[2.3]</w:t>
            </w:r>
          </w:p>
        </w:tc>
        <w:tc>
          <w:tcPr>
            <w:tcW w:w="1335" w:type="dxa"/>
            <w:tcBorders>
              <w:top w:val="outset" w:color="auto" w:sz="6" w:space="0"/>
              <w:left w:val="outset" w:color="auto" w:sz="6" w:space="0"/>
              <w:bottom w:val="single" w:color="auto" w:sz="4" w:space="0"/>
              <w:right w:val="outset" w:color="auto" w:sz="6" w:space="0"/>
            </w:tcBorders>
            <w:shd w:val="clear" w:color="auto" w:fill="auto"/>
          </w:tcPr>
          <w:p w14:paraId="12ED86B6">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[2]</w:t>
            </w:r>
          </w:p>
        </w:tc>
        <w:tc>
          <w:tcPr>
            <w:tcW w:w="1421" w:type="dxa"/>
            <w:tcBorders>
              <w:top w:val="outset" w:color="auto" w:sz="6" w:space="0"/>
              <w:left w:val="outset" w:color="auto" w:sz="6" w:space="0"/>
              <w:bottom w:val="single" w:color="auto" w:sz="4" w:space="0"/>
              <w:right w:val="outset" w:color="auto" w:sz="6" w:space="0"/>
            </w:tcBorders>
            <w:shd w:val="clear" w:color="auto" w:fill="auto"/>
          </w:tcPr>
          <w:p w14:paraId="67BD04A8">
            <w:pPr>
              <w:adjustRightInd w:val="0"/>
              <w:snapToGrid w:val="0"/>
              <w:spacing w:line="400" w:lineRule="exact"/>
              <w:jc w:val="center"/>
              <w:rPr>
                <w:rFonts w:ascii="方正仿宋_GBK" w:hAnsi="宋体" w:cs="宋体"/>
                <w:color w:val="000000" w:themeColor="text1"/>
                <w:kern w:val="0"/>
                <w:sz w:val="24"/>
                <w:szCs w:val="24"/>
              </w:rPr>
            </w:pPr>
            <w:r>
              <w:rPr>
                <w:rFonts w:hint="eastAsia" w:ascii="方正仿宋_GBK" w:hAnsi="宋体" w:cs="宋体"/>
                <w:color w:val="000000" w:themeColor="text1"/>
                <w:kern w:val="0"/>
                <w:sz w:val="24"/>
                <w:szCs w:val="24"/>
              </w:rPr>
              <w:t>预期性</w:t>
            </w:r>
          </w:p>
        </w:tc>
      </w:tr>
      <w:tr w14:paraId="4C529A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single" w:color="auto" w:sz="4" w:space="0"/>
              <w:left w:val="single" w:color="auto" w:sz="4" w:space="0"/>
              <w:bottom w:val="single" w:color="auto" w:sz="4" w:space="0"/>
              <w:right w:val="single" w:color="auto" w:sz="4" w:space="0"/>
            </w:tcBorders>
            <w:shd w:val="clear" w:color="auto" w:fill="auto"/>
          </w:tcPr>
          <w:p w14:paraId="731B2DFF">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2.城镇登记失业率（%）</w:t>
            </w:r>
          </w:p>
        </w:tc>
        <w:tc>
          <w:tcPr>
            <w:tcW w:w="1388" w:type="dxa"/>
            <w:gridSpan w:val="3"/>
            <w:tcBorders>
              <w:top w:val="single" w:color="auto" w:sz="4" w:space="0"/>
              <w:left w:val="single" w:color="auto" w:sz="4" w:space="0"/>
              <w:bottom w:val="single" w:color="auto" w:sz="4" w:space="0"/>
              <w:right w:val="outset" w:color="auto" w:sz="6" w:space="0"/>
            </w:tcBorders>
            <w:shd w:val="clear" w:color="auto" w:fill="auto"/>
          </w:tcPr>
          <w:p w14:paraId="1587868A">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3.7</w:t>
            </w:r>
          </w:p>
          <w:p w14:paraId="7D307ECC">
            <w:pPr>
              <w:adjustRightInd w:val="0"/>
              <w:snapToGrid w:val="0"/>
              <w:spacing w:line="400" w:lineRule="exact"/>
              <w:jc w:val="center"/>
              <w:rPr>
                <w:rFonts w:ascii="方正仿宋_GBK" w:hAnsi="方正仿宋_GBK" w:cs="方正仿宋_GBK"/>
                <w:color w:val="000000" w:themeColor="text1"/>
                <w:kern w:val="0"/>
                <w:sz w:val="24"/>
                <w:szCs w:val="24"/>
              </w:rPr>
            </w:pPr>
          </w:p>
          <w:p w14:paraId="0190D77C">
            <w:pPr>
              <w:adjustRightInd w:val="0"/>
              <w:snapToGrid w:val="0"/>
              <w:spacing w:line="400" w:lineRule="exact"/>
              <w:jc w:val="center"/>
              <w:rPr>
                <w:rFonts w:ascii="方正仿宋_GBK" w:hAnsi="方正仿宋_GBK" w:cs="方正仿宋_GBK"/>
                <w:color w:val="000000" w:themeColor="text1"/>
                <w:kern w:val="0"/>
                <w:sz w:val="24"/>
                <w:szCs w:val="24"/>
              </w:rPr>
            </w:pPr>
          </w:p>
        </w:tc>
        <w:tc>
          <w:tcPr>
            <w:tcW w:w="1335" w:type="dxa"/>
            <w:tcBorders>
              <w:top w:val="single" w:color="auto" w:sz="4" w:space="0"/>
              <w:left w:val="outset" w:color="auto" w:sz="6" w:space="0"/>
              <w:bottom w:val="single" w:color="auto" w:sz="4" w:space="0"/>
              <w:right w:val="outset" w:color="auto" w:sz="6" w:space="0"/>
            </w:tcBorders>
            <w:shd w:val="clear" w:color="auto" w:fill="auto"/>
          </w:tcPr>
          <w:p w14:paraId="65A50209">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&lt;5.5</w:t>
            </w:r>
          </w:p>
        </w:tc>
        <w:tc>
          <w:tcPr>
            <w:tcW w:w="1421" w:type="dxa"/>
            <w:tcBorders>
              <w:top w:val="single" w:color="auto" w:sz="4" w:space="0"/>
              <w:left w:val="outset" w:color="auto" w:sz="6" w:space="0"/>
              <w:bottom w:val="single" w:color="auto" w:sz="4" w:space="0"/>
              <w:right w:val="outset" w:color="auto" w:sz="6" w:space="0"/>
            </w:tcBorders>
            <w:shd w:val="clear" w:color="auto" w:fill="auto"/>
          </w:tcPr>
          <w:p w14:paraId="17E6DBE9">
            <w:pPr>
              <w:adjustRightInd w:val="0"/>
              <w:snapToGrid w:val="0"/>
              <w:spacing w:line="400" w:lineRule="exact"/>
              <w:jc w:val="center"/>
              <w:rPr>
                <w:rFonts w:ascii="方正仿宋_GBK" w:hAnsi="宋体" w:cs="宋体"/>
                <w:color w:val="000000" w:themeColor="text1"/>
                <w:kern w:val="0"/>
                <w:sz w:val="24"/>
                <w:szCs w:val="24"/>
              </w:rPr>
            </w:pPr>
            <w:r>
              <w:rPr>
                <w:rFonts w:hint="eastAsia" w:ascii="方正仿宋_GBK" w:hAnsi="宋体" w:cs="宋体"/>
                <w:color w:val="000000" w:themeColor="text1"/>
                <w:kern w:val="0"/>
                <w:sz w:val="24"/>
                <w:szCs w:val="24"/>
              </w:rPr>
              <w:t>预期性</w:t>
            </w:r>
          </w:p>
        </w:tc>
      </w:tr>
      <w:tr w14:paraId="6DF3F4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single" w:color="auto" w:sz="4" w:space="0"/>
              <w:left w:val="outset" w:color="auto" w:sz="6" w:space="0"/>
              <w:bottom w:val="single" w:color="auto" w:sz="4" w:space="0"/>
              <w:right w:val="single" w:color="auto" w:sz="4" w:space="0"/>
            </w:tcBorders>
            <w:shd w:val="clear" w:color="auto" w:fill="auto"/>
          </w:tcPr>
          <w:p w14:paraId="1828AC95">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3.开展补贴性职业技能培训人次(万人次)</w:t>
            </w:r>
          </w:p>
        </w:tc>
        <w:tc>
          <w:tcPr>
            <w:tcW w:w="1388" w:type="dxa"/>
            <w:gridSpan w:val="3"/>
            <w:tcBorders>
              <w:top w:val="single" w:color="auto" w:sz="4" w:space="0"/>
              <w:left w:val="single" w:color="auto" w:sz="4" w:space="0"/>
              <w:bottom w:val="single" w:color="auto" w:sz="4" w:space="0"/>
              <w:right w:val="outset" w:color="auto" w:sz="6" w:space="0"/>
            </w:tcBorders>
            <w:shd w:val="clear" w:color="auto" w:fill="auto"/>
          </w:tcPr>
          <w:p w14:paraId="11FB17FE">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w:t>
            </w:r>
          </w:p>
        </w:tc>
        <w:tc>
          <w:tcPr>
            <w:tcW w:w="1335" w:type="dxa"/>
            <w:tcBorders>
              <w:top w:val="single" w:color="auto" w:sz="4" w:space="0"/>
              <w:left w:val="outset" w:color="auto" w:sz="6" w:space="0"/>
              <w:bottom w:val="single" w:color="auto" w:sz="4" w:space="0"/>
              <w:right w:val="outset" w:color="auto" w:sz="6" w:space="0"/>
            </w:tcBorders>
            <w:shd w:val="clear" w:color="auto" w:fill="auto"/>
          </w:tcPr>
          <w:p w14:paraId="0F929E53">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[1]</w:t>
            </w:r>
          </w:p>
        </w:tc>
        <w:tc>
          <w:tcPr>
            <w:tcW w:w="1421" w:type="dxa"/>
            <w:tcBorders>
              <w:top w:val="single" w:color="auto" w:sz="4" w:space="0"/>
              <w:left w:val="outset" w:color="auto" w:sz="6" w:space="0"/>
              <w:bottom w:val="single" w:color="auto" w:sz="4" w:space="0"/>
              <w:right w:val="outset" w:color="auto" w:sz="6" w:space="0"/>
            </w:tcBorders>
            <w:shd w:val="clear" w:color="auto" w:fill="auto"/>
          </w:tcPr>
          <w:p w14:paraId="3BDB4D5D">
            <w:pPr>
              <w:adjustRightInd w:val="0"/>
              <w:snapToGrid w:val="0"/>
              <w:spacing w:line="400" w:lineRule="exact"/>
              <w:jc w:val="center"/>
              <w:rPr>
                <w:rFonts w:ascii="方正仿宋_GBK" w:hAnsi="宋体" w:cs="宋体"/>
                <w:color w:val="000000" w:themeColor="text1"/>
                <w:kern w:val="0"/>
                <w:sz w:val="24"/>
                <w:szCs w:val="24"/>
              </w:rPr>
            </w:pPr>
            <w:r>
              <w:rPr>
                <w:rFonts w:hint="eastAsia" w:ascii="方正仿宋_GBK" w:hAnsi="宋体" w:cs="宋体"/>
                <w:color w:val="000000" w:themeColor="text1"/>
                <w:kern w:val="0"/>
                <w:sz w:val="24"/>
                <w:szCs w:val="24"/>
              </w:rPr>
              <w:t>预期性</w:t>
            </w:r>
          </w:p>
        </w:tc>
      </w:tr>
      <w:tr w14:paraId="2ECD4A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3" w:hRule="exact"/>
          <w:jc w:val="center"/>
        </w:trPr>
        <w:tc>
          <w:tcPr>
            <w:tcW w:w="4528" w:type="dxa"/>
            <w:tcBorders>
              <w:top w:val="single" w:color="auto" w:sz="4" w:space="0"/>
              <w:left w:val="outset" w:color="auto" w:sz="6" w:space="0"/>
              <w:bottom w:val="single" w:color="auto" w:sz="4" w:space="0"/>
              <w:right w:val="single" w:color="auto" w:sz="4" w:space="0"/>
            </w:tcBorders>
            <w:shd w:val="clear" w:color="auto" w:fill="auto"/>
          </w:tcPr>
          <w:p w14:paraId="768D7300">
            <w:pPr>
              <w:adjustRightInd w:val="0"/>
              <w:snapToGrid w:val="0"/>
              <w:spacing w:line="400" w:lineRule="exact"/>
              <w:rPr>
                <w:rFonts w:ascii="方正仿宋_GBK" w:hAnsi="宋体" w:cs="宋体"/>
                <w:color w:val="000000" w:themeColor="text1"/>
                <w:kern w:val="0"/>
                <w:sz w:val="24"/>
                <w:szCs w:val="24"/>
              </w:rPr>
            </w:pPr>
            <w:r>
              <w:rPr>
                <w:rFonts w:hint="eastAsia" w:ascii="方正仿宋_GBK" w:hAnsi="方正仿宋_GBK" w:cs="方正仿宋_GBK"/>
                <w:color w:val="000000" w:themeColor="text1"/>
                <w:kern w:val="0"/>
                <w:sz w:val="24"/>
                <w:szCs w:val="24"/>
              </w:rPr>
              <w:t>4.农民工参加补贴性职业技能培训人次(万</w:t>
            </w:r>
            <w:r>
              <w:rPr>
                <w:rFonts w:hint="eastAsia" w:ascii="方正仿宋_GBK" w:hAnsi="宋体" w:cs="宋体"/>
                <w:color w:val="000000" w:themeColor="text1"/>
                <w:kern w:val="0"/>
                <w:sz w:val="24"/>
                <w:szCs w:val="24"/>
              </w:rPr>
              <w:t>人次)</w:t>
            </w:r>
          </w:p>
          <w:p w14:paraId="47D04C28">
            <w:pPr>
              <w:pStyle w:val="2"/>
            </w:pPr>
          </w:p>
        </w:tc>
        <w:tc>
          <w:tcPr>
            <w:tcW w:w="1388" w:type="dxa"/>
            <w:gridSpan w:val="3"/>
            <w:tcBorders>
              <w:top w:val="single" w:color="auto" w:sz="4" w:space="0"/>
              <w:left w:val="single" w:color="auto" w:sz="4" w:space="0"/>
              <w:bottom w:val="single" w:color="auto" w:sz="4" w:space="0"/>
              <w:right w:val="outset" w:color="auto" w:sz="6" w:space="0"/>
            </w:tcBorders>
            <w:shd w:val="clear" w:color="auto" w:fill="auto"/>
          </w:tcPr>
          <w:p w14:paraId="03941C84">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w:t>
            </w:r>
          </w:p>
        </w:tc>
        <w:tc>
          <w:tcPr>
            <w:tcW w:w="1335" w:type="dxa"/>
            <w:tcBorders>
              <w:top w:val="single" w:color="auto" w:sz="4" w:space="0"/>
              <w:left w:val="outset" w:color="auto" w:sz="6" w:space="0"/>
              <w:bottom w:val="single" w:color="auto" w:sz="4" w:space="0"/>
              <w:right w:val="outset" w:color="auto" w:sz="6" w:space="0"/>
            </w:tcBorders>
            <w:shd w:val="clear" w:color="auto" w:fill="auto"/>
          </w:tcPr>
          <w:p w14:paraId="07F85845">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[0.1]</w:t>
            </w:r>
          </w:p>
        </w:tc>
        <w:tc>
          <w:tcPr>
            <w:tcW w:w="1421" w:type="dxa"/>
            <w:tcBorders>
              <w:top w:val="single" w:color="auto" w:sz="4" w:space="0"/>
              <w:left w:val="outset" w:color="auto" w:sz="6" w:space="0"/>
              <w:bottom w:val="single" w:color="auto" w:sz="4" w:space="0"/>
              <w:right w:val="outset" w:color="auto" w:sz="6" w:space="0"/>
            </w:tcBorders>
            <w:shd w:val="clear" w:color="auto" w:fill="auto"/>
          </w:tcPr>
          <w:p w14:paraId="6459471F">
            <w:pPr>
              <w:adjustRightInd w:val="0"/>
              <w:snapToGrid w:val="0"/>
              <w:spacing w:line="400" w:lineRule="exact"/>
              <w:jc w:val="center"/>
              <w:rPr>
                <w:rFonts w:ascii="方正仿宋_GBK" w:hAnsi="宋体" w:cs="宋体"/>
                <w:color w:val="000000" w:themeColor="text1"/>
                <w:kern w:val="0"/>
                <w:sz w:val="24"/>
                <w:szCs w:val="24"/>
              </w:rPr>
            </w:pPr>
            <w:r>
              <w:rPr>
                <w:rFonts w:hint="eastAsia" w:ascii="方正仿宋_GBK" w:hAnsi="宋体" w:cs="宋体"/>
                <w:color w:val="000000" w:themeColor="text1"/>
                <w:kern w:val="0"/>
                <w:sz w:val="24"/>
                <w:szCs w:val="24"/>
              </w:rPr>
              <w:t>预期性</w:t>
            </w:r>
          </w:p>
        </w:tc>
      </w:tr>
      <w:tr w14:paraId="375154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72" w:type="dxa"/>
            <w:gridSpan w:val="6"/>
            <w:tcBorders>
              <w:top w:val="outset" w:color="auto" w:sz="6" w:space="0"/>
              <w:left w:val="outset" w:color="auto" w:sz="6" w:space="0"/>
              <w:bottom w:val="outset" w:color="auto" w:sz="6" w:space="0"/>
              <w:right w:val="outset" w:color="auto" w:sz="6" w:space="0"/>
            </w:tcBorders>
            <w:shd w:val="clear" w:color="auto" w:fill="auto"/>
          </w:tcPr>
          <w:p w14:paraId="3CBD51A1">
            <w:pPr>
              <w:adjustRightInd w:val="0"/>
              <w:snapToGrid w:val="0"/>
              <w:spacing w:line="400" w:lineRule="exact"/>
              <w:rPr>
                <w:rFonts w:ascii="方正仿宋_GBK" w:hAnsi="方正仿宋_GBK" w:cs="方正仿宋_GBK"/>
                <w:kern w:val="0"/>
                <w:sz w:val="21"/>
                <w:szCs w:val="21"/>
              </w:rPr>
            </w:pPr>
            <w:r>
              <w:rPr>
                <w:rFonts w:hint="eastAsia" w:ascii="方正黑体_GBK" w:hAnsi="方正黑体_GBK" w:eastAsia="方正黑体_GBK" w:cs="方正黑体_GBK"/>
                <w:color w:val="000000" w:themeColor="text1"/>
                <w:sz w:val="24"/>
                <w:szCs w:val="24"/>
              </w:rPr>
              <w:t>二、社会保障</w:t>
            </w:r>
          </w:p>
        </w:tc>
      </w:tr>
      <w:tr w14:paraId="61D780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outset" w:color="auto" w:sz="6" w:space="0"/>
              <w:left w:val="outset" w:color="auto" w:sz="6" w:space="0"/>
              <w:bottom w:val="single" w:color="auto" w:sz="4" w:space="0"/>
              <w:right w:val="single" w:color="auto" w:sz="4" w:space="0"/>
            </w:tcBorders>
            <w:shd w:val="clear" w:color="auto" w:fill="auto"/>
          </w:tcPr>
          <w:p w14:paraId="7F86DA77">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5.基本养老保险参保率（%）</w:t>
            </w:r>
          </w:p>
        </w:tc>
        <w:tc>
          <w:tcPr>
            <w:tcW w:w="1388" w:type="dxa"/>
            <w:gridSpan w:val="3"/>
            <w:tcBorders>
              <w:top w:val="outset" w:color="auto" w:sz="6" w:space="0"/>
              <w:left w:val="single" w:color="auto" w:sz="4" w:space="0"/>
              <w:bottom w:val="single" w:color="auto" w:sz="4" w:space="0"/>
              <w:right w:val="outset" w:color="auto" w:sz="6" w:space="0"/>
            </w:tcBorders>
            <w:shd w:val="clear" w:color="auto" w:fill="auto"/>
          </w:tcPr>
          <w:p w14:paraId="25317AE3">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&gt;95</w:t>
            </w:r>
          </w:p>
        </w:tc>
        <w:tc>
          <w:tcPr>
            <w:tcW w:w="1335" w:type="dxa"/>
            <w:tcBorders>
              <w:top w:val="outset" w:color="auto" w:sz="6" w:space="0"/>
              <w:left w:val="outset" w:color="auto" w:sz="6" w:space="0"/>
              <w:bottom w:val="single" w:color="auto" w:sz="4" w:space="0"/>
              <w:right w:val="outset" w:color="auto" w:sz="6" w:space="0"/>
            </w:tcBorders>
            <w:shd w:val="clear" w:color="auto" w:fill="auto"/>
          </w:tcPr>
          <w:p w14:paraId="54AFF6A6">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&gt;95</w:t>
            </w:r>
          </w:p>
        </w:tc>
        <w:tc>
          <w:tcPr>
            <w:tcW w:w="1421" w:type="dxa"/>
            <w:tcBorders>
              <w:top w:val="outset" w:color="auto" w:sz="6" w:space="0"/>
              <w:left w:val="outset" w:color="auto" w:sz="6" w:space="0"/>
              <w:bottom w:val="single" w:color="auto" w:sz="4" w:space="0"/>
              <w:right w:val="outset" w:color="auto" w:sz="6" w:space="0"/>
            </w:tcBorders>
            <w:shd w:val="clear" w:color="auto" w:fill="auto"/>
            <w:vAlign w:val="center"/>
          </w:tcPr>
          <w:p w14:paraId="42C4E685">
            <w:pPr>
              <w:adjustRightInd w:val="0"/>
              <w:snapToGrid w:val="0"/>
              <w:spacing w:line="400" w:lineRule="exact"/>
              <w:jc w:val="center"/>
              <w:rPr>
                <w:rFonts w:ascii="方正仿宋_GBK" w:hAnsi="宋体" w:cs="宋体"/>
                <w:color w:val="000000" w:themeColor="text1"/>
                <w:kern w:val="0"/>
                <w:sz w:val="24"/>
                <w:szCs w:val="24"/>
              </w:rPr>
            </w:pPr>
            <w:r>
              <w:rPr>
                <w:rFonts w:hint="eastAsia" w:ascii="方正仿宋_GBK" w:hAnsi="宋体" w:cs="宋体"/>
                <w:color w:val="000000" w:themeColor="text1"/>
                <w:kern w:val="0"/>
                <w:sz w:val="24"/>
                <w:szCs w:val="24"/>
              </w:rPr>
              <w:t>预期性</w:t>
            </w:r>
          </w:p>
        </w:tc>
      </w:tr>
      <w:tr w14:paraId="6CDF02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single" w:color="auto" w:sz="4" w:space="0"/>
              <w:left w:val="outset" w:color="auto" w:sz="6" w:space="0"/>
              <w:bottom w:val="single" w:color="auto" w:sz="4" w:space="0"/>
              <w:right w:val="single" w:color="auto" w:sz="4" w:space="0"/>
            </w:tcBorders>
            <w:shd w:val="clear" w:color="auto" w:fill="auto"/>
          </w:tcPr>
          <w:p w14:paraId="0758B30B">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6.失业保险参保人数（万人）</w:t>
            </w:r>
          </w:p>
        </w:tc>
        <w:tc>
          <w:tcPr>
            <w:tcW w:w="1388" w:type="dxa"/>
            <w:gridSpan w:val="3"/>
            <w:tcBorders>
              <w:top w:val="single" w:color="auto" w:sz="4" w:space="0"/>
              <w:left w:val="single" w:color="auto" w:sz="4" w:space="0"/>
              <w:bottom w:val="single" w:color="auto" w:sz="4" w:space="0"/>
              <w:right w:val="outset" w:color="auto" w:sz="6" w:space="0"/>
            </w:tcBorders>
            <w:shd w:val="clear" w:color="auto" w:fill="auto"/>
          </w:tcPr>
          <w:p w14:paraId="518D855D">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3.7</w:t>
            </w:r>
          </w:p>
        </w:tc>
        <w:tc>
          <w:tcPr>
            <w:tcW w:w="1335" w:type="dxa"/>
            <w:tcBorders>
              <w:top w:val="single" w:color="auto" w:sz="4" w:space="0"/>
              <w:left w:val="outset" w:color="auto" w:sz="6" w:space="0"/>
              <w:bottom w:val="single" w:color="auto" w:sz="4" w:space="0"/>
              <w:right w:val="outset" w:color="auto" w:sz="6" w:space="0"/>
            </w:tcBorders>
            <w:shd w:val="clear" w:color="auto" w:fill="auto"/>
          </w:tcPr>
          <w:p w14:paraId="6FB53317">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4.1</w:t>
            </w:r>
          </w:p>
        </w:tc>
        <w:tc>
          <w:tcPr>
            <w:tcW w:w="1421" w:type="dxa"/>
            <w:tcBorders>
              <w:top w:val="single" w:color="auto" w:sz="4" w:space="0"/>
              <w:left w:val="outset" w:color="auto" w:sz="6" w:space="0"/>
              <w:bottom w:val="single" w:color="auto" w:sz="4" w:space="0"/>
              <w:right w:val="outset" w:color="auto" w:sz="6" w:space="0"/>
            </w:tcBorders>
            <w:shd w:val="clear" w:color="auto" w:fill="auto"/>
            <w:vAlign w:val="center"/>
          </w:tcPr>
          <w:p w14:paraId="5020C6AD">
            <w:pPr>
              <w:adjustRightInd w:val="0"/>
              <w:snapToGrid w:val="0"/>
              <w:spacing w:line="400" w:lineRule="exact"/>
              <w:jc w:val="center"/>
              <w:rPr>
                <w:rFonts w:ascii="方正仿宋_GBK" w:hAnsi="宋体" w:cs="宋体"/>
                <w:color w:val="000000" w:themeColor="text1"/>
                <w:kern w:val="0"/>
                <w:sz w:val="24"/>
                <w:szCs w:val="24"/>
              </w:rPr>
            </w:pPr>
            <w:r>
              <w:rPr>
                <w:rFonts w:hint="eastAsia" w:ascii="方正仿宋_GBK" w:hAnsi="宋体" w:cs="宋体"/>
                <w:color w:val="000000" w:themeColor="text1"/>
                <w:kern w:val="0"/>
                <w:sz w:val="24"/>
                <w:szCs w:val="24"/>
              </w:rPr>
              <w:t>预期性</w:t>
            </w:r>
          </w:p>
        </w:tc>
      </w:tr>
      <w:tr w14:paraId="675776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single" w:color="auto" w:sz="4" w:space="0"/>
              <w:left w:val="outset" w:color="auto" w:sz="6" w:space="0"/>
              <w:bottom w:val="single" w:color="auto" w:sz="4" w:space="0"/>
              <w:right w:val="single" w:color="auto" w:sz="4" w:space="0"/>
            </w:tcBorders>
            <w:shd w:val="clear" w:color="auto" w:fill="auto"/>
          </w:tcPr>
          <w:p w14:paraId="3092FDB5">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7.工伤保险参保人数（万人）</w:t>
            </w:r>
          </w:p>
        </w:tc>
        <w:tc>
          <w:tcPr>
            <w:tcW w:w="1388" w:type="dxa"/>
            <w:gridSpan w:val="3"/>
            <w:tcBorders>
              <w:top w:val="single" w:color="auto" w:sz="4" w:space="0"/>
              <w:left w:val="single" w:color="auto" w:sz="4" w:space="0"/>
              <w:bottom w:val="single" w:color="auto" w:sz="4" w:space="0"/>
              <w:right w:val="outset" w:color="auto" w:sz="6" w:space="0"/>
            </w:tcBorders>
            <w:shd w:val="clear" w:color="auto" w:fill="auto"/>
          </w:tcPr>
          <w:p w14:paraId="7915B4A3">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3.8</w:t>
            </w:r>
          </w:p>
        </w:tc>
        <w:tc>
          <w:tcPr>
            <w:tcW w:w="1335" w:type="dxa"/>
            <w:tcBorders>
              <w:top w:val="single" w:color="auto" w:sz="4" w:space="0"/>
              <w:left w:val="outset" w:color="auto" w:sz="6" w:space="0"/>
              <w:bottom w:val="single" w:color="auto" w:sz="4" w:space="0"/>
              <w:right w:val="outset" w:color="auto" w:sz="6" w:space="0"/>
            </w:tcBorders>
            <w:shd w:val="clear" w:color="auto" w:fill="auto"/>
          </w:tcPr>
          <w:p w14:paraId="6C0FFD4A">
            <w:pPr>
              <w:adjustRightInd w:val="0"/>
              <w:snapToGrid w:val="0"/>
              <w:spacing w:line="400" w:lineRule="exact"/>
              <w:jc w:val="center"/>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4.3</w:t>
            </w:r>
          </w:p>
        </w:tc>
        <w:tc>
          <w:tcPr>
            <w:tcW w:w="1421" w:type="dxa"/>
            <w:tcBorders>
              <w:top w:val="single" w:color="auto" w:sz="4" w:space="0"/>
              <w:left w:val="outset" w:color="auto" w:sz="6" w:space="0"/>
              <w:bottom w:val="single" w:color="auto" w:sz="4" w:space="0"/>
              <w:right w:val="outset" w:color="auto" w:sz="6" w:space="0"/>
            </w:tcBorders>
            <w:shd w:val="clear" w:color="auto" w:fill="auto"/>
          </w:tcPr>
          <w:p w14:paraId="54460629">
            <w:pPr>
              <w:adjustRightInd w:val="0"/>
              <w:snapToGrid w:val="0"/>
              <w:spacing w:line="400" w:lineRule="exact"/>
              <w:jc w:val="center"/>
              <w:rPr>
                <w:rFonts w:ascii="方正仿宋_GBK" w:hAnsi="宋体" w:cs="宋体"/>
                <w:color w:val="000000" w:themeColor="text1"/>
                <w:kern w:val="0"/>
                <w:sz w:val="24"/>
                <w:szCs w:val="24"/>
              </w:rPr>
            </w:pPr>
            <w:r>
              <w:rPr>
                <w:rFonts w:hint="eastAsia" w:ascii="方正仿宋_GBK" w:hAnsi="宋体" w:cs="宋体"/>
                <w:color w:val="000000" w:themeColor="text1"/>
                <w:kern w:val="0"/>
                <w:sz w:val="24"/>
                <w:szCs w:val="24"/>
              </w:rPr>
              <w:t>预期性</w:t>
            </w:r>
          </w:p>
        </w:tc>
      </w:tr>
      <w:tr w14:paraId="1C91D1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72" w:type="dxa"/>
            <w:gridSpan w:val="6"/>
            <w:tcBorders>
              <w:top w:val="outset" w:color="auto" w:sz="6" w:space="0"/>
              <w:left w:val="outset" w:color="auto" w:sz="6" w:space="0"/>
              <w:bottom w:val="single" w:color="auto" w:sz="4" w:space="0"/>
              <w:right w:val="outset" w:color="auto" w:sz="6" w:space="0"/>
            </w:tcBorders>
            <w:shd w:val="clear" w:color="auto" w:fill="auto"/>
          </w:tcPr>
          <w:p w14:paraId="73D6567F">
            <w:pPr>
              <w:adjustRightInd w:val="0"/>
              <w:snapToGrid w:val="0"/>
              <w:spacing w:after="150" w:line="400" w:lineRule="exact"/>
              <w:rPr>
                <w:rFonts w:ascii="方正仿宋_GBK" w:hAnsi="方正仿宋_GBK" w:cs="方正仿宋_GBK"/>
                <w:kern w:val="0"/>
                <w:sz w:val="24"/>
                <w:szCs w:val="24"/>
              </w:rPr>
            </w:pPr>
            <w:r>
              <w:rPr>
                <w:rFonts w:hint="eastAsia" w:ascii="方正黑体_GBK" w:hAnsi="方正黑体_GBK" w:eastAsia="方正黑体_GBK" w:cs="方正黑体_GBK"/>
                <w:color w:val="000000" w:themeColor="text1"/>
                <w:sz w:val="24"/>
                <w:szCs w:val="24"/>
              </w:rPr>
              <w:t>三、人才队伍</w:t>
            </w:r>
          </w:p>
        </w:tc>
      </w:tr>
      <w:tr w14:paraId="7CFE02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60" w:type="dxa"/>
            <w:gridSpan w:val="2"/>
            <w:tcBorders>
              <w:top w:val="single" w:color="auto" w:sz="4" w:space="0"/>
              <w:left w:val="outset" w:color="auto" w:sz="6" w:space="0"/>
              <w:bottom w:val="single" w:color="auto" w:sz="4" w:space="0"/>
              <w:right w:val="single" w:color="auto" w:sz="4" w:space="0"/>
            </w:tcBorders>
            <w:shd w:val="clear" w:color="auto" w:fill="auto"/>
          </w:tcPr>
          <w:p w14:paraId="18BD1230">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8.专业技术人才总量（万人）</w:t>
            </w:r>
          </w:p>
        </w:tc>
        <w:tc>
          <w:tcPr>
            <w:tcW w:w="1272" w:type="dxa"/>
            <w:tcBorders>
              <w:top w:val="single" w:color="auto" w:sz="4" w:space="0"/>
              <w:left w:val="single" w:color="auto" w:sz="4" w:space="0"/>
              <w:bottom w:val="single" w:color="auto" w:sz="4" w:space="0"/>
              <w:right w:val="single" w:color="auto" w:sz="4" w:space="0"/>
            </w:tcBorders>
            <w:shd w:val="clear" w:color="auto" w:fill="auto"/>
          </w:tcPr>
          <w:p w14:paraId="107A72AD">
            <w:pPr>
              <w:adjustRightInd w:val="0"/>
              <w:snapToGrid w:val="0"/>
              <w:spacing w:after="150"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1.09</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tcPr>
          <w:p w14:paraId="1A4D4CF0">
            <w:pPr>
              <w:adjustRightInd w:val="0"/>
              <w:snapToGrid w:val="0"/>
              <w:spacing w:after="150"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1.39</w:t>
            </w:r>
          </w:p>
        </w:tc>
        <w:tc>
          <w:tcPr>
            <w:tcW w:w="1421" w:type="dxa"/>
            <w:tcBorders>
              <w:top w:val="single" w:color="auto" w:sz="4" w:space="0"/>
              <w:left w:val="single" w:color="auto" w:sz="4" w:space="0"/>
              <w:bottom w:val="single" w:color="auto" w:sz="4" w:space="0"/>
              <w:right w:val="outset" w:color="auto" w:sz="6" w:space="0"/>
            </w:tcBorders>
            <w:shd w:val="clear" w:color="auto" w:fill="auto"/>
          </w:tcPr>
          <w:p w14:paraId="61B0A88A">
            <w:pPr>
              <w:adjustRightInd w:val="0"/>
              <w:snapToGrid w:val="0"/>
              <w:spacing w:after="150" w:line="400" w:lineRule="exact"/>
              <w:jc w:val="center"/>
              <w:rPr>
                <w:rFonts w:ascii="方正仿宋_GBK" w:hAnsi="宋体" w:cs="宋体"/>
                <w:kern w:val="0"/>
                <w:sz w:val="21"/>
                <w:szCs w:val="21"/>
              </w:rPr>
            </w:pPr>
            <w:r>
              <w:rPr>
                <w:rFonts w:hint="eastAsia" w:ascii="方正仿宋_GBK" w:hAnsi="宋体" w:cs="宋体"/>
                <w:kern w:val="0"/>
                <w:sz w:val="21"/>
                <w:szCs w:val="21"/>
              </w:rPr>
              <w:t>预期性</w:t>
            </w:r>
          </w:p>
        </w:tc>
      </w:tr>
      <w:tr w14:paraId="20D0D7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60" w:type="dxa"/>
            <w:gridSpan w:val="2"/>
            <w:tcBorders>
              <w:top w:val="single" w:color="auto" w:sz="4" w:space="0"/>
              <w:left w:val="outset" w:color="auto" w:sz="6" w:space="0"/>
              <w:bottom w:val="single" w:color="auto" w:sz="4" w:space="0"/>
              <w:right w:val="single" w:color="auto" w:sz="4" w:space="0"/>
            </w:tcBorders>
            <w:shd w:val="clear" w:color="auto" w:fill="auto"/>
          </w:tcPr>
          <w:p w14:paraId="21937E2A">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9.高中级专业技术人才占比（%）</w:t>
            </w:r>
          </w:p>
        </w:tc>
        <w:tc>
          <w:tcPr>
            <w:tcW w:w="1272" w:type="dxa"/>
            <w:tcBorders>
              <w:top w:val="single" w:color="auto" w:sz="4" w:space="0"/>
              <w:left w:val="single" w:color="auto" w:sz="4" w:space="0"/>
              <w:bottom w:val="single" w:color="auto" w:sz="4" w:space="0"/>
              <w:right w:val="single" w:color="auto" w:sz="4" w:space="0"/>
            </w:tcBorders>
            <w:shd w:val="clear" w:color="auto" w:fill="auto"/>
          </w:tcPr>
          <w:p w14:paraId="3D4C63E0">
            <w:pPr>
              <w:adjustRightInd w:val="0"/>
              <w:snapToGrid w:val="0"/>
              <w:spacing w:after="150"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tcPr>
          <w:p w14:paraId="7F485E6B">
            <w:pPr>
              <w:adjustRightInd w:val="0"/>
              <w:snapToGrid w:val="0"/>
              <w:spacing w:after="150"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&gt;45</w:t>
            </w:r>
          </w:p>
        </w:tc>
        <w:tc>
          <w:tcPr>
            <w:tcW w:w="1421" w:type="dxa"/>
            <w:tcBorders>
              <w:top w:val="single" w:color="auto" w:sz="4" w:space="0"/>
              <w:left w:val="single" w:color="auto" w:sz="4" w:space="0"/>
              <w:bottom w:val="single" w:color="auto" w:sz="4" w:space="0"/>
              <w:right w:val="outset" w:color="auto" w:sz="6" w:space="0"/>
            </w:tcBorders>
            <w:shd w:val="clear" w:color="auto" w:fill="auto"/>
            <w:vAlign w:val="center"/>
          </w:tcPr>
          <w:p w14:paraId="3D0F2803">
            <w:pPr>
              <w:adjustRightInd w:val="0"/>
              <w:snapToGrid w:val="0"/>
              <w:spacing w:after="150" w:line="400" w:lineRule="exact"/>
              <w:jc w:val="center"/>
              <w:rPr>
                <w:rFonts w:ascii="方正仿宋_GBK" w:hAnsi="宋体" w:cs="宋体"/>
                <w:kern w:val="0"/>
                <w:sz w:val="21"/>
                <w:szCs w:val="21"/>
              </w:rPr>
            </w:pPr>
            <w:r>
              <w:rPr>
                <w:rFonts w:hint="eastAsia" w:ascii="方正仿宋_GBK" w:hAnsi="宋体" w:cs="宋体"/>
                <w:kern w:val="0"/>
                <w:sz w:val="21"/>
                <w:szCs w:val="21"/>
              </w:rPr>
              <w:t>预期性</w:t>
            </w:r>
          </w:p>
        </w:tc>
      </w:tr>
      <w:tr w14:paraId="43BBBD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60" w:type="dxa"/>
            <w:gridSpan w:val="2"/>
            <w:tcBorders>
              <w:top w:val="single" w:color="auto" w:sz="4" w:space="0"/>
              <w:left w:val="outset" w:color="auto" w:sz="6" w:space="0"/>
              <w:bottom w:val="single" w:color="auto" w:sz="4" w:space="0"/>
              <w:right w:val="single" w:color="auto" w:sz="4" w:space="0"/>
            </w:tcBorders>
            <w:shd w:val="clear" w:color="auto" w:fill="auto"/>
          </w:tcPr>
          <w:p w14:paraId="46CB84B7">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10.技能人才总量（万人）</w:t>
            </w:r>
          </w:p>
        </w:tc>
        <w:tc>
          <w:tcPr>
            <w:tcW w:w="1272" w:type="dxa"/>
            <w:tcBorders>
              <w:top w:val="single" w:color="auto" w:sz="4" w:space="0"/>
              <w:left w:val="single" w:color="auto" w:sz="4" w:space="0"/>
              <w:bottom w:val="single" w:color="auto" w:sz="4" w:space="0"/>
              <w:right w:val="single" w:color="auto" w:sz="4" w:space="0"/>
            </w:tcBorders>
            <w:shd w:val="clear" w:color="auto" w:fill="auto"/>
          </w:tcPr>
          <w:p w14:paraId="4CAD08EE">
            <w:pPr>
              <w:adjustRightInd w:val="0"/>
              <w:snapToGrid w:val="0"/>
              <w:spacing w:after="150"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6.4</w:t>
            </w:r>
          </w:p>
        </w:tc>
        <w:tc>
          <w:tcPr>
            <w:tcW w:w="1419" w:type="dxa"/>
            <w:gridSpan w:val="2"/>
            <w:tcBorders>
              <w:top w:val="single" w:color="auto" w:sz="4" w:space="0"/>
              <w:left w:val="single" w:color="auto" w:sz="4" w:space="0"/>
              <w:bottom w:val="single" w:color="auto" w:sz="4" w:space="0"/>
              <w:right w:val="single" w:color="auto" w:sz="4" w:space="0"/>
            </w:tcBorders>
            <w:shd w:val="clear" w:color="auto" w:fill="auto"/>
          </w:tcPr>
          <w:p w14:paraId="5765224E">
            <w:pPr>
              <w:adjustRightInd w:val="0"/>
              <w:snapToGrid w:val="0"/>
              <w:spacing w:after="150"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7.0</w:t>
            </w:r>
          </w:p>
        </w:tc>
        <w:tc>
          <w:tcPr>
            <w:tcW w:w="1421" w:type="dxa"/>
            <w:tcBorders>
              <w:top w:val="single" w:color="auto" w:sz="4" w:space="0"/>
              <w:left w:val="single" w:color="auto" w:sz="4" w:space="0"/>
              <w:bottom w:val="single" w:color="auto" w:sz="4" w:space="0"/>
              <w:right w:val="outset" w:color="auto" w:sz="6" w:space="0"/>
            </w:tcBorders>
            <w:shd w:val="clear" w:color="auto" w:fill="auto"/>
          </w:tcPr>
          <w:p w14:paraId="7EBB29CE">
            <w:pPr>
              <w:adjustRightInd w:val="0"/>
              <w:snapToGrid w:val="0"/>
              <w:spacing w:after="150" w:line="400" w:lineRule="exact"/>
              <w:jc w:val="center"/>
              <w:rPr>
                <w:rFonts w:ascii="方正仿宋_GBK" w:hAnsi="宋体" w:cs="宋体"/>
                <w:kern w:val="0"/>
                <w:sz w:val="21"/>
                <w:szCs w:val="21"/>
              </w:rPr>
            </w:pPr>
            <w:r>
              <w:rPr>
                <w:rFonts w:hint="eastAsia" w:ascii="方正仿宋_GBK" w:hAnsi="宋体" w:cs="宋体"/>
                <w:kern w:val="0"/>
                <w:sz w:val="21"/>
                <w:szCs w:val="21"/>
              </w:rPr>
              <w:t>预期性</w:t>
            </w:r>
          </w:p>
        </w:tc>
      </w:tr>
      <w:tr w14:paraId="04CA99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72" w:type="dxa"/>
            <w:gridSpan w:val="6"/>
            <w:tcBorders>
              <w:top w:val="single" w:color="auto" w:sz="4" w:space="0"/>
              <w:left w:val="outset" w:color="auto" w:sz="6" w:space="0"/>
              <w:bottom w:val="outset" w:color="auto" w:sz="6" w:space="0"/>
              <w:right w:val="outset" w:color="auto" w:sz="6" w:space="0"/>
            </w:tcBorders>
            <w:shd w:val="clear" w:color="auto" w:fill="auto"/>
          </w:tcPr>
          <w:p w14:paraId="42942E6C">
            <w:pPr>
              <w:adjustRightInd w:val="0"/>
              <w:snapToGrid w:val="0"/>
              <w:spacing w:after="150" w:line="400" w:lineRule="exact"/>
              <w:rPr>
                <w:rFonts w:ascii="方正仿宋_GBK" w:hAnsi="方正仿宋_GBK" w:cs="方正仿宋_GBK"/>
                <w:kern w:val="0"/>
                <w:sz w:val="24"/>
                <w:szCs w:val="24"/>
              </w:rPr>
            </w:pPr>
            <w:r>
              <w:rPr>
                <w:rFonts w:hint="eastAsia" w:ascii="方正黑体_GBK" w:hAnsi="方正黑体_GBK" w:eastAsia="方正黑体_GBK" w:cs="方正黑体_GBK"/>
                <w:color w:val="000000" w:themeColor="text1"/>
                <w:sz w:val="24"/>
                <w:szCs w:val="24"/>
              </w:rPr>
              <w:t>四、劳动关系</w:t>
            </w:r>
          </w:p>
        </w:tc>
      </w:tr>
      <w:tr w14:paraId="63145E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outset" w:color="auto" w:sz="6" w:space="0"/>
              <w:left w:val="outset" w:color="auto" w:sz="6" w:space="0"/>
              <w:bottom w:val="single" w:color="auto" w:sz="4" w:space="0"/>
              <w:right w:val="single" w:color="auto" w:sz="4" w:space="0"/>
            </w:tcBorders>
            <w:shd w:val="clear" w:color="auto" w:fill="auto"/>
          </w:tcPr>
          <w:p w14:paraId="2960640E">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11.劳动人事争议调解成功率（%）</w:t>
            </w:r>
          </w:p>
        </w:tc>
        <w:tc>
          <w:tcPr>
            <w:tcW w:w="1388" w:type="dxa"/>
            <w:gridSpan w:val="3"/>
            <w:tcBorders>
              <w:top w:val="outset" w:color="auto" w:sz="6" w:space="0"/>
              <w:left w:val="single" w:color="auto" w:sz="4" w:space="0"/>
              <w:bottom w:val="single" w:color="auto" w:sz="4" w:space="0"/>
              <w:right w:val="outset" w:color="auto" w:sz="6" w:space="0"/>
            </w:tcBorders>
            <w:shd w:val="clear" w:color="auto" w:fill="auto"/>
          </w:tcPr>
          <w:p w14:paraId="373EB840">
            <w:pPr>
              <w:adjustRightInd w:val="0"/>
              <w:snapToGrid w:val="0"/>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60</w:t>
            </w:r>
          </w:p>
        </w:tc>
        <w:tc>
          <w:tcPr>
            <w:tcW w:w="1335" w:type="dxa"/>
            <w:tcBorders>
              <w:top w:val="outset" w:color="auto" w:sz="6" w:space="0"/>
              <w:left w:val="outset" w:color="auto" w:sz="6" w:space="0"/>
              <w:bottom w:val="single" w:color="auto" w:sz="4" w:space="0"/>
              <w:right w:val="outset" w:color="auto" w:sz="6" w:space="0"/>
            </w:tcBorders>
            <w:shd w:val="clear" w:color="auto" w:fill="auto"/>
          </w:tcPr>
          <w:p w14:paraId="0F5D0203">
            <w:pPr>
              <w:adjustRightInd w:val="0"/>
              <w:snapToGrid w:val="0"/>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&gt;60</w:t>
            </w:r>
          </w:p>
        </w:tc>
        <w:tc>
          <w:tcPr>
            <w:tcW w:w="1421" w:type="dxa"/>
            <w:tcBorders>
              <w:top w:val="outset" w:color="auto" w:sz="6" w:space="0"/>
              <w:left w:val="outset" w:color="auto" w:sz="6" w:space="0"/>
              <w:bottom w:val="single" w:color="auto" w:sz="4" w:space="0"/>
              <w:right w:val="outset" w:color="auto" w:sz="6" w:space="0"/>
            </w:tcBorders>
            <w:shd w:val="clear" w:color="auto" w:fill="auto"/>
          </w:tcPr>
          <w:p w14:paraId="118B385E">
            <w:pPr>
              <w:adjustRightInd w:val="0"/>
              <w:snapToGrid w:val="0"/>
              <w:spacing w:line="400" w:lineRule="exact"/>
              <w:jc w:val="center"/>
              <w:rPr>
                <w:rFonts w:ascii="方正仿宋_GBK" w:hAnsi="宋体" w:cs="宋体"/>
                <w:kern w:val="0"/>
                <w:sz w:val="21"/>
                <w:szCs w:val="21"/>
              </w:rPr>
            </w:pPr>
            <w:r>
              <w:rPr>
                <w:rFonts w:hint="eastAsia" w:ascii="方正仿宋_GBK" w:hAnsi="宋体" w:cs="宋体"/>
                <w:kern w:val="0"/>
                <w:sz w:val="21"/>
                <w:szCs w:val="21"/>
              </w:rPr>
              <w:t>预期性</w:t>
            </w:r>
          </w:p>
        </w:tc>
      </w:tr>
      <w:tr w14:paraId="6FE152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single" w:color="auto" w:sz="4" w:space="0"/>
              <w:left w:val="outset" w:color="auto" w:sz="6" w:space="0"/>
              <w:bottom w:val="single" w:color="auto" w:sz="4" w:space="0"/>
              <w:right w:val="single" w:color="auto" w:sz="4" w:space="0"/>
            </w:tcBorders>
            <w:shd w:val="clear" w:color="auto" w:fill="auto"/>
          </w:tcPr>
          <w:p w14:paraId="1E60A226">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12.劳动人事争议仲裁结案率（%）</w:t>
            </w:r>
          </w:p>
        </w:tc>
        <w:tc>
          <w:tcPr>
            <w:tcW w:w="1388" w:type="dxa"/>
            <w:gridSpan w:val="3"/>
            <w:tcBorders>
              <w:top w:val="single" w:color="auto" w:sz="4" w:space="0"/>
              <w:left w:val="single" w:color="auto" w:sz="4" w:space="0"/>
              <w:bottom w:val="outset" w:color="auto" w:sz="6" w:space="0"/>
              <w:right w:val="outset" w:color="auto" w:sz="6" w:space="0"/>
            </w:tcBorders>
            <w:shd w:val="clear" w:color="auto" w:fill="auto"/>
          </w:tcPr>
          <w:p w14:paraId="62E0C870">
            <w:pPr>
              <w:adjustRightInd w:val="0"/>
              <w:snapToGrid w:val="0"/>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95</w:t>
            </w:r>
          </w:p>
        </w:tc>
        <w:tc>
          <w:tcPr>
            <w:tcW w:w="1335" w:type="dxa"/>
            <w:tcBorders>
              <w:top w:val="single" w:color="auto" w:sz="4" w:space="0"/>
              <w:left w:val="outset" w:color="auto" w:sz="6" w:space="0"/>
              <w:bottom w:val="outset" w:color="auto" w:sz="6" w:space="0"/>
              <w:right w:val="outset" w:color="auto" w:sz="6" w:space="0"/>
            </w:tcBorders>
            <w:shd w:val="clear" w:color="auto" w:fill="auto"/>
          </w:tcPr>
          <w:p w14:paraId="4C4E57A4">
            <w:pPr>
              <w:adjustRightInd w:val="0"/>
              <w:snapToGrid w:val="0"/>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&gt;90</w:t>
            </w:r>
          </w:p>
        </w:tc>
        <w:tc>
          <w:tcPr>
            <w:tcW w:w="1421" w:type="dxa"/>
            <w:tcBorders>
              <w:top w:val="single" w:color="auto" w:sz="4" w:space="0"/>
              <w:left w:val="outset" w:color="auto" w:sz="6" w:space="0"/>
              <w:bottom w:val="outset" w:color="auto" w:sz="6" w:space="0"/>
              <w:right w:val="outset" w:color="auto" w:sz="6" w:space="0"/>
            </w:tcBorders>
            <w:shd w:val="clear" w:color="auto" w:fill="auto"/>
          </w:tcPr>
          <w:p w14:paraId="71C46A97">
            <w:pPr>
              <w:adjustRightInd w:val="0"/>
              <w:snapToGrid w:val="0"/>
              <w:spacing w:line="400" w:lineRule="exact"/>
              <w:jc w:val="center"/>
              <w:rPr>
                <w:rFonts w:ascii="方正仿宋_GBK" w:hAnsi="宋体" w:cs="宋体"/>
                <w:kern w:val="0"/>
                <w:sz w:val="21"/>
                <w:szCs w:val="21"/>
              </w:rPr>
            </w:pPr>
            <w:r>
              <w:rPr>
                <w:rFonts w:hint="eastAsia" w:ascii="方正仿宋_GBK" w:hAnsi="宋体" w:cs="宋体"/>
                <w:kern w:val="0"/>
                <w:sz w:val="21"/>
                <w:szCs w:val="21"/>
              </w:rPr>
              <w:t>预期性</w:t>
            </w:r>
          </w:p>
        </w:tc>
      </w:tr>
      <w:tr w14:paraId="0D3B21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single" w:color="auto" w:sz="4" w:space="0"/>
              <w:left w:val="outset" w:color="auto" w:sz="6" w:space="0"/>
              <w:bottom w:val="single" w:color="auto" w:sz="4" w:space="0"/>
              <w:right w:val="single" w:color="auto" w:sz="4" w:space="0"/>
            </w:tcBorders>
            <w:shd w:val="clear" w:color="auto" w:fill="auto"/>
          </w:tcPr>
          <w:p w14:paraId="59F10F69">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13.劳动保障监察举报投诉案件结案率(%)</w:t>
            </w:r>
          </w:p>
        </w:tc>
        <w:tc>
          <w:tcPr>
            <w:tcW w:w="1388" w:type="dxa"/>
            <w:gridSpan w:val="3"/>
            <w:tcBorders>
              <w:top w:val="outset" w:color="auto" w:sz="6" w:space="0"/>
              <w:left w:val="single" w:color="auto" w:sz="4" w:space="0"/>
              <w:bottom w:val="outset" w:color="auto" w:sz="6" w:space="0"/>
              <w:right w:val="outset" w:color="auto" w:sz="6" w:space="0"/>
            </w:tcBorders>
            <w:shd w:val="clear" w:color="auto" w:fill="auto"/>
          </w:tcPr>
          <w:p w14:paraId="36D5FDC7">
            <w:pPr>
              <w:adjustRightInd w:val="0"/>
              <w:snapToGrid w:val="0"/>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w:t>
            </w:r>
          </w:p>
        </w:tc>
        <w:tc>
          <w:tcPr>
            <w:tcW w:w="1335" w:type="dxa"/>
            <w:tcBorders>
              <w:top w:val="outset" w:color="auto" w:sz="6" w:space="0"/>
              <w:left w:val="outset" w:color="auto" w:sz="6" w:space="0"/>
              <w:bottom w:val="outset" w:color="auto" w:sz="6" w:space="0"/>
              <w:right w:val="outset" w:color="auto" w:sz="6" w:space="0"/>
            </w:tcBorders>
            <w:shd w:val="clear" w:color="auto" w:fill="auto"/>
          </w:tcPr>
          <w:p w14:paraId="52444D16">
            <w:pPr>
              <w:adjustRightInd w:val="0"/>
              <w:snapToGrid w:val="0"/>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97</w:t>
            </w:r>
          </w:p>
        </w:tc>
        <w:tc>
          <w:tcPr>
            <w:tcW w:w="1421" w:type="dxa"/>
            <w:tcBorders>
              <w:top w:val="outset" w:color="auto" w:sz="6" w:space="0"/>
              <w:left w:val="outset" w:color="auto" w:sz="6" w:space="0"/>
              <w:bottom w:val="outset" w:color="auto" w:sz="6" w:space="0"/>
              <w:right w:val="outset" w:color="auto" w:sz="6" w:space="0"/>
            </w:tcBorders>
            <w:shd w:val="clear" w:color="auto" w:fill="auto"/>
          </w:tcPr>
          <w:p w14:paraId="064CE89B">
            <w:pPr>
              <w:adjustRightInd w:val="0"/>
              <w:snapToGrid w:val="0"/>
              <w:spacing w:line="400" w:lineRule="exact"/>
              <w:jc w:val="center"/>
              <w:rPr>
                <w:rFonts w:ascii="方正仿宋_GBK" w:hAnsi="宋体" w:cs="宋体"/>
                <w:kern w:val="0"/>
                <w:sz w:val="21"/>
                <w:szCs w:val="21"/>
              </w:rPr>
            </w:pPr>
            <w:r>
              <w:rPr>
                <w:rFonts w:hint="eastAsia" w:ascii="方正仿宋_GBK" w:hAnsi="宋体" w:cs="宋体"/>
                <w:kern w:val="0"/>
                <w:sz w:val="21"/>
                <w:szCs w:val="21"/>
              </w:rPr>
              <w:t>预期性</w:t>
            </w:r>
          </w:p>
        </w:tc>
      </w:tr>
      <w:tr w14:paraId="7C3062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8672" w:type="dxa"/>
            <w:gridSpan w:val="6"/>
            <w:tcBorders>
              <w:top w:val="single" w:color="auto" w:sz="4" w:space="0"/>
              <w:left w:val="outset" w:color="auto" w:sz="6" w:space="0"/>
              <w:bottom w:val="single" w:color="auto" w:sz="4" w:space="0"/>
              <w:right w:val="single" w:color="auto" w:sz="4" w:space="0"/>
            </w:tcBorders>
            <w:shd w:val="clear" w:color="auto" w:fill="auto"/>
          </w:tcPr>
          <w:p w14:paraId="125B0E52">
            <w:pPr>
              <w:adjustRightInd w:val="0"/>
              <w:snapToGrid w:val="0"/>
              <w:spacing w:after="150" w:line="400" w:lineRule="exact"/>
              <w:rPr>
                <w:rFonts w:ascii="方正仿宋_GBK" w:hAnsi="方正仿宋_GBK" w:cs="方正仿宋_GBK"/>
                <w:kern w:val="0"/>
                <w:sz w:val="24"/>
                <w:szCs w:val="24"/>
              </w:rPr>
            </w:pPr>
            <w:r>
              <w:rPr>
                <w:rFonts w:hint="eastAsia" w:ascii="方正黑体_GBK" w:hAnsi="方正黑体_GBK" w:eastAsia="方正黑体_GBK" w:cs="方正黑体_GBK"/>
                <w:color w:val="000000" w:themeColor="text1"/>
                <w:sz w:val="24"/>
                <w:szCs w:val="24"/>
              </w:rPr>
              <w:t>五、公共服务</w:t>
            </w:r>
          </w:p>
        </w:tc>
      </w:tr>
      <w:tr w14:paraId="629500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single" w:color="auto" w:sz="4" w:space="0"/>
              <w:left w:val="outset" w:color="auto" w:sz="6" w:space="0"/>
              <w:bottom w:val="single" w:color="auto" w:sz="4" w:space="0"/>
              <w:right w:val="single" w:color="auto" w:sz="4" w:space="0"/>
            </w:tcBorders>
            <w:shd w:val="clear" w:color="auto" w:fill="auto"/>
          </w:tcPr>
          <w:p w14:paraId="3D10FE29">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14.社会保障卡持卡人数（万人）</w:t>
            </w:r>
          </w:p>
        </w:tc>
        <w:tc>
          <w:tcPr>
            <w:tcW w:w="1388" w:type="dxa"/>
            <w:gridSpan w:val="3"/>
            <w:tcBorders>
              <w:top w:val="single" w:color="auto" w:sz="4" w:space="0"/>
              <w:left w:val="single" w:color="auto" w:sz="4" w:space="0"/>
              <w:bottom w:val="single" w:color="auto" w:sz="4" w:space="0"/>
              <w:right w:val="single" w:color="auto" w:sz="4" w:space="0"/>
            </w:tcBorders>
            <w:shd w:val="clear" w:color="auto" w:fill="auto"/>
          </w:tcPr>
          <w:p w14:paraId="45EBC2D4">
            <w:pPr>
              <w:adjustRightInd w:val="0"/>
              <w:snapToGrid w:val="0"/>
              <w:spacing w:after="150"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60</w:t>
            </w:r>
          </w:p>
        </w:tc>
        <w:tc>
          <w:tcPr>
            <w:tcW w:w="1335" w:type="dxa"/>
            <w:tcBorders>
              <w:top w:val="single" w:color="auto" w:sz="4" w:space="0"/>
              <w:left w:val="single" w:color="auto" w:sz="4" w:space="0"/>
              <w:bottom w:val="single" w:color="auto" w:sz="4" w:space="0"/>
              <w:right w:val="single" w:color="auto" w:sz="4" w:space="0"/>
            </w:tcBorders>
            <w:shd w:val="clear" w:color="auto" w:fill="auto"/>
          </w:tcPr>
          <w:p w14:paraId="57FB41A2">
            <w:pPr>
              <w:adjustRightInd w:val="0"/>
              <w:snapToGrid w:val="0"/>
              <w:spacing w:after="150"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70</w:t>
            </w:r>
          </w:p>
        </w:tc>
        <w:tc>
          <w:tcPr>
            <w:tcW w:w="1421" w:type="dxa"/>
            <w:tcBorders>
              <w:top w:val="single" w:color="auto" w:sz="4" w:space="0"/>
              <w:left w:val="single" w:color="auto" w:sz="4" w:space="0"/>
              <w:bottom w:val="single" w:color="auto" w:sz="4" w:space="0"/>
              <w:right w:val="outset" w:color="auto" w:sz="6" w:space="0"/>
            </w:tcBorders>
            <w:shd w:val="clear" w:color="auto" w:fill="auto"/>
          </w:tcPr>
          <w:p w14:paraId="64DD4070">
            <w:pPr>
              <w:adjustRightInd w:val="0"/>
              <w:snapToGrid w:val="0"/>
              <w:spacing w:after="150" w:line="400" w:lineRule="exact"/>
              <w:jc w:val="center"/>
              <w:rPr>
                <w:rFonts w:ascii="方正仿宋_GBK" w:hAnsi="宋体" w:cs="宋体"/>
                <w:kern w:val="0"/>
                <w:sz w:val="21"/>
                <w:szCs w:val="21"/>
              </w:rPr>
            </w:pPr>
            <w:r>
              <w:rPr>
                <w:rFonts w:hint="eastAsia" w:ascii="方正仿宋_GBK" w:hAnsi="宋体" w:cs="宋体"/>
                <w:kern w:val="0"/>
                <w:sz w:val="21"/>
                <w:szCs w:val="21"/>
              </w:rPr>
              <w:t>预期性</w:t>
            </w:r>
          </w:p>
        </w:tc>
      </w:tr>
      <w:tr w14:paraId="58440E0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4528" w:type="dxa"/>
            <w:tcBorders>
              <w:top w:val="single" w:color="auto" w:sz="4" w:space="0"/>
              <w:left w:val="outset" w:color="auto" w:sz="6" w:space="0"/>
              <w:bottom w:val="single" w:color="auto" w:sz="4" w:space="0"/>
              <w:right w:val="single" w:color="auto" w:sz="4" w:space="0"/>
            </w:tcBorders>
            <w:shd w:val="clear" w:color="auto" w:fill="auto"/>
          </w:tcPr>
          <w:p w14:paraId="7F96E743">
            <w:pPr>
              <w:adjustRightInd w:val="0"/>
              <w:snapToGrid w:val="0"/>
              <w:spacing w:line="400" w:lineRule="exact"/>
              <w:rPr>
                <w:rFonts w:ascii="方正仿宋_GBK" w:hAnsi="方正仿宋_GBK" w:cs="方正仿宋_GBK"/>
                <w:color w:val="000000" w:themeColor="text1"/>
                <w:kern w:val="0"/>
                <w:sz w:val="24"/>
                <w:szCs w:val="24"/>
              </w:rPr>
            </w:pPr>
            <w:r>
              <w:rPr>
                <w:rFonts w:hint="eastAsia" w:ascii="方正仿宋_GBK" w:hAnsi="方正仿宋_GBK" w:cs="方正仿宋_GBK"/>
                <w:color w:val="000000" w:themeColor="text1"/>
                <w:kern w:val="0"/>
                <w:sz w:val="24"/>
                <w:szCs w:val="24"/>
              </w:rPr>
              <w:t>15.申领电子社保卡人口覆盖率（%）</w:t>
            </w:r>
          </w:p>
        </w:tc>
        <w:tc>
          <w:tcPr>
            <w:tcW w:w="1388" w:type="dxa"/>
            <w:gridSpan w:val="3"/>
            <w:tcBorders>
              <w:top w:val="single" w:color="auto" w:sz="4" w:space="0"/>
              <w:left w:val="single" w:color="auto" w:sz="4" w:space="0"/>
              <w:bottom w:val="single" w:color="auto" w:sz="4" w:space="0"/>
              <w:right w:val="single" w:color="auto" w:sz="4" w:space="0"/>
            </w:tcBorders>
            <w:shd w:val="clear" w:color="auto" w:fill="auto"/>
          </w:tcPr>
          <w:p w14:paraId="4CBD4DA1">
            <w:pPr>
              <w:adjustRightInd w:val="0"/>
              <w:snapToGrid w:val="0"/>
              <w:spacing w:after="150"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10</w:t>
            </w:r>
          </w:p>
        </w:tc>
        <w:tc>
          <w:tcPr>
            <w:tcW w:w="1335" w:type="dxa"/>
            <w:tcBorders>
              <w:top w:val="single" w:color="auto" w:sz="4" w:space="0"/>
              <w:left w:val="single" w:color="auto" w:sz="4" w:space="0"/>
              <w:bottom w:val="single" w:color="auto" w:sz="4" w:space="0"/>
              <w:right w:val="single" w:color="auto" w:sz="4" w:space="0"/>
            </w:tcBorders>
            <w:shd w:val="clear" w:color="auto" w:fill="auto"/>
          </w:tcPr>
          <w:p w14:paraId="2D1B4DA9">
            <w:pPr>
              <w:adjustRightInd w:val="0"/>
              <w:snapToGrid w:val="0"/>
              <w:spacing w:after="150"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&gt;30</w:t>
            </w:r>
          </w:p>
        </w:tc>
        <w:tc>
          <w:tcPr>
            <w:tcW w:w="1421" w:type="dxa"/>
            <w:tcBorders>
              <w:top w:val="single" w:color="auto" w:sz="4" w:space="0"/>
              <w:left w:val="single" w:color="auto" w:sz="4" w:space="0"/>
              <w:bottom w:val="single" w:color="auto" w:sz="4" w:space="0"/>
              <w:right w:val="outset" w:color="auto" w:sz="6" w:space="0"/>
            </w:tcBorders>
            <w:shd w:val="clear" w:color="auto" w:fill="auto"/>
          </w:tcPr>
          <w:p w14:paraId="526DADBC">
            <w:pPr>
              <w:adjustRightInd w:val="0"/>
              <w:snapToGrid w:val="0"/>
              <w:spacing w:after="150" w:line="400" w:lineRule="exact"/>
              <w:jc w:val="center"/>
              <w:rPr>
                <w:rFonts w:ascii="方正仿宋_GBK" w:hAnsi="宋体" w:cs="宋体"/>
                <w:kern w:val="0"/>
                <w:sz w:val="21"/>
                <w:szCs w:val="21"/>
              </w:rPr>
            </w:pPr>
            <w:r>
              <w:rPr>
                <w:rFonts w:hint="eastAsia" w:ascii="方正仿宋_GBK" w:hAnsi="宋体" w:cs="宋体"/>
                <w:kern w:val="0"/>
                <w:sz w:val="21"/>
                <w:szCs w:val="21"/>
              </w:rPr>
              <w:t>预期性</w:t>
            </w:r>
          </w:p>
        </w:tc>
      </w:tr>
    </w:tbl>
    <w:p w14:paraId="3A19E5DA">
      <w:pPr>
        <w:adjustRightInd w:val="0"/>
        <w:snapToGrid w:val="0"/>
        <w:spacing w:line="400" w:lineRule="exact"/>
        <w:jc w:val="left"/>
        <w:rPr>
          <w:rFonts w:ascii="方正楷体_GBK" w:hAnsi="方正楷体_GBK" w:eastAsia="方正楷体_GBK" w:cs="方正楷体_GBK"/>
          <w:color w:val="000000" w:themeColor="text1"/>
          <w:sz w:val="21"/>
          <w:szCs w:val="21"/>
        </w:rPr>
      </w:pPr>
      <w:r>
        <w:rPr>
          <w:rFonts w:hint="eastAsia" w:ascii="方正楷体_GBK" w:hAnsi="方正楷体_GBK" w:eastAsia="方正楷体_GBK" w:cs="方正楷体_GBK"/>
          <w:color w:val="000000" w:themeColor="text1"/>
          <w:sz w:val="21"/>
          <w:szCs w:val="21"/>
        </w:rPr>
        <w:t>注：[ ]内为五年累计值</w:t>
      </w:r>
    </w:p>
    <w:p w14:paraId="07D73870">
      <w:pPr>
        <w:pStyle w:val="3"/>
        <w:widowControl w:val="0"/>
        <w:adjustRightInd w:val="0"/>
        <w:spacing w:before="435" w:beforeAutospacing="0" w:after="217" w:afterAutospacing="0"/>
        <w:jc w:val="center"/>
        <w:rPr>
          <w:rFonts w:ascii="Times New Roman" w:hAnsi="Times New Roman" w:eastAsia="方正黑体_GBK" w:cs="Times New Roman"/>
          <w:b w:val="0"/>
          <w:bCs w:val="0"/>
          <w:color w:val="000000" w:themeColor="text1"/>
          <w:sz w:val="32"/>
          <w:szCs w:val="32"/>
        </w:rPr>
      </w:pPr>
      <w:bookmarkStart w:id="12" w:name="_Toc81142152"/>
      <w:r>
        <w:rPr>
          <w:rFonts w:hint="eastAsia" w:ascii="Times New Roman" w:hAnsi="Times New Roman" w:eastAsia="方正黑体_GBK" w:cs="Times New Roman"/>
          <w:b w:val="0"/>
          <w:bCs w:val="0"/>
          <w:color w:val="000000" w:themeColor="text1"/>
          <w:sz w:val="32"/>
          <w:szCs w:val="32"/>
        </w:rPr>
        <w:t>第二章 重点任务</w:t>
      </w:r>
      <w:bookmarkEnd w:id="12"/>
      <w:r>
        <w:rPr>
          <w:rFonts w:hint="eastAsia" w:ascii="Times New Roman" w:hAnsi="Times New Roman" w:eastAsia="方正黑体_GBK" w:cs="Times New Roman"/>
          <w:b w:val="0"/>
          <w:bCs w:val="0"/>
          <w:color w:val="000000" w:themeColor="text1"/>
          <w:sz w:val="32"/>
          <w:szCs w:val="32"/>
        </w:rPr>
        <w:t xml:space="preserve"> </w:t>
      </w:r>
    </w:p>
    <w:p w14:paraId="62992CA5">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在</w:t>
      </w:r>
      <w:r>
        <w:rPr>
          <w:rFonts w:ascii="Times New Roman" w:hAnsi="Times New Roman" w:eastAsia="方正仿宋_GBK" w:cs="Times New Roman"/>
          <w:color w:val="000000" w:themeColor="text1"/>
          <w:sz w:val="32"/>
          <w:szCs w:val="32"/>
        </w:rPr>
        <w:t>“十</w:t>
      </w:r>
      <w:r>
        <w:rPr>
          <w:rFonts w:hint="eastAsia" w:ascii="Times New Roman" w:hAnsi="Times New Roman" w:eastAsia="方正仿宋_GBK" w:cs="Times New Roman"/>
          <w:color w:val="000000" w:themeColor="text1"/>
          <w:sz w:val="32"/>
          <w:szCs w:val="32"/>
        </w:rPr>
        <w:t>四</w:t>
      </w:r>
      <w:r>
        <w:rPr>
          <w:rFonts w:ascii="Times New Roman" w:hAnsi="Times New Roman" w:eastAsia="方正仿宋_GBK" w:cs="Times New Roman"/>
          <w:color w:val="000000" w:themeColor="text1"/>
          <w:sz w:val="32"/>
          <w:szCs w:val="32"/>
        </w:rPr>
        <w:t>五”</w:t>
      </w:r>
      <w:r>
        <w:rPr>
          <w:rFonts w:hint="eastAsia" w:ascii="Times New Roman" w:hAnsi="Times New Roman" w:eastAsia="方正仿宋_GBK" w:cs="Times New Roman"/>
          <w:color w:val="000000" w:themeColor="text1"/>
          <w:sz w:val="32"/>
          <w:szCs w:val="32"/>
        </w:rPr>
        <w:t>时期，全县人力资源和社会保障部门将稳中求进，真抓实干，精准发力，完成各项重点任务和重点项目，实现本规划主要目标。</w:t>
      </w:r>
    </w:p>
    <w:p w14:paraId="0BBE78BC">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13" w:name="_Toc81142153"/>
      <w:r>
        <w:rPr>
          <w:rFonts w:hint="eastAsia" w:ascii="Times New Roman" w:hAnsi="Times New Roman" w:eastAsia="方正楷体_GBK" w:cs="Times New Roman"/>
          <w:b w:val="0"/>
          <w:bCs w:val="0"/>
          <w:color w:val="000000" w:themeColor="text1"/>
        </w:rPr>
        <w:t>第一节 实现更加充分更高质量就业</w:t>
      </w:r>
      <w:bookmarkEnd w:id="13"/>
      <w:r>
        <w:rPr>
          <w:rFonts w:hint="eastAsia" w:ascii="Times New Roman" w:hAnsi="Times New Roman" w:eastAsia="方正楷体_GBK" w:cs="Times New Roman"/>
          <w:b w:val="0"/>
          <w:bCs w:val="0"/>
          <w:color w:val="000000" w:themeColor="text1"/>
        </w:rPr>
        <w:t xml:space="preserve"> </w:t>
      </w:r>
    </w:p>
    <w:p w14:paraId="4C10D333">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统筹城乡就业政策体系，</w:t>
      </w:r>
      <w:r>
        <w:rPr>
          <w:rFonts w:ascii="Times New Roman" w:hAnsi="Times New Roman" w:eastAsia="方正仿宋_GBK" w:cs="Times New Roman"/>
          <w:color w:val="000000" w:themeColor="text1"/>
          <w:sz w:val="32"/>
          <w:szCs w:val="32"/>
        </w:rPr>
        <w:t>千方百计稳定和扩大就业，坚持经济发展就业导向，扩大就业容量，提升就业质量，促进充分就业，保障劳动者待遇和权益。</w:t>
      </w:r>
    </w:p>
    <w:p w14:paraId="1AAD7CF9">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高质量就业岗位创造。坚持就业优先战略和积极就业政策，强化经济政策与就业政策协同，大力开发就业岗位，提高产业发展、重大项目、重点民生工程等吸纳就业的能力。大力发展新产业新业态，实施包容审慎监管，支持和规范平台就业、网络就业、共享用工等新就业业态，推动多渠道灵活就业，鼓励个体经营，增加非全日制就业机会。强化对灵活就业人员就业服务、劳动权益和基本生活保障。支持吸纳就业能力强、潜力大的现代服务业、部分劳动密集型行业和小微企业的发展。扶持发展吸纳就业能力强的乡村企业，支持企业在乡村兴办生产车间、就业基地，增加农民就地就近就业岗位。</w:t>
      </w:r>
    </w:p>
    <w:p w14:paraId="40087A3E">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实施创业带动就业工程。着力解决创业过程中融资难、融资贵等问题，加大创业资金支持，拓宽创业投融资渠道，及时兑现创业补贴和创业担保贷款贴息等政策。加强创业孵化基地、创业园区和众创空间、星创空间等创业平台建设，构建培训学习、创业实践、咨询指导、跟踪帮扶等一体化创业服务体系。健全返乡入乡创业的政策体系，加大返乡入乡创业人员扶持力度，优化返乡入乡创业环境。组织各级各类创业推进活动，培育构建良好的创业生态系统。</w:t>
      </w:r>
    </w:p>
    <w:p w14:paraId="64788BCB">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统筹做好重点群体就业。继续把以高校毕业生为重点的青年就业摆在就业工作的首位，深入实施高校毕业生就业创业促进计划和基层成长计划，扎实抓好高校毕业生就业创业工作。通过“三支一扶”“志愿服务西部”等基层服务项目，引导更多高校毕业生到基层就业，积极打造大学生基层就业示范项目。发挥人力资源服务机构作用，利用互联网、大数据创新管理技术，基本实现农民工科学合理流动，促进农村劳动力多渠道转移就业。鼓励农民工多渠道就业，支持农民工返乡创业。开展培训工作，大力提升农民工职业素质和技能，加大农民工稳岗支持力度，深入实施农村创新创业带头人培育行动。加强对就业困难人员的就业援助，积极拓展退役军人、残疾人等重点群体就业渠道，确保城镇零就业家庭动态清零。</w:t>
      </w:r>
    </w:p>
    <w:p w14:paraId="51E8E446">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强化职业技能培训。营造崇尚技能的社会氛围，大力弘扬新时期工匠精神。落实终身职业技能培训制度，推行企业新型学徒制。加快农业转移人口就业技能培训，完善政府购买就业培训服务制度。针对重点群体重点领域，落实专项培训计划。围绕</w:t>
      </w:r>
      <w:r>
        <w:rPr>
          <w:rFonts w:ascii="Times New Roman" w:hAnsi="Times New Roman" w:eastAsia="方正仿宋_GBK" w:cs="Times New Roman"/>
          <w:color w:val="000000" w:themeColor="text1"/>
          <w:sz w:val="32"/>
          <w:szCs w:val="32"/>
        </w:rPr>
        <w:t>康养</w:t>
      </w:r>
      <w:r>
        <w:rPr>
          <w:rFonts w:hint="eastAsia" w:ascii="Times New Roman" w:hAnsi="Times New Roman" w:eastAsia="方正仿宋_GBK" w:cs="Times New Roman"/>
          <w:color w:val="000000" w:themeColor="text1"/>
          <w:sz w:val="32"/>
          <w:szCs w:val="32"/>
        </w:rPr>
        <w:t>旅游</w:t>
      </w:r>
      <w:r>
        <w:rPr>
          <w:rFonts w:ascii="Times New Roman" w:hAnsi="Times New Roman" w:eastAsia="方正仿宋_GBK" w:cs="Times New Roman"/>
          <w:color w:val="000000" w:themeColor="text1"/>
          <w:sz w:val="32"/>
          <w:szCs w:val="32"/>
        </w:rPr>
        <w:t>业</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山地特色农业</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绿色生态工业</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现代商贸服务业</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数字经济</w:t>
      </w:r>
      <w:r>
        <w:rPr>
          <w:rFonts w:hint="eastAsia" w:ascii="Times New Roman" w:hAnsi="Times New Roman" w:eastAsia="方正仿宋_GBK" w:cs="Times New Roman"/>
          <w:color w:val="000000" w:themeColor="text1"/>
          <w:sz w:val="32"/>
          <w:szCs w:val="32"/>
        </w:rPr>
        <w:t>产业，加大从业人员培训力度。建立多元投入机制，提升培训供给能力。鼓励企业兴办培训，开展职工技能培训。扩大技能人才培养培训规模，深入实施高技能人才发展计划，加快高技能人才培训基地、技能大师工作室建设。完善职业技能竞赛体系，积极开展职业技能竞赛，组织参加各级技能竞赛。加大实训基地建设支持力度，推进产教融合实训基地建设。</w:t>
      </w:r>
      <w:bookmarkStart w:id="14" w:name="_Hlk62286685"/>
      <w:r>
        <w:rPr>
          <w:rFonts w:hint="eastAsia" w:ascii="Times New Roman" w:hAnsi="Times New Roman" w:eastAsia="方正仿宋_GBK" w:cs="Times New Roman"/>
          <w:color w:val="000000" w:themeColor="text1"/>
          <w:sz w:val="32"/>
          <w:szCs w:val="32"/>
        </w:rPr>
        <w:t>实施</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互联网+职业培训</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模式，提高培训针对性、实效性。</w:t>
      </w:r>
      <w:bookmarkStart w:id="15" w:name="_Hlk62286550"/>
      <w:r>
        <w:rPr>
          <w:rFonts w:ascii="Times New Roman" w:hAnsi="Times New Roman" w:eastAsia="方正仿宋_GBK" w:cs="Times New Roman"/>
          <w:color w:val="000000" w:themeColor="text1"/>
          <w:sz w:val="32"/>
          <w:szCs w:val="32"/>
        </w:rPr>
        <w:t>加强职业培训监管，严格按照培训职业（工种）目录开展职业技能培训，加强对线上、线下培训的监管，确保培训资金安全。</w:t>
      </w:r>
      <w:bookmarkEnd w:id="14"/>
      <w:bookmarkEnd w:id="15"/>
    </w:p>
    <w:p w14:paraId="68FFCFA1">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建设开放有序的人力资源市场体系。充分发挥市场在人力资源配置中的决定性作用，完善人力资源市场管理制度，推进人力资源市场诚信体系和标准化建设，规范人力资源市场秩序。规范劳务派遣和劳务用工，探索创新网络招聘等领域监管手段，打击非法职业中介等侵害劳动者权益的违法行为。支持人力资源服务机构推进管理创新、服务创新和产品创新，积极开拓新业务，不断提高市场竞争力，重点培育具有示范引领作用的龙头企业和骨干企业。落实人力资源服务业高质量发展行动计划，对接人力资源市场建设援助计划。</w:t>
      </w:r>
    </w:p>
    <w:p w14:paraId="53A7F590">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——提高就业创业公共服务能力</w:t>
      </w:r>
      <w:bookmarkStart w:id="16" w:name="_Hlk58745546"/>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加快推进公共就业服务标准化专业化建设，健全覆盖城乡、服务均等化的公共就业创业服务体系。</w:t>
      </w:r>
      <w:r>
        <w:rPr>
          <w:rFonts w:hint="eastAsia" w:ascii="Times New Roman" w:hAnsi="Times New Roman" w:eastAsia="方正仿宋_GBK" w:cs="Times New Roman"/>
          <w:color w:val="000000" w:themeColor="text1"/>
          <w:sz w:val="32"/>
          <w:szCs w:val="32"/>
        </w:rPr>
        <w:t>充分发挥酉阳自治县就业工作领导小组作用，强化统筹协调，开展交流培训、调研督导，整合资源，促进领导小组各成员单位履职尽责，形成</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上下联动、分级负责、全面尽责</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的良好工作格局。</w:t>
      </w:r>
      <w:bookmarkEnd w:id="16"/>
      <w:r>
        <w:rPr>
          <w:rFonts w:hint="eastAsia" w:ascii="Times New Roman" w:hAnsi="Times New Roman" w:eastAsia="方正仿宋_GBK" w:cs="Times New Roman"/>
          <w:color w:val="000000" w:themeColor="text1"/>
          <w:sz w:val="32"/>
          <w:szCs w:val="32"/>
        </w:rPr>
        <w:t>完善公共就业创业服务体系，提升县级充分就业社区（村）建设，</w:t>
      </w:r>
      <w:r>
        <w:rPr>
          <w:rFonts w:ascii="Times New Roman" w:hAnsi="Times New Roman" w:eastAsia="方正仿宋_GBK" w:cs="Times New Roman"/>
          <w:color w:val="000000" w:themeColor="text1"/>
          <w:sz w:val="32"/>
          <w:szCs w:val="32"/>
        </w:rPr>
        <w:t>实施智能就业信息化平台运营计划，构建“互联网+就业创业服务”全流程线上服务生态</w:t>
      </w:r>
      <w:r>
        <w:rPr>
          <w:rFonts w:hint="eastAsia" w:ascii="Times New Roman" w:hAnsi="Times New Roman" w:eastAsia="方正仿宋_GBK" w:cs="Times New Roman"/>
          <w:color w:val="000000" w:themeColor="text1"/>
          <w:sz w:val="32"/>
          <w:szCs w:val="32"/>
        </w:rPr>
        <w:t>，逐步形成</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线上+线下</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相互补充、相互促进的全方位服务供给模式。组织开展公共就业服务专项活动，积极为用人单位和劳动者搭建供需对接平台，提供更加专业和高效的就业服务。鼓励引导社会力量广泛深入参与就业服务，推进公共就业服务机构与社会民营机构的合作。</w:t>
      </w:r>
    </w:p>
    <w:p w14:paraId="00057B90">
      <w:pPr>
        <w:adjustRightInd w:val="0"/>
        <w:spacing w:before="217" w:after="217"/>
        <w:jc w:val="center"/>
        <w:rPr>
          <w:rFonts w:ascii="方正黑体_GBK" w:hAnsi="方正黑体_GBK" w:eastAsia="方正黑体_GBK" w:cs="方正黑体_GBK"/>
          <w:color w:val="000000" w:themeColor="text1"/>
        </w:rPr>
      </w:pPr>
      <w:r>
        <w:rPr>
          <w:rFonts w:hint="eastAsia" w:ascii="方正黑体_GBK" w:hAnsi="方正黑体_GBK" w:eastAsia="方正黑体_GBK" w:cs="方正黑体_GBK"/>
          <w:color w:val="000000" w:themeColor="text1"/>
        </w:rPr>
        <w:t>专栏3 实现更加充分更高质量就业重点项目</w:t>
      </w:r>
    </w:p>
    <w:tbl>
      <w:tblPr>
        <w:tblStyle w:val="20"/>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1"/>
      </w:tblGrid>
      <w:tr w14:paraId="7F94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871" w:type="dxa"/>
          </w:tcPr>
          <w:p w14:paraId="0CB22126">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hint="eastAsia" w:ascii="方正黑体_GBK" w:hAnsi="方正黑体_GBK" w:eastAsia="方正黑体_GBK" w:cs="方正黑体_GBK"/>
                <w:color w:val="000000" w:themeColor="text1"/>
                <w:sz w:val="24"/>
                <w:szCs w:val="24"/>
              </w:rPr>
              <w:t>1.打造“百千万亿”工程，织绣“一面旗帜”。</w:t>
            </w:r>
            <w:r>
              <w:rPr>
                <w:rFonts w:hint="eastAsia" w:ascii="方正仿宋_GBK" w:hAnsi="方正仿宋_GBK" w:cs="方正仿宋_GBK"/>
                <w:color w:val="000000" w:themeColor="text1"/>
                <w:kern w:val="0"/>
                <w:sz w:val="24"/>
                <w:szCs w:val="24"/>
              </w:rPr>
              <w:t>“十四五”期间，全县累计创建100个以上充分就业村和就业创业示范山村（寨）；全县每年培养1000名创业带头人，纵深推动人才振兴、产业振兴；每年回引10000名农民工返乡就业；每年累计发放创业贴息担保贷款3个亿以上，加大金融扶持力度，助力乡村振兴。</w:t>
            </w:r>
          </w:p>
          <w:p w14:paraId="41B42A97">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hint="eastAsia" w:ascii="方正黑体_GBK" w:hAnsi="方正黑体_GBK" w:eastAsia="方正黑体_GBK" w:cs="方正黑体_GBK"/>
                <w:color w:val="000000" w:themeColor="text1"/>
                <w:sz w:val="24"/>
                <w:szCs w:val="24"/>
              </w:rPr>
              <w:t>2.创新“百技千家万户”培训行动，保育“两个宝贝”。</w:t>
            </w:r>
            <w:r>
              <w:rPr>
                <w:rFonts w:hint="eastAsia" w:ascii="方正仿宋_GBK" w:hAnsi="方正仿宋_GBK" w:cs="方正仿宋_GBK"/>
                <w:color w:val="000000" w:themeColor="text1"/>
                <w:kern w:val="0"/>
                <w:sz w:val="24"/>
                <w:szCs w:val="24"/>
              </w:rPr>
              <w:t>因地制宜，不断挖掘乡土人才，开展百项技能工种和百项科技人才培训行动，为乡村振兴注入人才活力；以职业技能提升行动为载体，大力开展企业职工在岗提升和新型学徒制等培训，加强对党政人才、企业事业单位优秀管理人才、特色农业、乡村旅游、环境保护、城市建设管理等领域优秀专业技术人才培训，全面推进“千家企事业单位培训”行动；以促进就业创业为目标，每年开展万户以上农村职业技能、实用技能大培训，有劳动能力、有培训意愿且就业需求的广大劳动者实现“应训尽训”，深入开展“万户技能培训”行动。</w:t>
            </w:r>
          </w:p>
          <w:p w14:paraId="36D9CD41">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hint="eastAsia" w:ascii="方正黑体_GBK" w:hAnsi="方正黑体_GBK" w:eastAsia="方正黑体_GBK" w:cs="方正黑体_GBK"/>
                <w:color w:val="000000" w:themeColor="text1"/>
                <w:sz w:val="24"/>
                <w:szCs w:val="24"/>
              </w:rPr>
              <w:t>3.重点群体就业扶持工程。</w:t>
            </w:r>
            <w:r>
              <w:rPr>
                <w:rFonts w:hint="eastAsia" w:ascii="方正仿宋_GBK" w:hAnsi="方正仿宋_GBK" w:cs="方正仿宋_GBK"/>
                <w:color w:val="000000" w:themeColor="text1"/>
                <w:kern w:val="0"/>
                <w:sz w:val="24"/>
                <w:szCs w:val="24"/>
              </w:rPr>
              <w:t>落实重庆市百万青年就业促进计划、高校毕业生就业创业促进计划，对以高校毕业生为主的青年群体开展全方位就业帮扶，对离校未就业高校毕业生开展实名制就业服务。“十四五”期间，力争建设2个市级农民工返乡创业园区，培育1个农民工劳务培训基地。</w:t>
            </w:r>
          </w:p>
          <w:p w14:paraId="4B324C6C">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hint="eastAsia" w:ascii="方正黑体_GBK" w:hAnsi="方正黑体_GBK" w:eastAsia="方正黑体_GBK" w:cs="方正黑体_GBK"/>
                <w:color w:val="000000" w:themeColor="text1"/>
                <w:sz w:val="24"/>
                <w:szCs w:val="24"/>
              </w:rPr>
              <w:t>4.职业指导服务提升工程。</w:t>
            </w:r>
            <w:r>
              <w:rPr>
                <w:rFonts w:hint="eastAsia" w:ascii="方正仿宋_GBK" w:hAnsi="方正仿宋_GBK" w:cs="方正仿宋_GBK"/>
                <w:color w:val="000000" w:themeColor="text1"/>
                <w:kern w:val="0"/>
                <w:sz w:val="24"/>
                <w:szCs w:val="24"/>
              </w:rPr>
              <w:t>“十四五”期间，提供职业指导服务1万人次，职业介绍成功0.2万人次。</w:t>
            </w:r>
          </w:p>
          <w:p w14:paraId="11391C80">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hint="eastAsia" w:ascii="方正黑体_GBK" w:hAnsi="方正黑体_GBK" w:eastAsia="方正黑体_GBK" w:cs="方正黑体_GBK"/>
                <w:color w:val="000000" w:themeColor="text1"/>
                <w:sz w:val="24"/>
                <w:szCs w:val="24"/>
              </w:rPr>
              <w:t>5.就业创业公共服务能力提升行动。</w:t>
            </w:r>
            <w:r>
              <w:rPr>
                <w:rFonts w:hint="eastAsia" w:ascii="方正仿宋_GBK" w:hAnsi="方正仿宋_GBK" w:cs="方正仿宋_GBK"/>
                <w:color w:val="000000" w:themeColor="text1"/>
                <w:kern w:val="0"/>
                <w:sz w:val="24"/>
                <w:szCs w:val="24"/>
              </w:rPr>
              <w:t>实施城乡就业创业服务能力提升行动，创建1个公共就业创业服务示范平台。推广“智能就业”信息平台，实现智慧人力资源市场全覆盖、智能自助终端设备乡镇和村社平台全覆盖。实施公共就业服务工作人员能力提升计划，组织开展岗位业务竞赛，加强职业指导人员、职业信息分析师、创业指导人员等专业化队伍建设。</w:t>
            </w:r>
          </w:p>
          <w:p w14:paraId="07A59A74">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hint="eastAsia" w:ascii="方正黑体_GBK" w:hAnsi="方正黑体_GBK" w:eastAsia="方正黑体_GBK" w:cs="方正黑体_GBK"/>
                <w:color w:val="000000" w:themeColor="text1"/>
                <w:sz w:val="24"/>
                <w:szCs w:val="24"/>
              </w:rPr>
              <w:t>6.新型技能人才培育工程。</w:t>
            </w:r>
            <w:r>
              <w:rPr>
                <w:rFonts w:hint="eastAsia" w:ascii="方正仿宋_GBK" w:hAnsi="方正仿宋_GBK" w:cs="方正仿宋_GBK"/>
                <w:color w:val="000000" w:themeColor="text1"/>
                <w:kern w:val="0"/>
                <w:sz w:val="24"/>
                <w:szCs w:val="24"/>
              </w:rPr>
              <w:t>实施新职业推广计划，建立1个新职业培训示范基地，培养培训0.1万名以上符合新经济、新业态和我县产业转型升级需要的新型技能人才。</w:t>
            </w:r>
          </w:p>
          <w:p w14:paraId="046D2715">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hint="eastAsia" w:ascii="方正黑体_GBK" w:hAnsi="方正黑体_GBK" w:eastAsia="方正黑体_GBK" w:cs="方正黑体_GBK"/>
                <w:color w:val="000000" w:themeColor="text1"/>
                <w:sz w:val="24"/>
                <w:szCs w:val="24"/>
              </w:rPr>
              <w:t>7.就业形势监测预警体系建设项目。</w:t>
            </w:r>
            <w:r>
              <w:rPr>
                <w:rFonts w:hint="eastAsia" w:ascii="方正仿宋_GBK" w:hAnsi="方正仿宋_GBK" w:cs="方正仿宋_GBK"/>
                <w:color w:val="000000" w:themeColor="text1"/>
                <w:kern w:val="0"/>
                <w:sz w:val="24"/>
                <w:szCs w:val="24"/>
              </w:rPr>
              <w:t>落实就业形势监测预警制度，开展大数据分析研判，健全就业领域重大突发事件应急处置预案，及时掌握企业人员变动情况，准确分析判断变化原因，把握经济形势变化对就业失业的影响，防范和化解行业性、区域性、规模性失业风险，采取预防措施，完善失业预警机制，稳定就业局势。</w:t>
            </w:r>
          </w:p>
          <w:p w14:paraId="037D7129">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hint="eastAsia" w:ascii="方正黑体_GBK" w:hAnsi="方正黑体_GBK" w:eastAsia="方正黑体_GBK" w:cs="方正黑体_GBK"/>
                <w:color w:val="000000" w:themeColor="text1"/>
                <w:sz w:val="24"/>
                <w:szCs w:val="24"/>
              </w:rPr>
              <w:t>8.灵活就业和新就业形态支持项目。</w:t>
            </w:r>
            <w:r>
              <w:rPr>
                <w:rFonts w:hint="eastAsia" w:ascii="方正仿宋_GBK" w:hAnsi="方正仿宋_GBK" w:cs="方正仿宋_GBK"/>
                <w:color w:val="000000" w:themeColor="text1"/>
                <w:kern w:val="0"/>
                <w:sz w:val="24"/>
                <w:szCs w:val="24"/>
              </w:rPr>
              <w:t>支持劳动者通过临时性、非全日制、季节性、弹性工作等灵活多样形式实现就业。进一步完善支持灵活就业和新就业形态的政策措施，加大灵活就业和新就业形态人员培训力度。</w:t>
            </w:r>
          </w:p>
          <w:p w14:paraId="592EB1D8">
            <w:pPr>
              <w:adjustRightInd w:val="0"/>
              <w:snapToGrid w:val="0"/>
              <w:spacing w:line="480" w:lineRule="exact"/>
              <w:ind w:firstLine="472" w:firstLineChars="200"/>
              <w:rPr>
                <w:rFonts w:ascii="方正仿宋_GBK" w:hAnsi="方正仿宋_GBK" w:cs="方正仿宋_GBK"/>
                <w:color w:val="000000" w:themeColor="text1"/>
                <w:kern w:val="0"/>
                <w:sz w:val="24"/>
                <w:szCs w:val="24"/>
              </w:rPr>
            </w:pPr>
            <w:bookmarkStart w:id="17" w:name="_Hlk69280534"/>
            <w:r>
              <w:rPr>
                <w:rFonts w:hint="eastAsia" w:ascii="方正黑体_GBK" w:hAnsi="方正黑体_GBK" w:eastAsia="方正黑体_GBK" w:cs="方正黑体_GBK"/>
                <w:color w:val="000000" w:themeColor="text1"/>
                <w:sz w:val="24"/>
                <w:szCs w:val="24"/>
              </w:rPr>
              <w:t>9.城镇失业人员和就业困难人员再就业工程。</w:t>
            </w:r>
            <w:bookmarkEnd w:id="17"/>
            <w:r>
              <w:rPr>
                <w:rFonts w:hint="eastAsia" w:ascii="方正仿宋_GBK" w:hAnsi="方正仿宋_GBK" w:cs="方正仿宋_GBK"/>
                <w:color w:val="000000" w:themeColor="text1"/>
                <w:kern w:val="0"/>
                <w:sz w:val="24"/>
                <w:szCs w:val="24"/>
              </w:rPr>
              <w:t>“十四五”期间，实现城镇登记失业人员就业0.6万人、就业困难人员实现再就业0.3万人。</w:t>
            </w:r>
          </w:p>
          <w:p w14:paraId="177A5F5C">
            <w:pPr>
              <w:adjustRightInd w:val="0"/>
              <w:snapToGrid w:val="0"/>
              <w:spacing w:line="480" w:lineRule="exact"/>
              <w:ind w:firstLine="472" w:firstLineChars="200"/>
              <w:rPr>
                <w:rFonts w:ascii="方正仿宋_GBK" w:hAnsi="方正仿宋_GBK" w:cs="方正仿宋_GBK"/>
                <w:color w:val="000000" w:themeColor="text1"/>
                <w:kern w:val="0"/>
                <w:sz w:val="24"/>
                <w:szCs w:val="24"/>
              </w:rPr>
            </w:pPr>
            <w:bookmarkStart w:id="18" w:name="_Hlk69280623"/>
            <w:r>
              <w:rPr>
                <w:rFonts w:hint="eastAsia" w:ascii="方正黑体_GBK" w:hAnsi="方正黑体_GBK" w:eastAsia="方正黑体_GBK" w:cs="方正黑体_GBK"/>
                <w:color w:val="000000" w:themeColor="text1"/>
                <w:sz w:val="24"/>
                <w:szCs w:val="24"/>
              </w:rPr>
              <w:t>10.农村劳动力转移就业工程。</w:t>
            </w:r>
            <w:bookmarkEnd w:id="18"/>
            <w:r>
              <w:rPr>
                <w:rFonts w:hint="eastAsia" w:ascii="方正仿宋_GBK" w:hAnsi="方正仿宋_GBK" w:cs="方正仿宋_GBK"/>
                <w:color w:val="000000" w:themeColor="text1"/>
                <w:kern w:val="0"/>
                <w:sz w:val="24"/>
                <w:szCs w:val="24"/>
              </w:rPr>
              <w:t>“十四五”期间，实现农村劳动力转移就业25万人，其中新增转移农村富余劳动力1.6万人以上。</w:t>
            </w:r>
          </w:p>
          <w:p w14:paraId="67457C1A">
            <w:pPr>
              <w:adjustRightInd w:val="0"/>
              <w:snapToGrid w:val="0"/>
              <w:spacing w:line="480" w:lineRule="exact"/>
              <w:ind w:firstLine="472" w:firstLineChars="200"/>
            </w:pPr>
            <w:r>
              <w:rPr>
                <w:rFonts w:hint="eastAsia" w:ascii="方正黑体_GBK" w:hAnsi="方正黑体_GBK" w:eastAsia="方正黑体_GBK" w:cs="方正黑体_GBK"/>
                <w:color w:val="000000" w:themeColor="text1"/>
                <w:sz w:val="24"/>
                <w:szCs w:val="24"/>
              </w:rPr>
              <w:t>11. 建设创业实训示范中心。</w:t>
            </w:r>
            <w:r>
              <w:rPr>
                <w:rFonts w:hint="eastAsia" w:ascii="方正仿宋_GBK" w:hAnsi="方正仿宋_GBK" w:cs="方正仿宋_GBK"/>
                <w:color w:val="000000" w:themeColor="text1"/>
                <w:kern w:val="0"/>
                <w:sz w:val="24"/>
                <w:szCs w:val="24"/>
              </w:rPr>
              <w:t>依托酉阳人力资源服务产业园，以“立足酉阳，服务武陵山地区”的定位，坚持开放共享、高效利用、科学管理的原则，建设创业实训示范中心，为武陵山地区开展创业实训活动提供开放平台。“十四五”期间，力争成为市级创业实训示范中心或西部创业实训示范中心。</w:t>
            </w:r>
          </w:p>
        </w:tc>
      </w:tr>
    </w:tbl>
    <w:p w14:paraId="1B0D91DF">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19" w:name="_Toc81142154"/>
      <w:r>
        <w:rPr>
          <w:rFonts w:hint="eastAsia" w:ascii="Times New Roman" w:hAnsi="Times New Roman" w:eastAsia="方正楷体_GBK" w:cs="Times New Roman"/>
          <w:b w:val="0"/>
          <w:bCs w:val="0"/>
          <w:color w:val="000000" w:themeColor="text1"/>
        </w:rPr>
        <w:t>第二节 健全多层次社会保障体系</w:t>
      </w:r>
      <w:bookmarkEnd w:id="19"/>
      <w:r>
        <w:rPr>
          <w:rFonts w:hint="eastAsia" w:ascii="Times New Roman" w:hAnsi="Times New Roman" w:eastAsia="方正楷体_GBK" w:cs="Times New Roman"/>
          <w:b w:val="0"/>
          <w:bCs w:val="0"/>
          <w:color w:val="000000" w:themeColor="text1"/>
        </w:rPr>
        <w:t xml:space="preserve"> </w:t>
      </w:r>
    </w:p>
    <w:p w14:paraId="6C20F381">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bookmarkStart w:id="20" w:name="_Hlk65910642"/>
      <w:r>
        <w:rPr>
          <w:rFonts w:hint="eastAsia" w:ascii="Times New Roman" w:hAnsi="Times New Roman" w:eastAsia="方正仿宋_GBK" w:cs="Times New Roman"/>
          <w:color w:val="000000" w:themeColor="text1"/>
          <w:sz w:val="32"/>
          <w:szCs w:val="32"/>
        </w:rPr>
        <w:t>健全覆盖全民、统筹城乡、公平统一、可持续的多层次社会保障体系，坚持权责清晰、保障适度、应保尽保的原则，推动全县社会保险事业高质量发展，增强人民群众幸福感、获得感、安全感，形成社会保障全民共有共享共建共谋的发展局面。</w:t>
      </w:r>
    </w:p>
    <w:p w14:paraId="1111B3A1">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——健全完善社会保障制度体系</w:t>
      </w:r>
      <w:bookmarkStart w:id="21" w:name="_Hlk59266515"/>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进一步健全完善</w:t>
      </w:r>
      <w:r>
        <w:rPr>
          <w:rFonts w:hint="eastAsia" w:ascii="Times New Roman" w:hAnsi="Times New Roman" w:eastAsia="方正仿宋_GBK" w:cs="Times New Roman"/>
          <w:color w:val="000000" w:themeColor="text1"/>
          <w:sz w:val="32"/>
          <w:szCs w:val="32"/>
        </w:rPr>
        <w:t>多层次、多支柱</w:t>
      </w:r>
      <w:r>
        <w:rPr>
          <w:rFonts w:ascii="Times New Roman" w:hAnsi="Times New Roman" w:eastAsia="方正仿宋_GBK" w:cs="Times New Roman"/>
          <w:color w:val="000000" w:themeColor="text1"/>
          <w:sz w:val="32"/>
          <w:szCs w:val="32"/>
        </w:rPr>
        <w:t>养老保险制度</w:t>
      </w:r>
      <w:r>
        <w:rPr>
          <w:rFonts w:hint="eastAsia" w:ascii="Times New Roman" w:hAnsi="Times New Roman" w:eastAsia="方正仿宋_GBK" w:cs="Times New Roman"/>
          <w:color w:val="000000" w:themeColor="text1"/>
          <w:sz w:val="32"/>
          <w:szCs w:val="32"/>
        </w:rPr>
        <w:t>体系</w:t>
      </w:r>
      <w:r>
        <w:rPr>
          <w:rFonts w:ascii="Times New Roman" w:hAnsi="Times New Roman" w:eastAsia="方正仿宋_GBK" w:cs="Times New Roman"/>
          <w:color w:val="000000" w:themeColor="text1"/>
          <w:sz w:val="32"/>
          <w:szCs w:val="32"/>
        </w:rPr>
        <w:t>。对接落实企业职工基本养老保险全国统筹制度，</w:t>
      </w:r>
      <w:r>
        <w:rPr>
          <w:rFonts w:hint="eastAsia" w:ascii="Times New Roman" w:hAnsi="Times New Roman" w:eastAsia="方正仿宋_GBK" w:cs="Times New Roman"/>
          <w:color w:val="000000" w:themeColor="text1"/>
          <w:sz w:val="32"/>
          <w:szCs w:val="32"/>
        </w:rPr>
        <w:t>进一步</w:t>
      </w:r>
      <w:r>
        <w:rPr>
          <w:rFonts w:ascii="Times New Roman" w:hAnsi="Times New Roman" w:eastAsia="方正仿宋_GBK" w:cs="Times New Roman"/>
          <w:color w:val="000000" w:themeColor="text1"/>
          <w:sz w:val="32"/>
          <w:szCs w:val="32"/>
        </w:rPr>
        <w:t>规范企业职工基本养老保险缴费基数和比例</w:t>
      </w:r>
      <w:r>
        <w:rPr>
          <w:rFonts w:hint="eastAsia" w:ascii="Times New Roman" w:hAnsi="Times New Roman" w:eastAsia="方正仿宋_GBK" w:cs="Times New Roman"/>
          <w:color w:val="000000" w:themeColor="text1"/>
          <w:sz w:val="32"/>
          <w:szCs w:val="32"/>
        </w:rPr>
        <w:t>，持续</w:t>
      </w:r>
      <w:r>
        <w:rPr>
          <w:rFonts w:ascii="Times New Roman" w:hAnsi="Times New Roman" w:eastAsia="方正仿宋_GBK" w:cs="Times New Roman"/>
          <w:color w:val="000000" w:themeColor="text1"/>
          <w:sz w:val="32"/>
          <w:szCs w:val="32"/>
        </w:rPr>
        <w:t>完善参保政策</w:t>
      </w:r>
      <w:r>
        <w:rPr>
          <w:rFonts w:hint="eastAsia" w:ascii="Times New Roman" w:hAnsi="Times New Roman" w:eastAsia="方正仿宋_GBK" w:cs="Times New Roman"/>
          <w:color w:val="000000" w:themeColor="text1"/>
          <w:sz w:val="32"/>
          <w:szCs w:val="32"/>
        </w:rPr>
        <w:t>。推进</w:t>
      </w:r>
      <w:r>
        <w:rPr>
          <w:rFonts w:ascii="Times New Roman" w:hAnsi="Times New Roman" w:eastAsia="方正仿宋_GBK" w:cs="Times New Roman"/>
          <w:color w:val="000000" w:themeColor="text1"/>
          <w:sz w:val="32"/>
          <w:szCs w:val="32"/>
        </w:rPr>
        <w:t>机关事业单位养老保险</w:t>
      </w:r>
      <w:r>
        <w:rPr>
          <w:rFonts w:hint="eastAsia" w:ascii="Times New Roman" w:hAnsi="Times New Roman" w:eastAsia="方正仿宋_GBK" w:cs="Times New Roman"/>
          <w:color w:val="000000" w:themeColor="text1"/>
          <w:sz w:val="32"/>
          <w:szCs w:val="32"/>
        </w:rPr>
        <w:t>制度平稳运行</w:t>
      </w:r>
      <w:r>
        <w:rPr>
          <w:rFonts w:ascii="Times New Roman" w:hAnsi="Times New Roman" w:eastAsia="方正仿宋_GBK" w:cs="Times New Roman"/>
          <w:color w:val="000000" w:themeColor="text1"/>
          <w:sz w:val="32"/>
          <w:szCs w:val="32"/>
        </w:rPr>
        <w:t>，实现新老待遇计发的平稳过渡。全面落实国家</w:t>
      </w:r>
      <w:r>
        <w:rPr>
          <w:rFonts w:hint="eastAsia" w:ascii="Times New Roman" w:hAnsi="Times New Roman" w:eastAsia="方正仿宋_GBK" w:cs="Times New Roman"/>
          <w:color w:val="000000" w:themeColor="text1"/>
          <w:sz w:val="32"/>
          <w:szCs w:val="32"/>
        </w:rPr>
        <w:t>实施渐进式延迟法定退休年龄，相应逐步</w:t>
      </w:r>
      <w:r>
        <w:rPr>
          <w:rFonts w:ascii="Times New Roman" w:hAnsi="Times New Roman" w:eastAsia="方正仿宋_GBK" w:cs="Times New Roman"/>
          <w:color w:val="000000" w:themeColor="text1"/>
          <w:sz w:val="32"/>
          <w:szCs w:val="32"/>
        </w:rPr>
        <w:t>提高</w:t>
      </w:r>
      <w:r>
        <w:rPr>
          <w:rFonts w:hint="eastAsia" w:ascii="Times New Roman" w:hAnsi="Times New Roman" w:eastAsia="方正仿宋_GBK" w:cs="Times New Roman"/>
          <w:color w:val="000000" w:themeColor="text1"/>
          <w:sz w:val="32"/>
          <w:szCs w:val="32"/>
        </w:rPr>
        <w:t>领取基本养老金最低</w:t>
      </w:r>
      <w:r>
        <w:rPr>
          <w:rFonts w:ascii="Times New Roman" w:hAnsi="Times New Roman" w:eastAsia="方正仿宋_GBK" w:cs="Times New Roman"/>
          <w:color w:val="000000" w:themeColor="text1"/>
          <w:sz w:val="32"/>
          <w:szCs w:val="32"/>
        </w:rPr>
        <w:t>缴费年限。</w:t>
      </w:r>
      <w:r>
        <w:rPr>
          <w:rFonts w:hint="eastAsia" w:ascii="Times New Roman" w:hAnsi="Times New Roman" w:eastAsia="方正仿宋_GBK" w:cs="Times New Roman"/>
          <w:color w:val="000000" w:themeColor="text1"/>
          <w:sz w:val="32"/>
          <w:szCs w:val="32"/>
        </w:rPr>
        <w:t>落实国家企业职工基本养老保险遗属待遇制度和病残津贴制度。落实城乡居民基本养老保险制度，提高最低缴费档次。落实职业年金制度和个人养老金制度，推动养老保险第三支柱发展。</w:t>
      </w:r>
    </w:p>
    <w:p w14:paraId="02741221">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进一步健全完善失业保险制度。构建更加积极失业保险政策体系，完善失业保险费率与经济社会发展的联动机制，结合经济发展和基金运行灵活调整费率水平。扩大失业保险政策受益面，落实失业保险金发放办法。</w:t>
      </w:r>
    </w:p>
    <w:p w14:paraId="2F6437B3">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进一步健全完善</w:t>
      </w:r>
      <w:r>
        <w:rPr>
          <w:rFonts w:hint="eastAsia" w:ascii="Times New Roman" w:hAnsi="Times New Roman" w:eastAsia="方正仿宋_GBK" w:cs="Times New Roman"/>
          <w:color w:val="000000" w:themeColor="text1"/>
          <w:sz w:val="32"/>
          <w:szCs w:val="32"/>
        </w:rPr>
        <w:t>多层次</w:t>
      </w:r>
      <w:r>
        <w:rPr>
          <w:rFonts w:ascii="Times New Roman" w:hAnsi="Times New Roman" w:eastAsia="方正仿宋_GBK" w:cs="Times New Roman"/>
          <w:color w:val="000000" w:themeColor="text1"/>
          <w:sz w:val="32"/>
          <w:szCs w:val="32"/>
        </w:rPr>
        <w:t>工伤保险制度</w:t>
      </w:r>
      <w:r>
        <w:rPr>
          <w:rFonts w:hint="eastAsia" w:ascii="Times New Roman" w:hAnsi="Times New Roman" w:eastAsia="方正仿宋_GBK" w:cs="Times New Roman"/>
          <w:color w:val="000000" w:themeColor="text1"/>
          <w:sz w:val="32"/>
          <w:szCs w:val="32"/>
        </w:rPr>
        <w:t>体系</w:t>
      </w:r>
      <w:r>
        <w:rPr>
          <w:rFonts w:ascii="Times New Roman" w:hAnsi="Times New Roman" w:eastAsia="方正仿宋_GBK" w:cs="Times New Roman"/>
          <w:color w:val="000000" w:themeColor="text1"/>
          <w:sz w:val="32"/>
          <w:szCs w:val="32"/>
        </w:rPr>
        <w:t>。以高危行业为重点，</w:t>
      </w:r>
      <w:r>
        <w:rPr>
          <w:rFonts w:hint="eastAsia" w:ascii="Times New Roman" w:hAnsi="Times New Roman" w:eastAsia="方正仿宋_GBK" w:cs="Times New Roman"/>
          <w:color w:val="000000" w:themeColor="text1"/>
          <w:sz w:val="32"/>
          <w:szCs w:val="32"/>
        </w:rPr>
        <w:t>扩大工伤保险政策覆盖范围，</w:t>
      </w:r>
      <w:r>
        <w:rPr>
          <w:rFonts w:ascii="Times New Roman" w:hAnsi="Times New Roman" w:eastAsia="方正仿宋_GBK" w:cs="Times New Roman"/>
          <w:color w:val="000000" w:themeColor="text1"/>
          <w:sz w:val="32"/>
          <w:szCs w:val="32"/>
        </w:rPr>
        <w:t>推进平台灵活就业人员职业伤害保障工作</w:t>
      </w:r>
      <w:r>
        <w:rPr>
          <w:rFonts w:hint="eastAsia" w:ascii="Times New Roman" w:hAnsi="Times New Roman" w:eastAsia="方正仿宋_GBK" w:cs="Times New Roman"/>
          <w:color w:val="000000" w:themeColor="text1"/>
          <w:sz w:val="32"/>
          <w:szCs w:val="32"/>
        </w:rPr>
        <w:t>，落实</w:t>
      </w:r>
      <w:r>
        <w:rPr>
          <w:rFonts w:ascii="Times New Roman" w:hAnsi="Times New Roman" w:eastAsia="方正仿宋_GBK" w:cs="Times New Roman"/>
          <w:color w:val="000000" w:themeColor="text1"/>
          <w:sz w:val="32"/>
          <w:szCs w:val="32"/>
        </w:rPr>
        <w:t>预防、补偿、康复三位一体的工伤保险制度</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落实工伤预防费管理使用办法，有力开展工伤预防工作。</w:t>
      </w:r>
      <w:r>
        <w:rPr>
          <w:rFonts w:hint="eastAsia" w:ascii="Times New Roman" w:hAnsi="Times New Roman" w:eastAsia="方正仿宋_GBK" w:cs="Times New Roman"/>
          <w:color w:val="000000" w:themeColor="text1"/>
          <w:sz w:val="32"/>
          <w:szCs w:val="32"/>
        </w:rPr>
        <w:t>加强工伤预防、工伤康复等工作。多途径强化工伤保险管理服务，提升工伤保险信息化水平。</w:t>
      </w:r>
      <w:bookmarkEnd w:id="21"/>
    </w:p>
    <w:p w14:paraId="30300E3C">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——持续深入推进实施全民参保计划。</w:t>
      </w:r>
      <w:r>
        <w:rPr>
          <w:rFonts w:ascii="Times New Roman" w:hAnsi="Times New Roman" w:eastAsia="方正仿宋_GBK" w:cs="Times New Roman"/>
          <w:color w:val="000000" w:themeColor="text1"/>
          <w:sz w:val="32"/>
          <w:szCs w:val="32"/>
        </w:rPr>
        <w:t>充分借助大数据、人工智能等信息技术手段，深入推进信息交换共享与业务协同，持续加强数据动态管理和分析应用</w:t>
      </w:r>
      <w:r>
        <w:rPr>
          <w:rFonts w:hint="eastAsia" w:ascii="Times New Roman" w:hAnsi="Times New Roman" w:eastAsia="方正仿宋_GBK" w:cs="Times New Roman"/>
          <w:color w:val="000000" w:themeColor="text1"/>
          <w:sz w:val="32"/>
          <w:szCs w:val="32"/>
        </w:rPr>
        <w:t>。不断推进精准扩面，推动实现城镇职工基本养老保险由制度全覆盖到法定人群全覆盖，积极促进城乡居民基本养老保险适龄参保人员应保尽保，</w:t>
      </w:r>
      <w:bookmarkStart w:id="22" w:name="_Hlk77496786"/>
      <w:r>
        <w:rPr>
          <w:rFonts w:ascii="Times New Roman" w:hAnsi="Times New Roman" w:eastAsia="方正仿宋_GBK" w:cs="Times New Roman"/>
          <w:color w:val="000000" w:themeColor="text1"/>
          <w:sz w:val="32"/>
          <w:szCs w:val="32"/>
        </w:rPr>
        <w:t>促进有意愿、有缴费能力的灵活就业人员及新就业形态从业人员等参加企业职工基本养老保险。</w:t>
      </w:r>
      <w:bookmarkEnd w:id="22"/>
      <w:r>
        <w:rPr>
          <w:rFonts w:hint="eastAsia" w:ascii="Times New Roman" w:hAnsi="Times New Roman" w:eastAsia="方正仿宋_GBK" w:cs="Times New Roman"/>
          <w:color w:val="000000" w:themeColor="text1"/>
          <w:sz w:val="32"/>
          <w:szCs w:val="32"/>
        </w:rPr>
        <w:t>加强失业保险参保扩面工作，重点推进中小企业、私营企业以及农民工、灵活就业人员等单位和人群积极参保。扎实做好工伤保险参保扩面，扩大工伤保险覆盖范围，落实建筑业按项目参加工伤保险的长效机制，继续做好建筑业、公路、能源、水利等建设项目参保工作。</w:t>
      </w:r>
    </w:p>
    <w:p w14:paraId="19A3EA91">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——落实调整社会保险待遇机制。</w:t>
      </w:r>
      <w:r>
        <w:rPr>
          <w:rFonts w:ascii="Times New Roman" w:hAnsi="Times New Roman" w:eastAsia="方正仿宋_GBK" w:cs="Times New Roman"/>
          <w:color w:val="000000" w:themeColor="text1"/>
          <w:sz w:val="32"/>
          <w:szCs w:val="32"/>
        </w:rPr>
        <w:t>按照统一部署，</w:t>
      </w:r>
      <w:r>
        <w:rPr>
          <w:rFonts w:hint="eastAsia" w:ascii="Times New Roman" w:hAnsi="Times New Roman" w:eastAsia="方正仿宋_GBK" w:cs="Times New Roman"/>
          <w:color w:val="000000" w:themeColor="text1"/>
          <w:sz w:val="32"/>
          <w:szCs w:val="32"/>
        </w:rPr>
        <w:t>落实职工基本养老金合理调整机制。落实企业职工基本养老保险待遇计发基数过渡办法，实现平稳过渡。全面落实</w:t>
      </w:r>
      <w:r>
        <w:rPr>
          <w:rFonts w:ascii="Times New Roman" w:hAnsi="Times New Roman" w:eastAsia="方正仿宋_GBK" w:cs="Times New Roman"/>
          <w:color w:val="000000" w:themeColor="text1"/>
          <w:sz w:val="32"/>
          <w:szCs w:val="32"/>
        </w:rPr>
        <w:t>城乡居民基本养老保险待遇确定</w:t>
      </w:r>
      <w:r>
        <w:rPr>
          <w:rFonts w:hint="eastAsia" w:ascii="Times New Roman" w:hAnsi="Times New Roman" w:eastAsia="方正仿宋_GBK" w:cs="Times New Roman"/>
          <w:color w:val="000000" w:themeColor="text1"/>
          <w:sz w:val="32"/>
          <w:szCs w:val="32"/>
        </w:rPr>
        <w:t>和</w:t>
      </w:r>
      <w:r>
        <w:rPr>
          <w:rFonts w:ascii="Times New Roman" w:hAnsi="Times New Roman" w:eastAsia="方正仿宋_GBK" w:cs="Times New Roman"/>
          <w:color w:val="000000" w:themeColor="text1"/>
          <w:sz w:val="32"/>
          <w:szCs w:val="32"/>
        </w:rPr>
        <w:t>基础养老金正常调整机制</w:t>
      </w:r>
      <w:r>
        <w:rPr>
          <w:rFonts w:hint="eastAsia" w:ascii="Times New Roman" w:hAnsi="Times New Roman" w:eastAsia="方正仿宋_GBK" w:cs="Times New Roman"/>
          <w:color w:val="000000" w:themeColor="text1"/>
          <w:sz w:val="32"/>
          <w:szCs w:val="32"/>
        </w:rPr>
        <w:t>。落实</w:t>
      </w:r>
      <w:r>
        <w:rPr>
          <w:rFonts w:ascii="Times New Roman" w:hAnsi="Times New Roman" w:eastAsia="方正仿宋_GBK" w:cs="Times New Roman"/>
          <w:color w:val="000000" w:themeColor="text1"/>
          <w:sz w:val="32"/>
          <w:szCs w:val="32"/>
        </w:rPr>
        <w:t>失业保险待遇，加大对困难家庭、双失业家庭、大龄失业人员等重点领金群体的生活保障力度。</w:t>
      </w:r>
      <w:r>
        <w:rPr>
          <w:rFonts w:hint="eastAsia" w:ascii="Times New Roman" w:hAnsi="Times New Roman" w:eastAsia="方正仿宋_GBK" w:cs="Times New Roman"/>
          <w:color w:val="000000" w:themeColor="text1"/>
          <w:sz w:val="32"/>
          <w:szCs w:val="32"/>
        </w:rPr>
        <w:t>落实</w:t>
      </w:r>
      <w:r>
        <w:rPr>
          <w:rFonts w:ascii="Times New Roman" w:hAnsi="Times New Roman" w:eastAsia="方正仿宋_GBK" w:cs="Times New Roman"/>
          <w:color w:val="000000" w:themeColor="text1"/>
          <w:sz w:val="32"/>
          <w:szCs w:val="32"/>
        </w:rPr>
        <w:t>工伤待遇调整机制，推进工伤保险医疗（康复）费用联网结算工作，</w:t>
      </w:r>
      <w:r>
        <w:rPr>
          <w:rFonts w:hint="eastAsia" w:ascii="Times New Roman" w:hAnsi="Times New Roman" w:eastAsia="方正仿宋_GBK" w:cs="Times New Roman"/>
          <w:color w:val="000000" w:themeColor="text1"/>
          <w:sz w:val="32"/>
          <w:szCs w:val="32"/>
        </w:rPr>
        <w:t>实施</w:t>
      </w:r>
      <w:r>
        <w:rPr>
          <w:rFonts w:ascii="Times New Roman" w:hAnsi="Times New Roman" w:eastAsia="方正仿宋_GBK" w:cs="Times New Roman"/>
          <w:color w:val="000000" w:themeColor="text1"/>
          <w:sz w:val="32"/>
          <w:szCs w:val="32"/>
        </w:rPr>
        <w:t>医疗费预警机制，为工伤职工就医治疗提供方便快捷的“一站式”服务。</w:t>
      </w:r>
    </w:p>
    <w:p w14:paraId="4612DF08">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——加强社会保险基金安全监管。执行社会保险基金监管制度，优化监管工作机制，加强基金运行风险分析研判，落实社会保险基金运行风险预警机制和基金监督机制。实施政策、经办、信息、监督</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四位一体</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基金管理风险防控体系，提升风险识别、监测、防控能力。不断加强社会保险稽核管理和内控检查。创新完善监督方法手段，加大信息技术在基金监管领域运用，持续提升监督检查效能。加强工伤协议服务机构监管，强化工伤保险协议服务机构科学化布局，执行工伤保险服务监督经办规程。落实行政执法与刑事司法衔接机制，执行案件移送标准和程序，对侵占、欺诈基金行为保持高压态势，严厉打击违法行为。执行社会保险违法失信行为联合惩戒制度，将侵占、欺诈社保基金违法犯罪行为纳入社会保险信用管理。稳妥做好职业年金基金归集管理，抓好年金计划合同备案、加强合规性监管、信息披露等重点工作。</w:t>
      </w:r>
    </w:p>
    <w:p w14:paraId="0E31E204">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——提升社会保险经办管理服务能力</w:t>
      </w:r>
      <w:bookmarkStart w:id="23" w:name="_Hlk61627430"/>
      <w:r>
        <w:rPr>
          <w:rFonts w:hint="eastAsia" w:ascii="Times New Roman" w:hAnsi="Times New Roman" w:eastAsia="方正仿宋_GBK" w:cs="Times New Roman"/>
          <w:color w:val="000000" w:themeColor="text1"/>
          <w:sz w:val="32"/>
          <w:szCs w:val="32"/>
        </w:rPr>
        <w:t>。推动</w:t>
      </w:r>
      <w:r>
        <w:rPr>
          <w:rFonts w:ascii="Times New Roman" w:hAnsi="Times New Roman" w:eastAsia="方正仿宋_GBK" w:cs="Times New Roman"/>
          <w:color w:val="000000" w:themeColor="text1"/>
          <w:sz w:val="32"/>
          <w:szCs w:val="32"/>
        </w:rPr>
        <w:t>社保业务流程再造和服务重塑</w:t>
      </w:r>
      <w:r>
        <w:rPr>
          <w:rFonts w:hint="eastAsia" w:ascii="Times New Roman" w:hAnsi="Times New Roman" w:eastAsia="方正仿宋_GBK" w:cs="Times New Roman"/>
          <w:color w:val="000000" w:themeColor="text1"/>
          <w:sz w:val="32"/>
          <w:szCs w:val="32"/>
        </w:rPr>
        <w:t>，夯实完善社保经办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不见面</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服务基础，逐步拓展</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不见面</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服务范围，梳理社会保险公共服务事项清单，</w:t>
      </w:r>
      <w:r>
        <w:rPr>
          <w:rFonts w:ascii="Times New Roman" w:hAnsi="Times New Roman" w:eastAsia="方正仿宋_GBK" w:cs="Times New Roman"/>
          <w:color w:val="000000" w:themeColor="text1"/>
          <w:sz w:val="32"/>
          <w:szCs w:val="32"/>
        </w:rPr>
        <w:t>整合经办规程，简化办事流程，</w:t>
      </w:r>
      <w:r>
        <w:rPr>
          <w:rFonts w:hint="eastAsia" w:ascii="Times New Roman" w:hAnsi="Times New Roman" w:eastAsia="方正仿宋_GBK" w:cs="Times New Roman"/>
          <w:color w:val="000000" w:themeColor="text1"/>
          <w:sz w:val="32"/>
          <w:szCs w:val="32"/>
        </w:rPr>
        <w:t>按照</w:t>
      </w:r>
      <w:r>
        <w:rPr>
          <w:rFonts w:ascii="Times New Roman" w:hAnsi="Times New Roman" w:eastAsia="方正仿宋_GBK" w:cs="Times New Roman"/>
          <w:color w:val="000000" w:themeColor="text1"/>
          <w:sz w:val="32"/>
          <w:szCs w:val="32"/>
        </w:rPr>
        <w:t>统一的业务经办操作指南</w:t>
      </w:r>
      <w:r>
        <w:rPr>
          <w:rFonts w:hint="eastAsia" w:ascii="Times New Roman" w:hAnsi="Times New Roman" w:eastAsia="方正仿宋_GBK" w:cs="Times New Roman"/>
          <w:color w:val="000000" w:themeColor="text1"/>
          <w:sz w:val="32"/>
          <w:szCs w:val="32"/>
        </w:rPr>
        <w:t>开展经办服务</w:t>
      </w:r>
      <w:r>
        <w:rPr>
          <w:rFonts w:ascii="Times New Roman" w:hAnsi="Times New Roman" w:eastAsia="方正仿宋_GBK" w:cs="Times New Roman"/>
          <w:color w:val="000000" w:themeColor="text1"/>
          <w:sz w:val="32"/>
          <w:szCs w:val="32"/>
        </w:rPr>
        <w:t>，实现社保业务“优先网办、全域通办”，方便群众办事。推进社保经办数字化转型，</w:t>
      </w:r>
      <w:r>
        <w:rPr>
          <w:rFonts w:hint="eastAsia" w:ascii="Times New Roman" w:hAnsi="Times New Roman" w:eastAsia="方正仿宋_GBK" w:cs="Times New Roman"/>
          <w:color w:val="000000" w:themeColor="text1"/>
          <w:sz w:val="32"/>
          <w:szCs w:val="32"/>
        </w:rPr>
        <w:t>提升社保数据分析能力，推动网上服务、</w:t>
      </w:r>
      <w:r>
        <w:rPr>
          <w:rFonts w:ascii="Times New Roman" w:hAnsi="Times New Roman" w:eastAsia="方正仿宋_GBK" w:cs="Times New Roman"/>
          <w:color w:val="000000" w:themeColor="text1"/>
          <w:sz w:val="32"/>
          <w:szCs w:val="32"/>
        </w:rPr>
        <w:t>自助服务与实体大厅服务互补联动发展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满足群众个性化、多样化服务需求。</w:t>
      </w:r>
      <w:r>
        <w:rPr>
          <w:rFonts w:hint="eastAsia" w:ascii="Times New Roman" w:hAnsi="Times New Roman" w:eastAsia="方正仿宋_GBK" w:cs="Times New Roman"/>
          <w:color w:val="000000" w:themeColor="text1"/>
          <w:sz w:val="32"/>
          <w:szCs w:val="32"/>
        </w:rPr>
        <w:t>利用</w:t>
      </w:r>
      <w:r>
        <w:rPr>
          <w:rFonts w:ascii="Times New Roman" w:hAnsi="Times New Roman" w:eastAsia="方正仿宋_GBK" w:cs="Times New Roman"/>
          <w:color w:val="000000" w:themeColor="text1"/>
          <w:sz w:val="32"/>
          <w:szCs w:val="32"/>
        </w:rPr>
        <w:t>社会保险大数据应用分析机制和精算分析机制，分析风险、强化监督、优化服务。</w:t>
      </w:r>
      <w:r>
        <w:rPr>
          <w:rFonts w:hint="eastAsia" w:ascii="Times New Roman" w:hAnsi="Times New Roman" w:eastAsia="方正仿宋_GBK" w:cs="Times New Roman"/>
          <w:color w:val="000000" w:themeColor="text1"/>
          <w:sz w:val="32"/>
          <w:szCs w:val="32"/>
        </w:rPr>
        <w:t>实施</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事前承诺—事中监管—联合惩戒</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的信用管理新模式，提升社保经办精确管理和精细化服务水平。推进国有企业退休人员常态化移交。以统一的社会保险公共服务平台为载体，实现与平台应接尽接，网上服务事项应上尽上，纵向延伸，横向拓展，推动跨区域、跨层级、跨部门社保公共服务事项的统一经办、业务协同、数据共享。对接全国养老保险转移接续平台，简化办事流程，缩短办结时限，推广电子化转移业务模式，畅通社保关系转移接续渠道。利用集中共享的社会保险档案数据资源库，推进电子档案在社保经办和公共服务中的应用。按照上级部署，配合建立第三支柱的个人养老金管理服务信息平台。</w:t>
      </w:r>
      <w:bookmarkEnd w:id="20"/>
      <w:bookmarkEnd w:id="23"/>
    </w:p>
    <w:p w14:paraId="1B2627D3">
      <w:pPr>
        <w:adjustRightInd w:val="0"/>
        <w:spacing w:before="217" w:after="217"/>
        <w:jc w:val="center"/>
        <w:rPr>
          <w:rFonts w:ascii="方正黑体_GBK" w:hAnsi="方正黑体_GBK" w:eastAsia="方正黑体_GBK" w:cs="方正黑体_GBK"/>
          <w:color w:val="000000" w:themeColor="text1"/>
        </w:rPr>
      </w:pPr>
      <w:r>
        <w:rPr>
          <w:rFonts w:hint="eastAsia" w:ascii="方正黑体_GBK" w:hAnsi="方正黑体_GBK" w:eastAsia="方正黑体_GBK" w:cs="方正黑体_GBK"/>
          <w:color w:val="000000" w:themeColor="text1"/>
        </w:rPr>
        <w:t>专栏4  健全多层次社会保障体系重点项目</w:t>
      </w:r>
    </w:p>
    <w:tbl>
      <w:tblPr>
        <w:tblStyle w:val="2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6E99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640" w:type="dxa"/>
          </w:tcPr>
          <w:p w14:paraId="7AA1234E">
            <w:pPr>
              <w:adjustRightInd w:val="0"/>
              <w:snapToGrid w:val="0"/>
              <w:spacing w:line="480" w:lineRule="exact"/>
              <w:ind w:firstLine="472" w:firstLineChars="200"/>
              <w:rPr>
                <w:rFonts w:ascii="宋体" w:hAnsi="宋体" w:eastAsia="宋体" w:cs="宋体"/>
                <w:color w:val="000000" w:themeColor="text1"/>
                <w:kern w:val="0"/>
                <w:sz w:val="24"/>
                <w:szCs w:val="24"/>
              </w:rPr>
            </w:pPr>
            <w:r>
              <w:rPr>
                <w:rFonts w:hint="eastAsia" w:ascii="方正黑体_GBK" w:hAnsi="方正黑体_GBK" w:eastAsia="方正黑体_GBK" w:cs="方正黑体_GBK"/>
                <w:color w:val="000000" w:themeColor="text1"/>
                <w:sz w:val="24"/>
                <w:szCs w:val="24"/>
              </w:rPr>
              <w:t>1.新就业形态群体参保项目。</w:t>
            </w:r>
            <w:r>
              <w:rPr>
                <w:rFonts w:hint="eastAsia" w:ascii="方正仿宋_GBK" w:hAnsi="方正仿宋_GBK" w:cs="方正仿宋_GBK"/>
                <w:color w:val="000000" w:themeColor="text1"/>
                <w:kern w:val="0"/>
                <w:sz w:val="24"/>
                <w:szCs w:val="24"/>
              </w:rPr>
              <w:t>结合养老保险全国统筹，依托全国统一的社会保险公共服务平台，为新就业形态从业人员提供网上参保登记申请等一系列便捷服务。落实我国新业态职业伤害保障模式，引导新就业形态从业人员参加职业伤害保险。</w:t>
            </w:r>
          </w:p>
          <w:p w14:paraId="2566B622">
            <w:pPr>
              <w:adjustRightInd w:val="0"/>
              <w:snapToGrid w:val="0"/>
              <w:spacing w:line="480" w:lineRule="exact"/>
              <w:ind w:firstLine="472" w:firstLineChars="200"/>
              <w:rPr>
                <w:kern w:val="0"/>
              </w:rPr>
            </w:pPr>
            <w:r>
              <w:rPr>
                <w:rFonts w:hint="eastAsia" w:ascii="方正黑体_GBK" w:hAnsi="方正黑体_GBK" w:eastAsia="方正黑体_GBK" w:cs="方正黑体_GBK"/>
                <w:color w:val="000000" w:themeColor="text1"/>
                <w:sz w:val="24"/>
                <w:szCs w:val="24"/>
              </w:rPr>
              <w:t>2.社会保险经办管理服务能力提升工程。</w:t>
            </w:r>
            <w:r>
              <w:rPr>
                <w:rFonts w:hint="eastAsia" w:ascii="方正仿宋_GBK" w:hAnsi="方正仿宋_GBK" w:cs="方正仿宋_GBK"/>
                <w:color w:val="000000" w:themeColor="text1"/>
                <w:kern w:val="0"/>
                <w:sz w:val="24"/>
                <w:szCs w:val="24"/>
              </w:rPr>
              <w:t>加大经办所需硬件投入力度，实时升级软件，不断改善经办环境。通过专业化、精准化、个性化培训，提升社保经办队伍的管理服务能力和专业化水平。组织参加全国和重庆市社会保险经办机构负责人培训班、社会保险精算业务培训班、社会保险基金财务会计制度培训班、社会保险标准化管理培训班等各类专项培训，深化培养基金管理、标准化管理等专业领域的业务能手。</w:t>
            </w:r>
          </w:p>
        </w:tc>
      </w:tr>
    </w:tbl>
    <w:p w14:paraId="15C96D64">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24" w:name="_Toc81142155"/>
      <w:r>
        <w:rPr>
          <w:rFonts w:hint="eastAsia" w:ascii="Times New Roman" w:hAnsi="Times New Roman" w:eastAsia="方正楷体_GBK" w:cs="Times New Roman"/>
          <w:b w:val="0"/>
          <w:bCs w:val="0"/>
          <w:color w:val="000000" w:themeColor="text1"/>
        </w:rPr>
        <w:t>第三节 进一步提升人才队伍规模和质量</w:t>
      </w:r>
      <w:bookmarkEnd w:id="24"/>
      <w:r>
        <w:rPr>
          <w:rFonts w:hint="eastAsia" w:ascii="Times New Roman" w:hAnsi="Times New Roman" w:eastAsia="方正楷体_GBK" w:cs="Times New Roman"/>
          <w:b w:val="0"/>
          <w:bCs w:val="0"/>
          <w:color w:val="000000" w:themeColor="text1"/>
        </w:rPr>
        <w:t xml:space="preserve"> </w:t>
      </w:r>
    </w:p>
    <w:p w14:paraId="74C3A1FD">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牢固树立人才引领发展的战略地位，深化人才发展体制机制改革，深入实施科教兴县和人才强县行动计划，全方位培养、引进、用好人才，营造</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近悦远来</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人才发展环境。</w:t>
      </w:r>
    </w:p>
    <w:p w14:paraId="70BEE923">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——促进人才顺畅有序流动。继续实施人才兴县战略，完善</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塔尖</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塔基</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人才政策体系，构建有竞争力的人才政策体系。大力开展</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双高</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人才引进、柔性引进县外人才、优秀人才</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百千</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培训，不断优化专业技术人才结构。落实引进急需紧缺高层次及实用人才在项目扶持、财政支持、住房保障、配偶就业和子女入学等方面优惠政策。进一步深化人才发展体制机制改革，进一步完善</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政府引导、企业主体、市场化运作</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引才机制，切实调动用人单位、中介机构及个人的引才积极性，加大人才引进力度。</w:t>
      </w:r>
      <w:bookmarkStart w:id="25" w:name="_Hlk59287958"/>
      <w:r>
        <w:rPr>
          <w:rFonts w:hint="eastAsia" w:ascii="Times New Roman" w:hAnsi="Times New Roman" w:eastAsia="方正仿宋_GBK" w:cs="Times New Roman"/>
          <w:color w:val="000000" w:themeColor="text1"/>
          <w:sz w:val="32"/>
          <w:szCs w:val="32"/>
        </w:rPr>
        <w:t>遵循法律法规落实用人主体自主权，进一步破除妨碍人才合理流动的体制机制弊端，畅通人才流动渠道，建立区域人才交流合作机制。</w:t>
      </w:r>
      <w:r>
        <w:rPr>
          <w:rFonts w:ascii="Times New Roman" w:hAnsi="Times New Roman" w:eastAsia="方正仿宋_GBK" w:cs="Times New Roman"/>
          <w:color w:val="000000" w:themeColor="text1"/>
          <w:sz w:val="32"/>
          <w:szCs w:val="32"/>
        </w:rPr>
        <w:t>探索建立“互联网+智力共享”开放引才模式，建立市场化引才网络。</w:t>
      </w:r>
      <w:r>
        <w:rPr>
          <w:rFonts w:hint="eastAsia" w:ascii="Times New Roman" w:hAnsi="Times New Roman" w:eastAsia="方正仿宋_GBK" w:cs="Times New Roman"/>
          <w:color w:val="000000" w:themeColor="text1"/>
          <w:sz w:val="32"/>
          <w:szCs w:val="32"/>
        </w:rPr>
        <w:t>加强人才表彰奖励工作，探索建立我县表彰奖励制度体系，落实表彰奖励获得者的待遇，加大对表彰奖励获得者事迹的宣传力度，营造尊崇模范、争做先锋的良好氛围。</w:t>
      </w:r>
      <w:bookmarkEnd w:id="25"/>
      <w:r>
        <w:rPr>
          <w:rFonts w:hint="eastAsia" w:ascii="Times New Roman" w:hAnsi="Times New Roman" w:eastAsia="方正仿宋_GBK" w:cs="Times New Roman"/>
          <w:color w:val="000000" w:themeColor="text1"/>
          <w:sz w:val="32"/>
          <w:szCs w:val="32"/>
        </w:rPr>
        <w:t>构建以创新创业为导向的专业技术、技能人才培养支持机制，完善产学研用协同创新体系，创新专业技术、技能人才培养模式，大力培养支撑酉阳制造、酉阳创造的专业技术、技能人才队伍。健全完善激励各类人才在酉阳自治县创新创业支持举措。</w:t>
      </w:r>
    </w:p>
    <w:p w14:paraId="11D161F2">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——加强专业技术人才队伍建设。</w:t>
      </w:r>
      <w:r>
        <w:rPr>
          <w:rFonts w:ascii="Times New Roman" w:hAnsi="Times New Roman" w:eastAsia="方正仿宋_GBK" w:cs="Times New Roman"/>
          <w:color w:val="000000" w:themeColor="text1"/>
          <w:sz w:val="32"/>
          <w:szCs w:val="32"/>
        </w:rPr>
        <w:t>大力培养教育、卫生、科技、</w:t>
      </w:r>
      <w:r>
        <w:rPr>
          <w:rFonts w:hint="eastAsia" w:ascii="Times New Roman" w:hAnsi="Times New Roman" w:eastAsia="方正仿宋_GBK" w:cs="Times New Roman"/>
          <w:color w:val="000000" w:themeColor="text1"/>
          <w:sz w:val="32"/>
          <w:szCs w:val="32"/>
        </w:rPr>
        <w:t>文化</w:t>
      </w:r>
      <w:r>
        <w:rPr>
          <w:rFonts w:ascii="Times New Roman" w:hAnsi="Times New Roman" w:eastAsia="方正仿宋_GBK" w:cs="Times New Roman"/>
          <w:color w:val="000000" w:themeColor="text1"/>
          <w:sz w:val="32"/>
          <w:szCs w:val="32"/>
        </w:rPr>
        <w:t>旅游、规划建设、特色加工等领域专业人才和紧缺人才，加强全科教师、全科医生培养。</w:t>
      </w:r>
      <w:r>
        <w:rPr>
          <w:rFonts w:hint="eastAsia" w:ascii="Times New Roman" w:hAnsi="Times New Roman" w:eastAsia="方正仿宋_GBK" w:cs="Times New Roman"/>
          <w:color w:val="000000" w:themeColor="text1"/>
          <w:sz w:val="32"/>
          <w:szCs w:val="32"/>
        </w:rPr>
        <w:t>落实以品德、能力和业绩为重点的专业技术人才评价机制，分类推进专业技术人才评价机制改革。落实以创新能力、质量、实效、贡献为导向的专业技术人才评价体系，落实符合各类专业技术人才特点的评价方式。进一步落实职称制度改革的各项措施。健全完善高层次人才支持措施，不断培育壮大支撑酉阳自治县高质量发展的高层次人才队伍。引进和培养一批服务酉阳产业发展的青年人才。完善专业技术人员继续教育体系，大力实施专业技术人才知识更新工程，建设我县急需的非遗保护、研究、传承等各类人才队伍。</w:t>
      </w:r>
    </w:p>
    <w:p w14:paraId="27F7157A">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——加强技能人才队伍建设。按照国家</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加强创新型、应用型、技能型人才培养</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的要求，落实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技能中国</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行动，推进工匠精神进学校、进课堂、进企业。落实高技能人才与专业技术人才职业发展贯通制度，开展酉阳名匠选拔活动，打造更大规模的高技能人才队伍。落实技能人才评价制度改革，支持企业自主开展技能评价。加强技能人才表彰激励，加大技能人才成长成才宣传引导，培养土家摆手舞、酉阳古歌、酉阳民歌、面具阳戏等技能人才队伍。</w:t>
      </w:r>
    </w:p>
    <w:p w14:paraId="0E49BC95">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——落实事业单位人事制度改革措施</w:t>
      </w:r>
      <w:bookmarkStart w:id="26" w:name="_Hlk65910911"/>
      <w:r>
        <w:rPr>
          <w:rFonts w:hint="eastAsia" w:ascii="Times New Roman" w:hAnsi="Times New Roman" w:eastAsia="方正仿宋_GBK" w:cs="Times New Roman"/>
          <w:color w:val="000000" w:themeColor="text1"/>
          <w:sz w:val="32"/>
          <w:szCs w:val="32"/>
        </w:rPr>
        <w:t>。按照事业单位人事制度改革总体部署，实施符合事业和人才成长规律的事业单位人事管理制度。</w:t>
      </w:r>
      <w:r>
        <w:rPr>
          <w:rFonts w:ascii="Times New Roman" w:hAnsi="Times New Roman" w:eastAsia="方正仿宋_GBK" w:cs="Times New Roman"/>
          <w:color w:val="000000" w:themeColor="text1"/>
          <w:sz w:val="32"/>
          <w:szCs w:val="32"/>
        </w:rPr>
        <w:t>分类推进事业单位人事制度改革，落实事业单位管理岗位职员等级晋升制度改革。</w:t>
      </w:r>
      <w:r>
        <w:rPr>
          <w:rFonts w:hint="eastAsia" w:ascii="Times New Roman" w:hAnsi="Times New Roman" w:eastAsia="方正仿宋_GBK" w:cs="Times New Roman"/>
          <w:color w:val="000000" w:themeColor="text1"/>
          <w:sz w:val="32"/>
          <w:szCs w:val="32"/>
        </w:rPr>
        <w:t>完善事业单位人员招聘和引进机制，</w:t>
      </w:r>
      <w:r>
        <w:rPr>
          <w:rFonts w:ascii="Times New Roman" w:hAnsi="Times New Roman" w:eastAsia="方正仿宋_GBK" w:cs="Times New Roman"/>
          <w:color w:val="000000" w:themeColor="text1"/>
          <w:sz w:val="32"/>
          <w:szCs w:val="32"/>
        </w:rPr>
        <w:t>加强人事考试公共服务能力建设，</w:t>
      </w:r>
      <w:r>
        <w:rPr>
          <w:rFonts w:hint="eastAsia" w:ascii="Times New Roman" w:hAnsi="Times New Roman" w:eastAsia="方正仿宋_GBK" w:cs="Times New Roman"/>
          <w:color w:val="000000" w:themeColor="text1"/>
          <w:sz w:val="32"/>
          <w:szCs w:val="32"/>
        </w:rPr>
        <w:t>落实重庆市</w:t>
      </w:r>
      <w:r>
        <w:rPr>
          <w:rFonts w:ascii="Times New Roman" w:hAnsi="Times New Roman" w:eastAsia="方正仿宋_GBK" w:cs="Times New Roman"/>
          <w:color w:val="000000" w:themeColor="text1"/>
          <w:sz w:val="32"/>
          <w:szCs w:val="32"/>
        </w:rPr>
        <w:t>统一的人事考试规范流程，提升人事考试的组织实施效能、技术水平，强化考试安全体系建设，有效防控人事考试安全风险</w:t>
      </w:r>
      <w:r>
        <w:rPr>
          <w:rFonts w:hint="eastAsia" w:ascii="Times New Roman" w:hAnsi="Times New Roman" w:eastAsia="方正仿宋_GBK" w:cs="Times New Roman"/>
          <w:color w:val="000000" w:themeColor="text1"/>
          <w:sz w:val="32"/>
          <w:szCs w:val="32"/>
        </w:rPr>
        <w:t>。落实事业单位人事管理自主权，完善事业单位岗位聘用机制，加强事业单位聘用合同管理和人事管理事中事后监管力度，明确监管主体责任，健全调查处理机制。</w:t>
      </w:r>
      <w:r>
        <w:rPr>
          <w:rFonts w:ascii="Times New Roman" w:hAnsi="Times New Roman" w:eastAsia="方正仿宋_GBK" w:cs="Times New Roman"/>
          <w:color w:val="000000" w:themeColor="text1"/>
          <w:sz w:val="32"/>
          <w:szCs w:val="32"/>
        </w:rPr>
        <w:t>推进事业单位人事管理信息化，</w:t>
      </w:r>
      <w:r>
        <w:rPr>
          <w:rFonts w:hint="eastAsia" w:ascii="Times New Roman" w:hAnsi="Times New Roman" w:eastAsia="方正仿宋_GBK" w:cs="Times New Roman"/>
          <w:color w:val="000000" w:themeColor="text1"/>
          <w:sz w:val="32"/>
          <w:szCs w:val="32"/>
        </w:rPr>
        <w:t>持续改进完善人事综合管理服务</w:t>
      </w:r>
      <w:r>
        <w:rPr>
          <w:rFonts w:ascii="Times New Roman" w:hAnsi="Times New Roman" w:eastAsia="方正仿宋_GBK" w:cs="Times New Roman"/>
          <w:color w:val="000000" w:themeColor="text1"/>
          <w:sz w:val="32"/>
          <w:szCs w:val="32"/>
        </w:rPr>
        <w:t>。</w:t>
      </w:r>
      <w:bookmarkEnd w:id="26"/>
      <w:r>
        <w:rPr>
          <w:rFonts w:hint="eastAsia" w:ascii="Times New Roman" w:hAnsi="Times New Roman" w:eastAsia="方正仿宋_GBK" w:cs="Times New Roman"/>
          <w:color w:val="000000" w:themeColor="text1"/>
          <w:sz w:val="32"/>
          <w:szCs w:val="32"/>
        </w:rPr>
        <w:t xml:space="preserve"> </w:t>
      </w:r>
    </w:p>
    <w:p w14:paraId="3B02320E">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——健全人才公共服务体系。</w:t>
      </w:r>
      <w:r>
        <w:rPr>
          <w:rFonts w:ascii="Times New Roman" w:hAnsi="Times New Roman" w:eastAsia="方正仿宋_GBK" w:cs="Times New Roman"/>
          <w:color w:val="000000" w:themeColor="text1"/>
          <w:sz w:val="32"/>
          <w:szCs w:val="32"/>
        </w:rPr>
        <w:t>完善人才服务保障体系，</w:t>
      </w:r>
      <w:r>
        <w:rPr>
          <w:rFonts w:hint="eastAsia" w:ascii="Times New Roman" w:hAnsi="Times New Roman" w:eastAsia="方正仿宋_GBK" w:cs="Times New Roman"/>
          <w:color w:val="000000" w:themeColor="text1"/>
          <w:sz w:val="32"/>
          <w:szCs w:val="32"/>
        </w:rPr>
        <w:t>积极落实重庆英才</w:t>
      </w:r>
      <w:r>
        <w:rPr>
          <w:rFonts w:ascii="Times New Roman" w:hAnsi="Times New Roman" w:eastAsia="方正仿宋_GBK" w:cs="Times New Roman"/>
          <w:color w:val="000000" w:themeColor="text1"/>
          <w:sz w:val="32"/>
          <w:szCs w:val="32"/>
        </w:rPr>
        <w:t>“渝快办”</w:t>
      </w:r>
      <w:r>
        <w:rPr>
          <w:rFonts w:hint="eastAsia" w:ascii="Times New Roman" w:hAnsi="Times New Roman" w:eastAsia="方正仿宋_GBK" w:cs="Times New Roman"/>
          <w:color w:val="000000" w:themeColor="text1"/>
          <w:sz w:val="32"/>
          <w:szCs w:val="32"/>
        </w:rPr>
        <w:t>服务事项，</w:t>
      </w:r>
      <w:r>
        <w:rPr>
          <w:rFonts w:ascii="Times New Roman" w:hAnsi="Times New Roman" w:eastAsia="方正仿宋_GBK" w:cs="Times New Roman"/>
          <w:color w:val="000000" w:themeColor="text1"/>
          <w:sz w:val="32"/>
          <w:szCs w:val="32"/>
        </w:rPr>
        <w:t>深入实施人才安居工程，健全完善高层次人才一站式服务平台功能，</w:t>
      </w:r>
      <w:r>
        <w:rPr>
          <w:rFonts w:hint="eastAsia" w:ascii="Times New Roman" w:hAnsi="Times New Roman" w:eastAsia="方正仿宋_GBK" w:cs="Times New Roman"/>
          <w:color w:val="000000" w:themeColor="text1"/>
          <w:sz w:val="32"/>
          <w:szCs w:val="32"/>
        </w:rPr>
        <w:t>实施人才服务综合柜员制，</w:t>
      </w:r>
      <w:r>
        <w:rPr>
          <w:rFonts w:ascii="Times New Roman" w:hAnsi="Times New Roman" w:eastAsia="方正仿宋_GBK" w:cs="Times New Roman"/>
          <w:color w:val="000000" w:themeColor="text1"/>
          <w:sz w:val="32"/>
          <w:szCs w:val="32"/>
        </w:rPr>
        <w:t>建立人才服务清单和服务指南，分层分类为人才提供便捷服务。</w:t>
      </w:r>
      <w:r>
        <w:rPr>
          <w:rFonts w:hint="eastAsia" w:ascii="Times New Roman" w:hAnsi="Times New Roman" w:eastAsia="方正仿宋_GBK" w:cs="Times New Roman"/>
          <w:color w:val="000000" w:themeColor="text1"/>
          <w:sz w:val="32"/>
          <w:szCs w:val="32"/>
        </w:rPr>
        <w:t>加大基层人才服务工作力度，切实做好基层开展人才服务工作的人员、场地、经费保障。推进人才公共服务规范化、标准化建设，规范服务流程，完善服务标准，加强人才公共服务体系建设。</w:t>
      </w:r>
    </w:p>
    <w:p w14:paraId="60F96AF5">
      <w:pPr>
        <w:adjustRightInd w:val="0"/>
        <w:spacing w:before="217" w:after="217"/>
        <w:jc w:val="center"/>
        <w:rPr>
          <w:rFonts w:eastAsia="方正黑体_GBK"/>
          <w:color w:val="000000" w:themeColor="text1"/>
        </w:rPr>
      </w:pPr>
      <w:r>
        <w:rPr>
          <w:rFonts w:hint="eastAsia" w:ascii="方正黑体_GBK" w:hAnsi="方正黑体_GBK" w:eastAsia="方正黑体_GBK" w:cs="方正黑体_GBK"/>
          <w:color w:val="000000" w:themeColor="text1"/>
        </w:rPr>
        <w:t>专栏5 进一步提升人才队伍规模和质量重点项目</w:t>
      </w:r>
    </w:p>
    <w:tbl>
      <w:tblPr>
        <w:tblStyle w:val="2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291F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498" w:type="dxa"/>
          </w:tcPr>
          <w:p w14:paraId="6E7EF3C8">
            <w:pPr>
              <w:adjustRightInd w:val="0"/>
              <w:snapToGrid w:val="0"/>
              <w:spacing w:line="480" w:lineRule="exact"/>
              <w:ind w:firstLine="472" w:firstLineChars="200"/>
              <w:rPr>
                <w:rFonts w:ascii="宋体" w:hAnsi="宋体" w:eastAsia="宋体" w:cs="宋体"/>
                <w:color w:val="000000" w:themeColor="text1"/>
                <w:kern w:val="0"/>
                <w:sz w:val="24"/>
                <w:szCs w:val="24"/>
              </w:rPr>
            </w:pPr>
            <w:r>
              <w:rPr>
                <w:rFonts w:hint="eastAsia" w:eastAsia="方正黑体_GBK"/>
                <w:color w:val="000000" w:themeColor="text1"/>
                <w:sz w:val="24"/>
                <w:szCs w:val="24"/>
              </w:rPr>
              <w:t>1.建设酉阳人力资源服务产业园。</w:t>
            </w:r>
            <w:r>
              <w:rPr>
                <w:rFonts w:hint="eastAsia" w:ascii="方正仿宋_GBK" w:hAnsi="方正仿宋_GBK" w:cs="方正仿宋_GBK"/>
                <w:color w:val="000000" w:themeColor="text1"/>
                <w:kern w:val="0"/>
                <w:sz w:val="24"/>
                <w:szCs w:val="24"/>
              </w:rPr>
              <w:t xml:space="preserve">努力打造武陵山区人力资源服务业发展的创新平台，逐步形成区域性人力资源服务产业集群高地。鼓励发展有市场、有特色、有潜力的人力资源服务机构，形成产业特色突出、服务功能完善、现代高端的人力资源服务产业基地。大力引进和培育人力资源服务企业，支持人力资源服务骨干企业成长，提升人力资源服务业从业人员能力，推进行业诚信体系建设，促进人力资源服务业跨越式发展。“十四五”期间，力争成功申报创建市级人力资源服务产业园。 </w:t>
            </w:r>
          </w:p>
          <w:p w14:paraId="1CB0CE27">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eastAsia="方正黑体_GBK"/>
                <w:color w:val="000000" w:themeColor="text1"/>
                <w:sz w:val="24"/>
                <w:szCs w:val="24"/>
              </w:rPr>
              <w:t>2</w:t>
            </w:r>
            <w:r>
              <w:rPr>
                <w:rFonts w:hint="eastAsia" w:eastAsia="方正黑体_GBK"/>
                <w:color w:val="000000" w:themeColor="text1"/>
                <w:sz w:val="24"/>
                <w:szCs w:val="24"/>
              </w:rPr>
              <w:t>.专业技术人才知识更新工程。</w:t>
            </w:r>
            <w:r>
              <w:rPr>
                <w:rFonts w:hint="eastAsia" w:ascii="方正仿宋_GBK" w:hAnsi="方正仿宋_GBK" w:cs="方正仿宋_GBK"/>
                <w:color w:val="000000" w:themeColor="text1"/>
                <w:kern w:val="0"/>
                <w:sz w:val="24"/>
                <w:szCs w:val="24"/>
              </w:rPr>
              <w:t>支持专业技术人员继续教育基地建设。“十四五”期间，组织专业技术人员参加国家和重庆市高级研修项目，培训100人次高层次急需紧缺专业技术人才，建立1个市级专家服务基地。</w:t>
            </w:r>
          </w:p>
          <w:p w14:paraId="6D3B3BB2">
            <w:pPr>
              <w:adjustRightInd w:val="0"/>
              <w:snapToGrid w:val="0"/>
              <w:spacing w:line="480" w:lineRule="exact"/>
              <w:ind w:firstLine="472" w:firstLineChars="200"/>
              <w:rPr>
                <w:rFonts w:ascii="宋体" w:hAnsi="宋体" w:eastAsia="宋体" w:cs="宋体"/>
                <w:color w:val="000000" w:themeColor="text1"/>
                <w:kern w:val="0"/>
                <w:sz w:val="24"/>
                <w:szCs w:val="24"/>
              </w:rPr>
            </w:pPr>
            <w:r>
              <w:rPr>
                <w:rFonts w:eastAsia="方正黑体_GBK"/>
                <w:color w:val="000000" w:themeColor="text1"/>
                <w:sz w:val="24"/>
                <w:szCs w:val="24"/>
              </w:rPr>
              <w:t>3</w:t>
            </w:r>
            <w:r>
              <w:rPr>
                <w:rFonts w:hint="eastAsia" w:eastAsia="方正黑体_GBK"/>
                <w:color w:val="000000" w:themeColor="text1"/>
                <w:sz w:val="24"/>
                <w:szCs w:val="24"/>
              </w:rPr>
              <w:t>.高技能人才振兴计划。</w:t>
            </w:r>
            <w:r>
              <w:rPr>
                <w:rFonts w:hint="eastAsia" w:ascii="方正仿宋_GBK" w:hAnsi="方正仿宋_GBK" w:cs="方正仿宋_GBK"/>
                <w:color w:val="000000" w:themeColor="text1"/>
                <w:kern w:val="0"/>
                <w:sz w:val="24"/>
                <w:szCs w:val="24"/>
              </w:rPr>
              <w:t>支持技能大师工作室、高技能人才培训基地建设。“十四五”期间，力争建设1-2个技能大师工作室，培养造就一批技能大师、技能英才和技术能手。</w:t>
            </w:r>
          </w:p>
          <w:p w14:paraId="172F5250">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eastAsia="方正黑体_GBK"/>
                <w:color w:val="000000" w:themeColor="text1"/>
                <w:sz w:val="24"/>
                <w:szCs w:val="24"/>
              </w:rPr>
              <w:t>4</w:t>
            </w:r>
            <w:r>
              <w:rPr>
                <w:rFonts w:hint="eastAsia" w:eastAsia="方正黑体_GBK"/>
                <w:color w:val="000000" w:themeColor="text1"/>
                <w:sz w:val="24"/>
                <w:szCs w:val="24"/>
              </w:rPr>
              <w:t>.建立</w:t>
            </w:r>
            <w:r>
              <w:rPr>
                <w:rFonts w:eastAsia="方正黑体_GBK"/>
                <w:color w:val="000000" w:themeColor="text1"/>
                <w:sz w:val="24"/>
                <w:szCs w:val="24"/>
              </w:rPr>
              <w:t>“</w:t>
            </w:r>
            <w:r>
              <w:rPr>
                <w:rFonts w:hint="eastAsia" w:eastAsia="方正黑体_GBK"/>
                <w:color w:val="000000" w:themeColor="text1"/>
                <w:sz w:val="24"/>
                <w:szCs w:val="24"/>
              </w:rPr>
              <w:t>智能+技能</w:t>
            </w:r>
            <w:r>
              <w:rPr>
                <w:rFonts w:eastAsia="方正黑体_GBK"/>
                <w:color w:val="000000" w:themeColor="text1"/>
                <w:sz w:val="24"/>
                <w:szCs w:val="24"/>
              </w:rPr>
              <w:t>”</w:t>
            </w:r>
            <w:r>
              <w:rPr>
                <w:rFonts w:hint="eastAsia" w:eastAsia="方正黑体_GBK"/>
                <w:color w:val="000000" w:themeColor="text1"/>
                <w:sz w:val="24"/>
                <w:szCs w:val="24"/>
              </w:rPr>
              <w:t>人才孵化空间。</w:t>
            </w:r>
            <w:r>
              <w:rPr>
                <w:rFonts w:hint="eastAsia" w:ascii="方正仿宋_GBK" w:hAnsi="方正仿宋_GBK" w:cs="方正仿宋_GBK"/>
                <w:color w:val="000000" w:themeColor="text1"/>
                <w:kern w:val="0"/>
                <w:sz w:val="24"/>
                <w:szCs w:val="24"/>
              </w:rPr>
              <w:t>支持建立“智能+技能”人才孵化空间。“十四五”期间，培训培养200人“智能+技能”人才。</w:t>
            </w:r>
          </w:p>
          <w:p w14:paraId="0EECFD0E">
            <w:pPr>
              <w:adjustRightInd w:val="0"/>
              <w:snapToGrid w:val="0"/>
              <w:spacing w:line="480" w:lineRule="exact"/>
              <w:ind w:firstLine="472" w:firstLineChars="200"/>
              <w:rPr>
                <w:rFonts w:ascii="宋体" w:hAnsi="宋体" w:eastAsia="宋体" w:cs="宋体"/>
                <w:color w:val="000000" w:themeColor="text1"/>
                <w:kern w:val="0"/>
                <w:sz w:val="24"/>
                <w:szCs w:val="24"/>
              </w:rPr>
            </w:pPr>
            <w:r>
              <w:rPr>
                <w:rFonts w:eastAsia="方正黑体_GBK"/>
                <w:color w:val="000000" w:themeColor="text1"/>
                <w:sz w:val="24"/>
                <w:szCs w:val="24"/>
              </w:rPr>
              <w:t>5.引才活动</w:t>
            </w:r>
            <w:r>
              <w:rPr>
                <w:rFonts w:hint="eastAsia" w:eastAsia="方正黑体_GBK"/>
                <w:color w:val="000000" w:themeColor="text1"/>
                <w:sz w:val="24"/>
                <w:szCs w:val="24"/>
              </w:rPr>
              <w:t>。</w:t>
            </w:r>
            <w:r>
              <w:rPr>
                <w:rFonts w:hint="eastAsia" w:ascii="方正仿宋_GBK" w:hAnsi="方正仿宋_GBK" w:cs="方正仿宋_GBK"/>
                <w:color w:val="000000" w:themeColor="text1"/>
                <w:kern w:val="0"/>
                <w:sz w:val="24"/>
                <w:szCs w:val="24"/>
              </w:rPr>
              <w:t>围绕我县重点产业、重点领域、重点行业需求，组织参加“重庆英才大会”、组团引才等活动。“十四五”期间，开展各类引才活动10场次以上，引进各类高精缺和急需人才200人。</w:t>
            </w:r>
          </w:p>
          <w:p w14:paraId="0B693A97">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eastAsia="方正黑体_GBK"/>
                <w:color w:val="000000" w:themeColor="text1"/>
                <w:sz w:val="24"/>
                <w:szCs w:val="24"/>
              </w:rPr>
              <w:t>6.全民技能提升工程</w:t>
            </w:r>
            <w:r>
              <w:rPr>
                <w:rFonts w:hint="eastAsia" w:eastAsia="方正黑体_GBK"/>
                <w:color w:val="000000" w:themeColor="text1"/>
                <w:sz w:val="24"/>
                <w:szCs w:val="24"/>
              </w:rPr>
              <w:t>。</w:t>
            </w:r>
            <w:r>
              <w:rPr>
                <w:rFonts w:hint="eastAsia" w:ascii="方正仿宋_GBK" w:hAnsi="方正仿宋_GBK" w:cs="方正仿宋_GBK"/>
                <w:color w:val="000000" w:themeColor="text1"/>
                <w:kern w:val="0"/>
                <w:sz w:val="24"/>
                <w:szCs w:val="24"/>
              </w:rPr>
              <w:t>持续推进职业技能提升行动计划，规划建设1-2个公共培训（实训）示范机构，开展企业职工培训1万人次。</w:t>
            </w:r>
          </w:p>
          <w:p w14:paraId="76523914">
            <w:pPr>
              <w:adjustRightInd w:val="0"/>
              <w:snapToGrid w:val="0"/>
              <w:spacing w:line="480" w:lineRule="exact"/>
              <w:ind w:firstLine="472" w:firstLineChars="200"/>
              <w:rPr>
                <w:rFonts w:eastAsia="方正黑体_GBK"/>
                <w:color w:val="000000" w:themeColor="text1"/>
                <w:sz w:val="24"/>
                <w:szCs w:val="24"/>
              </w:rPr>
            </w:pPr>
            <w:r>
              <w:rPr>
                <w:rFonts w:hint="eastAsia" w:eastAsia="方正黑体_GBK"/>
                <w:color w:val="000000" w:themeColor="text1"/>
                <w:sz w:val="24"/>
                <w:szCs w:val="24"/>
              </w:rPr>
              <w:t>7</w:t>
            </w:r>
            <w:r>
              <w:rPr>
                <w:rFonts w:eastAsia="方正黑体_GBK"/>
                <w:color w:val="000000" w:themeColor="text1"/>
                <w:sz w:val="24"/>
                <w:szCs w:val="24"/>
              </w:rPr>
              <w:t>.实施</w:t>
            </w:r>
            <w:r>
              <w:rPr>
                <w:rFonts w:hint="eastAsia" w:eastAsia="方正黑体_GBK"/>
                <w:color w:val="000000" w:themeColor="text1"/>
                <w:sz w:val="24"/>
                <w:szCs w:val="24"/>
              </w:rPr>
              <w:t>乡村人才振兴</w:t>
            </w:r>
            <w:r>
              <w:rPr>
                <w:rFonts w:eastAsia="方正黑体_GBK"/>
                <w:color w:val="000000" w:themeColor="text1"/>
                <w:sz w:val="24"/>
                <w:szCs w:val="24"/>
              </w:rPr>
              <w:t>工程</w:t>
            </w:r>
            <w:r>
              <w:rPr>
                <w:rFonts w:hint="eastAsia" w:eastAsia="方正黑体_GBK"/>
                <w:color w:val="000000" w:themeColor="text1"/>
                <w:sz w:val="24"/>
                <w:szCs w:val="24"/>
              </w:rPr>
              <w:t>。</w:t>
            </w:r>
            <w:r>
              <w:rPr>
                <w:rFonts w:hint="eastAsia" w:ascii="方正仿宋_GBK" w:hAnsi="方正仿宋_GBK" w:cs="方正仿宋_GBK"/>
                <w:color w:val="000000" w:themeColor="text1"/>
                <w:kern w:val="0"/>
                <w:sz w:val="24"/>
                <w:szCs w:val="24"/>
              </w:rPr>
              <w:t>畅通城市人才加入乡村通道，健全科教文卫体等城乡人才合作交流机制，全面落实专业技术人员到乡村、企业挂职、兼职和离岗创新创业制度，推动科技成果入乡转化，探索公益性和经营性农技推广融合发展机制。“十四五”期间，选派200-300名教育、卫生、科技、农业、文化旅游、规划建设等专业人才到基层服务，选派科教文卫体等城市人才到乡村、企业挂职、兼职20人，支持和鼓励事业单位科研人员创新创业、退休专家人才到基层发挥作用。</w:t>
            </w:r>
          </w:p>
        </w:tc>
      </w:tr>
    </w:tbl>
    <w:p w14:paraId="4773C3F0">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27" w:name="_Toc77241071"/>
      <w:bookmarkStart w:id="28" w:name="_Toc81142156"/>
      <w:r>
        <w:rPr>
          <w:rFonts w:ascii="Times New Roman" w:hAnsi="Times New Roman" w:eastAsia="方正楷体_GBK" w:cs="Times New Roman"/>
          <w:b w:val="0"/>
          <w:bCs w:val="0"/>
          <w:color w:val="000000" w:themeColor="text1"/>
        </w:rPr>
        <w:t>第</w:t>
      </w:r>
      <w:r>
        <w:rPr>
          <w:rFonts w:hint="eastAsia" w:ascii="Times New Roman" w:hAnsi="Times New Roman" w:eastAsia="方正楷体_GBK" w:cs="Times New Roman"/>
          <w:b w:val="0"/>
          <w:bCs w:val="0"/>
          <w:color w:val="000000" w:themeColor="text1"/>
        </w:rPr>
        <w:t>四节</w:t>
      </w:r>
      <w:r>
        <w:rPr>
          <w:rFonts w:ascii="Times New Roman" w:hAnsi="Times New Roman" w:eastAsia="方正楷体_GBK" w:cs="Times New Roman"/>
          <w:b w:val="0"/>
          <w:bCs w:val="0"/>
          <w:color w:val="000000" w:themeColor="text1"/>
        </w:rPr>
        <w:t xml:space="preserve"> </w:t>
      </w:r>
      <w:r>
        <w:rPr>
          <w:rFonts w:hint="eastAsia" w:ascii="Times New Roman" w:hAnsi="Times New Roman" w:eastAsia="方正楷体_GBK" w:cs="Times New Roman"/>
          <w:b w:val="0"/>
          <w:bCs w:val="0"/>
          <w:color w:val="000000" w:themeColor="text1"/>
        </w:rPr>
        <w:t>落实</w:t>
      </w:r>
      <w:r>
        <w:rPr>
          <w:rFonts w:ascii="Times New Roman" w:hAnsi="Times New Roman" w:eastAsia="方正楷体_GBK" w:cs="Times New Roman"/>
          <w:b w:val="0"/>
          <w:bCs w:val="0"/>
          <w:color w:val="000000" w:themeColor="text1"/>
        </w:rPr>
        <w:t>收入分配制度改革</w:t>
      </w:r>
      <w:bookmarkEnd w:id="27"/>
      <w:r>
        <w:rPr>
          <w:rFonts w:hint="eastAsia" w:ascii="Times New Roman" w:hAnsi="Times New Roman" w:eastAsia="方正楷体_GBK" w:cs="Times New Roman"/>
          <w:b w:val="0"/>
          <w:bCs w:val="0"/>
          <w:color w:val="000000" w:themeColor="text1"/>
        </w:rPr>
        <w:t>措施</w:t>
      </w:r>
      <w:bookmarkEnd w:id="28"/>
    </w:p>
    <w:p w14:paraId="4533D2EB">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坚持按劳分配为主体、多种分配方式并存</w:t>
      </w:r>
      <w:r>
        <w:rPr>
          <w:rFonts w:hint="eastAsia" w:ascii="Times New Roman" w:hAnsi="Times New Roman" w:eastAsia="方正仿宋_GBK" w:cs="Times New Roman"/>
          <w:color w:val="000000" w:themeColor="text1"/>
          <w:sz w:val="32"/>
          <w:szCs w:val="32"/>
        </w:rPr>
        <w:t>的基本经济制度</w:t>
      </w:r>
      <w:r>
        <w:rPr>
          <w:rFonts w:ascii="Times New Roman" w:hAnsi="Times New Roman" w:eastAsia="方正仿宋_GBK" w:cs="Times New Roman"/>
          <w:color w:val="000000" w:themeColor="text1"/>
          <w:sz w:val="32"/>
          <w:szCs w:val="32"/>
        </w:rPr>
        <w:t>，提高劳动报酬在初次分配中的比重。健全工资合理增长机制，着力提高低收入群体收入，促进扩大中等收入群体，更加积极有为地促进共同富裕。</w:t>
      </w:r>
      <w:bookmarkStart w:id="29" w:name="_Toc77241072"/>
      <w:bookmarkEnd w:id="29"/>
    </w:p>
    <w:p w14:paraId="70622ADC">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bookmarkStart w:id="30" w:name="_Hlk70328319"/>
      <w:bookmarkStart w:id="31" w:name="_Toc1849328815"/>
      <w:bookmarkStart w:id="32" w:name="_Toc64879649"/>
      <w:bookmarkStart w:id="33" w:name="_Toc77241073"/>
      <w:bookmarkStart w:id="34" w:name="_Toc54345669"/>
      <w:r>
        <w:rPr>
          <w:rFonts w:hint="eastAsia" w:ascii="Times New Roman" w:hAnsi="Times New Roman" w:eastAsia="方正仿宋_GBK" w:cs="Times New Roman"/>
          <w:color w:val="000000" w:themeColor="text1"/>
          <w:sz w:val="32"/>
          <w:szCs w:val="32"/>
        </w:rPr>
        <w:t>——落实企业工资收入分配制度改革措施</w:t>
      </w:r>
      <w:bookmarkEnd w:id="30"/>
      <w:r>
        <w:rPr>
          <w:rFonts w:hint="eastAsia" w:ascii="Times New Roman" w:hAnsi="Times New Roman" w:eastAsia="方正仿宋_GBK" w:cs="Times New Roman"/>
          <w:color w:val="000000" w:themeColor="text1"/>
          <w:sz w:val="32"/>
          <w:szCs w:val="32"/>
        </w:rPr>
        <w:t>。贯彻</w:t>
      </w:r>
      <w:r>
        <w:rPr>
          <w:rFonts w:ascii="Times New Roman" w:hAnsi="Times New Roman" w:eastAsia="方正仿宋_GBK" w:cs="Times New Roman"/>
          <w:color w:val="000000" w:themeColor="text1"/>
          <w:sz w:val="32"/>
          <w:szCs w:val="32"/>
        </w:rPr>
        <w:t>工资指导、薪酬调查和信息发布制度，促进企业职工工资正常增长。</w:t>
      </w:r>
      <w:r>
        <w:rPr>
          <w:rFonts w:hint="eastAsia" w:ascii="Times New Roman" w:hAnsi="Times New Roman" w:eastAsia="方正仿宋_GBK" w:cs="Times New Roman"/>
          <w:color w:val="000000" w:themeColor="text1"/>
          <w:sz w:val="32"/>
          <w:szCs w:val="32"/>
        </w:rPr>
        <w:t>落实最低工资制度和工资指导线制度，强化工资指导线应用。开展国有企业工资宏观指导和调控工作，落实国有企业负责人薪酬和工资总额管理政策，执行与劳动力市场基本适应、与国有企业经济效益和劳动生产率挂钩的工资决定和正常增长机制。指导国有企业深化企业内部分配制度改革，完善国有企业市场化薪酬分配机制，落实按业绩贡献决定薪酬的有效激励约束机制。落实国有企业工资内外收益监督管理办法等政策。</w:t>
      </w:r>
    </w:p>
    <w:p w14:paraId="6E222EF1">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w:t>
      </w:r>
      <w:bookmarkStart w:id="35" w:name="_Hlk78127387"/>
      <w:r>
        <w:rPr>
          <w:rFonts w:hint="eastAsia" w:ascii="Times New Roman" w:hAnsi="Times New Roman" w:eastAsia="方正仿宋_GBK" w:cs="Times New Roman"/>
          <w:color w:val="000000" w:themeColor="text1"/>
          <w:sz w:val="32"/>
          <w:szCs w:val="32"/>
        </w:rPr>
        <w:t>执行</w:t>
      </w:r>
      <w:r>
        <w:rPr>
          <w:rFonts w:ascii="Times New Roman" w:hAnsi="Times New Roman" w:eastAsia="方正仿宋_GBK" w:cs="Times New Roman"/>
          <w:color w:val="000000" w:themeColor="text1"/>
          <w:sz w:val="32"/>
          <w:szCs w:val="32"/>
        </w:rPr>
        <w:t>事业单位工资制度</w:t>
      </w:r>
      <w:bookmarkEnd w:id="31"/>
      <w:bookmarkEnd w:id="32"/>
      <w:bookmarkEnd w:id="33"/>
      <w:bookmarkEnd w:id="34"/>
      <w:r>
        <w:rPr>
          <w:rFonts w:hint="eastAsia" w:ascii="Times New Roman" w:hAnsi="Times New Roman" w:eastAsia="方正仿宋_GBK" w:cs="Times New Roman"/>
          <w:color w:val="000000" w:themeColor="text1"/>
          <w:sz w:val="32"/>
          <w:szCs w:val="32"/>
        </w:rPr>
        <w:t>与改革措施</w:t>
      </w:r>
      <w:bookmarkEnd w:id="35"/>
      <w:bookmarkStart w:id="36" w:name="_Toc77241074"/>
      <w:r>
        <w:rPr>
          <w:rFonts w:hint="eastAsia" w:ascii="Times New Roman" w:hAnsi="Times New Roman" w:eastAsia="方正仿宋_GBK" w:cs="Times New Roman"/>
          <w:color w:val="000000" w:themeColor="text1"/>
          <w:sz w:val="32"/>
          <w:szCs w:val="32"/>
        </w:rPr>
        <w:t>。执行符合事业单位行业特点的收入分配制度，进一步加大对基层事业单位工作人员的工资待遇政策倾斜的落实，推进公立医院薪酬制度改革；</w:t>
      </w:r>
      <w:r>
        <w:rPr>
          <w:rFonts w:ascii="Times New Roman" w:hAnsi="Times New Roman" w:eastAsia="方正仿宋_GBK" w:cs="Times New Roman"/>
          <w:color w:val="000000" w:themeColor="text1"/>
          <w:sz w:val="32"/>
          <w:szCs w:val="32"/>
        </w:rPr>
        <w:t>落实新时代教师队伍建设改革意见，确保中小学教师平均工资收入不低于本地公务员平均工资收入水平</w:t>
      </w:r>
      <w:r>
        <w:rPr>
          <w:rFonts w:hint="eastAsia" w:ascii="Times New Roman" w:hAnsi="Times New Roman" w:eastAsia="方正仿宋_GBK" w:cs="Times New Roman"/>
          <w:color w:val="000000" w:themeColor="text1"/>
          <w:sz w:val="32"/>
          <w:szCs w:val="32"/>
        </w:rPr>
        <w:t>；进一步落实特殊岗位津贴补贴制度、福利政策；加强事业单位工资管理、指导、监督工作，实现薪酬分级管理、权责统一；推进</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渝薪芯</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工资信息管理系统建设，实现薪酬项目全覆盖和事业单位全覆盖，形成工资数据一体化集成。</w:t>
      </w:r>
    </w:p>
    <w:p w14:paraId="615FA030">
      <w:pPr>
        <w:pStyle w:val="17"/>
        <w:widowControl w:val="0"/>
        <w:shd w:val="clear" w:color="auto" w:fill="FFFFFF"/>
        <w:adjustRightInd w:val="0"/>
        <w:spacing w:before="0" w:beforeAutospacing="0" w:after="0" w:afterAutospacing="0"/>
        <w:ind w:firstLine="632" w:firstLineChars="200"/>
        <w:jc w:val="both"/>
        <w:rPr>
          <w:rFonts w:ascii="Times New Roman"/>
        </w:rPr>
      </w:pP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扩大中等收入群体</w:t>
      </w:r>
      <w:bookmarkEnd w:id="36"/>
      <w:r>
        <w:rPr>
          <w:rFonts w:hint="eastAsia" w:ascii="Times New Roman" w:hAnsi="Times New Roman" w:eastAsia="方正仿宋_GBK" w:cs="Times New Roman"/>
          <w:color w:val="000000" w:themeColor="text1"/>
          <w:sz w:val="32"/>
          <w:szCs w:val="32"/>
        </w:rPr>
        <w:t>。拓宽就业渠道，</w:t>
      </w:r>
      <w:r>
        <w:rPr>
          <w:rFonts w:ascii="Times New Roman" w:hAnsi="Times New Roman" w:eastAsia="方正仿宋_GBK" w:cs="Times New Roman"/>
          <w:color w:val="000000" w:themeColor="text1"/>
          <w:sz w:val="32"/>
          <w:szCs w:val="32"/>
        </w:rPr>
        <w:t>以高校和职业院校毕业生、技能型劳动者、农民工等为重点，不断提高中等收入群体比重</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提高高校、职业院校毕业生就业匹配度和劳动参与率</w:t>
      </w:r>
      <w:r>
        <w:rPr>
          <w:rFonts w:hint="eastAsia" w:ascii="Times New Roman" w:hAnsi="Times New Roman" w:eastAsia="方正仿宋_GBK" w:cs="Times New Roman"/>
          <w:color w:val="000000" w:themeColor="text1"/>
          <w:sz w:val="32"/>
          <w:szCs w:val="32"/>
        </w:rPr>
        <w:t>，稳定工资性收入预期</w:t>
      </w:r>
      <w:r>
        <w:rPr>
          <w:rFonts w:ascii="Times New Roman" w:hAnsi="Times New Roman" w:eastAsia="方正仿宋_GBK" w:cs="Times New Roman"/>
          <w:color w:val="000000" w:themeColor="text1"/>
          <w:sz w:val="32"/>
          <w:szCs w:val="32"/>
        </w:rPr>
        <w:t>。拓宽技术工人上升通道，畅通非公有制经济组织、社会组织、自由职业专业技术人员职称申报和技能等级认定渠道，</w:t>
      </w:r>
      <w:r>
        <w:rPr>
          <w:rFonts w:hint="eastAsia" w:ascii="Times New Roman" w:hAnsi="Times New Roman" w:eastAsia="方正仿宋_GBK" w:cs="Times New Roman"/>
          <w:color w:val="000000" w:themeColor="text1"/>
          <w:sz w:val="32"/>
          <w:szCs w:val="32"/>
        </w:rPr>
        <w:t>着力</w:t>
      </w:r>
      <w:r>
        <w:rPr>
          <w:rFonts w:ascii="Times New Roman" w:hAnsi="Times New Roman" w:eastAsia="方正仿宋_GBK" w:cs="Times New Roman"/>
          <w:color w:val="000000" w:themeColor="text1"/>
          <w:sz w:val="32"/>
          <w:szCs w:val="32"/>
        </w:rPr>
        <w:t>提高技能型人才</w:t>
      </w:r>
      <w:r>
        <w:rPr>
          <w:rFonts w:hint="eastAsia" w:ascii="Times New Roman" w:hAnsi="Times New Roman" w:eastAsia="方正仿宋_GBK" w:cs="Times New Roman"/>
          <w:color w:val="000000" w:themeColor="text1"/>
          <w:sz w:val="32"/>
          <w:szCs w:val="32"/>
        </w:rPr>
        <w:t>、技术工人</w:t>
      </w:r>
      <w:r>
        <w:rPr>
          <w:rFonts w:ascii="Times New Roman" w:hAnsi="Times New Roman" w:eastAsia="方正仿宋_GBK" w:cs="Times New Roman"/>
          <w:color w:val="000000" w:themeColor="text1"/>
          <w:sz w:val="32"/>
          <w:szCs w:val="32"/>
        </w:rPr>
        <w:t>待遇水平</w:t>
      </w:r>
      <w:r>
        <w:rPr>
          <w:rFonts w:hint="eastAsia" w:ascii="Times New Roman" w:hAnsi="Times New Roman" w:eastAsia="方正仿宋_GBK" w:cs="Times New Roman"/>
          <w:color w:val="000000" w:themeColor="text1"/>
          <w:sz w:val="32"/>
          <w:szCs w:val="32"/>
        </w:rPr>
        <w:t>和</w:t>
      </w:r>
      <w:r>
        <w:rPr>
          <w:rFonts w:ascii="Times New Roman" w:hAnsi="Times New Roman" w:eastAsia="方正仿宋_GBK" w:cs="Times New Roman"/>
          <w:color w:val="000000" w:themeColor="text1"/>
          <w:sz w:val="32"/>
          <w:szCs w:val="32"/>
        </w:rPr>
        <w:t>社会地位</w:t>
      </w:r>
      <w:r>
        <w:rPr>
          <w:rFonts w:hint="eastAsia" w:ascii="Times New Roman" w:hAnsi="Times New Roman" w:eastAsia="方正仿宋_GBK" w:cs="Times New Roman"/>
          <w:color w:val="000000" w:themeColor="text1"/>
          <w:sz w:val="32"/>
          <w:szCs w:val="32"/>
        </w:rPr>
        <w:t>，促进低收入群体劳动致富，壮大中等收入群体</w:t>
      </w:r>
      <w:r>
        <w:rPr>
          <w:rFonts w:ascii="Times New Roman" w:hAnsi="Times New Roman" w:eastAsia="方正仿宋_GBK" w:cs="Times New Roman"/>
          <w:color w:val="000000" w:themeColor="text1"/>
          <w:sz w:val="32"/>
          <w:szCs w:val="32"/>
        </w:rPr>
        <w:t>。完善小微创业者扶持政策，支持个体工商户、灵活就业人员等群体勤劳致富。</w:t>
      </w:r>
    </w:p>
    <w:p w14:paraId="4D8C2E2A">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37" w:name="_Toc81142157"/>
      <w:r>
        <w:rPr>
          <w:rFonts w:hint="eastAsia" w:ascii="Times New Roman" w:hAnsi="Times New Roman" w:eastAsia="方正楷体_GBK" w:cs="Times New Roman"/>
          <w:b w:val="0"/>
          <w:bCs w:val="0"/>
          <w:color w:val="000000" w:themeColor="text1"/>
        </w:rPr>
        <w:t>第五节 构建和谐劳动关系</w:t>
      </w:r>
      <w:bookmarkEnd w:id="37"/>
      <w:r>
        <w:rPr>
          <w:rFonts w:hint="eastAsia" w:ascii="Times New Roman" w:hAnsi="Times New Roman" w:eastAsia="方正楷体_GBK" w:cs="Times New Roman"/>
          <w:b w:val="0"/>
          <w:bCs w:val="0"/>
          <w:color w:val="000000" w:themeColor="text1"/>
        </w:rPr>
        <w:t xml:space="preserve"> </w:t>
      </w:r>
    </w:p>
    <w:p w14:paraId="70E81976">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bookmarkStart w:id="38" w:name="_Hlk65911065"/>
      <w:r>
        <w:rPr>
          <w:rFonts w:hint="eastAsia" w:ascii="Times New Roman" w:hAnsi="Times New Roman" w:eastAsia="方正仿宋_GBK" w:cs="Times New Roman"/>
          <w:color w:val="000000" w:themeColor="text1"/>
          <w:sz w:val="32"/>
          <w:szCs w:val="32"/>
        </w:rPr>
        <w:t>健全劳动关系协调机制，完善劳动人事争议调解仲裁体制机制，提升劳动保障监察执法效能，构建规范有序、公正合理、合作共赢、和谐稳定的劳动关系。</w:t>
      </w:r>
    </w:p>
    <w:p w14:paraId="3BA69F4F">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——健全劳动关系协调机制。加强企业和职工协调劳动关系能力建设、政府调整劳动关系能力建设和社会组织参与协调劳动关系能力建设，加强协调劳动关系三方机制建设，充分发挥</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三方四家</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成员单位在全县重大集体劳动争议调处中的重要作用。适应劳动力市场多元化形势，以平台企业、平台服务公司为重点，落实新业态劳动用工政策，实施电子劳动合同、集体合同等制度，指导共享用工规范健康发展。落实劳务派遣制度，强化监管作用，落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谁审批、谁监管</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责任，提升监管质效。按照统一部署开展对重点行业的突出用工问题治理。稳妥推进集体协商、集体合同制度，探索新形势下区域、行业集体协商模式和方法，扩大集体协商的覆盖面，提高集体协商实效性。防范我县劳动关系领域系统性区域性风险，积极做好劳动关系形势分析研判，加强劳动关系重大舆情监测和处置。</w:t>
      </w:r>
    </w:p>
    <w:p w14:paraId="3E725812">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完善劳动人事争议调解仲裁体制机制。健全争议多元处理机制，加强预防、做实调解、细化仲裁、强化服务，持续做好调解仲裁规范化、专业化、信息化建设。夯实基层调解组织工作基础，健全调解制度，落实仲裁员分片联系指导调解工作机制，发挥协商、调解在争议处理中的基础性作用。开展巡回仲裁、驻点调解、庭审观摩活动，发放仲裁建议书，进一步规范用人单位用工管理。落实劳动人事争议仲裁制度，建立重大集体争议案件快速响应机制和横向部门协同处理机制。深化仲裁机构与人民法院沟通协作，健全仲裁与诉讼在法律适用、信息共享、程序衔接等方面的合作机制。加大调解员仲裁员素质能力培训力度，拓宽调解员、兼职仲裁员来源渠道。</w:t>
      </w:r>
    </w:p>
    <w:p w14:paraId="6F004E43">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提升劳动保障监察执法效能。以落实《保障农民工工资支付条例》为抓手，持续推进根治拖欠农民工工资工作，落实各项保障工资支付制度。加强劳动保障监察制度建设，规范企业守法诚信等级评价、重大违法行为社会公布、拖欠农民工工资</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黑名单</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 xml:space="preserve">管理。规范执法程序，创新执法方式，执行行政处罚自由裁量权制度。探索新就业形态劳动保障权益维护机制。配合推进智慧监察系统、农民工工资支付监控预警系统建设，运用劳动保障监察移动执法、书面审查和主动巡查辅助系统、执法办案系统和举报投诉案件市级联动处理系统，提高监察执法效能。持续推进劳动保障监察机构和队伍建设。 </w:t>
      </w:r>
      <w:bookmarkEnd w:id="38"/>
    </w:p>
    <w:p w14:paraId="42F5B314">
      <w:pPr>
        <w:adjustRightInd w:val="0"/>
        <w:spacing w:before="217" w:after="217"/>
        <w:jc w:val="center"/>
        <w:rPr>
          <w:rFonts w:ascii="方正黑体_GBK" w:hAnsi="方正黑体_GBK" w:eastAsia="方正黑体_GBK" w:cs="方正黑体_GBK"/>
          <w:color w:val="000000" w:themeColor="text1"/>
        </w:rPr>
      </w:pPr>
      <w:r>
        <w:rPr>
          <w:rFonts w:hint="eastAsia" w:ascii="方正黑体_GBK" w:hAnsi="方正黑体_GBK" w:eastAsia="方正黑体_GBK" w:cs="方正黑体_GBK"/>
          <w:color w:val="000000" w:themeColor="text1"/>
        </w:rPr>
        <w:t>专栏6 构建和谐劳动关系重点项目</w:t>
      </w:r>
    </w:p>
    <w:tbl>
      <w:tblPr>
        <w:tblStyle w:val="20"/>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14:paraId="077B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23" w:type="dxa"/>
          </w:tcPr>
          <w:p w14:paraId="2EB54A10">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hint="eastAsia" w:eastAsia="方正黑体_GBK"/>
                <w:color w:val="000000" w:themeColor="text1"/>
                <w:sz w:val="24"/>
                <w:szCs w:val="24"/>
              </w:rPr>
              <w:t>1.和谐劳动关系稳定项目。</w:t>
            </w:r>
            <w:r>
              <w:rPr>
                <w:rFonts w:hint="eastAsia" w:ascii="方正仿宋_GBK" w:hAnsi="方正仿宋_GBK" w:cs="方正仿宋_GBK"/>
                <w:color w:val="000000" w:themeColor="text1"/>
                <w:kern w:val="0"/>
                <w:sz w:val="24"/>
                <w:szCs w:val="24"/>
              </w:rPr>
              <w:t>大力培养金牌劳动关系协调员，支持培育协调劳动关系社会组织、劳动人事争议调解组织，AAA级和谐劳动关系企业。“十四五”期间，培养30名劳动关系协调员，2-3家劳动人事争议调解组织，30户和谐劳动关系示范点企业，力争培养3-5名市级金牌劳动关系协调员，5-10户AAA级和谐劳动关系企业。</w:t>
            </w:r>
          </w:p>
          <w:p w14:paraId="35F05969">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eastAsia="方正黑体_GBK"/>
                <w:color w:val="000000" w:themeColor="text1"/>
                <w:sz w:val="24"/>
                <w:szCs w:val="24"/>
              </w:rPr>
              <w:t>2</w:t>
            </w:r>
            <w:r>
              <w:rPr>
                <w:rFonts w:hint="eastAsia" w:eastAsia="方正黑体_GBK"/>
                <w:color w:val="000000" w:themeColor="text1"/>
                <w:sz w:val="24"/>
                <w:szCs w:val="24"/>
              </w:rPr>
              <w:t>.重点企业用工指导计划。</w:t>
            </w:r>
            <w:r>
              <w:rPr>
                <w:rFonts w:hint="eastAsia" w:ascii="方正仿宋_GBK" w:hAnsi="方正仿宋_GBK" w:cs="方正仿宋_GBK"/>
                <w:color w:val="000000" w:themeColor="text1"/>
                <w:kern w:val="0"/>
                <w:sz w:val="24"/>
                <w:szCs w:val="24"/>
              </w:rPr>
              <w:t>建立完善对用工规模较大企业的用工指导服务机制，帮助提升用工管理水平。以用工规模较大、生产经营存在较大困难的企业为重点，指导企业采取多种措施稳定工作岗位，发挥集体协商协调劳动关系重要作用，引导企业尽量不裁员、少裁员，稳定劳动关系。</w:t>
            </w:r>
          </w:p>
          <w:p w14:paraId="70C38B88">
            <w:pPr>
              <w:adjustRightInd w:val="0"/>
              <w:snapToGrid w:val="0"/>
              <w:spacing w:line="480" w:lineRule="exact"/>
              <w:ind w:firstLine="472" w:firstLineChars="200"/>
              <w:rPr>
                <w:rFonts w:ascii="方正仿宋_GBK" w:hAnsi="方正仿宋_GBK" w:cs="方正仿宋_GBK"/>
                <w:color w:val="000000" w:themeColor="text1"/>
                <w:kern w:val="0"/>
                <w:sz w:val="24"/>
                <w:szCs w:val="24"/>
              </w:rPr>
            </w:pPr>
            <w:r>
              <w:rPr>
                <w:rFonts w:eastAsia="方正黑体_GBK"/>
                <w:color w:val="000000" w:themeColor="text1"/>
                <w:sz w:val="24"/>
                <w:szCs w:val="24"/>
              </w:rPr>
              <w:t>3.</w:t>
            </w:r>
            <w:r>
              <w:rPr>
                <w:rFonts w:hint="eastAsia" w:eastAsia="方正黑体_GBK"/>
                <w:color w:val="000000" w:themeColor="text1"/>
                <w:sz w:val="24"/>
                <w:szCs w:val="24"/>
              </w:rPr>
              <w:t>调解员仲裁员队伍建设项目。</w:t>
            </w:r>
            <w:r>
              <w:rPr>
                <w:rFonts w:hint="eastAsia" w:ascii="方正仿宋_GBK" w:hAnsi="方正仿宋_GBK" w:cs="方正仿宋_GBK"/>
                <w:color w:val="000000" w:themeColor="text1"/>
                <w:kern w:val="0"/>
                <w:sz w:val="24"/>
                <w:szCs w:val="24"/>
              </w:rPr>
              <w:t>“十四五”期末，调解员数量达到5名以上，扩大兼职仲裁员的来源渠道，扩大兼职仲裁员队伍，专兼职仲裁员总数达到5名以上。</w:t>
            </w:r>
          </w:p>
          <w:p w14:paraId="436FFD92">
            <w:pPr>
              <w:adjustRightInd w:val="0"/>
              <w:snapToGrid w:val="0"/>
              <w:spacing w:line="480" w:lineRule="exact"/>
              <w:ind w:firstLine="472" w:firstLineChars="200"/>
              <w:rPr>
                <w:rFonts w:eastAsia="方正黑体_GBK"/>
                <w:color w:val="000000" w:themeColor="text1"/>
                <w:sz w:val="24"/>
                <w:szCs w:val="24"/>
              </w:rPr>
            </w:pPr>
            <w:r>
              <w:rPr>
                <w:rFonts w:eastAsia="方正黑体_GBK"/>
                <w:color w:val="000000" w:themeColor="text1"/>
                <w:sz w:val="24"/>
                <w:szCs w:val="24"/>
              </w:rPr>
              <w:t>4</w:t>
            </w:r>
            <w:r>
              <w:rPr>
                <w:rFonts w:hint="eastAsia" w:eastAsia="方正黑体_GBK"/>
                <w:color w:val="000000" w:themeColor="text1"/>
                <w:sz w:val="24"/>
                <w:szCs w:val="24"/>
              </w:rPr>
              <w:t>.劳动关系重大舆情监测项目。</w:t>
            </w:r>
            <w:r>
              <w:rPr>
                <w:rFonts w:hint="eastAsia" w:ascii="方正仿宋_GBK" w:hAnsi="方正仿宋_GBK" w:cs="方正仿宋_GBK"/>
                <w:color w:val="000000" w:themeColor="text1"/>
                <w:kern w:val="0"/>
                <w:sz w:val="24"/>
                <w:szCs w:val="24"/>
              </w:rPr>
              <w:t>防范我县劳动关系领域系统性区域性风险，积极做好劳动关系形势分析研判，加强劳动关系风险监测预警和防范工作，加强劳动关系重大舆情监测和处置。</w:t>
            </w:r>
          </w:p>
        </w:tc>
      </w:tr>
    </w:tbl>
    <w:p w14:paraId="43FC45C5">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39" w:name="_Toc81142158"/>
      <w:r>
        <w:rPr>
          <w:rFonts w:hint="eastAsia" w:ascii="Times New Roman" w:hAnsi="Times New Roman" w:eastAsia="方正楷体_GBK" w:cs="Times New Roman"/>
          <w:b w:val="0"/>
          <w:bCs w:val="0"/>
          <w:color w:val="000000" w:themeColor="text1"/>
        </w:rPr>
        <w:t>第六节 提高基本公共服务能力和质量</w:t>
      </w:r>
      <w:bookmarkEnd w:id="39"/>
    </w:p>
    <w:p w14:paraId="0E7B97F6">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bookmarkStart w:id="40" w:name="_Hlk65911137"/>
      <w:r>
        <w:rPr>
          <w:rFonts w:hint="eastAsia" w:ascii="Times New Roman" w:hAnsi="Times New Roman" w:eastAsia="方正仿宋_GBK" w:cs="Times New Roman"/>
          <w:color w:val="000000" w:themeColor="text1"/>
          <w:sz w:val="32"/>
          <w:szCs w:val="32"/>
        </w:rPr>
        <w:t>加强人力社保系统行风建设，推进人力社保基本公共服务标准化、智慧人力社保、社保卡</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一卡通</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建设，提高基本公共服务能力和质量。</w:t>
      </w:r>
    </w:p>
    <w:p w14:paraId="7752E365">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——加强人力社保系统行风建设。加强人力社保公共服务设施建设，补齐农村和基层公共服务短板，推进人力社保公共服务一体化协同发展。深入实施</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人力社保服务快办行动</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，设立</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一件事一次办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综合服务窗口和网上办事专栏，推进</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打包办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提速办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简单办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跨省办</w:t>
      </w:r>
      <w:r>
        <w:rPr>
          <w:rFonts w:ascii="Times New Roman" w:hAnsi="Times New Roman" w:eastAsia="方正仿宋_GBK" w:cs="Times New Roman"/>
          <w:color w:val="000000" w:themeColor="text1"/>
          <w:sz w:val="32"/>
          <w:szCs w:val="32"/>
        </w:rPr>
        <w:t>” “</w:t>
      </w:r>
      <w:r>
        <w:rPr>
          <w:rFonts w:hint="eastAsia" w:ascii="Times New Roman" w:hAnsi="Times New Roman" w:eastAsia="方正仿宋_GBK" w:cs="Times New Roman"/>
          <w:color w:val="000000" w:themeColor="text1"/>
          <w:sz w:val="32"/>
          <w:szCs w:val="32"/>
        </w:rPr>
        <w:t>满意办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五办服务。全面推动政务服务</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好差评</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工作，实现现场服务</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一次一评</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一事一评</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。推进高频政务服务向基层延伸和政务服务应用适老化改造，为老年人等特殊群体提供便利服务。常态化开展人力社保局长走流程活动，选树人力社保服务先进典型，持续开展人力社保政策待遇</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看得懂、算得清</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宣传解读。持续开展行风建设问题专项整改，及时受理反映问题，通报行风建设负面案例。</w:t>
      </w:r>
    </w:p>
    <w:p w14:paraId="48FE08C3">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推进人力社保基本公共服务标准化建设。以制度建设为根本，以提高制度执行力为关键，促进行政行为的进一步规范、管理效能的进一步提高、服务水平的进一步提升。建立健全人力社保基本公共服务标准体系，完善政务服务事项清单及办事指南的动态调整机制，为企业和群众办事提供清晰指引。探索建立我县人力社保系统服务标准，规范公共服务范围、服务内容，优化服务流程，提升服务质量和群众满意度。加强标准体系宣传贯彻实施，充分发挥标准化对公共服务事业发展的技术支撑和基础保障作用。</w:t>
      </w:r>
    </w:p>
    <w:p w14:paraId="3B347F40">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推进智慧人力社保建设。实施人力社保信息化创新提升行动，促进互联网、大数据、人工智能等信息技术与人力社保工作深度融合，推进人力社保信息化向智能化升级数字化转型。深入推进人力社保业务流程再造重塑和信息系统一体化整合，按照</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应上尽上、全程在线</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原则，实现人力社保领域</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全业务上网</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。做好与其他统建系统、政务平台的对接工作，推进</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一网通办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跨省通办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。健全数据共享机制，依托共享交换平台，强化跨层级、跨部门、跨区域信息共享和内部业务协同，实现</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全数据共享</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。探索以大数据技术构建</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人力社保电子档案袋</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，5</w:t>
      </w:r>
      <w:r>
        <w:rPr>
          <w:rFonts w:ascii="Times New Roman" w:hAnsi="Times New Roman" w:eastAsia="方正仿宋_GBK" w:cs="Times New Roman"/>
          <w:color w:val="000000" w:themeColor="text1"/>
          <w:sz w:val="32"/>
          <w:szCs w:val="32"/>
        </w:rPr>
        <w:t>G</w:t>
      </w:r>
      <w:r>
        <w:rPr>
          <w:rFonts w:hint="eastAsia" w:ascii="Times New Roman" w:hAnsi="Times New Roman" w:eastAsia="方正仿宋_GBK" w:cs="Times New Roman"/>
          <w:color w:val="000000" w:themeColor="text1"/>
          <w:sz w:val="32"/>
          <w:szCs w:val="32"/>
        </w:rPr>
        <w:t>、A</w:t>
      </w:r>
      <w:r>
        <w:rPr>
          <w:rFonts w:ascii="Times New Roman" w:hAnsi="Times New Roman" w:eastAsia="方正仿宋_GBK" w:cs="Times New Roman"/>
          <w:color w:val="000000" w:themeColor="text1"/>
          <w:sz w:val="32"/>
          <w:szCs w:val="32"/>
        </w:rPr>
        <w:t>R</w:t>
      </w:r>
      <w:r>
        <w:rPr>
          <w:rFonts w:hint="eastAsia" w:ascii="Times New Roman" w:hAnsi="Times New Roman" w:eastAsia="方正仿宋_GBK" w:cs="Times New Roman"/>
          <w:color w:val="000000" w:themeColor="text1"/>
          <w:sz w:val="32"/>
          <w:szCs w:val="32"/>
        </w:rPr>
        <w:t>、区块链等新兴技术在视频办事服务、电子劳动合同等方面应用。完善信息系统、运行网络等运维安全保障制度，加强人力社保数据资源安全保障和隐私保护，推进基础设施、软硬件、终端设备国产化。</w:t>
      </w:r>
    </w:p>
    <w:p w14:paraId="4F0DFE06">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——推进社保卡</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一卡通</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建设。推进第三代社保卡自然过渡换发，大力发展电子社保卡签发应用，实现实体社保卡与电子社会保障卡的协同并用，形成线上线下综合服务能力，打造人力社保业务用卡场景体验。充分发挥社会保障卡身份凭证、缴费和待遇领取、就医结算、信息记录、自助查询、金融支付等能力，在人力社保领域实现</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全业务用卡</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。逐步实现社保卡在交通出行、旅游观光、文化体验、惠民惠农补贴发放、就医购药、信用服务等其他政务民生、金融领域的广泛应用，为智慧城市建设助力，成为市民群众身边的便民卡、贴心卡。</w:t>
      </w:r>
      <w:bookmarkEnd w:id="40"/>
      <w:bookmarkStart w:id="41" w:name="_Hlk60841410"/>
      <w:bookmarkStart w:id="42" w:name="_Hlk65911240"/>
    </w:p>
    <w:p w14:paraId="52F8597C">
      <w:pPr>
        <w:adjustRightInd w:val="0"/>
        <w:spacing w:before="217" w:after="217"/>
        <w:jc w:val="center"/>
        <w:rPr>
          <w:rFonts w:eastAsia="方正黑体_GBK"/>
          <w:color w:val="000000" w:themeColor="text1"/>
        </w:rPr>
      </w:pPr>
      <w:r>
        <w:rPr>
          <w:rFonts w:hint="eastAsia" w:eastAsia="方正黑体_GBK"/>
          <w:color w:val="000000" w:themeColor="text1"/>
        </w:rPr>
        <w:t>专栏7 提高基本公共服务能力和质量重点项目</w:t>
      </w:r>
    </w:p>
    <w:tbl>
      <w:tblPr>
        <w:tblStyle w:val="2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14:paraId="4A1B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640" w:type="dxa"/>
          </w:tcPr>
          <w:p w14:paraId="20F553CE">
            <w:pPr>
              <w:shd w:val="clear" w:color="auto" w:fill="FFFFFF"/>
              <w:adjustRightInd w:val="0"/>
              <w:snapToGrid w:val="0"/>
              <w:spacing w:line="480" w:lineRule="exact"/>
              <w:ind w:firstLine="472" w:firstLineChars="200"/>
              <w:jc w:val="left"/>
              <w:rPr>
                <w:rFonts w:eastAsia="方正黑体_GBK"/>
                <w:color w:val="FF0000"/>
                <w:sz w:val="24"/>
                <w:szCs w:val="24"/>
              </w:rPr>
            </w:pPr>
            <w:r>
              <w:rPr>
                <w:rFonts w:hint="eastAsia" w:eastAsia="方正黑体_GBK"/>
                <w:color w:val="000000" w:themeColor="text1"/>
                <w:sz w:val="24"/>
                <w:szCs w:val="24"/>
              </w:rPr>
              <w:t>重庆市“智慧人社”酉阳自治县乡村振兴村级服务示范点建设。</w:t>
            </w:r>
            <w:r>
              <w:rPr>
                <w:rFonts w:hint="eastAsia" w:ascii="方正仿宋_GBK" w:hAnsi="方正仿宋_GBK" w:cs="方正仿宋_GBK"/>
                <w:color w:val="000000" w:themeColor="text1"/>
                <w:kern w:val="0"/>
                <w:sz w:val="24"/>
                <w:szCs w:val="24"/>
              </w:rPr>
              <w:t xml:space="preserve">在重庆市人力资源和社会保障局的指导和支持下，配置设备、落实人员、搭建平台、畅通金保网络、规范服务事项、流程、标准、制度，在花田乡何家岩村和张家村开展试点工作。在此基础上，探索酉阳经验，形成标准化、流程化、品牌化的服务体系，建成全市推广的“智慧人社”乡村振兴村级示范点，实现农村居民人社服务“十不出村”，打通服务群众“最后一公里”，让人民群众更有幸福感、获得感。 </w:t>
            </w:r>
          </w:p>
        </w:tc>
      </w:tr>
      <w:bookmarkEnd w:id="41"/>
    </w:tbl>
    <w:p w14:paraId="2ACA7103">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43" w:name="_Toc81142159"/>
      <w:r>
        <w:rPr>
          <w:rFonts w:hint="eastAsia" w:ascii="Times New Roman" w:hAnsi="Times New Roman" w:eastAsia="方正楷体_GBK" w:cs="Times New Roman"/>
          <w:b w:val="0"/>
          <w:bCs w:val="0"/>
          <w:color w:val="000000" w:themeColor="text1"/>
        </w:rPr>
        <w:t>第七节 协同建立区域合作机制</w:t>
      </w:r>
      <w:bookmarkEnd w:id="43"/>
    </w:p>
    <w:p w14:paraId="088BE752">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bookmarkStart w:id="44" w:name="_Hlk68533319"/>
      <w:r>
        <w:rPr>
          <w:rFonts w:hint="eastAsia" w:ascii="Times New Roman" w:hAnsi="Times New Roman" w:eastAsia="方正仿宋_GBK" w:cs="Times New Roman"/>
          <w:color w:val="000000" w:themeColor="text1"/>
          <w:sz w:val="32"/>
          <w:szCs w:val="32"/>
        </w:rPr>
        <w:t>主动服务国家重大战略，深入推动成渝地区双城经济圈建设和</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一区两群</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协调发展，深化沟通协调机制，不断拓展跨区域交流与合作，推进实现资源共享、要素互通、制度互联、待遇互认，促进形成人力社保事业协同发展的新局面。</w:t>
      </w:r>
    </w:p>
    <w:p w14:paraId="21B07C9E">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深化川渝人力社保合作。积极融入成渝地区双城经济圈建设，贯彻落实国家《成渝地区双城经济圈建设规划纲要》及市、县实施方案，构建人力社保事业协同发展新格局。推进人力资源服务业发展，开展协同引才活动，推进地区人力资源有序</w:t>
      </w:r>
      <w:r>
        <w:rPr>
          <w:rFonts w:ascii="Times New Roman" w:hAnsi="Times New Roman" w:eastAsia="方正仿宋_GBK" w:cs="Times New Roman"/>
          <w:color w:val="000000" w:themeColor="text1"/>
          <w:sz w:val="32"/>
          <w:szCs w:val="32"/>
        </w:rPr>
        <w:t>流动</w:t>
      </w:r>
      <w:r>
        <w:rPr>
          <w:rFonts w:hint="eastAsia" w:ascii="Times New Roman" w:hAnsi="Times New Roman" w:eastAsia="方正仿宋_GBK" w:cs="Times New Roman"/>
          <w:color w:val="000000" w:themeColor="text1"/>
          <w:sz w:val="32"/>
          <w:szCs w:val="32"/>
        </w:rPr>
        <w:t>。加强劳务协作、就业信息共享、高校毕业生就业合作，协同推进地区公共就业创业服务。加强专业技术人才交流合作、技能人才交流合作，协同推进地区人才队伍建设发展。推动社保关系无障碍转移接续，推进社保卡数据共享，协同推进地区社会保险异地便捷服务。加强劳动保障监察案件协查，建立两地调解仲裁合作机制，协同构建区域和谐劳动关系。</w:t>
      </w:r>
    </w:p>
    <w:p w14:paraId="2E06A1DD">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——建立跨区域合作机制。围绕促进就业创业、社会保险服务、专技和技能人才培养、推进人力资源服务业发展、农民工保障等方面，建立</w:t>
      </w:r>
      <w:r>
        <w:rPr>
          <w:rFonts w:ascii="Times New Roman" w:hAnsi="Times New Roman" w:eastAsia="方正仿宋_GBK" w:cs="Times New Roman"/>
          <w:color w:val="000000" w:themeColor="text1"/>
          <w:sz w:val="32"/>
          <w:szCs w:val="32"/>
        </w:rPr>
        <w:t>渝东南城镇群</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渝鄂湘黔毗邻地区</w:t>
      </w:r>
      <w:r>
        <w:rPr>
          <w:rFonts w:hint="eastAsia" w:ascii="Times New Roman" w:hAnsi="Times New Roman" w:eastAsia="方正仿宋_GBK" w:cs="Times New Roman"/>
          <w:color w:val="000000" w:themeColor="text1"/>
          <w:sz w:val="32"/>
          <w:szCs w:val="32"/>
        </w:rPr>
        <w:t>等跨区域人力社保合作机制，深化与</w:t>
      </w:r>
      <w:r>
        <w:rPr>
          <w:rFonts w:ascii="Times New Roman" w:hAnsi="Times New Roman" w:eastAsia="方正仿宋_GBK" w:cs="Times New Roman"/>
          <w:color w:val="000000" w:themeColor="text1"/>
          <w:sz w:val="32"/>
          <w:szCs w:val="32"/>
        </w:rPr>
        <w:t>山东等东部地区</w:t>
      </w:r>
      <w:r>
        <w:rPr>
          <w:rFonts w:hint="eastAsia" w:ascii="Times New Roman" w:hAnsi="Times New Roman" w:eastAsia="方正仿宋_GBK" w:cs="Times New Roman"/>
          <w:color w:val="000000" w:themeColor="text1"/>
          <w:sz w:val="32"/>
          <w:szCs w:val="32"/>
        </w:rPr>
        <w:t>人力社保合作，</w:t>
      </w:r>
      <w:r>
        <w:rPr>
          <w:rFonts w:ascii="Times New Roman" w:hAnsi="Times New Roman" w:eastAsia="方正仿宋_GBK" w:cs="Times New Roman"/>
          <w:color w:val="000000" w:themeColor="text1"/>
          <w:sz w:val="32"/>
          <w:szCs w:val="32"/>
        </w:rPr>
        <w:t>持续深入推进江北·酉阳</w:t>
      </w:r>
      <w:r>
        <w:rPr>
          <w:rFonts w:hint="eastAsia" w:ascii="Times New Roman" w:hAnsi="Times New Roman" w:eastAsia="方正仿宋_GBK" w:cs="Times New Roman"/>
          <w:color w:val="000000" w:themeColor="text1"/>
          <w:sz w:val="32"/>
          <w:szCs w:val="32"/>
        </w:rPr>
        <w:t>人力社保</w:t>
      </w:r>
      <w:r>
        <w:rPr>
          <w:rFonts w:ascii="Times New Roman" w:hAnsi="Times New Roman" w:eastAsia="方正仿宋_GBK" w:cs="Times New Roman"/>
          <w:color w:val="000000" w:themeColor="text1"/>
          <w:sz w:val="32"/>
          <w:szCs w:val="32"/>
        </w:rPr>
        <w:t>对口</w:t>
      </w:r>
      <w:r>
        <w:rPr>
          <w:rFonts w:hint="eastAsia" w:ascii="Times New Roman" w:hAnsi="Times New Roman" w:eastAsia="方正仿宋_GBK" w:cs="Times New Roman"/>
          <w:color w:val="000000" w:themeColor="text1"/>
          <w:sz w:val="32"/>
          <w:szCs w:val="32"/>
        </w:rPr>
        <w:t>协同发展</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探索人力资源合作通道，实现更大范围、更宽领域、更深层次合作交流，提高人力资源配置能力和服务经济的效率。探索与其他区县的劳务协作，搭建更加便捷高效的用工信息平台。</w:t>
      </w:r>
    </w:p>
    <w:p w14:paraId="0A7BECCC">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服务乡村振兴</w:t>
      </w:r>
      <w:bookmarkEnd w:id="44"/>
      <w:r>
        <w:rPr>
          <w:rFonts w:hint="eastAsia" w:ascii="Times New Roman" w:hAnsi="Times New Roman" w:eastAsia="方正仿宋_GBK" w:cs="Times New Roman"/>
          <w:color w:val="000000" w:themeColor="text1"/>
          <w:sz w:val="32"/>
          <w:szCs w:val="32"/>
        </w:rPr>
        <w:t>。聚焦乡村就业困难人员、低收入人口，建立施策精准、机制灵活、服务高效的人力社保帮扶机制。依托公共就业创业服务平台，促进脱贫人口就业。</w:t>
      </w:r>
      <w:r>
        <w:rPr>
          <w:rFonts w:ascii="Times New Roman" w:hAnsi="Times New Roman" w:eastAsia="方正仿宋_GBK" w:cs="Times New Roman"/>
          <w:color w:val="000000" w:themeColor="text1"/>
          <w:sz w:val="32"/>
          <w:szCs w:val="32"/>
        </w:rPr>
        <w:t>加强就业服务和职业技能培训，促进农村劳动力多渠道转移就业和增收。</w:t>
      </w:r>
      <w:r>
        <w:rPr>
          <w:rFonts w:hint="eastAsia" w:ascii="Times New Roman" w:hAnsi="Times New Roman" w:eastAsia="方正仿宋_GBK" w:cs="Times New Roman"/>
          <w:color w:val="000000" w:themeColor="text1"/>
          <w:sz w:val="32"/>
          <w:szCs w:val="32"/>
        </w:rPr>
        <w:t>推动实现有培训意愿的农村就业困难群体职业技能培训全覆盖。</w:t>
      </w:r>
      <w:r>
        <w:rPr>
          <w:rFonts w:ascii="Times New Roman" w:hAnsi="Times New Roman" w:eastAsia="方正仿宋_GBK" w:cs="Times New Roman"/>
          <w:color w:val="000000" w:themeColor="text1"/>
          <w:sz w:val="32"/>
          <w:szCs w:val="32"/>
        </w:rPr>
        <w:t>扶持发展吸纳就业能力强的乡村企业，支持企业在乡村兴办生产车间、就业基地，增加农民就地就近就业岗位。构建职业农民教育培训体系，完善乡村创新创业支持服务体系，大力培育新型职业农民，加大农村经纪人培养力度，引导外出人才返乡创业兴业</w:t>
      </w:r>
      <w:r>
        <w:rPr>
          <w:rFonts w:hint="eastAsia" w:ascii="Times New Roman" w:hAnsi="Times New Roman" w:eastAsia="方正仿宋_GBK" w:cs="Times New Roman"/>
          <w:color w:val="000000" w:themeColor="text1"/>
          <w:sz w:val="32"/>
          <w:szCs w:val="32"/>
        </w:rPr>
        <w:t>。加强返乡创业载体建设，高质量建设返乡入乡创业园，深入实施农村创新创业带头人培育行动。强化公益性岗位协同管理，做好兜底保障工作。落实人才向基层一线流动激励政策，深入</w:t>
      </w:r>
      <w:r>
        <w:rPr>
          <w:rFonts w:ascii="Times New Roman" w:hAnsi="Times New Roman" w:eastAsia="方正仿宋_GBK" w:cs="Times New Roman"/>
          <w:color w:val="000000" w:themeColor="text1"/>
          <w:sz w:val="32"/>
          <w:szCs w:val="32"/>
        </w:rPr>
        <w:t>开展专家服务</w:t>
      </w:r>
      <w:r>
        <w:rPr>
          <w:rFonts w:hint="eastAsia" w:ascii="Times New Roman" w:hAnsi="Times New Roman" w:eastAsia="方正仿宋_GBK" w:cs="Times New Roman"/>
          <w:color w:val="000000" w:themeColor="text1"/>
          <w:sz w:val="32"/>
          <w:szCs w:val="32"/>
        </w:rPr>
        <w:t>团</w:t>
      </w:r>
      <w:r>
        <w:rPr>
          <w:rFonts w:ascii="Times New Roman" w:hAnsi="Times New Roman" w:eastAsia="方正仿宋_GBK" w:cs="Times New Roman"/>
          <w:color w:val="000000" w:themeColor="text1"/>
          <w:sz w:val="32"/>
          <w:szCs w:val="32"/>
        </w:rPr>
        <w:t>基层</w:t>
      </w:r>
      <w:r>
        <w:rPr>
          <w:rFonts w:hint="eastAsia" w:ascii="Times New Roman" w:hAnsi="Times New Roman" w:eastAsia="方正仿宋_GBK" w:cs="Times New Roman"/>
          <w:color w:val="000000" w:themeColor="text1"/>
          <w:sz w:val="32"/>
          <w:szCs w:val="32"/>
        </w:rPr>
        <w:t>服务活动。推动乡村人才振兴，统筹推进农村本土人才培育和各类人才下乡，实施乡村人才</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虹吸</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工程，新乡贤培养示范工程，建设</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三农</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人才服务中心，增强乡村发展对人才的向心力、吸引力和凝聚力。</w:t>
      </w:r>
      <w:bookmarkEnd w:id="42"/>
      <w:bookmarkStart w:id="45" w:name="_Toc81142160"/>
    </w:p>
    <w:p w14:paraId="54ACC5AA">
      <w:pPr>
        <w:pStyle w:val="17"/>
        <w:widowControl w:val="0"/>
        <w:shd w:val="clear" w:color="auto" w:fill="FFFFFF"/>
        <w:adjustRightInd w:val="0"/>
        <w:spacing w:before="0" w:beforeAutospacing="0" w:after="0" w:afterAutospacing="0"/>
        <w:jc w:val="both"/>
        <w:rPr>
          <w:rFonts w:ascii="Times New Roman" w:hAnsi="Times New Roman" w:eastAsia="方正仿宋_GBK" w:cs="Times New Roman"/>
          <w:color w:val="000000" w:themeColor="text1"/>
          <w:sz w:val="32"/>
          <w:szCs w:val="32"/>
        </w:rPr>
      </w:pPr>
    </w:p>
    <w:p w14:paraId="77491CF7">
      <w:pPr>
        <w:pStyle w:val="17"/>
        <w:widowControl w:val="0"/>
        <w:shd w:val="clear" w:color="auto" w:fill="FFFFFF"/>
        <w:adjustRightInd w:val="0"/>
        <w:spacing w:before="0" w:beforeAutospacing="0" w:after="0" w:afterAutospacing="0"/>
        <w:jc w:val="center"/>
        <w:rPr>
          <w:rFonts w:ascii="Times New Roman" w:hAnsi="Times New Roman" w:eastAsia="方正黑体_GBK" w:cs="Times New Roman"/>
          <w:color w:val="000000" w:themeColor="text1"/>
          <w:sz w:val="32"/>
          <w:szCs w:val="32"/>
        </w:rPr>
      </w:pPr>
      <w:r>
        <w:rPr>
          <w:rFonts w:hint="eastAsia" w:ascii="Times New Roman" w:hAnsi="Times New Roman" w:eastAsia="方正黑体_GBK" w:cs="Times New Roman"/>
          <w:color w:val="000000" w:themeColor="text1"/>
          <w:sz w:val="32"/>
          <w:szCs w:val="32"/>
        </w:rPr>
        <w:t>第三章 支撑保障</w:t>
      </w:r>
      <w:bookmarkEnd w:id="45"/>
    </w:p>
    <w:p w14:paraId="2928C04E">
      <w:pPr>
        <w:pStyle w:val="17"/>
        <w:widowControl w:val="0"/>
        <w:shd w:val="clear" w:color="auto" w:fill="FFFFFF"/>
        <w:adjustRightInd w:val="0"/>
        <w:spacing w:before="0" w:beforeAutospacing="0" w:after="0" w:afterAutospacing="0"/>
        <w:ind w:firstLine="632"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十四五</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时期，全县人力资源和社会保障事业改革发展任务艰巨，必须广泛动员各方力量，完善保障措施，努力实现本规划确定的各项目标任务。</w:t>
      </w:r>
    </w:p>
    <w:p w14:paraId="688BE75C">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46" w:name="_Toc81142161"/>
      <w:r>
        <w:rPr>
          <w:rFonts w:hint="eastAsia" w:ascii="Times New Roman" w:hAnsi="Times New Roman" w:eastAsia="方正楷体_GBK" w:cs="Times New Roman"/>
          <w:b w:val="0"/>
          <w:bCs w:val="0"/>
          <w:color w:val="000000" w:themeColor="text1"/>
        </w:rPr>
        <w:t>第一节 加强法治人社建设</w:t>
      </w:r>
      <w:bookmarkEnd w:id="46"/>
    </w:p>
    <w:p w14:paraId="487B3E24">
      <w:pPr>
        <w:adjustRightInd w:val="0"/>
        <w:ind w:firstLine="632" w:firstLineChars="200"/>
        <w:rPr>
          <w:kern w:val="0"/>
        </w:rPr>
      </w:pPr>
      <w:bookmarkStart w:id="47" w:name="_Hlk65911370"/>
      <w:bookmarkStart w:id="48" w:name="_Hlk68530118"/>
      <w:r>
        <w:rPr>
          <w:rFonts w:hint="eastAsia"/>
          <w:kern w:val="0"/>
        </w:rPr>
        <w:t>全面落实</w:t>
      </w:r>
      <w:r>
        <w:rPr>
          <w:rFonts w:hint="eastAsia"/>
        </w:rPr>
        <w:t>《人力资源和社会保障法治建设实施纲要（2</w:t>
      </w:r>
      <w:r>
        <w:t>021</w:t>
      </w:r>
      <w:r>
        <w:rPr>
          <w:rFonts w:hint="eastAsia"/>
        </w:rPr>
        <w:t>—</w:t>
      </w:r>
      <w:r>
        <w:t>2025</w:t>
      </w:r>
      <w:r>
        <w:rPr>
          <w:rFonts w:hint="eastAsia"/>
        </w:rPr>
        <w:t>）》，开展法治示范创建活动，大力推进法治人力社保建设。</w:t>
      </w:r>
      <w:r>
        <w:rPr>
          <w:lang w:val="zh-CN"/>
        </w:rPr>
        <w:t>加强行政规范性文件制定、审核、发布、报备等管理工作</w:t>
      </w:r>
      <w:r>
        <w:rPr>
          <w:rFonts w:hint="eastAsia"/>
          <w:lang w:val="zh-CN"/>
        </w:rPr>
        <w:t>，及时清理修改废止不符合改革发展和形势变化的规范性文件。</w:t>
      </w:r>
      <w:r>
        <w:rPr>
          <w:kern w:val="0"/>
        </w:rPr>
        <w:t>健全依法决策机制，完善法律顾问制度</w:t>
      </w:r>
      <w:r>
        <w:rPr>
          <w:rFonts w:hint="eastAsia"/>
          <w:kern w:val="0"/>
        </w:rPr>
        <w:t>、重大</w:t>
      </w:r>
      <w:r>
        <w:rPr>
          <w:kern w:val="0"/>
        </w:rPr>
        <w:t>决策、行政应诉</w:t>
      </w:r>
      <w:r>
        <w:rPr>
          <w:rFonts w:hint="eastAsia"/>
          <w:kern w:val="0"/>
        </w:rPr>
        <w:t>等</w:t>
      </w:r>
      <w:r>
        <w:rPr>
          <w:kern w:val="0"/>
        </w:rPr>
        <w:t>工作制度。规范执法行为，</w:t>
      </w:r>
      <w:r>
        <w:rPr>
          <w:rFonts w:hint="eastAsia"/>
          <w:kern w:val="0"/>
        </w:rPr>
        <w:t>落实</w:t>
      </w:r>
      <w:r>
        <w:rPr>
          <w:kern w:val="0"/>
        </w:rPr>
        <w:t>行政裁量权基准制度</w:t>
      </w:r>
      <w:r>
        <w:rPr>
          <w:rFonts w:hint="eastAsia"/>
          <w:kern w:val="0"/>
        </w:rPr>
        <w:t>，落实</w:t>
      </w:r>
      <w:r>
        <w:rPr>
          <w:kern w:val="0"/>
        </w:rPr>
        <w:t>行政执法“三项制度”，</w:t>
      </w:r>
      <w:r>
        <w:rPr>
          <w:rFonts w:hint="eastAsia"/>
          <w:kern w:val="0"/>
        </w:rPr>
        <w:t>严格</w:t>
      </w:r>
      <w:r>
        <w:rPr>
          <w:kern w:val="0"/>
        </w:rPr>
        <w:t>行政执法人员资格管理制度，健全调解、仲裁等多元化纠纷解决机制，以及行政执法与刑事司法衔接机制。推进执法监督</w:t>
      </w:r>
      <w:r>
        <w:rPr>
          <w:rFonts w:hint="eastAsia"/>
          <w:kern w:val="0"/>
        </w:rPr>
        <w:t>，构建良好司法监督、社会监督等监督环境</w:t>
      </w:r>
      <w:r>
        <w:rPr>
          <w:kern w:val="0"/>
        </w:rPr>
        <w:t>，在监督中提升依法行政水平。加强法治实施保障</w:t>
      </w:r>
      <w:r>
        <w:rPr>
          <w:rFonts w:hint="eastAsia"/>
          <w:kern w:val="0"/>
        </w:rPr>
        <w:t>，</w:t>
      </w:r>
      <w:r>
        <w:rPr>
          <w:kern w:val="0"/>
        </w:rPr>
        <w:t>严格</w:t>
      </w:r>
      <w:r>
        <w:rPr>
          <w:rFonts w:hint="eastAsia"/>
          <w:kern w:val="0"/>
        </w:rPr>
        <w:t>落实</w:t>
      </w:r>
      <w:r>
        <w:rPr>
          <w:kern w:val="0"/>
        </w:rPr>
        <w:t>法治建设第一责任人职责规定</w:t>
      </w:r>
      <w:r>
        <w:rPr>
          <w:rFonts w:hint="eastAsia"/>
          <w:kern w:val="0"/>
        </w:rPr>
        <w:t>。</w:t>
      </w:r>
      <w:r>
        <w:rPr>
          <w:kern w:val="0"/>
        </w:rPr>
        <w:t>强化法治建设组织领导，坚持法治工作与业务工作同部署、同推动。加强普法宣传，</w:t>
      </w:r>
      <w:r>
        <w:rPr>
          <w:rFonts w:hint="eastAsia"/>
          <w:kern w:val="0"/>
        </w:rPr>
        <w:t>坚持普法宣传和执法办案相结合、系统内普法与社会普法相结合，巩固普法成果，</w:t>
      </w:r>
      <w:r>
        <w:rPr>
          <w:kern w:val="0"/>
        </w:rPr>
        <w:t>实施</w:t>
      </w:r>
      <w:r>
        <w:rPr>
          <w:rFonts w:hint="eastAsia" w:hAnsi="宋体"/>
          <w:kern w:val="0"/>
        </w:rPr>
        <w:t>人力资源和社会保障</w:t>
      </w:r>
      <w:r>
        <w:rPr>
          <w:kern w:val="0"/>
        </w:rPr>
        <w:t>“八五”普法规划。</w:t>
      </w:r>
      <w:bookmarkEnd w:id="47"/>
      <w:bookmarkEnd w:id="48"/>
    </w:p>
    <w:p w14:paraId="2F6AF499">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49" w:name="_Toc81142162"/>
      <w:bookmarkStart w:id="50" w:name="_Hlk68532311"/>
      <w:r>
        <w:rPr>
          <w:rFonts w:hint="eastAsia" w:ascii="Times New Roman" w:hAnsi="Times New Roman" w:eastAsia="方正楷体_GBK" w:cs="Times New Roman"/>
          <w:b w:val="0"/>
          <w:bCs w:val="0"/>
          <w:color w:val="000000" w:themeColor="text1"/>
        </w:rPr>
        <w:t>第二节 加强人社队伍建设</w:t>
      </w:r>
      <w:bookmarkEnd w:id="49"/>
    </w:p>
    <w:p w14:paraId="7D2CAB85">
      <w:pPr>
        <w:adjustRightInd w:val="0"/>
        <w:ind w:firstLine="632" w:firstLineChars="200"/>
        <w:rPr>
          <w:kern w:val="0"/>
        </w:rPr>
      </w:pPr>
      <w:r>
        <w:rPr>
          <w:rFonts w:hint="eastAsia"/>
          <w:kern w:val="0"/>
        </w:rPr>
        <w:t>全面加强人力社保系统干部队伍建设，提升干部政治能力、调查研究能力、科学决策能力、改革攻坚能力、应急处突能力、群众工作能力、抓落实能力。常态化开展业务技能练兵比武活动，积极组织人力社保系统从业人员到先进省市开展业务学习，培育选拔一批政治过硬、业务精通、作风优良的服务能手。加强职业道德建设，形成诚实守信、爱岗敬业、规范服务的行为风尚。落实干部职工考核评价机制，强化考核评价结果运用。加强党风廉政建设，营造风清气正干事创业的良好氛围。</w:t>
      </w:r>
    </w:p>
    <w:p w14:paraId="19485F28">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51" w:name="_Toc81142163"/>
      <w:r>
        <w:rPr>
          <w:rFonts w:hint="eastAsia" w:ascii="Times New Roman" w:hAnsi="Times New Roman" w:eastAsia="方正楷体_GBK" w:cs="Times New Roman"/>
          <w:b w:val="0"/>
          <w:bCs w:val="0"/>
          <w:color w:val="000000" w:themeColor="text1"/>
        </w:rPr>
        <w:t>第三节 加强财政保障</w:t>
      </w:r>
      <w:bookmarkEnd w:id="51"/>
    </w:p>
    <w:p w14:paraId="5216A3D0">
      <w:pPr>
        <w:adjustRightInd w:val="0"/>
        <w:ind w:firstLine="632" w:firstLineChars="200"/>
        <w:rPr>
          <w:kern w:val="0"/>
        </w:rPr>
      </w:pPr>
      <w:r>
        <w:rPr>
          <w:rFonts w:hint="eastAsia"/>
          <w:kern w:val="0"/>
        </w:rPr>
        <w:t>坚持基本公共服务水平与经济社会发展水平相适应，建立公共财政投入公共服务的稳定增长机制，确保增长幅度与财力增长相匹配、同人力资源社会保障基本公共服务需求相适应。配合完善财权事权划分，构建与事权匹配的人力资源社会保障公共服务经费分级保障机制，</w:t>
      </w:r>
      <w:r>
        <w:rPr>
          <w:kern w:val="0"/>
        </w:rPr>
        <w:t>加大对</w:t>
      </w:r>
      <w:r>
        <w:rPr>
          <w:rFonts w:hint="eastAsia"/>
          <w:kern w:val="0"/>
        </w:rPr>
        <w:t>规划内</w:t>
      </w:r>
      <w:r>
        <w:rPr>
          <w:kern w:val="0"/>
        </w:rPr>
        <w:t>重大政策、重大改革、重大工程项目的资金保障力度。</w:t>
      </w:r>
      <w:r>
        <w:rPr>
          <w:rFonts w:hint="eastAsia"/>
          <w:kern w:val="0"/>
        </w:rPr>
        <w:t>建立政府部门、企事业单位、社会多元投入机制，发挥财政资金杠杆作用，引导企事业单位、社会资本加大对人力社保事业的投入。</w:t>
      </w:r>
    </w:p>
    <w:p w14:paraId="1A72546C">
      <w:pPr>
        <w:pStyle w:val="4"/>
        <w:adjustRightInd w:val="0"/>
        <w:spacing w:before="217" w:after="217" w:line="240" w:lineRule="auto"/>
        <w:jc w:val="center"/>
        <w:rPr>
          <w:rFonts w:ascii="Times New Roman" w:hAnsi="Times New Roman" w:eastAsia="方正楷体_GBK" w:cs="Times New Roman"/>
          <w:b w:val="0"/>
          <w:bCs w:val="0"/>
          <w:color w:val="000000" w:themeColor="text1"/>
        </w:rPr>
      </w:pPr>
      <w:bookmarkStart w:id="52" w:name="_Toc81142164"/>
      <w:bookmarkStart w:id="53" w:name="_Hlk68531391"/>
      <w:bookmarkStart w:id="54" w:name="_Hlk68531877"/>
      <w:r>
        <w:rPr>
          <w:rFonts w:hint="eastAsia" w:ascii="Times New Roman" w:hAnsi="Times New Roman" w:eastAsia="方正楷体_GBK" w:cs="Times New Roman"/>
          <w:b w:val="0"/>
          <w:bCs w:val="0"/>
          <w:color w:val="000000" w:themeColor="text1"/>
        </w:rPr>
        <w:t>第四节 加强宣传引导</w:t>
      </w:r>
      <w:bookmarkEnd w:id="52"/>
    </w:p>
    <w:p w14:paraId="512C4B5C">
      <w:pPr>
        <w:adjustRightInd w:val="0"/>
        <w:ind w:firstLine="632" w:firstLineChars="200"/>
        <w:rPr>
          <w:kern w:val="0"/>
        </w:rPr>
      </w:pPr>
      <w:r>
        <w:rPr>
          <w:rFonts w:hint="eastAsia"/>
          <w:kern w:val="0"/>
        </w:rPr>
        <w:t>进一步健全宣传工作机制、夯实宣传工作平台、创新宣传工作方式，为人力社保事业发展营造良好舆论氛围。做好人力社保重点政策、重点工作和重大专项活动宣传，推进宣传解读便捷化，积极打造人力社保工作品牌。健全完善舆论风险防控体系，强化社会舆论引导。</w:t>
      </w:r>
      <w:bookmarkEnd w:id="53"/>
      <w:bookmarkStart w:id="55" w:name="_Toc81142165"/>
    </w:p>
    <w:p w14:paraId="7C8C45B8">
      <w:pPr>
        <w:pStyle w:val="4"/>
        <w:adjustRightInd w:val="0"/>
        <w:spacing w:before="217" w:after="217" w:line="240" w:lineRule="auto"/>
        <w:jc w:val="center"/>
        <w:rPr>
          <w:rFonts w:ascii="微软雅黑" w:hAnsi="微软雅黑" w:eastAsia="微软雅黑" w:cs="Times New Roman"/>
          <w:b w:val="0"/>
          <w:bCs w:val="0"/>
        </w:rPr>
      </w:pPr>
      <w:r>
        <w:rPr>
          <w:rFonts w:hint="eastAsia" w:ascii="Times New Roman" w:hAnsi="Times New Roman" w:eastAsia="方正楷体_GBK" w:cs="Times New Roman"/>
          <w:b w:val="0"/>
          <w:bCs w:val="0"/>
          <w:color w:val="000000" w:themeColor="text1"/>
        </w:rPr>
        <w:t>第五节 加强规划实施</w:t>
      </w:r>
      <w:bookmarkEnd w:id="55"/>
      <w:r>
        <w:rPr>
          <w:rFonts w:hint="eastAsia" w:ascii="Times New Roman" w:hAnsi="Times New Roman" w:eastAsia="方正楷体_GBK" w:cs="Times New Roman"/>
          <w:b w:val="0"/>
          <w:bCs w:val="0"/>
          <w:color w:val="000000" w:themeColor="text1"/>
        </w:rPr>
        <w:t xml:space="preserve"> </w:t>
      </w:r>
    </w:p>
    <w:p w14:paraId="1B98C942">
      <w:pPr>
        <w:adjustRightInd w:val="0"/>
        <w:ind w:firstLine="632" w:firstLineChars="200"/>
        <w:rPr>
          <w:kern w:val="0"/>
        </w:rPr>
      </w:pPr>
      <w:r>
        <w:rPr>
          <w:rFonts w:hint="eastAsia"/>
          <w:kern w:val="0"/>
        </w:rPr>
        <w:t>加强规划实施的统筹协调和宏观指导，落实规划实施主体责任，将重点目标任务分解落实到县级有关部门和各乡镇（街道），并纳入综合评价和绩效考核。健全监测评估机制，加强年度计划的监测分析和规划重点指标的考核评估。</w:t>
      </w:r>
      <w:bookmarkEnd w:id="50"/>
      <w:bookmarkEnd w:id="54"/>
      <w:r>
        <w:rPr>
          <w:rFonts w:hint="eastAsia"/>
          <w:kern w:val="0"/>
        </w:rPr>
        <w:t>确保统计数据真实准确、完整及时，加强规划实施数据分析。</w:t>
      </w:r>
    </w:p>
    <w:p w14:paraId="4402E0BF">
      <w:pPr>
        <w:pStyle w:val="3"/>
        <w:rPr>
          <w:rFonts w:ascii="Times New Roman"/>
          <w:b w:val="0"/>
          <w:bCs w:val="0"/>
          <w:kern w:val="0"/>
        </w:rPr>
      </w:pPr>
    </w:p>
    <w:p w14:paraId="2F45CBF0">
      <w:pPr>
        <w:rPr>
          <w:kern w:val="0"/>
        </w:rPr>
      </w:pPr>
    </w:p>
    <w:p w14:paraId="1B4393EE">
      <w:pPr>
        <w:pStyle w:val="7"/>
        <w:rPr>
          <w:kern w:val="0"/>
        </w:rPr>
      </w:pPr>
    </w:p>
    <w:p w14:paraId="240857A5">
      <w:pPr>
        <w:pStyle w:val="7"/>
        <w:rPr>
          <w:kern w:val="0"/>
        </w:rPr>
      </w:pPr>
    </w:p>
    <w:p w14:paraId="63BD85F7">
      <w:pPr>
        <w:pStyle w:val="7"/>
        <w:rPr>
          <w:kern w:val="0"/>
        </w:rPr>
      </w:pPr>
    </w:p>
    <w:p w14:paraId="043BB926">
      <w:pPr>
        <w:pStyle w:val="7"/>
        <w:rPr>
          <w:kern w:val="0"/>
        </w:rPr>
      </w:pPr>
    </w:p>
    <w:p w14:paraId="0517886D">
      <w:pPr>
        <w:pStyle w:val="7"/>
        <w:rPr>
          <w:kern w:val="0"/>
        </w:rPr>
      </w:pPr>
    </w:p>
    <w:p w14:paraId="44BFC9B7">
      <w:pPr>
        <w:pStyle w:val="7"/>
        <w:rPr>
          <w:kern w:val="0"/>
        </w:rPr>
      </w:pPr>
    </w:p>
    <w:p w14:paraId="66420178">
      <w:pPr>
        <w:pStyle w:val="7"/>
        <w:rPr>
          <w:kern w:val="0"/>
        </w:rPr>
      </w:pPr>
    </w:p>
    <w:p w14:paraId="6DAB7E06">
      <w:pPr>
        <w:pStyle w:val="7"/>
        <w:rPr>
          <w:kern w:val="0"/>
        </w:rPr>
      </w:pPr>
    </w:p>
    <w:p w14:paraId="5C1549C1">
      <w:pPr>
        <w:pStyle w:val="7"/>
        <w:rPr>
          <w:kern w:val="0"/>
        </w:rPr>
      </w:pPr>
    </w:p>
    <w:p w14:paraId="31780960">
      <w:pPr>
        <w:pStyle w:val="7"/>
        <w:rPr>
          <w:kern w:val="0"/>
        </w:rPr>
      </w:pPr>
    </w:p>
    <w:p w14:paraId="372ADA91">
      <w:pPr>
        <w:pStyle w:val="7"/>
        <w:rPr>
          <w:kern w:val="0"/>
        </w:rPr>
      </w:pPr>
    </w:p>
    <w:p w14:paraId="0543F010">
      <w:pPr>
        <w:pStyle w:val="7"/>
        <w:rPr>
          <w:kern w:val="0"/>
        </w:rPr>
      </w:pPr>
    </w:p>
    <w:p w14:paraId="4840BCD6">
      <w:pPr>
        <w:pStyle w:val="7"/>
        <w:rPr>
          <w:kern w:val="0"/>
        </w:rPr>
      </w:pPr>
    </w:p>
    <w:p w14:paraId="7FFE0C51">
      <w:pPr>
        <w:pStyle w:val="7"/>
        <w:rPr>
          <w:kern w:val="0"/>
        </w:rPr>
      </w:pPr>
    </w:p>
    <w:p w14:paraId="637D3BB2">
      <w:pPr>
        <w:pStyle w:val="7"/>
        <w:rPr>
          <w:kern w:val="0"/>
        </w:rPr>
      </w:pPr>
    </w:p>
    <w:p w14:paraId="5597702A">
      <w:pPr>
        <w:pStyle w:val="7"/>
        <w:rPr>
          <w:kern w:val="0"/>
        </w:rPr>
      </w:pPr>
    </w:p>
    <w:p w14:paraId="16BABE37">
      <w:pPr>
        <w:pStyle w:val="7"/>
        <w:rPr>
          <w:kern w:val="0"/>
        </w:rPr>
      </w:pPr>
    </w:p>
    <w:p w14:paraId="41448474">
      <w:pPr>
        <w:pStyle w:val="7"/>
        <w:rPr>
          <w:kern w:val="0"/>
        </w:rPr>
      </w:pPr>
    </w:p>
    <w:p w14:paraId="2DECEA64">
      <w:pPr>
        <w:pStyle w:val="7"/>
        <w:rPr>
          <w:kern w:val="0"/>
        </w:rPr>
      </w:pPr>
    </w:p>
    <w:p w14:paraId="1CCC215D">
      <w:pPr>
        <w:pStyle w:val="7"/>
        <w:rPr>
          <w:kern w:val="0"/>
        </w:rPr>
      </w:pPr>
    </w:p>
    <w:p w14:paraId="1499DF8B">
      <w:pPr>
        <w:pStyle w:val="7"/>
        <w:rPr>
          <w:kern w:val="0"/>
        </w:rPr>
      </w:pPr>
    </w:p>
    <w:p w14:paraId="367B0F0F">
      <w:pPr>
        <w:pStyle w:val="7"/>
        <w:rPr>
          <w:kern w:val="0"/>
        </w:rPr>
      </w:pPr>
    </w:p>
    <w:p w14:paraId="05AF327C"/>
    <w:p w14:paraId="6D7BFB23"/>
    <w:p w14:paraId="679E7747">
      <w:pPr>
        <w:pStyle w:val="17"/>
        <w:widowControl w:val="0"/>
        <w:autoSpaceDE w:val="0"/>
        <w:autoSpaceDN w:val="0"/>
        <w:adjustRightInd w:val="0"/>
        <w:spacing w:before="0" w:beforeAutospacing="0" w:after="0" w:afterAutospacing="0"/>
        <w:rPr>
          <w:rFonts w:ascii="Times New Roman" w:hAnsi="Times New Roman" w:eastAsia="微软雅黑" w:cs="Times New Roman"/>
          <w:color w:val="000000"/>
        </w:rPr>
      </w:pPr>
    </w:p>
    <w:p w14:paraId="0C2FB915">
      <w:pPr>
        <w:pStyle w:val="17"/>
        <w:widowControl w:val="0"/>
        <w:autoSpaceDE w:val="0"/>
        <w:autoSpaceDN w:val="0"/>
        <w:adjustRightInd w:val="0"/>
        <w:snapToGrid w:val="0"/>
        <w:spacing w:before="0" w:beforeAutospacing="0" w:after="0" w:afterAutospacing="0"/>
        <w:rPr>
          <w:rFonts w:ascii="Times New Roman" w:hAnsi="Times New Roman" w:eastAsia="微软雅黑" w:cs="Times New Roman"/>
          <w:color w:val="000000"/>
        </w:rPr>
      </w:pPr>
    </w:p>
    <w:p w14:paraId="38E610F4">
      <w:pPr>
        <w:pStyle w:val="17"/>
        <w:widowControl w:val="0"/>
        <w:autoSpaceDE w:val="0"/>
        <w:autoSpaceDN w:val="0"/>
        <w:adjustRightInd w:val="0"/>
        <w:snapToGrid w:val="0"/>
        <w:spacing w:before="0" w:beforeAutospacing="0" w:after="0" w:afterAutospacing="0"/>
        <w:rPr>
          <w:rFonts w:ascii="Times New Roman" w:hAnsi="Times New Roman" w:eastAsia="微软雅黑" w:cs="Times New Roman"/>
          <w:color w:val="000000"/>
        </w:rPr>
      </w:pPr>
    </w:p>
    <w:p w14:paraId="7971D139">
      <w:pPr>
        <w:pBdr>
          <w:top w:val="single" w:color="auto" w:sz="8" w:space="1"/>
        </w:pBdr>
        <w:shd w:val="clear" w:color="auto" w:fill="FFFFFF"/>
        <w:autoSpaceDE w:val="0"/>
        <w:spacing w:line="560" w:lineRule="exact"/>
        <w:ind w:left="1103" w:hanging="1104" w:hangingChars="400"/>
        <w:rPr>
          <w:color w:val="000000"/>
          <w:sz w:val="28"/>
          <w:szCs w:val="28"/>
          <w:shd w:val="clear" w:color="auto" w:fill="FFFFFF"/>
        </w:rPr>
      </w:pPr>
      <w:r>
        <w:rPr>
          <w:color w:val="000000"/>
          <w:sz w:val="28"/>
          <w:szCs w:val="28"/>
          <w:shd w:val="clear" w:color="auto" w:fill="FFFFFF"/>
        </w:rPr>
        <w:t xml:space="preserve">  </w:t>
      </w:r>
      <w:r>
        <w:rPr>
          <w:rFonts w:hAnsi="方正仿宋_GBK"/>
          <w:color w:val="000000"/>
          <w:sz w:val="28"/>
          <w:szCs w:val="28"/>
          <w:shd w:val="clear" w:color="auto" w:fill="FFFFFF"/>
        </w:rPr>
        <w:t>抄送：</w:t>
      </w:r>
      <w:r>
        <w:rPr>
          <w:rFonts w:hAnsi="方正仿宋_GBK"/>
          <w:color w:val="000000"/>
          <w:spacing w:val="-4"/>
          <w:sz w:val="28"/>
          <w:szCs w:val="28"/>
          <w:shd w:val="clear" w:color="auto" w:fill="FFFFFF"/>
        </w:rPr>
        <w:t>县委各部门，县人大办，县政协办，县监委，县法院，县检察院</w:t>
      </w:r>
      <w:r>
        <w:rPr>
          <w:rFonts w:hAnsi="方正仿宋_GBK"/>
          <w:color w:val="000000"/>
          <w:sz w:val="28"/>
          <w:szCs w:val="28"/>
          <w:shd w:val="clear" w:color="auto" w:fill="FFFFFF"/>
        </w:rPr>
        <w:t>，县人武部，各人民团体</w:t>
      </w:r>
    </w:p>
    <w:p w14:paraId="13001ED6">
      <w:pPr>
        <w:pBdr>
          <w:top w:val="single" w:color="auto" w:sz="4" w:space="1"/>
          <w:bottom w:val="single" w:color="auto" w:sz="8" w:space="1"/>
        </w:pBdr>
        <w:shd w:val="clear" w:color="auto" w:fill="FFFFFF"/>
        <w:autoSpaceDE w:val="0"/>
        <w:spacing w:line="560" w:lineRule="exact"/>
        <w:rPr>
          <w:kern w:val="0"/>
          <w:sz w:val="28"/>
          <w:szCs w:val="28"/>
          <w:shd w:val="clear" w:color="auto" w:fill="FFFFFF"/>
        </w:rPr>
      </w:pPr>
      <w:r>
        <w:rPr>
          <w:color w:val="000000"/>
          <w:sz w:val="28"/>
          <w:szCs w:val="28"/>
          <w:shd w:val="clear" w:color="auto" w:fill="FFFFFF"/>
        </w:rPr>
        <w:t xml:space="preserve">  </w:t>
      </w:r>
      <w:r>
        <w:rPr>
          <w:rFonts w:hAnsi="方正仿宋_GBK"/>
          <w:color w:val="000000"/>
          <w:sz w:val="28"/>
          <w:szCs w:val="28"/>
          <w:shd w:val="clear" w:color="auto" w:fill="FFFFFF"/>
        </w:rPr>
        <w:t>酉阳土家族苗族自治县人民政府办公室</w:t>
      </w:r>
      <w:r>
        <w:rPr>
          <w:color w:val="000000"/>
          <w:sz w:val="28"/>
          <w:szCs w:val="28"/>
          <w:shd w:val="clear" w:color="auto" w:fill="FFFFFF"/>
        </w:rPr>
        <w:t xml:space="preserve">      2021</w:t>
      </w:r>
      <w:r>
        <w:rPr>
          <w:rFonts w:hAnsi="方正仿宋_GBK"/>
          <w:color w:val="000000"/>
          <w:sz w:val="28"/>
          <w:szCs w:val="28"/>
          <w:shd w:val="clear" w:color="auto" w:fill="FFFFFF"/>
        </w:rPr>
        <w:t>年</w:t>
      </w:r>
      <w:r>
        <w:rPr>
          <w:color w:val="000000"/>
          <w:sz w:val="28"/>
          <w:szCs w:val="28"/>
          <w:shd w:val="clear" w:color="auto" w:fill="FFFFFF"/>
        </w:rPr>
        <w:t>12</w:t>
      </w:r>
      <w:r>
        <w:rPr>
          <w:rFonts w:hAnsi="方正仿宋_GBK"/>
          <w:color w:val="000000"/>
          <w:sz w:val="28"/>
          <w:szCs w:val="28"/>
          <w:shd w:val="clear" w:color="auto" w:fill="FFFFFF"/>
        </w:rPr>
        <w:t>月</w:t>
      </w:r>
      <w:r>
        <w:rPr>
          <w:color w:val="000000"/>
          <w:sz w:val="28"/>
          <w:szCs w:val="28"/>
          <w:shd w:val="clear" w:color="auto" w:fill="FFFFFF"/>
        </w:rPr>
        <w:t>29</w:t>
      </w:r>
      <w:r>
        <w:rPr>
          <w:rFonts w:hAnsi="方正仿宋_GBK"/>
          <w:color w:val="000000"/>
          <w:sz w:val="28"/>
          <w:szCs w:val="28"/>
          <w:shd w:val="clear" w:color="auto" w:fill="FFFFFF"/>
        </w:rPr>
        <w:t>日印发</w:t>
      </w:r>
      <w:r>
        <w:rPr>
          <w:kern w:val="0"/>
          <w:sz w:val="28"/>
          <w:szCs w:val="28"/>
          <w:shd w:val="clear" w:color="auto" w:fill="FFFFFF"/>
        </w:rPr>
        <w:t xml:space="preserve"> </w:t>
      </w:r>
    </w:p>
    <w:sectPr>
      <w:headerReference r:id="rId7" w:type="default"/>
      <w:footerReference r:id="rId8" w:type="default"/>
      <w:footerReference r:id="rId9"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F702B">
    <w:pPr>
      <w:pStyle w:val="12"/>
      <w:ind w:right="357"/>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43560714"/>
    </w:sdtPr>
    <w:sdtEndPr>
      <w:rPr>
        <w:rFonts w:ascii="宋体" w:hAnsi="宋体" w:eastAsia="宋体"/>
        <w:sz w:val="28"/>
        <w:szCs w:val="28"/>
      </w:rPr>
    </w:sdtEndPr>
    <w:sdtContent>
      <w:p w14:paraId="5829DAAB">
        <w:pPr>
          <w:pStyle w:val="12"/>
          <w:ind w:right="357"/>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35</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12C09">
    <w:pPr>
      <w:pStyle w:val="12"/>
      <w:ind w:left="357"/>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0BDAA">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50D00">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CBBF">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552E8">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DC0CB5"/>
    <w:rsid w:val="00001B82"/>
    <w:rsid w:val="00005369"/>
    <w:rsid w:val="00010825"/>
    <w:rsid w:val="00010C2B"/>
    <w:rsid w:val="000141C6"/>
    <w:rsid w:val="00015382"/>
    <w:rsid w:val="00015A24"/>
    <w:rsid w:val="00017D69"/>
    <w:rsid w:val="0002010A"/>
    <w:rsid w:val="0002052B"/>
    <w:rsid w:val="00021038"/>
    <w:rsid w:val="000222D8"/>
    <w:rsid w:val="00024A2B"/>
    <w:rsid w:val="00025980"/>
    <w:rsid w:val="00027BB3"/>
    <w:rsid w:val="000303EE"/>
    <w:rsid w:val="00033C68"/>
    <w:rsid w:val="00034650"/>
    <w:rsid w:val="000371F4"/>
    <w:rsid w:val="00043966"/>
    <w:rsid w:val="00044818"/>
    <w:rsid w:val="000449A3"/>
    <w:rsid w:val="000451F9"/>
    <w:rsid w:val="00045D3E"/>
    <w:rsid w:val="00046188"/>
    <w:rsid w:val="0004693B"/>
    <w:rsid w:val="0004778A"/>
    <w:rsid w:val="00047EA4"/>
    <w:rsid w:val="00050AB6"/>
    <w:rsid w:val="00056342"/>
    <w:rsid w:val="000575D6"/>
    <w:rsid w:val="00060EC5"/>
    <w:rsid w:val="0006309D"/>
    <w:rsid w:val="000638FB"/>
    <w:rsid w:val="00065BDB"/>
    <w:rsid w:val="00066D45"/>
    <w:rsid w:val="00067456"/>
    <w:rsid w:val="00067F92"/>
    <w:rsid w:val="00070CA4"/>
    <w:rsid w:val="00071600"/>
    <w:rsid w:val="0008599B"/>
    <w:rsid w:val="00090964"/>
    <w:rsid w:val="000916BE"/>
    <w:rsid w:val="000A3E45"/>
    <w:rsid w:val="000A4C54"/>
    <w:rsid w:val="000A6819"/>
    <w:rsid w:val="000B137A"/>
    <w:rsid w:val="000B193B"/>
    <w:rsid w:val="000B2F06"/>
    <w:rsid w:val="000B49ED"/>
    <w:rsid w:val="000B545D"/>
    <w:rsid w:val="000B64B1"/>
    <w:rsid w:val="000C6288"/>
    <w:rsid w:val="000C75CE"/>
    <w:rsid w:val="000C7E51"/>
    <w:rsid w:val="000D084A"/>
    <w:rsid w:val="000D2392"/>
    <w:rsid w:val="000D7C9B"/>
    <w:rsid w:val="000E0C1D"/>
    <w:rsid w:val="000E28B1"/>
    <w:rsid w:val="000E29C8"/>
    <w:rsid w:val="000E3A04"/>
    <w:rsid w:val="000E3BC3"/>
    <w:rsid w:val="000E5790"/>
    <w:rsid w:val="000F0C13"/>
    <w:rsid w:val="000F2D2A"/>
    <w:rsid w:val="000F51D3"/>
    <w:rsid w:val="000F5DC1"/>
    <w:rsid w:val="0010209C"/>
    <w:rsid w:val="00102A19"/>
    <w:rsid w:val="00103336"/>
    <w:rsid w:val="001033B5"/>
    <w:rsid w:val="001058B8"/>
    <w:rsid w:val="00107C09"/>
    <w:rsid w:val="00111BCD"/>
    <w:rsid w:val="00111F04"/>
    <w:rsid w:val="001162C1"/>
    <w:rsid w:val="00120ABE"/>
    <w:rsid w:val="00121460"/>
    <w:rsid w:val="00123E4B"/>
    <w:rsid w:val="00135C9E"/>
    <w:rsid w:val="00136361"/>
    <w:rsid w:val="00136682"/>
    <w:rsid w:val="00137C13"/>
    <w:rsid w:val="00143107"/>
    <w:rsid w:val="001433C3"/>
    <w:rsid w:val="00145123"/>
    <w:rsid w:val="00145924"/>
    <w:rsid w:val="00145AF3"/>
    <w:rsid w:val="00150E30"/>
    <w:rsid w:val="0015253E"/>
    <w:rsid w:val="0016117D"/>
    <w:rsid w:val="00161BCB"/>
    <w:rsid w:val="0016663E"/>
    <w:rsid w:val="00170E6B"/>
    <w:rsid w:val="0017218E"/>
    <w:rsid w:val="001728A3"/>
    <w:rsid w:val="00172A42"/>
    <w:rsid w:val="00174162"/>
    <w:rsid w:val="00174556"/>
    <w:rsid w:val="00175C94"/>
    <w:rsid w:val="00175D2B"/>
    <w:rsid w:val="00180D52"/>
    <w:rsid w:val="001840D9"/>
    <w:rsid w:val="00186A5F"/>
    <w:rsid w:val="00190210"/>
    <w:rsid w:val="001902B6"/>
    <w:rsid w:val="00194AF7"/>
    <w:rsid w:val="001A0229"/>
    <w:rsid w:val="001A1756"/>
    <w:rsid w:val="001A375E"/>
    <w:rsid w:val="001A3870"/>
    <w:rsid w:val="001A57F0"/>
    <w:rsid w:val="001A5AA5"/>
    <w:rsid w:val="001B26A5"/>
    <w:rsid w:val="001B50A2"/>
    <w:rsid w:val="001B6362"/>
    <w:rsid w:val="001B748F"/>
    <w:rsid w:val="001C1244"/>
    <w:rsid w:val="001C2C35"/>
    <w:rsid w:val="001C4A5C"/>
    <w:rsid w:val="001C5DA7"/>
    <w:rsid w:val="001C655A"/>
    <w:rsid w:val="001C78B1"/>
    <w:rsid w:val="001C7D96"/>
    <w:rsid w:val="001D42C5"/>
    <w:rsid w:val="001D4F40"/>
    <w:rsid w:val="001D645A"/>
    <w:rsid w:val="001E1B42"/>
    <w:rsid w:val="001E3FB9"/>
    <w:rsid w:val="001F4255"/>
    <w:rsid w:val="001F42FB"/>
    <w:rsid w:val="001F446B"/>
    <w:rsid w:val="001F5207"/>
    <w:rsid w:val="00200197"/>
    <w:rsid w:val="0020251A"/>
    <w:rsid w:val="002057D6"/>
    <w:rsid w:val="002101B7"/>
    <w:rsid w:val="00212B82"/>
    <w:rsid w:val="0022250A"/>
    <w:rsid w:val="00222A1D"/>
    <w:rsid w:val="00223824"/>
    <w:rsid w:val="00225766"/>
    <w:rsid w:val="00225EA5"/>
    <w:rsid w:val="00226C96"/>
    <w:rsid w:val="002272D5"/>
    <w:rsid w:val="00227B52"/>
    <w:rsid w:val="002318ED"/>
    <w:rsid w:val="00232C26"/>
    <w:rsid w:val="00236142"/>
    <w:rsid w:val="002364B6"/>
    <w:rsid w:val="00236BF9"/>
    <w:rsid w:val="00241B08"/>
    <w:rsid w:val="00241ECA"/>
    <w:rsid w:val="00244557"/>
    <w:rsid w:val="00251794"/>
    <w:rsid w:val="00251BBE"/>
    <w:rsid w:val="00254B26"/>
    <w:rsid w:val="00261638"/>
    <w:rsid w:val="002620FB"/>
    <w:rsid w:val="002629D2"/>
    <w:rsid w:val="00265295"/>
    <w:rsid w:val="0026716A"/>
    <w:rsid w:val="00267A6B"/>
    <w:rsid w:val="00270146"/>
    <w:rsid w:val="0027043C"/>
    <w:rsid w:val="00270BF1"/>
    <w:rsid w:val="00272080"/>
    <w:rsid w:val="0028152C"/>
    <w:rsid w:val="00292DE5"/>
    <w:rsid w:val="002A0856"/>
    <w:rsid w:val="002A1B4C"/>
    <w:rsid w:val="002A20F2"/>
    <w:rsid w:val="002A21CE"/>
    <w:rsid w:val="002A4888"/>
    <w:rsid w:val="002A4BB2"/>
    <w:rsid w:val="002B00C4"/>
    <w:rsid w:val="002B19BF"/>
    <w:rsid w:val="002B23E1"/>
    <w:rsid w:val="002B58F7"/>
    <w:rsid w:val="002B5A70"/>
    <w:rsid w:val="002C0687"/>
    <w:rsid w:val="002C1CF1"/>
    <w:rsid w:val="002C35B2"/>
    <w:rsid w:val="002C3C7A"/>
    <w:rsid w:val="002C5A8D"/>
    <w:rsid w:val="002D0600"/>
    <w:rsid w:val="002D0DF5"/>
    <w:rsid w:val="002D1C96"/>
    <w:rsid w:val="002D37CE"/>
    <w:rsid w:val="002D73D9"/>
    <w:rsid w:val="002D7518"/>
    <w:rsid w:val="002E0658"/>
    <w:rsid w:val="002E4101"/>
    <w:rsid w:val="002E5379"/>
    <w:rsid w:val="002E63EE"/>
    <w:rsid w:val="002F4BCF"/>
    <w:rsid w:val="002F7426"/>
    <w:rsid w:val="00300D18"/>
    <w:rsid w:val="00300E5E"/>
    <w:rsid w:val="00302E06"/>
    <w:rsid w:val="0030427D"/>
    <w:rsid w:val="003050F2"/>
    <w:rsid w:val="00306116"/>
    <w:rsid w:val="0030630D"/>
    <w:rsid w:val="00306D09"/>
    <w:rsid w:val="00310A45"/>
    <w:rsid w:val="00310E38"/>
    <w:rsid w:val="003119BE"/>
    <w:rsid w:val="00313AE9"/>
    <w:rsid w:val="00314A6C"/>
    <w:rsid w:val="00314CE8"/>
    <w:rsid w:val="00316EF2"/>
    <w:rsid w:val="003223E4"/>
    <w:rsid w:val="00322489"/>
    <w:rsid w:val="003232CE"/>
    <w:rsid w:val="003233D1"/>
    <w:rsid w:val="003247FC"/>
    <w:rsid w:val="00327A5B"/>
    <w:rsid w:val="003323EF"/>
    <w:rsid w:val="003332DB"/>
    <w:rsid w:val="003335BE"/>
    <w:rsid w:val="0033534C"/>
    <w:rsid w:val="003363CF"/>
    <w:rsid w:val="00337A9B"/>
    <w:rsid w:val="00344083"/>
    <w:rsid w:val="003450C6"/>
    <w:rsid w:val="00347091"/>
    <w:rsid w:val="00353FF0"/>
    <w:rsid w:val="003617A4"/>
    <w:rsid w:val="003630ED"/>
    <w:rsid w:val="00363CE9"/>
    <w:rsid w:val="003642F0"/>
    <w:rsid w:val="00364615"/>
    <w:rsid w:val="003651BC"/>
    <w:rsid w:val="003668A6"/>
    <w:rsid w:val="0037153C"/>
    <w:rsid w:val="0037265C"/>
    <w:rsid w:val="0037409F"/>
    <w:rsid w:val="003744C6"/>
    <w:rsid w:val="00380AC4"/>
    <w:rsid w:val="00390F21"/>
    <w:rsid w:val="00393126"/>
    <w:rsid w:val="00394A7C"/>
    <w:rsid w:val="00396675"/>
    <w:rsid w:val="003975CC"/>
    <w:rsid w:val="003A0D0E"/>
    <w:rsid w:val="003A3CA2"/>
    <w:rsid w:val="003A50B3"/>
    <w:rsid w:val="003A55C6"/>
    <w:rsid w:val="003B0088"/>
    <w:rsid w:val="003B1BF7"/>
    <w:rsid w:val="003B3920"/>
    <w:rsid w:val="003B3F23"/>
    <w:rsid w:val="003B48B1"/>
    <w:rsid w:val="003B4B95"/>
    <w:rsid w:val="003C0208"/>
    <w:rsid w:val="003C3606"/>
    <w:rsid w:val="003C4F53"/>
    <w:rsid w:val="003C54B0"/>
    <w:rsid w:val="003C64B9"/>
    <w:rsid w:val="003D0B7C"/>
    <w:rsid w:val="003D2DF5"/>
    <w:rsid w:val="003D35FD"/>
    <w:rsid w:val="003E2907"/>
    <w:rsid w:val="003E39CE"/>
    <w:rsid w:val="003E4D73"/>
    <w:rsid w:val="003E6C7F"/>
    <w:rsid w:val="003E7AD7"/>
    <w:rsid w:val="003F0DCA"/>
    <w:rsid w:val="003F31B1"/>
    <w:rsid w:val="003F69C3"/>
    <w:rsid w:val="003F71B0"/>
    <w:rsid w:val="003F7AC1"/>
    <w:rsid w:val="00400027"/>
    <w:rsid w:val="00400C56"/>
    <w:rsid w:val="00403345"/>
    <w:rsid w:val="004037A1"/>
    <w:rsid w:val="004053C8"/>
    <w:rsid w:val="00405901"/>
    <w:rsid w:val="0040699A"/>
    <w:rsid w:val="00407104"/>
    <w:rsid w:val="0040778B"/>
    <w:rsid w:val="00407F8F"/>
    <w:rsid w:val="00410848"/>
    <w:rsid w:val="0041397A"/>
    <w:rsid w:val="00414338"/>
    <w:rsid w:val="0041654D"/>
    <w:rsid w:val="0041674C"/>
    <w:rsid w:val="004174C4"/>
    <w:rsid w:val="00424E38"/>
    <w:rsid w:val="004265F0"/>
    <w:rsid w:val="00427E2A"/>
    <w:rsid w:val="00427E2E"/>
    <w:rsid w:val="004307A5"/>
    <w:rsid w:val="00433D59"/>
    <w:rsid w:val="004340D7"/>
    <w:rsid w:val="00435161"/>
    <w:rsid w:val="00436787"/>
    <w:rsid w:val="004429A8"/>
    <w:rsid w:val="004437A4"/>
    <w:rsid w:val="00453D62"/>
    <w:rsid w:val="00462410"/>
    <w:rsid w:val="00462876"/>
    <w:rsid w:val="00463220"/>
    <w:rsid w:val="00463D84"/>
    <w:rsid w:val="00467E0B"/>
    <w:rsid w:val="00467EF1"/>
    <w:rsid w:val="00471A0C"/>
    <w:rsid w:val="00474461"/>
    <w:rsid w:val="00474F4E"/>
    <w:rsid w:val="004756D5"/>
    <w:rsid w:val="004842A3"/>
    <w:rsid w:val="004850E2"/>
    <w:rsid w:val="004851AB"/>
    <w:rsid w:val="004852F1"/>
    <w:rsid w:val="00487067"/>
    <w:rsid w:val="00490AB5"/>
    <w:rsid w:val="004917EA"/>
    <w:rsid w:val="004923BE"/>
    <w:rsid w:val="00494DF2"/>
    <w:rsid w:val="00496AC6"/>
    <w:rsid w:val="00496CB3"/>
    <w:rsid w:val="004A2F22"/>
    <w:rsid w:val="004A38C3"/>
    <w:rsid w:val="004A444B"/>
    <w:rsid w:val="004A5DA2"/>
    <w:rsid w:val="004B15FC"/>
    <w:rsid w:val="004B1898"/>
    <w:rsid w:val="004B5DCB"/>
    <w:rsid w:val="004B7704"/>
    <w:rsid w:val="004C0123"/>
    <w:rsid w:val="004C2FA8"/>
    <w:rsid w:val="004C7862"/>
    <w:rsid w:val="004D3F88"/>
    <w:rsid w:val="004D501F"/>
    <w:rsid w:val="004D56A2"/>
    <w:rsid w:val="004E0E7D"/>
    <w:rsid w:val="004E0E82"/>
    <w:rsid w:val="004E4ACD"/>
    <w:rsid w:val="004E6433"/>
    <w:rsid w:val="004E7F6A"/>
    <w:rsid w:val="004F6076"/>
    <w:rsid w:val="00500A8C"/>
    <w:rsid w:val="005014C1"/>
    <w:rsid w:val="00503C16"/>
    <w:rsid w:val="00507D1B"/>
    <w:rsid w:val="00514B5C"/>
    <w:rsid w:val="00515C0D"/>
    <w:rsid w:val="00516C63"/>
    <w:rsid w:val="00520BCA"/>
    <w:rsid w:val="005313D7"/>
    <w:rsid w:val="00531ADB"/>
    <w:rsid w:val="005351F2"/>
    <w:rsid w:val="00537F53"/>
    <w:rsid w:val="00542B49"/>
    <w:rsid w:val="005430C9"/>
    <w:rsid w:val="00547317"/>
    <w:rsid w:val="00547AE4"/>
    <w:rsid w:val="00547CD1"/>
    <w:rsid w:val="00550536"/>
    <w:rsid w:val="0055135F"/>
    <w:rsid w:val="005519B8"/>
    <w:rsid w:val="0055247B"/>
    <w:rsid w:val="00556144"/>
    <w:rsid w:val="00567438"/>
    <w:rsid w:val="005752B8"/>
    <w:rsid w:val="00575632"/>
    <w:rsid w:val="00580C7A"/>
    <w:rsid w:val="005841D4"/>
    <w:rsid w:val="0058542D"/>
    <w:rsid w:val="0059324F"/>
    <w:rsid w:val="00593AEA"/>
    <w:rsid w:val="005A42A0"/>
    <w:rsid w:val="005A638D"/>
    <w:rsid w:val="005B076C"/>
    <w:rsid w:val="005B129A"/>
    <w:rsid w:val="005B145B"/>
    <w:rsid w:val="005B4A9E"/>
    <w:rsid w:val="005B513A"/>
    <w:rsid w:val="005C038D"/>
    <w:rsid w:val="005C137F"/>
    <w:rsid w:val="005C2281"/>
    <w:rsid w:val="005D00C2"/>
    <w:rsid w:val="005D167F"/>
    <w:rsid w:val="005D451A"/>
    <w:rsid w:val="005D456D"/>
    <w:rsid w:val="005D7135"/>
    <w:rsid w:val="005D72F0"/>
    <w:rsid w:val="005E238F"/>
    <w:rsid w:val="005E4E76"/>
    <w:rsid w:val="005E526A"/>
    <w:rsid w:val="005E58FD"/>
    <w:rsid w:val="005F0218"/>
    <w:rsid w:val="005F4197"/>
    <w:rsid w:val="005F4A34"/>
    <w:rsid w:val="005F52E1"/>
    <w:rsid w:val="006002BA"/>
    <w:rsid w:val="0060711C"/>
    <w:rsid w:val="00607A93"/>
    <w:rsid w:val="00610D20"/>
    <w:rsid w:val="00610EE5"/>
    <w:rsid w:val="006157E0"/>
    <w:rsid w:val="00616AFC"/>
    <w:rsid w:val="00617B78"/>
    <w:rsid w:val="00620291"/>
    <w:rsid w:val="006264AC"/>
    <w:rsid w:val="00633568"/>
    <w:rsid w:val="006349AC"/>
    <w:rsid w:val="006356C8"/>
    <w:rsid w:val="00635D44"/>
    <w:rsid w:val="006362BE"/>
    <w:rsid w:val="00637B1E"/>
    <w:rsid w:val="00640411"/>
    <w:rsid w:val="0064253F"/>
    <w:rsid w:val="00642EA1"/>
    <w:rsid w:val="00643CCE"/>
    <w:rsid w:val="00644F11"/>
    <w:rsid w:val="0064682E"/>
    <w:rsid w:val="0064738C"/>
    <w:rsid w:val="0064778A"/>
    <w:rsid w:val="00650DBD"/>
    <w:rsid w:val="00654E52"/>
    <w:rsid w:val="006621C6"/>
    <w:rsid w:val="00663397"/>
    <w:rsid w:val="00663F4E"/>
    <w:rsid w:val="00665B0E"/>
    <w:rsid w:val="00667D6B"/>
    <w:rsid w:val="00670435"/>
    <w:rsid w:val="00670B78"/>
    <w:rsid w:val="00670FB2"/>
    <w:rsid w:val="00674110"/>
    <w:rsid w:val="00681563"/>
    <w:rsid w:val="0068163C"/>
    <w:rsid w:val="00681C3F"/>
    <w:rsid w:val="006845C9"/>
    <w:rsid w:val="006848DA"/>
    <w:rsid w:val="00686689"/>
    <w:rsid w:val="006941CF"/>
    <w:rsid w:val="006969E1"/>
    <w:rsid w:val="00697273"/>
    <w:rsid w:val="006A70AA"/>
    <w:rsid w:val="006A720A"/>
    <w:rsid w:val="006B0461"/>
    <w:rsid w:val="006B0C9C"/>
    <w:rsid w:val="006B1F79"/>
    <w:rsid w:val="006B22FA"/>
    <w:rsid w:val="006B2B0F"/>
    <w:rsid w:val="006B71DC"/>
    <w:rsid w:val="006B752C"/>
    <w:rsid w:val="006C43D6"/>
    <w:rsid w:val="006C4495"/>
    <w:rsid w:val="006D0451"/>
    <w:rsid w:val="006D205F"/>
    <w:rsid w:val="006D21C8"/>
    <w:rsid w:val="006D6788"/>
    <w:rsid w:val="006E46C4"/>
    <w:rsid w:val="006E49FF"/>
    <w:rsid w:val="006E53DA"/>
    <w:rsid w:val="006F3DA5"/>
    <w:rsid w:val="006F545D"/>
    <w:rsid w:val="006F56C2"/>
    <w:rsid w:val="006F61E7"/>
    <w:rsid w:val="006F7A5F"/>
    <w:rsid w:val="007039B7"/>
    <w:rsid w:val="00704BF4"/>
    <w:rsid w:val="00727DCD"/>
    <w:rsid w:val="00727E51"/>
    <w:rsid w:val="00735937"/>
    <w:rsid w:val="007361D2"/>
    <w:rsid w:val="007405DF"/>
    <w:rsid w:val="007421B4"/>
    <w:rsid w:val="007454FC"/>
    <w:rsid w:val="0074570C"/>
    <w:rsid w:val="007466CB"/>
    <w:rsid w:val="00750D91"/>
    <w:rsid w:val="007550A4"/>
    <w:rsid w:val="007570F7"/>
    <w:rsid w:val="0076415E"/>
    <w:rsid w:val="00771F45"/>
    <w:rsid w:val="00772A74"/>
    <w:rsid w:val="00773FF3"/>
    <w:rsid w:val="00774C2A"/>
    <w:rsid w:val="00784764"/>
    <w:rsid w:val="00784C36"/>
    <w:rsid w:val="007850B5"/>
    <w:rsid w:val="00786FE3"/>
    <w:rsid w:val="00793558"/>
    <w:rsid w:val="007A4950"/>
    <w:rsid w:val="007B18E6"/>
    <w:rsid w:val="007B19B3"/>
    <w:rsid w:val="007B2C3F"/>
    <w:rsid w:val="007B57B5"/>
    <w:rsid w:val="007B5910"/>
    <w:rsid w:val="007C391F"/>
    <w:rsid w:val="007C42C5"/>
    <w:rsid w:val="007C7E74"/>
    <w:rsid w:val="007D0B46"/>
    <w:rsid w:val="007D2008"/>
    <w:rsid w:val="007D5022"/>
    <w:rsid w:val="007E1471"/>
    <w:rsid w:val="007E3E82"/>
    <w:rsid w:val="007E6C75"/>
    <w:rsid w:val="007F21D8"/>
    <w:rsid w:val="007F3531"/>
    <w:rsid w:val="007F4A38"/>
    <w:rsid w:val="00802A97"/>
    <w:rsid w:val="00803A28"/>
    <w:rsid w:val="00804137"/>
    <w:rsid w:val="008067F0"/>
    <w:rsid w:val="00810394"/>
    <w:rsid w:val="00810D04"/>
    <w:rsid w:val="008113C6"/>
    <w:rsid w:val="00813CD2"/>
    <w:rsid w:val="008146D0"/>
    <w:rsid w:val="00814843"/>
    <w:rsid w:val="008153D6"/>
    <w:rsid w:val="00816433"/>
    <w:rsid w:val="00821BBC"/>
    <w:rsid w:val="00821C34"/>
    <w:rsid w:val="00823351"/>
    <w:rsid w:val="00826D46"/>
    <w:rsid w:val="0082796F"/>
    <w:rsid w:val="00827CBE"/>
    <w:rsid w:val="0083050D"/>
    <w:rsid w:val="00831CA5"/>
    <w:rsid w:val="00832205"/>
    <w:rsid w:val="008342FF"/>
    <w:rsid w:val="00836313"/>
    <w:rsid w:val="0084565D"/>
    <w:rsid w:val="00846467"/>
    <w:rsid w:val="00850DD4"/>
    <w:rsid w:val="00852DF6"/>
    <w:rsid w:val="00852FA8"/>
    <w:rsid w:val="00853EB9"/>
    <w:rsid w:val="00853F12"/>
    <w:rsid w:val="00855CF1"/>
    <w:rsid w:val="00855D9D"/>
    <w:rsid w:val="00861905"/>
    <w:rsid w:val="008637CE"/>
    <w:rsid w:val="00863B99"/>
    <w:rsid w:val="00863D17"/>
    <w:rsid w:val="00863D9F"/>
    <w:rsid w:val="00866F00"/>
    <w:rsid w:val="00867031"/>
    <w:rsid w:val="00867BFF"/>
    <w:rsid w:val="00870537"/>
    <w:rsid w:val="008726E4"/>
    <w:rsid w:val="00876515"/>
    <w:rsid w:val="008775A2"/>
    <w:rsid w:val="00880699"/>
    <w:rsid w:val="00880BEA"/>
    <w:rsid w:val="008813A1"/>
    <w:rsid w:val="008826A8"/>
    <w:rsid w:val="008A055E"/>
    <w:rsid w:val="008A0D44"/>
    <w:rsid w:val="008A4409"/>
    <w:rsid w:val="008A4667"/>
    <w:rsid w:val="008A7C62"/>
    <w:rsid w:val="008B0332"/>
    <w:rsid w:val="008B7396"/>
    <w:rsid w:val="008B7D88"/>
    <w:rsid w:val="008C1BD9"/>
    <w:rsid w:val="008C1F37"/>
    <w:rsid w:val="008C2268"/>
    <w:rsid w:val="008C3504"/>
    <w:rsid w:val="008C36DF"/>
    <w:rsid w:val="008C4DD2"/>
    <w:rsid w:val="008C60AC"/>
    <w:rsid w:val="008D2314"/>
    <w:rsid w:val="008D34F5"/>
    <w:rsid w:val="008D3645"/>
    <w:rsid w:val="008D699D"/>
    <w:rsid w:val="008D6BB7"/>
    <w:rsid w:val="008E0452"/>
    <w:rsid w:val="008E13A5"/>
    <w:rsid w:val="008F19B3"/>
    <w:rsid w:val="008F2C39"/>
    <w:rsid w:val="008F3D68"/>
    <w:rsid w:val="008F53BD"/>
    <w:rsid w:val="008F5C37"/>
    <w:rsid w:val="00900B93"/>
    <w:rsid w:val="00901967"/>
    <w:rsid w:val="0090211B"/>
    <w:rsid w:val="00905365"/>
    <w:rsid w:val="00906458"/>
    <w:rsid w:val="00907AD3"/>
    <w:rsid w:val="00910D12"/>
    <w:rsid w:val="00911279"/>
    <w:rsid w:val="00911530"/>
    <w:rsid w:val="009125C5"/>
    <w:rsid w:val="00912E25"/>
    <w:rsid w:val="0091507A"/>
    <w:rsid w:val="009153D8"/>
    <w:rsid w:val="00916EB2"/>
    <w:rsid w:val="00920D86"/>
    <w:rsid w:val="0092301E"/>
    <w:rsid w:val="00926F07"/>
    <w:rsid w:val="0092742E"/>
    <w:rsid w:val="00927CE2"/>
    <w:rsid w:val="00932684"/>
    <w:rsid w:val="00933BD2"/>
    <w:rsid w:val="00936BB1"/>
    <w:rsid w:val="00942C21"/>
    <w:rsid w:val="00942CCA"/>
    <w:rsid w:val="00943DC8"/>
    <w:rsid w:val="0094645B"/>
    <w:rsid w:val="00947AA8"/>
    <w:rsid w:val="00950DF1"/>
    <w:rsid w:val="00953AD7"/>
    <w:rsid w:val="009559D1"/>
    <w:rsid w:val="00955B79"/>
    <w:rsid w:val="009562B3"/>
    <w:rsid w:val="00961193"/>
    <w:rsid w:val="00963C8A"/>
    <w:rsid w:val="00964406"/>
    <w:rsid w:val="0096554F"/>
    <w:rsid w:val="009733B9"/>
    <w:rsid w:val="00974AA7"/>
    <w:rsid w:val="00975332"/>
    <w:rsid w:val="00975C0A"/>
    <w:rsid w:val="00980D8C"/>
    <w:rsid w:val="00983865"/>
    <w:rsid w:val="009839B3"/>
    <w:rsid w:val="00983D38"/>
    <w:rsid w:val="00983D94"/>
    <w:rsid w:val="00987F09"/>
    <w:rsid w:val="00990E3C"/>
    <w:rsid w:val="00994C6F"/>
    <w:rsid w:val="00995362"/>
    <w:rsid w:val="00995DA4"/>
    <w:rsid w:val="009A37A9"/>
    <w:rsid w:val="009B18B0"/>
    <w:rsid w:val="009B246C"/>
    <w:rsid w:val="009B2E69"/>
    <w:rsid w:val="009B434A"/>
    <w:rsid w:val="009B5261"/>
    <w:rsid w:val="009C4E0B"/>
    <w:rsid w:val="009D0D36"/>
    <w:rsid w:val="009D3F8F"/>
    <w:rsid w:val="009D7B7E"/>
    <w:rsid w:val="009E094E"/>
    <w:rsid w:val="00A00EA4"/>
    <w:rsid w:val="00A00FF4"/>
    <w:rsid w:val="00A0420C"/>
    <w:rsid w:val="00A05F44"/>
    <w:rsid w:val="00A06409"/>
    <w:rsid w:val="00A07A9F"/>
    <w:rsid w:val="00A10398"/>
    <w:rsid w:val="00A13CB9"/>
    <w:rsid w:val="00A17434"/>
    <w:rsid w:val="00A20FCE"/>
    <w:rsid w:val="00A25E90"/>
    <w:rsid w:val="00A27761"/>
    <w:rsid w:val="00A30170"/>
    <w:rsid w:val="00A31A61"/>
    <w:rsid w:val="00A330E6"/>
    <w:rsid w:val="00A346C1"/>
    <w:rsid w:val="00A4185B"/>
    <w:rsid w:val="00A42B11"/>
    <w:rsid w:val="00A43111"/>
    <w:rsid w:val="00A44D9F"/>
    <w:rsid w:val="00A46D4E"/>
    <w:rsid w:val="00A5118B"/>
    <w:rsid w:val="00A5177E"/>
    <w:rsid w:val="00A55E50"/>
    <w:rsid w:val="00A61125"/>
    <w:rsid w:val="00A62186"/>
    <w:rsid w:val="00A648AA"/>
    <w:rsid w:val="00A65723"/>
    <w:rsid w:val="00A6642F"/>
    <w:rsid w:val="00A73589"/>
    <w:rsid w:val="00A73C4D"/>
    <w:rsid w:val="00A82A4A"/>
    <w:rsid w:val="00A82C99"/>
    <w:rsid w:val="00A83B42"/>
    <w:rsid w:val="00A85167"/>
    <w:rsid w:val="00A900BF"/>
    <w:rsid w:val="00AA08A4"/>
    <w:rsid w:val="00AA138B"/>
    <w:rsid w:val="00AA4B2B"/>
    <w:rsid w:val="00AA4B7D"/>
    <w:rsid w:val="00AA6B00"/>
    <w:rsid w:val="00AA6D63"/>
    <w:rsid w:val="00AB4B34"/>
    <w:rsid w:val="00AB637E"/>
    <w:rsid w:val="00AB63EE"/>
    <w:rsid w:val="00AC09B0"/>
    <w:rsid w:val="00AC15BE"/>
    <w:rsid w:val="00AC1F58"/>
    <w:rsid w:val="00AC2A78"/>
    <w:rsid w:val="00AC392F"/>
    <w:rsid w:val="00AC73D2"/>
    <w:rsid w:val="00AD0596"/>
    <w:rsid w:val="00AD2E74"/>
    <w:rsid w:val="00AD3F93"/>
    <w:rsid w:val="00AD5E14"/>
    <w:rsid w:val="00AE2289"/>
    <w:rsid w:val="00AF36B6"/>
    <w:rsid w:val="00AF4701"/>
    <w:rsid w:val="00B016D8"/>
    <w:rsid w:val="00B02DCE"/>
    <w:rsid w:val="00B0365D"/>
    <w:rsid w:val="00B03B5D"/>
    <w:rsid w:val="00B07381"/>
    <w:rsid w:val="00B073AD"/>
    <w:rsid w:val="00B11927"/>
    <w:rsid w:val="00B14016"/>
    <w:rsid w:val="00B20229"/>
    <w:rsid w:val="00B20690"/>
    <w:rsid w:val="00B21A17"/>
    <w:rsid w:val="00B22C8C"/>
    <w:rsid w:val="00B2381D"/>
    <w:rsid w:val="00B27F2B"/>
    <w:rsid w:val="00B27F56"/>
    <w:rsid w:val="00B30358"/>
    <w:rsid w:val="00B32F25"/>
    <w:rsid w:val="00B3323A"/>
    <w:rsid w:val="00B340F6"/>
    <w:rsid w:val="00B342D4"/>
    <w:rsid w:val="00B35C12"/>
    <w:rsid w:val="00B37401"/>
    <w:rsid w:val="00B402BE"/>
    <w:rsid w:val="00B44888"/>
    <w:rsid w:val="00B44D9B"/>
    <w:rsid w:val="00B465A2"/>
    <w:rsid w:val="00B46C2D"/>
    <w:rsid w:val="00B46FFF"/>
    <w:rsid w:val="00B4739A"/>
    <w:rsid w:val="00B511FE"/>
    <w:rsid w:val="00B515B6"/>
    <w:rsid w:val="00B57BDE"/>
    <w:rsid w:val="00B6162B"/>
    <w:rsid w:val="00B61F4D"/>
    <w:rsid w:val="00B627CA"/>
    <w:rsid w:val="00B62EAE"/>
    <w:rsid w:val="00B63620"/>
    <w:rsid w:val="00B645D8"/>
    <w:rsid w:val="00B649CF"/>
    <w:rsid w:val="00B661E5"/>
    <w:rsid w:val="00B702E8"/>
    <w:rsid w:val="00B74332"/>
    <w:rsid w:val="00B77A1B"/>
    <w:rsid w:val="00B8031C"/>
    <w:rsid w:val="00B81107"/>
    <w:rsid w:val="00B816B1"/>
    <w:rsid w:val="00B8214C"/>
    <w:rsid w:val="00B83341"/>
    <w:rsid w:val="00B852AF"/>
    <w:rsid w:val="00B87206"/>
    <w:rsid w:val="00B8794D"/>
    <w:rsid w:val="00B87F03"/>
    <w:rsid w:val="00B90084"/>
    <w:rsid w:val="00B90FCC"/>
    <w:rsid w:val="00B95479"/>
    <w:rsid w:val="00B95C4A"/>
    <w:rsid w:val="00BA30FC"/>
    <w:rsid w:val="00BB01BF"/>
    <w:rsid w:val="00BB089F"/>
    <w:rsid w:val="00BB103D"/>
    <w:rsid w:val="00BB119C"/>
    <w:rsid w:val="00BB1820"/>
    <w:rsid w:val="00BB24C9"/>
    <w:rsid w:val="00BB24CE"/>
    <w:rsid w:val="00BC0BC0"/>
    <w:rsid w:val="00BC2577"/>
    <w:rsid w:val="00BC371E"/>
    <w:rsid w:val="00BC65C0"/>
    <w:rsid w:val="00BC7AA2"/>
    <w:rsid w:val="00BC7E1A"/>
    <w:rsid w:val="00BD3E46"/>
    <w:rsid w:val="00BD4451"/>
    <w:rsid w:val="00BD54AE"/>
    <w:rsid w:val="00BD6338"/>
    <w:rsid w:val="00BD6C83"/>
    <w:rsid w:val="00BE2550"/>
    <w:rsid w:val="00BE2E6D"/>
    <w:rsid w:val="00BE3211"/>
    <w:rsid w:val="00BF007A"/>
    <w:rsid w:val="00BF0211"/>
    <w:rsid w:val="00BF13A5"/>
    <w:rsid w:val="00BF15A3"/>
    <w:rsid w:val="00BF294F"/>
    <w:rsid w:val="00BF5F5E"/>
    <w:rsid w:val="00C024A7"/>
    <w:rsid w:val="00C027BD"/>
    <w:rsid w:val="00C04189"/>
    <w:rsid w:val="00C050E9"/>
    <w:rsid w:val="00C11586"/>
    <w:rsid w:val="00C150D4"/>
    <w:rsid w:val="00C156B7"/>
    <w:rsid w:val="00C17382"/>
    <w:rsid w:val="00C234ED"/>
    <w:rsid w:val="00C27180"/>
    <w:rsid w:val="00C30F57"/>
    <w:rsid w:val="00C349EB"/>
    <w:rsid w:val="00C3532F"/>
    <w:rsid w:val="00C37976"/>
    <w:rsid w:val="00C422B8"/>
    <w:rsid w:val="00C462C2"/>
    <w:rsid w:val="00C46EEE"/>
    <w:rsid w:val="00C4791B"/>
    <w:rsid w:val="00C47BD2"/>
    <w:rsid w:val="00C504BC"/>
    <w:rsid w:val="00C51864"/>
    <w:rsid w:val="00C518B6"/>
    <w:rsid w:val="00C52926"/>
    <w:rsid w:val="00C52CFF"/>
    <w:rsid w:val="00C54874"/>
    <w:rsid w:val="00C54F4F"/>
    <w:rsid w:val="00C55E5F"/>
    <w:rsid w:val="00C63C3D"/>
    <w:rsid w:val="00C64126"/>
    <w:rsid w:val="00C64515"/>
    <w:rsid w:val="00C70893"/>
    <w:rsid w:val="00C71E58"/>
    <w:rsid w:val="00C749A1"/>
    <w:rsid w:val="00C75381"/>
    <w:rsid w:val="00C759EB"/>
    <w:rsid w:val="00C809E3"/>
    <w:rsid w:val="00C83507"/>
    <w:rsid w:val="00C86349"/>
    <w:rsid w:val="00C87472"/>
    <w:rsid w:val="00C92463"/>
    <w:rsid w:val="00C94AB3"/>
    <w:rsid w:val="00C95F67"/>
    <w:rsid w:val="00C971EF"/>
    <w:rsid w:val="00CA5381"/>
    <w:rsid w:val="00CA713E"/>
    <w:rsid w:val="00CB430E"/>
    <w:rsid w:val="00CB4C9F"/>
    <w:rsid w:val="00CB528F"/>
    <w:rsid w:val="00CB7C39"/>
    <w:rsid w:val="00CC208F"/>
    <w:rsid w:val="00CC241A"/>
    <w:rsid w:val="00CC242F"/>
    <w:rsid w:val="00CC31F5"/>
    <w:rsid w:val="00CC416F"/>
    <w:rsid w:val="00CD1299"/>
    <w:rsid w:val="00CD358D"/>
    <w:rsid w:val="00CE2480"/>
    <w:rsid w:val="00CE4BF3"/>
    <w:rsid w:val="00CF2A8E"/>
    <w:rsid w:val="00CF3336"/>
    <w:rsid w:val="00CF3BAD"/>
    <w:rsid w:val="00CF3C03"/>
    <w:rsid w:val="00CF562D"/>
    <w:rsid w:val="00CF57FC"/>
    <w:rsid w:val="00D03795"/>
    <w:rsid w:val="00D0473C"/>
    <w:rsid w:val="00D06479"/>
    <w:rsid w:val="00D0773F"/>
    <w:rsid w:val="00D101C0"/>
    <w:rsid w:val="00D1025C"/>
    <w:rsid w:val="00D109E7"/>
    <w:rsid w:val="00D114A2"/>
    <w:rsid w:val="00D11D51"/>
    <w:rsid w:val="00D12B5D"/>
    <w:rsid w:val="00D2289A"/>
    <w:rsid w:val="00D2507C"/>
    <w:rsid w:val="00D27350"/>
    <w:rsid w:val="00D320D7"/>
    <w:rsid w:val="00D332D7"/>
    <w:rsid w:val="00D353A8"/>
    <w:rsid w:val="00D36B47"/>
    <w:rsid w:val="00D401BF"/>
    <w:rsid w:val="00D419A1"/>
    <w:rsid w:val="00D50500"/>
    <w:rsid w:val="00D51BD7"/>
    <w:rsid w:val="00D61C96"/>
    <w:rsid w:val="00D6219A"/>
    <w:rsid w:val="00D62451"/>
    <w:rsid w:val="00D64022"/>
    <w:rsid w:val="00D665A0"/>
    <w:rsid w:val="00D7116E"/>
    <w:rsid w:val="00D73862"/>
    <w:rsid w:val="00D7472A"/>
    <w:rsid w:val="00D86646"/>
    <w:rsid w:val="00D96AE7"/>
    <w:rsid w:val="00DA19E4"/>
    <w:rsid w:val="00DB30B8"/>
    <w:rsid w:val="00DC0CB5"/>
    <w:rsid w:val="00DC40EF"/>
    <w:rsid w:val="00DC74CB"/>
    <w:rsid w:val="00DD09F6"/>
    <w:rsid w:val="00DD2E40"/>
    <w:rsid w:val="00DD34AB"/>
    <w:rsid w:val="00DD786C"/>
    <w:rsid w:val="00DD7B7B"/>
    <w:rsid w:val="00DE16D2"/>
    <w:rsid w:val="00DE22CE"/>
    <w:rsid w:val="00DE27BB"/>
    <w:rsid w:val="00DE4B7A"/>
    <w:rsid w:val="00DF054E"/>
    <w:rsid w:val="00DF1929"/>
    <w:rsid w:val="00DF552D"/>
    <w:rsid w:val="00DF58ED"/>
    <w:rsid w:val="00E030DD"/>
    <w:rsid w:val="00E04746"/>
    <w:rsid w:val="00E064E5"/>
    <w:rsid w:val="00E07A36"/>
    <w:rsid w:val="00E12965"/>
    <w:rsid w:val="00E21D17"/>
    <w:rsid w:val="00E21D47"/>
    <w:rsid w:val="00E22528"/>
    <w:rsid w:val="00E22701"/>
    <w:rsid w:val="00E24CCD"/>
    <w:rsid w:val="00E25C30"/>
    <w:rsid w:val="00E260B7"/>
    <w:rsid w:val="00E316B8"/>
    <w:rsid w:val="00E32BA7"/>
    <w:rsid w:val="00E3504E"/>
    <w:rsid w:val="00E3575F"/>
    <w:rsid w:val="00E363E7"/>
    <w:rsid w:val="00E36909"/>
    <w:rsid w:val="00E3717F"/>
    <w:rsid w:val="00E37B66"/>
    <w:rsid w:val="00E405D3"/>
    <w:rsid w:val="00E440FD"/>
    <w:rsid w:val="00E52E32"/>
    <w:rsid w:val="00E54653"/>
    <w:rsid w:val="00E60221"/>
    <w:rsid w:val="00E60870"/>
    <w:rsid w:val="00E618EE"/>
    <w:rsid w:val="00E627A2"/>
    <w:rsid w:val="00E64733"/>
    <w:rsid w:val="00E676E3"/>
    <w:rsid w:val="00E7048B"/>
    <w:rsid w:val="00E71C63"/>
    <w:rsid w:val="00E73373"/>
    <w:rsid w:val="00E7461D"/>
    <w:rsid w:val="00E803B5"/>
    <w:rsid w:val="00E80A17"/>
    <w:rsid w:val="00E82B85"/>
    <w:rsid w:val="00E83767"/>
    <w:rsid w:val="00E8533D"/>
    <w:rsid w:val="00E86474"/>
    <w:rsid w:val="00E9108C"/>
    <w:rsid w:val="00EA44A7"/>
    <w:rsid w:val="00EA4C57"/>
    <w:rsid w:val="00EA66B7"/>
    <w:rsid w:val="00EB01BB"/>
    <w:rsid w:val="00EB39B3"/>
    <w:rsid w:val="00EB44C3"/>
    <w:rsid w:val="00EB61C2"/>
    <w:rsid w:val="00EB7869"/>
    <w:rsid w:val="00EC0E3A"/>
    <w:rsid w:val="00EC1D59"/>
    <w:rsid w:val="00EC2103"/>
    <w:rsid w:val="00EC28BA"/>
    <w:rsid w:val="00EC70DF"/>
    <w:rsid w:val="00EC7608"/>
    <w:rsid w:val="00EC7CF1"/>
    <w:rsid w:val="00ED2B10"/>
    <w:rsid w:val="00ED60B2"/>
    <w:rsid w:val="00EE14D6"/>
    <w:rsid w:val="00EE22CC"/>
    <w:rsid w:val="00EE2AE9"/>
    <w:rsid w:val="00EE518A"/>
    <w:rsid w:val="00EF2650"/>
    <w:rsid w:val="00EF4061"/>
    <w:rsid w:val="00F002D4"/>
    <w:rsid w:val="00F07ACF"/>
    <w:rsid w:val="00F106BC"/>
    <w:rsid w:val="00F12B55"/>
    <w:rsid w:val="00F12E14"/>
    <w:rsid w:val="00F13B08"/>
    <w:rsid w:val="00F143C3"/>
    <w:rsid w:val="00F14FA4"/>
    <w:rsid w:val="00F21052"/>
    <w:rsid w:val="00F21C38"/>
    <w:rsid w:val="00F2744C"/>
    <w:rsid w:val="00F30DF8"/>
    <w:rsid w:val="00F33DFA"/>
    <w:rsid w:val="00F342CB"/>
    <w:rsid w:val="00F3500B"/>
    <w:rsid w:val="00F3756B"/>
    <w:rsid w:val="00F40C42"/>
    <w:rsid w:val="00F43227"/>
    <w:rsid w:val="00F453CC"/>
    <w:rsid w:val="00F45D9A"/>
    <w:rsid w:val="00F46EB4"/>
    <w:rsid w:val="00F4761B"/>
    <w:rsid w:val="00F54944"/>
    <w:rsid w:val="00F54B09"/>
    <w:rsid w:val="00F56649"/>
    <w:rsid w:val="00F57F3D"/>
    <w:rsid w:val="00F6344E"/>
    <w:rsid w:val="00F670F0"/>
    <w:rsid w:val="00F7192D"/>
    <w:rsid w:val="00F7208C"/>
    <w:rsid w:val="00F7427F"/>
    <w:rsid w:val="00F74CE6"/>
    <w:rsid w:val="00F82F2D"/>
    <w:rsid w:val="00F83702"/>
    <w:rsid w:val="00F8483F"/>
    <w:rsid w:val="00F9188E"/>
    <w:rsid w:val="00F91B96"/>
    <w:rsid w:val="00F95467"/>
    <w:rsid w:val="00F97FB1"/>
    <w:rsid w:val="00FA0827"/>
    <w:rsid w:val="00FA15F5"/>
    <w:rsid w:val="00FA2893"/>
    <w:rsid w:val="00FA4AAB"/>
    <w:rsid w:val="00FB1BB2"/>
    <w:rsid w:val="00FB24E3"/>
    <w:rsid w:val="00FC03D2"/>
    <w:rsid w:val="00FC65B6"/>
    <w:rsid w:val="00FC6A6A"/>
    <w:rsid w:val="00FC7468"/>
    <w:rsid w:val="00FC7853"/>
    <w:rsid w:val="00FD13B8"/>
    <w:rsid w:val="00FD2424"/>
    <w:rsid w:val="00FD6DF0"/>
    <w:rsid w:val="00FE4BB7"/>
    <w:rsid w:val="00FE4C28"/>
    <w:rsid w:val="00FF4056"/>
    <w:rsid w:val="00FF47AE"/>
    <w:rsid w:val="00FF4815"/>
    <w:rsid w:val="03F7271C"/>
    <w:rsid w:val="06841B50"/>
    <w:rsid w:val="07874657"/>
    <w:rsid w:val="08927408"/>
    <w:rsid w:val="0BA16E44"/>
    <w:rsid w:val="0FFD63F2"/>
    <w:rsid w:val="12503CB2"/>
    <w:rsid w:val="162D0A96"/>
    <w:rsid w:val="16735BF4"/>
    <w:rsid w:val="169E0B55"/>
    <w:rsid w:val="184E0373"/>
    <w:rsid w:val="186A119B"/>
    <w:rsid w:val="1BC0516A"/>
    <w:rsid w:val="1D79588A"/>
    <w:rsid w:val="20A851F7"/>
    <w:rsid w:val="29430BD0"/>
    <w:rsid w:val="29EF6289"/>
    <w:rsid w:val="2F384A4E"/>
    <w:rsid w:val="338E366B"/>
    <w:rsid w:val="344F10BA"/>
    <w:rsid w:val="34B6714E"/>
    <w:rsid w:val="36E63FD9"/>
    <w:rsid w:val="3A90104D"/>
    <w:rsid w:val="3C1104D4"/>
    <w:rsid w:val="3E5C0D48"/>
    <w:rsid w:val="40185911"/>
    <w:rsid w:val="40983F14"/>
    <w:rsid w:val="44FD6057"/>
    <w:rsid w:val="472A08A1"/>
    <w:rsid w:val="481620DE"/>
    <w:rsid w:val="4896375A"/>
    <w:rsid w:val="4909049C"/>
    <w:rsid w:val="4C331AC3"/>
    <w:rsid w:val="5032406B"/>
    <w:rsid w:val="50DC3CAB"/>
    <w:rsid w:val="531C64AB"/>
    <w:rsid w:val="53BE49C6"/>
    <w:rsid w:val="5427546B"/>
    <w:rsid w:val="573949F6"/>
    <w:rsid w:val="577824DB"/>
    <w:rsid w:val="579E18AB"/>
    <w:rsid w:val="59295274"/>
    <w:rsid w:val="5B732B04"/>
    <w:rsid w:val="5C533237"/>
    <w:rsid w:val="5F000848"/>
    <w:rsid w:val="60110172"/>
    <w:rsid w:val="60BD1373"/>
    <w:rsid w:val="62461EFB"/>
    <w:rsid w:val="63886CCA"/>
    <w:rsid w:val="63DA61B2"/>
    <w:rsid w:val="64327FA4"/>
    <w:rsid w:val="64576C5E"/>
    <w:rsid w:val="652A33C2"/>
    <w:rsid w:val="69527BF0"/>
    <w:rsid w:val="6B1D5932"/>
    <w:rsid w:val="6D7E0D3C"/>
    <w:rsid w:val="6E454CC8"/>
    <w:rsid w:val="711C5297"/>
    <w:rsid w:val="72882992"/>
    <w:rsid w:val="735A63BB"/>
    <w:rsid w:val="73BF6303"/>
    <w:rsid w:val="74CB6073"/>
    <w:rsid w:val="75185C48"/>
    <w:rsid w:val="75E3650B"/>
    <w:rsid w:val="77C2258F"/>
    <w:rsid w:val="7B3C0927"/>
    <w:rsid w:val="7B6E21F1"/>
    <w:rsid w:val="7D31491D"/>
    <w:rsid w:val="9DFF52BB"/>
    <w:rsid w:val="E0FBA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link w:val="2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5">
    <w:name w:val="heading 3"/>
    <w:basedOn w:val="1"/>
    <w:next w:val="1"/>
    <w:link w:val="40"/>
    <w:qFormat/>
    <w:uiPriority w:val="0"/>
    <w:pPr>
      <w:keepNext/>
      <w:keepLines/>
      <w:spacing w:before="260" w:after="260" w:line="416" w:lineRule="auto"/>
      <w:outlineLvl w:val="2"/>
    </w:pPr>
    <w:rPr>
      <w:rFonts w:eastAsia="宋体"/>
      <w:b/>
      <w:bCs/>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styleId="6">
    <w:name w:val="index 6"/>
    <w:basedOn w:val="1"/>
    <w:next w:val="1"/>
    <w:unhideWhenUsed/>
    <w:qFormat/>
    <w:uiPriority w:val="99"/>
    <w:pPr>
      <w:ind w:left="1000" w:leftChars="1000"/>
    </w:pPr>
  </w:style>
  <w:style w:type="paragraph" w:styleId="7">
    <w:name w:val="Body Text"/>
    <w:basedOn w:val="1"/>
    <w:link w:val="31"/>
    <w:unhideWhenUsed/>
    <w:qFormat/>
    <w:uiPriority w:val="99"/>
    <w:pPr>
      <w:spacing w:after="120"/>
    </w:pPr>
  </w:style>
  <w:style w:type="paragraph" w:styleId="8">
    <w:name w:val="Body Text Indent"/>
    <w:basedOn w:val="1"/>
    <w:link w:val="33"/>
    <w:unhideWhenUsed/>
    <w:qFormat/>
    <w:uiPriority w:val="99"/>
    <w:pPr>
      <w:spacing w:after="120"/>
      <w:ind w:left="420" w:leftChars="200"/>
    </w:pPr>
  </w:style>
  <w:style w:type="paragraph" w:styleId="9">
    <w:name w:val="toc 5"/>
    <w:basedOn w:val="1"/>
    <w:next w:val="1"/>
    <w:unhideWhenUsed/>
    <w:qFormat/>
    <w:uiPriority w:val="39"/>
    <w:pPr>
      <w:ind w:left="1680" w:leftChars="800"/>
    </w:pPr>
  </w:style>
  <w:style w:type="paragraph" w:styleId="10">
    <w:name w:val="Plain Text"/>
    <w:basedOn w:val="1"/>
    <w:link w:val="39"/>
    <w:unhideWhenUsed/>
    <w:qFormat/>
    <w:uiPriority w:val="0"/>
    <w:pPr>
      <w:snapToGrid w:val="0"/>
      <w:ind w:firstLine="648" w:firstLineChars="200"/>
      <w:jc w:val="left"/>
    </w:pPr>
    <w:rPr>
      <w:rFonts w:ascii="方正黑体_GBK" w:hAnsi="Courier New" w:cstheme="minorBidi"/>
      <w:kern w:val="0"/>
      <w:szCs w:val="21"/>
    </w:rPr>
  </w:style>
  <w:style w:type="paragraph" w:styleId="11">
    <w:name w:val="Balloon Text"/>
    <w:basedOn w:val="1"/>
    <w:link w:val="42"/>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rPr>
      <w:rFonts w:ascii="Calibri" w:hAnsi="Calibri" w:eastAsia="宋体"/>
      <w:sz w:val="21"/>
      <w:szCs w:val="24"/>
    </w:rPr>
  </w:style>
  <w:style w:type="paragraph" w:styleId="15">
    <w:name w:val="footnote text"/>
    <w:basedOn w:val="1"/>
    <w:next w:val="13"/>
    <w:link w:val="35"/>
    <w:qFormat/>
    <w:uiPriority w:val="99"/>
    <w:pPr>
      <w:snapToGrid w:val="0"/>
      <w:jc w:val="left"/>
    </w:pPr>
    <w:rPr>
      <w:rFonts w:ascii="Calibri" w:hAnsi="Calibri" w:eastAsia="宋体"/>
      <w:sz w:val="21"/>
      <w:szCs w:val="24"/>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Body Text First Indent"/>
    <w:basedOn w:val="7"/>
    <w:next w:val="6"/>
    <w:link w:val="32"/>
    <w:qFormat/>
    <w:uiPriority w:val="99"/>
    <w:pPr>
      <w:ind w:firstLine="200" w:firstLineChars="200"/>
    </w:pPr>
    <w:rPr>
      <w:rFonts w:eastAsia="宋体" w:cs="Arial"/>
      <w:sz w:val="21"/>
      <w:szCs w:val="24"/>
    </w:rPr>
  </w:style>
  <w:style w:type="paragraph" w:styleId="19">
    <w:name w:val="Body Text First Indent 2"/>
    <w:basedOn w:val="8"/>
    <w:qFormat/>
    <w:uiPriority w:val="99"/>
    <w:pPr>
      <w:ind w:firstLine="420"/>
    </w:pPr>
  </w:style>
  <w:style w:type="character" w:styleId="22">
    <w:name w:val="Hyperlink"/>
    <w:basedOn w:val="21"/>
    <w:unhideWhenUsed/>
    <w:qFormat/>
    <w:uiPriority w:val="99"/>
    <w:rPr>
      <w:color w:val="0563C1" w:themeColor="hyperlink"/>
      <w:u w:val="single"/>
    </w:rPr>
  </w:style>
  <w:style w:type="paragraph" w:customStyle="1" w:styleId="23">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24">
    <w:name w:val="页眉 Char"/>
    <w:basedOn w:val="21"/>
    <w:link w:val="13"/>
    <w:qFormat/>
    <w:uiPriority w:val="99"/>
    <w:rPr>
      <w:rFonts w:ascii="方正仿宋_GBK" w:hAnsi="Times New Roman" w:eastAsia="方正仿宋_GBK" w:cs="Times New Roman"/>
      <w:sz w:val="18"/>
      <w:szCs w:val="18"/>
    </w:rPr>
  </w:style>
  <w:style w:type="character" w:customStyle="1" w:styleId="25">
    <w:name w:val="页脚 Char"/>
    <w:basedOn w:val="21"/>
    <w:link w:val="12"/>
    <w:qFormat/>
    <w:uiPriority w:val="99"/>
    <w:rPr>
      <w:rFonts w:ascii="方正仿宋_GBK" w:hAnsi="Times New Roman" w:eastAsia="方正仿宋_GBK" w:cs="Times New Roman"/>
      <w:sz w:val="18"/>
      <w:szCs w:val="18"/>
    </w:rPr>
  </w:style>
  <w:style w:type="paragraph" w:customStyle="1" w:styleId="26">
    <w:name w:val="Char Char Char1 Char Char Char Char Char Char Char Char Char Char1"/>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27">
    <w:name w:val="标题 1 Char"/>
    <w:basedOn w:val="21"/>
    <w:link w:val="3"/>
    <w:qFormat/>
    <w:uiPriority w:val="9"/>
    <w:rPr>
      <w:rFonts w:ascii="宋体" w:hAnsi="宋体" w:eastAsia="宋体" w:cs="宋体"/>
      <w:b/>
      <w:bCs/>
      <w:kern w:val="36"/>
      <w:sz w:val="48"/>
      <w:szCs w:val="48"/>
    </w:rPr>
  </w:style>
  <w:style w:type="paragraph" w:customStyle="1" w:styleId="28">
    <w:name w:val="Char Char Char1 Char Char Char Char Char Char Char Char Char Char2"/>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29">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3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31">
    <w:name w:val="正文文本 Char"/>
    <w:basedOn w:val="21"/>
    <w:link w:val="7"/>
    <w:qFormat/>
    <w:uiPriority w:val="99"/>
    <w:rPr>
      <w:rFonts w:ascii="方正仿宋_GBK" w:hAnsi="Times New Roman" w:eastAsia="方正仿宋_GBK" w:cs="Times New Roman"/>
      <w:sz w:val="32"/>
      <w:szCs w:val="32"/>
    </w:rPr>
  </w:style>
  <w:style w:type="character" w:customStyle="1" w:styleId="32">
    <w:name w:val="正文首行缩进 Char"/>
    <w:basedOn w:val="31"/>
    <w:link w:val="18"/>
    <w:qFormat/>
    <w:uiPriority w:val="99"/>
    <w:rPr>
      <w:rFonts w:ascii="Times New Roman" w:hAnsi="Times New Roman" w:eastAsia="宋体" w:cs="Arial"/>
      <w:sz w:val="32"/>
      <w:szCs w:val="24"/>
    </w:rPr>
  </w:style>
  <w:style w:type="character" w:customStyle="1" w:styleId="33">
    <w:name w:val="正文文本缩进 Char"/>
    <w:basedOn w:val="21"/>
    <w:link w:val="8"/>
    <w:semiHidden/>
    <w:qFormat/>
    <w:uiPriority w:val="99"/>
    <w:rPr>
      <w:rFonts w:ascii="方正仿宋_GBK" w:hAnsi="Times New Roman" w:eastAsia="方正仿宋_GBK" w:cs="Times New Roman"/>
      <w:sz w:val="32"/>
      <w:szCs w:val="32"/>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 w:val="21"/>
      <w:szCs w:val="22"/>
    </w:rPr>
  </w:style>
  <w:style w:type="character" w:customStyle="1" w:styleId="35">
    <w:name w:val="脚注文本 Char"/>
    <w:basedOn w:val="21"/>
    <w:link w:val="15"/>
    <w:qFormat/>
    <w:uiPriority w:val="99"/>
    <w:rPr>
      <w:rFonts w:ascii="Calibri" w:hAnsi="Calibri" w:eastAsia="宋体" w:cs="Times New Roman"/>
      <w:szCs w:val="24"/>
    </w:rPr>
  </w:style>
  <w:style w:type="character" w:customStyle="1" w:styleId="36">
    <w:name w:val="占位符文本1"/>
    <w:basedOn w:val="21"/>
    <w:semiHidden/>
    <w:qFormat/>
    <w:uiPriority w:val="99"/>
    <w:rPr>
      <w:color w:val="808080"/>
    </w:rPr>
  </w:style>
  <w:style w:type="paragraph" w:customStyle="1" w:styleId="3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Char4 Char Char Char"/>
    <w:basedOn w:val="1"/>
    <w:qFormat/>
    <w:uiPriority w:val="0"/>
    <w:pPr>
      <w:adjustRightInd w:val="0"/>
      <w:snapToGrid w:val="0"/>
      <w:spacing w:line="360" w:lineRule="auto"/>
      <w:ind w:firstLine="200" w:firstLineChars="200"/>
    </w:pPr>
    <w:rPr>
      <w:szCs w:val="20"/>
    </w:rPr>
  </w:style>
  <w:style w:type="character" w:customStyle="1" w:styleId="39">
    <w:name w:val="纯文本 Char"/>
    <w:basedOn w:val="21"/>
    <w:link w:val="10"/>
    <w:qFormat/>
    <w:uiPriority w:val="0"/>
    <w:rPr>
      <w:rFonts w:ascii="方正黑体_GBK" w:hAnsi="Courier New" w:eastAsia="方正仿宋_GBK"/>
      <w:kern w:val="0"/>
      <w:sz w:val="32"/>
      <w:szCs w:val="21"/>
    </w:rPr>
  </w:style>
  <w:style w:type="character" w:customStyle="1" w:styleId="40">
    <w:name w:val="标题 3 Char"/>
    <w:basedOn w:val="21"/>
    <w:link w:val="5"/>
    <w:qFormat/>
    <w:uiPriority w:val="0"/>
    <w:rPr>
      <w:rFonts w:ascii="Times New Roman" w:hAnsi="Times New Roman" w:eastAsia="宋体" w:cs="Times New Roman"/>
      <w:b/>
      <w:bCs/>
      <w:kern w:val="2"/>
      <w:sz w:val="32"/>
      <w:szCs w:val="32"/>
    </w:rPr>
  </w:style>
  <w:style w:type="paragraph" w:customStyle="1" w:styleId="41">
    <w:name w:val="TOC 标题1"/>
    <w:basedOn w:val="3"/>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2F5496" w:themeColor="accent1" w:themeShade="BF"/>
      <w:kern w:val="0"/>
      <w:sz w:val="28"/>
      <w:szCs w:val="28"/>
    </w:rPr>
  </w:style>
  <w:style w:type="character" w:customStyle="1" w:styleId="42">
    <w:name w:val="批注框文本 Char"/>
    <w:basedOn w:val="21"/>
    <w:link w:val="11"/>
    <w:semiHidden/>
    <w:qFormat/>
    <w:uiPriority w:val="99"/>
    <w:rPr>
      <w:rFonts w:ascii="方正仿宋_GBK" w:hAnsi="Times New Roman" w:eastAsia="方正仿宋_GBK" w:cs="Times New Roman"/>
      <w:kern w:val="2"/>
      <w:sz w:val="18"/>
      <w:szCs w:val="18"/>
    </w:rPr>
  </w:style>
  <w:style w:type="character" w:customStyle="1" w:styleId="43">
    <w:name w:val="标题 2 Char"/>
    <w:basedOn w:val="21"/>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2408</Words>
  <Characters>2550</Characters>
  <Lines>7</Lines>
  <Paragraphs>39</Paragraphs>
  <TotalTime>11</TotalTime>
  <ScaleCrop>false</ScaleCrop>
  <LinksUpToDate>false</LinksUpToDate>
  <CharactersWithSpaces>2599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2021-12-30T07:18:00Z</dcterms:created>
  <dc:creator>bai bai</dc:creator>
  <cp:lastModifiedBy>温星星</cp:lastModifiedBy>
  <cp:lastPrinted>2021-12-31T08:39:00Z</cp:lastPrinted>
  <dcterms:modified xsi:type="dcterms:W3CDTF">2024-12-24T06:02:05Z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229285989_btnclosed</vt:lpwstr>
  </property>
  <property fmtid="{D5CDD505-2E9C-101B-9397-08002B2CF9AE}" pid="3" name="KSOProductBuildVer">
    <vt:lpwstr>2052-12.1.0.19302</vt:lpwstr>
  </property>
  <property fmtid="{D5CDD505-2E9C-101B-9397-08002B2CF9AE}" pid="4" name="ICV">
    <vt:lpwstr>F0C3DA6F74F849C7A8ED4E6656FC5753</vt:lpwstr>
  </property>
</Properties>
</file>