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6FBD">
      <w:pPr>
        <w:jc w:val="center"/>
        <w:rPr>
          <w:rFonts w:hint="default" w:ascii="Times New Roman" w:hAnsi="Times New Roman" w:cs="Times New Roman" w:eastAsiaTheme="majorEastAsia"/>
          <w:sz w:val="44"/>
          <w:szCs w:val="44"/>
        </w:rPr>
      </w:pPr>
      <w:r>
        <w:rPr>
          <w:rFonts w:hint="default" w:ascii="Times New Roman" w:hAnsi="Times New Roman" w:cs="Times New Roman" w:eastAsiaTheme="majorEastAsia"/>
          <w:sz w:val="44"/>
          <w:szCs w:val="44"/>
          <w:lang w:val="en-US" w:eastAsia="zh-CN"/>
        </w:rPr>
        <w:t xml:space="preserve"> </w:t>
      </w:r>
      <w:r>
        <w:rPr>
          <w:rFonts w:hint="default" w:ascii="Times New Roman" w:hAnsi="Times New Roman" w:cs="Times New Roman" w:eastAsiaTheme="majorEastAsia"/>
          <w:sz w:val="44"/>
          <w:szCs w:val="44"/>
        </w:rPr>
        <w:t>酉阳土家族苗族自治县宜居乡</w:t>
      </w:r>
    </w:p>
    <w:p w14:paraId="5B8D551E">
      <w:pPr>
        <w:jc w:val="center"/>
        <w:rPr>
          <w:rFonts w:hint="default" w:ascii="Times New Roman" w:hAnsi="Times New Roman" w:cs="Times New Roman" w:eastAsiaTheme="majorEastAsia"/>
          <w:sz w:val="44"/>
          <w:szCs w:val="44"/>
        </w:rPr>
      </w:pPr>
      <w:r>
        <w:rPr>
          <w:rFonts w:hint="default" w:ascii="Times New Roman" w:hAnsi="Times New Roman" w:cs="Times New Roman" w:eastAsiaTheme="majorEastAsia"/>
          <w:sz w:val="44"/>
          <w:szCs w:val="44"/>
        </w:rPr>
        <w:t>关于20</w:t>
      </w:r>
      <w:r>
        <w:rPr>
          <w:rFonts w:hint="default" w:ascii="Times New Roman" w:hAnsi="Times New Roman" w:cs="Times New Roman" w:eastAsiaTheme="majorEastAsia"/>
          <w:sz w:val="44"/>
          <w:szCs w:val="44"/>
          <w:lang w:val="en-US" w:eastAsia="zh-CN"/>
        </w:rPr>
        <w:t>24</w:t>
      </w:r>
      <w:r>
        <w:rPr>
          <w:rFonts w:hint="default" w:ascii="Times New Roman" w:hAnsi="Times New Roman" w:cs="Times New Roman" w:eastAsiaTheme="majorEastAsia"/>
          <w:sz w:val="44"/>
          <w:szCs w:val="44"/>
        </w:rPr>
        <w:t>年度法治政府建设情况的报告</w:t>
      </w:r>
    </w:p>
    <w:p w14:paraId="1C240084">
      <w:pPr>
        <w:rPr>
          <w:rFonts w:hint="default" w:ascii="Times New Roman" w:hAnsi="Times New Roman" w:cs="Times New Roman"/>
        </w:rPr>
      </w:pPr>
    </w:p>
    <w:p w14:paraId="47421C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lang w:val="en-US" w:eastAsia="zh-CN"/>
        </w:rPr>
        <w:t>宜居乡</w:t>
      </w:r>
      <w:r>
        <w:rPr>
          <w:rFonts w:hint="default" w:ascii="Times New Roman" w:hAnsi="Times New Roman" w:eastAsia="仿宋" w:cs="Times New Roman"/>
          <w:sz w:val="32"/>
          <w:szCs w:val="32"/>
        </w:rPr>
        <w:t>以习近平新时代中国特色社会主义思想和法治思想为指引，以党的二十大</w:t>
      </w:r>
      <w:r>
        <w:rPr>
          <w:rFonts w:hint="default" w:ascii="Times New Roman" w:hAnsi="Times New Roman" w:eastAsia="仿宋" w:cs="Times New Roman"/>
          <w:sz w:val="32"/>
          <w:szCs w:val="32"/>
          <w:lang w:val="en-US" w:eastAsia="zh-CN"/>
        </w:rPr>
        <w:t>和二十届二中、三中全会精神</w:t>
      </w:r>
      <w:r>
        <w:rPr>
          <w:rFonts w:hint="default" w:ascii="Times New Roman" w:hAnsi="Times New Roman" w:eastAsia="仿宋" w:cs="Times New Roman"/>
          <w:sz w:val="32"/>
          <w:szCs w:val="32"/>
        </w:rPr>
        <w:t>为指导，在县委县政府的正确领导下，全面贯彻习近平法治思想，紧紧围绕中心大局，以维护社会和谐稳定为主线，以夯实基层基础为根基，以提升队伍综合素质为保障，落实县委、县政府关于法治政府建设的工作部署，</w:t>
      </w:r>
      <w:r>
        <w:rPr>
          <w:rFonts w:hint="default" w:ascii="Times New Roman" w:hAnsi="Times New Roman" w:eastAsia="仿宋" w:cs="Times New Roman"/>
          <w:sz w:val="32"/>
          <w:szCs w:val="32"/>
          <w:lang w:val="en-US" w:eastAsia="zh-CN"/>
        </w:rPr>
        <w:t>恪尽职守，认真履行主体责任，当好了参谋助手的作用，</w:t>
      </w:r>
      <w:r>
        <w:rPr>
          <w:rFonts w:hint="default" w:ascii="Times New Roman" w:hAnsi="Times New Roman" w:eastAsia="仿宋" w:cs="Times New Roman"/>
          <w:sz w:val="32"/>
          <w:szCs w:val="32"/>
        </w:rPr>
        <w:t>较好地完成了各项工作任务，法治政府建设取得</w:t>
      </w:r>
      <w:r>
        <w:rPr>
          <w:rFonts w:hint="default" w:ascii="Times New Roman" w:hAnsi="Times New Roman" w:eastAsia="仿宋" w:cs="Times New Roman"/>
          <w:sz w:val="32"/>
          <w:szCs w:val="32"/>
          <w:lang w:val="en-US" w:eastAsia="zh-CN"/>
        </w:rPr>
        <w:t>了新进展、</w:t>
      </w:r>
      <w:r>
        <w:rPr>
          <w:rFonts w:hint="default" w:ascii="Times New Roman" w:hAnsi="Times New Roman" w:eastAsia="仿宋" w:cs="Times New Roman"/>
          <w:sz w:val="32"/>
          <w:szCs w:val="32"/>
        </w:rPr>
        <w:t>新成效。现将202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年法治政府建设情况报告如下：</w:t>
      </w:r>
    </w:p>
    <w:p w14:paraId="0BBA32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方正黑体_GBK" w:cs="Times New Roman"/>
          <w:sz w:val="32"/>
          <w:szCs w:val="32"/>
          <w:lang w:val="en-US" w:eastAsia="zh-CN"/>
        </w:rPr>
        <w:t>一、法治政府建设主要举措和成效</w:t>
      </w:r>
    </w:p>
    <w:p w14:paraId="3C439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深入学习宣传贯彻习近平法治思想</w:t>
      </w:r>
    </w:p>
    <w:p w14:paraId="3F50CF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以习近平新时代中国特色社会主义思想为指导，全面贯彻落实党的二十大</w:t>
      </w:r>
      <w:r>
        <w:rPr>
          <w:rFonts w:hint="default" w:ascii="Times New Roman" w:hAnsi="Times New Roman" w:eastAsia="仿宋" w:cs="Times New Roman"/>
          <w:sz w:val="32"/>
          <w:szCs w:val="32"/>
          <w:lang w:val="en-US" w:eastAsia="zh-CN"/>
        </w:rPr>
        <w:t>和二十届二中、三中全会</w:t>
      </w:r>
      <w:r>
        <w:rPr>
          <w:rFonts w:hint="default" w:ascii="Times New Roman" w:hAnsi="Times New Roman" w:eastAsia="仿宋" w:cs="Times New Roman"/>
          <w:sz w:val="32"/>
          <w:szCs w:val="32"/>
        </w:rPr>
        <w:t>精神，深入贯彻学习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乡经济社会发展提供有力法治保障。</w:t>
      </w:r>
    </w:p>
    <w:p w14:paraId="79AD74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（二）强化组织领导，努力夯实法治政府建设基础</w:t>
      </w:r>
    </w:p>
    <w:p w14:paraId="5136F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我乡根据关于推进法治政府建设相关文件的要求，结合我乡实际情况，成立法治政府建设工作领导小组，由党委书记任组长，</w:t>
      </w:r>
      <w:r>
        <w:rPr>
          <w:rFonts w:hint="default" w:ascii="Times New Roman" w:hAnsi="Times New Roman" w:eastAsia="仿宋" w:cs="Times New Roman"/>
          <w:sz w:val="32"/>
          <w:szCs w:val="32"/>
          <w:lang w:val="en-US" w:eastAsia="zh-CN"/>
        </w:rPr>
        <w:t>平安法治A、B岗</w:t>
      </w:r>
      <w:r>
        <w:rPr>
          <w:rFonts w:hint="default" w:ascii="Times New Roman" w:hAnsi="Times New Roman" w:eastAsia="仿宋" w:cs="Times New Roman"/>
          <w:sz w:val="32"/>
          <w:szCs w:val="32"/>
        </w:rPr>
        <w:t>任副组长，各办公室负责人为成员的法治政府建设工作领导小组，构建了第一责任人亲自抓，分管领导直接抓，各职能部门具体抓的组织领导机构。紧紧抓住领导干部这个“关键少数”，强化依法行政要从学法用法开始的法治思维。制定完善学法用法相关制度，坚持党委会会前领导干部带头学法</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确保法治政府建设工作顺利开展。</w:t>
      </w:r>
    </w:p>
    <w:p w14:paraId="3DF96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（三）宣传教育先行，发挥普法工作“治未病”功能</w:t>
      </w:r>
    </w:p>
    <w:p w14:paraId="7E1C56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坚持全方位多形式宣传，营造良好的教育宣传氛围。一是乡平安办组织司法所与派出所到辖区内小学及幼儿园开展</w:t>
      </w:r>
      <w:r>
        <w:rPr>
          <w:rFonts w:hint="default" w:ascii="Times New Roman" w:hAnsi="Times New Roman" w:eastAsia="仿宋" w:cs="Times New Roman"/>
          <w:sz w:val="32"/>
          <w:szCs w:val="32"/>
          <w:lang w:eastAsia="zh-CN"/>
        </w:rPr>
        <w:t>法治</w:t>
      </w:r>
      <w:r>
        <w:rPr>
          <w:rFonts w:hint="default" w:ascii="Times New Roman" w:hAnsi="Times New Roman" w:eastAsia="仿宋" w:cs="Times New Roman"/>
          <w:sz w:val="32"/>
          <w:szCs w:val="32"/>
        </w:rPr>
        <w:t>进校园活动，干警们对小学生、学龄前儿童防范违法犯罪开展宣讲，对《未成年人保护法》、《预防未成年人犯罪法》、《义务教育法》、《民法通则》与学生有关的法律法规进行解读，并对学生校园暴力防范及发生在身边的案例进行宣讲。</w:t>
      </w:r>
      <w:r>
        <w:rPr>
          <w:rFonts w:hint="default" w:ascii="Times New Roman" w:hAnsi="Times New Roman" w:eastAsia="仿宋" w:cs="Times New Roman"/>
          <w:sz w:val="32"/>
          <w:szCs w:val="32"/>
          <w:lang w:val="en-US" w:eastAsia="zh-CN"/>
        </w:rPr>
        <w:t>二是</w:t>
      </w:r>
      <w:r>
        <w:rPr>
          <w:rFonts w:hint="default" w:ascii="Times New Roman" w:hAnsi="Times New Roman" w:eastAsia="仿宋" w:cs="Times New Roman"/>
          <w:sz w:val="32"/>
          <w:szCs w:val="32"/>
        </w:rPr>
        <w:t>结合“八五”普法宣传计划与“谁执法谁普法”原则，积极协调辖区各中心、办所等部门</w:t>
      </w:r>
      <w:r>
        <w:rPr>
          <w:rFonts w:hint="default" w:ascii="Times New Roman" w:hAnsi="Times New Roman" w:eastAsia="仿宋" w:cs="Times New Roman"/>
          <w:sz w:val="32"/>
          <w:szCs w:val="32"/>
        </w:rPr>
        <w:t>开展各类法治宣传活动，利用“</w:t>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t>月”法治宣传月、“4.15”国家安全教育日、“6.26”国际禁毒日、“11.9”消防安全日、“12.4”宪法日等特殊节点在赶集日重点宣传《中华人民共和国宪法》、《中华人民共和国民法典》、《国家安全法》、《中华人民共和国禁毒法》、《中华人民共和国预防未成年人犯罪法》、《中华人民共和国反有组织犯罪法》、《消防法》、《法律援助法》、《中华人民共和国行政复议法》、《人民调解法》等相关法律法规，以及集资诈骗、防诈反诈等相关知识</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在主要街道、路口悬挂宣传横幅，向广大群众散发宣传手册，发放各类宣传资料</w:t>
      </w:r>
      <w:r>
        <w:rPr>
          <w:rFonts w:hint="default" w:ascii="Times New Roman" w:hAnsi="Times New Roman" w:eastAsia="仿宋" w:cs="Times New Roman"/>
          <w:sz w:val="32"/>
          <w:szCs w:val="32"/>
          <w:lang w:val="en-US" w:eastAsia="zh-CN"/>
        </w:rPr>
        <w:t>8000</w:t>
      </w:r>
      <w:r>
        <w:rPr>
          <w:rFonts w:hint="default" w:ascii="Times New Roman" w:hAnsi="Times New Roman" w:eastAsia="仿宋" w:cs="Times New Roman"/>
          <w:sz w:val="32"/>
          <w:szCs w:val="32"/>
        </w:rPr>
        <w:t>多份，接受群众咨询</w:t>
      </w:r>
      <w:r>
        <w:rPr>
          <w:rFonts w:hint="default" w:ascii="Times New Roman" w:hAnsi="Times New Roman" w:eastAsia="仿宋" w:cs="Times New Roman"/>
          <w:sz w:val="32"/>
          <w:szCs w:val="32"/>
          <w:lang w:val="en-US" w:eastAsia="zh-CN"/>
        </w:rPr>
        <w:t>600</w:t>
      </w:r>
      <w:r>
        <w:rPr>
          <w:rFonts w:hint="default" w:ascii="Times New Roman" w:hAnsi="Times New Roman" w:eastAsia="仿宋" w:cs="Times New Roman"/>
          <w:sz w:val="32"/>
          <w:szCs w:val="32"/>
        </w:rPr>
        <w:t>多人次，使执法宣传工作达到了一定的细化和广度；三是积极开展民主法治示范村“法律之家”建设，培养普法骨干、法律明白人，推荐思想素质高，党性意志坚，法治观念强的年轻党员、本土人才、退休干部职工作为普法骨干、法律明白人，强化他们在法治宣传等方面的运用，为</w:t>
      </w:r>
      <w:r>
        <w:rPr>
          <w:rFonts w:hint="default" w:ascii="Times New Roman" w:hAnsi="Times New Roman" w:eastAsia="仿宋" w:cs="Times New Roman"/>
          <w:sz w:val="32"/>
          <w:szCs w:val="32"/>
          <w:lang w:val="en-US" w:eastAsia="zh-CN"/>
        </w:rPr>
        <w:t>乡</w:t>
      </w:r>
      <w:r>
        <w:rPr>
          <w:rFonts w:hint="default" w:ascii="Times New Roman" w:hAnsi="Times New Roman" w:eastAsia="仿宋" w:cs="Times New Roman"/>
          <w:sz w:val="32"/>
          <w:szCs w:val="32"/>
        </w:rPr>
        <w:t>村振兴出力。</w:t>
      </w:r>
      <w:r>
        <w:rPr>
          <w:rFonts w:hint="default" w:ascii="Times New Roman" w:hAnsi="Times New Roman" w:eastAsia="仿宋" w:cs="Times New Roman"/>
          <w:sz w:val="32"/>
          <w:szCs w:val="32"/>
        </w:rPr>
        <w:t>通过普法宣传教育进一步提升了辖区人民群众的法律意识，增强了法治观念，形成了浓厚的法治氛围。</w:t>
      </w:r>
    </w:p>
    <w:p w14:paraId="055C98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（四）加强队伍建设，提升法治政府建设的综合素质</w:t>
      </w:r>
    </w:p>
    <w:p w14:paraId="04A52D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执法队伍建设关系到政府的形象，坚持法治政府建设，铸造新型行政执法机关，建立和培养一支高素质的执法队伍是首要前提。一是把好培训关，以领导干部学习</w:t>
      </w:r>
      <w:r>
        <w:rPr>
          <w:rFonts w:hint="default" w:ascii="Times New Roman" w:hAnsi="Times New Roman" w:eastAsia="仿宋" w:cs="Times New Roman"/>
          <w:sz w:val="32"/>
          <w:szCs w:val="32"/>
          <w:lang w:eastAsia="zh-CN"/>
        </w:rPr>
        <w:t>法治</w:t>
      </w:r>
      <w:r>
        <w:rPr>
          <w:rFonts w:hint="default" w:ascii="Times New Roman" w:hAnsi="Times New Roman" w:eastAsia="仿宋" w:cs="Times New Roman"/>
          <w:sz w:val="32"/>
          <w:szCs w:val="32"/>
        </w:rPr>
        <w:t>政府、法律法规为重点，树立学习表率。乡党委把法治政府学习宣传活动作为加强领导班子的建设和思想政治建设的重要内容列入党委的重要议事日程，结合实际，认真制定了学习宣</w:t>
      </w:r>
      <w:bookmarkStart w:id="0" w:name="_GoBack"/>
      <w:bookmarkEnd w:id="0"/>
      <w:r>
        <w:rPr>
          <w:rFonts w:hint="default" w:ascii="Times New Roman" w:hAnsi="Times New Roman" w:eastAsia="仿宋" w:cs="Times New Roman"/>
          <w:sz w:val="32"/>
          <w:szCs w:val="32"/>
        </w:rPr>
        <w:t>传计划，并充分利用班子会、职工会，认真研读党中央、全国人大、国务院等关于民主法治建设的决策和宪法等，并认真指导干部职工学习。今年以来开展了</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次</w:t>
      </w:r>
      <w:r>
        <w:rPr>
          <w:rFonts w:hint="default" w:ascii="Times New Roman" w:hAnsi="Times New Roman" w:eastAsia="仿宋" w:cs="Times New Roman"/>
          <w:sz w:val="32"/>
          <w:szCs w:val="32"/>
          <w:lang w:eastAsia="zh-CN"/>
        </w:rPr>
        <w:t>法治</w:t>
      </w:r>
      <w:r>
        <w:rPr>
          <w:rFonts w:hint="default" w:ascii="Times New Roman" w:hAnsi="Times New Roman" w:eastAsia="仿宋" w:cs="Times New Roman"/>
          <w:sz w:val="32"/>
          <w:szCs w:val="32"/>
        </w:rPr>
        <w:t>学习，对行政强制法、行政许可法等法律进行了系统学习，在党委领导的带动下，全乡掀起了学习的热潮。二是定期对各行政执法办所的工作人员进行行政执法知识培训，内容主要有：依法行政基本知识、行政强制法基本概念;学习上级文件、规章制度和执法手册，贯彻法治政府建设理念和原则;进行普法学习;组织与执法职能相关的法律法规和执法业务培训，掌握执法技能和技巧;学习国家公务员常识，提升公务员素质通过严格学习，努力铸造一支政治强、思想好、业务精、作风硬、纪律严、廉洁高效的执法队伍。</w:t>
      </w:r>
    </w:p>
    <w:p w14:paraId="4119C11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拓展深入除险清患，维护辖区平安稳定</w:t>
      </w:r>
    </w:p>
    <w:p w14:paraId="5186C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一是依托一中心四板块一网格，深化枫桥经验实践。进一步发挥党建在镇村治理中的引领作用，积极推进“双网格化”管网用网体系建设，形成了共建共治共享的基层治理新格镇。</w:t>
      </w:r>
      <w:r>
        <w:rPr>
          <w:rFonts w:hint="default" w:ascii="Times New Roman" w:hAnsi="Times New Roman" w:eastAsia="仿宋" w:cs="Times New Roman"/>
          <w:sz w:val="32"/>
          <w:szCs w:val="32"/>
        </w:rPr>
        <w:t>充分运用机关、镇属各部门、各村组的年轻干部、公益性岗位、村民小组长等各类人员，形成了分级管理、梯次互动的“</w:t>
      </w:r>
      <w:r>
        <w:rPr>
          <w:rFonts w:hint="default" w:ascii="Times New Roman" w:hAnsi="Times New Roman" w:eastAsia="仿宋" w:cs="Times New Roman"/>
          <w:sz w:val="32"/>
          <w:szCs w:val="32"/>
          <w:lang w:val="en-US" w:eastAsia="zh-CN"/>
        </w:rPr>
        <w:t>乡</w:t>
      </w:r>
      <w:r>
        <w:rPr>
          <w:rFonts w:hint="default" w:ascii="Times New Roman" w:hAnsi="Times New Roman" w:eastAsia="仿宋" w:cs="Times New Roman"/>
          <w:sz w:val="32"/>
          <w:szCs w:val="32"/>
        </w:rPr>
        <w:t>、村、组”三级网格管理体系，打造“全域覆盖、纵向贯通、横向融通、一体联动”的“双网格化”治理新模式，实现了全镇网格管理全覆盖。 二是深化人民调解工作，强化矛盾纠纷排查化解。狠抓人民调解工作法治化、规范化，组织人民调解员培训</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次，通过交流纠纷调解方法，提高调解员业务水平和调解成功率。定期开展矛盾纠纷大排查、大起底、大化解专项行动，进行动态排查，及时预警，分流办理。落实组网格日排查，村网格周分析，镇网格月研判的工作机制，对矛盾纠纷进行风险等级评估，根据研判结果，制定方案，落实稳控化解措施和责任人，最大限度把矛盾纠纷化解在基层、防止在萌芽状态，今年以来，开展矛盾纠纷排查</w:t>
      </w:r>
      <w:r>
        <w:rPr>
          <w:rFonts w:hint="default" w:ascii="Times New Roman" w:hAnsi="Times New Roman" w:eastAsia="仿宋" w:cs="Times New Roman"/>
          <w:sz w:val="32"/>
          <w:szCs w:val="32"/>
          <w:lang w:val="en-US" w:eastAsia="zh-CN"/>
        </w:rPr>
        <w:t>12</w:t>
      </w:r>
      <w:r>
        <w:rPr>
          <w:rFonts w:hint="default" w:ascii="Times New Roman" w:hAnsi="Times New Roman" w:eastAsia="仿宋" w:cs="Times New Roman"/>
          <w:sz w:val="32"/>
          <w:szCs w:val="32"/>
        </w:rPr>
        <w:t>次，排查发现矛盾纠纷</w:t>
      </w:r>
      <w:r>
        <w:rPr>
          <w:rFonts w:hint="default" w:ascii="Times New Roman" w:hAnsi="Times New Roman" w:eastAsia="仿宋" w:cs="Times New Roman"/>
          <w:sz w:val="32"/>
          <w:szCs w:val="32"/>
          <w:lang w:val="en-US" w:eastAsia="zh-CN"/>
        </w:rPr>
        <w:t>145</w:t>
      </w:r>
      <w:r>
        <w:rPr>
          <w:rFonts w:hint="default" w:ascii="Times New Roman" w:hAnsi="Times New Roman" w:eastAsia="仿宋" w:cs="Times New Roman"/>
          <w:sz w:val="32"/>
          <w:szCs w:val="32"/>
        </w:rPr>
        <w:t>件，化解</w:t>
      </w:r>
      <w:r>
        <w:rPr>
          <w:rFonts w:hint="default" w:ascii="Times New Roman" w:hAnsi="Times New Roman" w:eastAsia="仿宋" w:cs="Times New Roman"/>
          <w:sz w:val="32"/>
          <w:szCs w:val="32"/>
          <w:lang w:val="en-US" w:eastAsia="zh-CN"/>
        </w:rPr>
        <w:t>了</w:t>
      </w:r>
      <w:r>
        <w:rPr>
          <w:rFonts w:hint="default" w:ascii="Times New Roman" w:hAnsi="Times New Roman" w:eastAsia="仿宋" w:cs="Times New Roman"/>
          <w:sz w:val="32"/>
          <w:szCs w:val="32"/>
        </w:rPr>
        <w:t>各类矛盾纠纷</w:t>
      </w:r>
      <w:r>
        <w:rPr>
          <w:rFonts w:hint="default" w:ascii="Times New Roman" w:hAnsi="Times New Roman" w:eastAsia="仿宋" w:cs="Times New Roman"/>
          <w:sz w:val="32"/>
          <w:szCs w:val="32"/>
          <w:lang w:val="en-US" w:eastAsia="zh-CN"/>
        </w:rPr>
        <w:t>144</w:t>
      </w:r>
      <w:r>
        <w:rPr>
          <w:rFonts w:hint="default" w:ascii="Times New Roman" w:hAnsi="Times New Roman" w:eastAsia="仿宋" w:cs="Times New Roman"/>
          <w:sz w:val="32"/>
          <w:szCs w:val="32"/>
        </w:rPr>
        <w:t>件，</w:t>
      </w:r>
      <w:r>
        <w:rPr>
          <w:rFonts w:hint="default" w:ascii="Times New Roman" w:hAnsi="Times New Roman" w:eastAsia="仿宋" w:cs="Times New Roman"/>
          <w:sz w:val="32"/>
          <w:szCs w:val="32"/>
          <w:lang w:val="en-US" w:eastAsia="zh-CN"/>
        </w:rPr>
        <w:t>化解</w:t>
      </w:r>
      <w:r>
        <w:rPr>
          <w:rFonts w:hint="default" w:ascii="Times New Roman" w:hAnsi="Times New Roman" w:eastAsia="仿宋" w:cs="Times New Roman"/>
          <w:sz w:val="32"/>
          <w:szCs w:val="32"/>
        </w:rPr>
        <w:t>率</w:t>
      </w:r>
      <w:r>
        <w:rPr>
          <w:rFonts w:hint="default" w:ascii="Times New Roman" w:hAnsi="Times New Roman" w:eastAsia="仿宋" w:cs="Times New Roman"/>
          <w:sz w:val="32"/>
          <w:szCs w:val="32"/>
          <w:lang w:val="en-US" w:eastAsia="zh-CN"/>
        </w:rPr>
        <w:t>99.3</w:t>
      </w:r>
      <w:r>
        <w:rPr>
          <w:rFonts w:hint="default" w:ascii="Times New Roman" w:hAnsi="Times New Roman" w:eastAsia="仿宋" w:cs="Times New Roman"/>
          <w:sz w:val="32"/>
          <w:szCs w:val="32"/>
        </w:rPr>
        <w:t>%，协议履行率100%。</w:t>
      </w:r>
      <w:r>
        <w:rPr>
          <w:rFonts w:hint="default" w:ascii="Times New Roman" w:hAnsi="Times New Roman" w:eastAsia="仿宋" w:cs="Times New Roman"/>
          <w:sz w:val="32"/>
          <w:szCs w:val="32"/>
          <w:lang w:val="en-US" w:eastAsia="zh-CN"/>
        </w:rPr>
        <w:t>2024年共收到信访22条，成功处理21条，全年无非法到市进京信访。</w:t>
      </w:r>
    </w:p>
    <w:p w14:paraId="19C110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、20</w:t>
      </w:r>
      <w:r>
        <w:rPr>
          <w:rFonts w:hint="default" w:ascii="Times New Roman" w:hAnsi="Times New Roman" w:eastAsia="方正黑体_GBK" w:cs="Times New Roman"/>
          <w:sz w:val="32"/>
          <w:szCs w:val="32"/>
          <w:lang w:val="en-US" w:eastAsia="zh-CN"/>
        </w:rPr>
        <w:t>25</w:t>
      </w:r>
      <w:r>
        <w:rPr>
          <w:rFonts w:hint="default" w:ascii="Times New Roman" w:hAnsi="Times New Roman" w:eastAsia="方正黑体_GBK" w:cs="Times New Roman"/>
          <w:sz w:val="32"/>
          <w:szCs w:val="32"/>
        </w:rPr>
        <w:t>年主要工作思路和打算</w:t>
      </w:r>
    </w:p>
    <w:p w14:paraId="24E0E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我乡的法治政府建设工作将深入贯彻落实法治政府建设精神，严格按照市委、市政府全面依法治市委员会的工作部署，紧紧围绕全乡发展目标和工作要求，依法履行行政职责，完善决策机制，规范执法行为，强化行政监督，全面推进我乡法治政府建设工作再上新台阶。</w:t>
      </w:r>
    </w:p>
    <w:p w14:paraId="145A42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600" w:lineRule="atLeast"/>
        <w:ind w:left="0" w:right="0" w:firstLine="66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（一）加强干部法治教育培训。</w:t>
      </w:r>
      <w:r>
        <w:rPr>
          <w:rFonts w:hint="default" w:ascii="Times New Roman" w:hAnsi="Times New Roman" w:eastAsia="仿宋" w:cs="Times New Roman"/>
          <w:kern w:val="2"/>
          <w:sz w:val="32"/>
          <w:szCs w:val="32"/>
          <w:lang w:val="en-US" w:eastAsia="zh-CN" w:bidi="ar-SA"/>
        </w:rPr>
        <w:t>进一步完善干部学法用法制度，通过定期组织法治专题培训、开展法律知识考试等方式，加大对干部的法治教育培训力度，不断提高干部的法治思维和依法行政能力。</w:t>
      </w:r>
    </w:p>
    <w:p w14:paraId="418D8D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（二）进一步提高行政执法能力。</w:t>
      </w:r>
      <w:r>
        <w:rPr>
          <w:rFonts w:hint="default" w:ascii="Times New Roman" w:hAnsi="Times New Roman" w:eastAsia="仿宋" w:cs="Times New Roman"/>
          <w:kern w:val="2"/>
          <w:sz w:val="32"/>
          <w:szCs w:val="32"/>
          <w:lang w:val="en-US" w:eastAsia="zh-CN" w:bidi="ar-SA"/>
        </w:rPr>
        <w:t>全面落实行政执法责任制，依法界定执法职责，对行政执法环节、步骤进行具体规范，切实做到流程清楚、要求具体、期限明确。制定培训计划，开展业务培训。同时，积极争取上级支持，进一步完善执法装备配备，为行政执法工作提供有力保障。</w:t>
      </w:r>
    </w:p>
    <w:p w14:paraId="23A926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（三）</w:t>
      </w:r>
      <w:r>
        <w:rPr>
          <w:rFonts w:hint="default" w:ascii="Times New Roman" w:hAnsi="Times New Roman" w:eastAsia="楷体" w:cs="Times New Roman"/>
          <w:kern w:val="2"/>
          <w:sz w:val="32"/>
          <w:szCs w:val="32"/>
          <w:lang w:val="en-US" w:eastAsia="zh-CN" w:bidi="ar-SA"/>
        </w:rPr>
        <w:t>建立健全法治宣传的长效机制。</w:t>
      </w:r>
      <w:r>
        <w:rPr>
          <w:rFonts w:hint="default" w:ascii="Times New Roman" w:hAnsi="Times New Roman" w:eastAsia="仿宋" w:cs="Times New Roman"/>
          <w:kern w:val="2"/>
          <w:sz w:val="32"/>
          <w:szCs w:val="32"/>
          <w:lang w:val="en-US" w:eastAsia="zh-CN" w:bidi="ar-SA"/>
        </w:rPr>
        <w:t>结合我</w:t>
      </w:r>
      <w:r>
        <w:rPr>
          <w:rFonts w:hint="default" w:ascii="Times New Roman" w:hAnsi="Times New Roman" w:eastAsia="仿宋" w:cs="Times New Roman"/>
          <w:kern w:val="2"/>
          <w:sz w:val="32"/>
          <w:szCs w:val="32"/>
          <w:lang w:val="en-US" w:eastAsia="zh-CN" w:bidi="ar-SA"/>
        </w:rPr>
        <w:t>乡</w:t>
      </w:r>
      <w:r>
        <w:rPr>
          <w:rFonts w:hint="default" w:ascii="Times New Roman" w:hAnsi="Times New Roman" w:eastAsia="仿宋" w:cs="Times New Roman"/>
          <w:kern w:val="2"/>
          <w:sz w:val="32"/>
          <w:szCs w:val="32"/>
          <w:lang w:val="en-US" w:eastAsia="zh-CN" w:bidi="ar-SA"/>
        </w:rPr>
        <w:t>实际，充分利用新媒体平台和现代信息技术，创新法治宣传教育方式方法，增强法治宣传教育的针对性和实效性。我</w:t>
      </w:r>
      <w:r>
        <w:rPr>
          <w:rFonts w:hint="default" w:ascii="Times New Roman" w:hAnsi="Times New Roman" w:eastAsia="仿宋" w:cs="Times New Roman"/>
          <w:kern w:val="2"/>
          <w:sz w:val="32"/>
          <w:szCs w:val="32"/>
          <w:lang w:val="en-US" w:eastAsia="zh-CN" w:bidi="ar-SA"/>
        </w:rPr>
        <w:t>乡</w:t>
      </w:r>
      <w:r>
        <w:rPr>
          <w:rFonts w:hint="default" w:ascii="Times New Roman" w:hAnsi="Times New Roman" w:eastAsia="仿宋" w:cs="Times New Roman"/>
          <w:kern w:val="2"/>
          <w:sz w:val="32"/>
          <w:szCs w:val="32"/>
          <w:lang w:val="en-US" w:eastAsia="zh-CN" w:bidi="ar-SA"/>
        </w:rPr>
        <w:t>将继续抓好节点，做好现场宣传工作，并通过报纸、微博、微信等媒体，宣传法律法规和政策，通过剖析群众身边真实的案例，以案释法，起到警示教育的作用，让人民群众真正感受到学法、知法、守法、用法的重要性。</w:t>
      </w:r>
    </w:p>
    <w:p w14:paraId="5F13481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600" w:lineRule="atLeast"/>
        <w:ind w:left="0" w:right="0" w:firstLine="660"/>
        <w:jc w:val="both"/>
        <w:rPr>
          <w:rFonts w:hint="default" w:ascii="Times New Roman" w:hAnsi="Times New Roman" w:eastAsia="仿宋"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（四）</w:t>
      </w:r>
      <w:r>
        <w:rPr>
          <w:rFonts w:hint="default" w:ascii="Times New Roman" w:hAnsi="Times New Roman" w:eastAsia="楷体" w:cs="Times New Roman"/>
          <w:kern w:val="2"/>
          <w:sz w:val="32"/>
          <w:szCs w:val="32"/>
          <w:lang w:val="en-US" w:eastAsia="zh-CN" w:bidi="ar-SA"/>
        </w:rPr>
        <w:t>持续推进法治政府建设各项工作。</w:t>
      </w:r>
      <w:r>
        <w:rPr>
          <w:rFonts w:hint="default" w:ascii="Times New Roman" w:hAnsi="Times New Roman" w:eastAsia="仿宋" w:cs="Times New Roman"/>
          <w:kern w:val="2"/>
          <w:sz w:val="32"/>
          <w:szCs w:val="32"/>
          <w:lang w:val="en-US" w:eastAsia="zh-CN" w:bidi="ar-SA"/>
        </w:rPr>
        <w:t>围绕法治政府建设目标任务，进一步完善工作机制，加强督促检查，确保各项工作任务落到实处。同时，积极探索法治政府建设的新路径、新方法，不断总结经验，推动法治政府建设取得新成效。</w:t>
      </w:r>
    </w:p>
    <w:p w14:paraId="043CCA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2"/>
          <w:sz w:val="32"/>
          <w:szCs w:val="32"/>
          <w:lang w:val="en-US" w:eastAsia="zh-CN" w:bidi="ar-SA"/>
        </w:rPr>
      </w:pPr>
    </w:p>
    <w:p w14:paraId="7D8A1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7C3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845F">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76FBF"/>
    <w:multiLevelType w:val="singleLevel"/>
    <w:tmpl w:val="B3876FB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mQ1MDVjZTBhMmZhNmRjYmE4NTM0Mzc1ODYzMTgifQ=="/>
  </w:docVars>
  <w:rsids>
    <w:rsidRoot w:val="1BC12902"/>
    <w:rsid w:val="084A5DB4"/>
    <w:rsid w:val="091A7535"/>
    <w:rsid w:val="0ACD1227"/>
    <w:rsid w:val="0BDE6F3F"/>
    <w:rsid w:val="0E8042DE"/>
    <w:rsid w:val="0FD348E1"/>
    <w:rsid w:val="170D06D9"/>
    <w:rsid w:val="185365BF"/>
    <w:rsid w:val="1AC21EB8"/>
    <w:rsid w:val="1B6A434C"/>
    <w:rsid w:val="1BC12902"/>
    <w:rsid w:val="1EEC32CA"/>
    <w:rsid w:val="20765541"/>
    <w:rsid w:val="22C95DFC"/>
    <w:rsid w:val="23C465C3"/>
    <w:rsid w:val="2444388B"/>
    <w:rsid w:val="249661B1"/>
    <w:rsid w:val="27753B99"/>
    <w:rsid w:val="2DB72D0B"/>
    <w:rsid w:val="358A269D"/>
    <w:rsid w:val="4F5543EF"/>
    <w:rsid w:val="50BE5FC4"/>
    <w:rsid w:val="52F22AA8"/>
    <w:rsid w:val="58035DB8"/>
    <w:rsid w:val="584C035A"/>
    <w:rsid w:val="59491E6A"/>
    <w:rsid w:val="6B5C0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2971</Words>
  <Characters>3020</Characters>
  <Lines>0</Lines>
  <Paragraphs>0</Paragraphs>
  <TotalTime>13</TotalTime>
  <ScaleCrop>false</ScaleCrop>
  <LinksUpToDate>false</LinksUpToDate>
  <CharactersWithSpaces>3023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2024-03-05T03:44:00Z</dcterms:created>
  <dc:creator>yoyoo！</dc:creator>
  <cp:lastModifiedBy>唐诗雨</cp:lastModifiedBy>
  <dcterms:modified xsi:type="dcterms:W3CDTF">2025-03-21T05:51:37Z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73CB9DCC3B424C59A5875459265C647D_13</vt:lpwstr>
  </property>
  <property fmtid="{D5CDD505-2E9C-101B-9397-08002B2CF9AE}" pid="4" name="KSOTemplateDocerSaveRecord">
    <vt:lpwstr>eyJoZGlkIjoiM2EwMGM0M2Q3OTIyNjA0OTA2ZDk4Nzc0NTNlMjZjYjQiLCJ1c2VySWQiOiIxNjQ1Mzg0NTA0In0=</vt:lpwstr>
  </property>
</Properties>
</file>