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560" w:lineRule="exact"/>
        <w:ind w:right="150"/>
        <w:jc w:val="center"/>
        <w:textAlignment w:val="auto"/>
        <w:rPr>
          <w:rFonts w:hint="eastAsia" w:ascii="方正小标宋_GBK" w:hAnsi="方正小标宋_GBK" w:eastAsia="方正小标宋_GBK" w:cs="方正小标宋_GBK"/>
          <w:sz w:val="44"/>
          <w:szCs w:val="44"/>
          <w:shd w:val="clear" w:color="auto" w:fill="FFFFFF"/>
        </w:rPr>
      </w:pPr>
    </w:p>
    <w:p>
      <w:pPr>
        <w:pStyle w:val="2"/>
        <w:keepNext w:val="0"/>
        <w:keepLines w:val="0"/>
        <w:pageBreakBefore w:val="0"/>
        <w:widowControl/>
        <w:kinsoku/>
        <w:wordWrap/>
        <w:overflowPunct/>
        <w:topLinePunct w:val="0"/>
        <w:autoSpaceDE/>
        <w:autoSpaceDN/>
        <w:bidi w:val="0"/>
        <w:adjustRightInd/>
        <w:snapToGrid/>
        <w:spacing w:line="560" w:lineRule="exact"/>
        <w:ind w:right="150"/>
        <w:jc w:val="center"/>
        <w:textAlignment w:val="auto"/>
        <w:rPr>
          <w:rFonts w:hint="eastAsia" w:ascii="方正小标宋_GBK" w:hAnsi="方正小标宋_GBK" w:eastAsia="方正小标宋_GBK" w:cs="方正小标宋_GBK"/>
          <w:sz w:val="44"/>
          <w:szCs w:val="44"/>
          <w:shd w:val="clear" w:color="auto" w:fill="FFFFFF"/>
          <w:lang w:val="en-US" w:eastAsia="zh-CN"/>
        </w:rPr>
      </w:pPr>
      <w:r>
        <w:rPr>
          <w:rFonts w:hint="eastAsia" w:ascii="方正小标宋_GBK" w:hAnsi="方正小标宋_GBK" w:eastAsia="方正小标宋_GBK" w:cs="方正小标宋_GBK"/>
          <w:sz w:val="44"/>
          <w:szCs w:val="44"/>
          <w:shd w:val="clear" w:color="auto" w:fill="FFFFFF"/>
        </w:rPr>
        <w:t>丁市镇</w:t>
      </w:r>
      <w:r>
        <w:rPr>
          <w:rFonts w:hint="eastAsia" w:ascii="方正小标宋_GBK" w:hAnsi="方正小标宋_GBK" w:eastAsia="方正小标宋_GBK" w:cs="方正小标宋_GBK"/>
          <w:sz w:val="44"/>
          <w:szCs w:val="44"/>
          <w:shd w:val="clear" w:color="auto" w:fill="FFFFFF"/>
          <w:lang w:val="en-US" w:eastAsia="zh-CN"/>
        </w:rPr>
        <w:t>人民政府</w:t>
      </w:r>
    </w:p>
    <w:p>
      <w:pPr>
        <w:pStyle w:val="2"/>
        <w:keepNext w:val="0"/>
        <w:keepLines w:val="0"/>
        <w:pageBreakBefore w:val="0"/>
        <w:widowControl/>
        <w:kinsoku/>
        <w:wordWrap/>
        <w:overflowPunct/>
        <w:topLinePunct w:val="0"/>
        <w:autoSpaceDE/>
        <w:autoSpaceDN/>
        <w:bidi w:val="0"/>
        <w:adjustRightInd/>
        <w:snapToGrid/>
        <w:spacing w:line="560" w:lineRule="exact"/>
        <w:ind w:right="150"/>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val="en-US" w:eastAsia="zh-CN"/>
        </w:rPr>
        <w:t>关于</w:t>
      </w: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3</w:t>
      </w:r>
      <w:r>
        <w:rPr>
          <w:rFonts w:hint="eastAsia" w:ascii="方正小标宋_GBK" w:hAnsi="方正小标宋_GBK" w:eastAsia="方正小标宋_GBK" w:cs="方正小标宋_GBK"/>
          <w:sz w:val="44"/>
          <w:szCs w:val="44"/>
          <w:shd w:val="clear" w:color="auto" w:fill="FFFFFF"/>
        </w:rPr>
        <w:t>年法治政府建设情况报告</w:t>
      </w:r>
    </w:p>
    <w:p>
      <w:pPr>
        <w:pStyle w:val="2"/>
        <w:keepNext w:val="0"/>
        <w:keepLines w:val="0"/>
        <w:pageBreakBefore w:val="0"/>
        <w:widowControl/>
        <w:kinsoku/>
        <w:wordWrap/>
        <w:overflowPunct/>
        <w:topLinePunct w:val="0"/>
        <w:autoSpaceDE/>
        <w:autoSpaceDN/>
        <w:bidi w:val="0"/>
        <w:adjustRightInd/>
        <w:snapToGrid/>
        <w:spacing w:line="560" w:lineRule="exact"/>
        <w:ind w:right="150"/>
        <w:jc w:val="center"/>
        <w:textAlignment w:val="auto"/>
        <w:rPr>
          <w:rFonts w:hint="eastAsia" w:ascii="方正小标宋_GBK" w:hAnsi="方正小标宋_GBK" w:eastAsia="方正小标宋_GBK" w:cs="方正小标宋_GBK"/>
          <w:sz w:val="44"/>
          <w:szCs w:val="44"/>
          <w:shd w:val="clear" w:color="auto" w:fill="FFFFFF"/>
        </w:rPr>
      </w:pP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Times New Roman" w:hAnsi="Times New Roman" w:eastAsia="方正仿宋_GBK" w:cs="仿宋_GB2312"/>
          <w:b w:val="0"/>
          <w:bCs w:val="0"/>
          <w:sz w:val="32"/>
          <w:szCs w:val="32"/>
          <w:shd w:val="clear" w:color="auto" w:fill="FFFFFF"/>
        </w:rPr>
      </w:pPr>
      <w:r>
        <w:rPr>
          <w:rFonts w:hint="eastAsia" w:ascii="Times New Roman" w:hAnsi="Times New Roman" w:eastAsia="方正仿宋_GBK" w:cs="仿宋_GB2312"/>
          <w:b w:val="0"/>
          <w:bCs w:val="0"/>
          <w:sz w:val="32"/>
          <w:szCs w:val="32"/>
          <w:shd w:val="clear" w:color="auto" w:fill="FFFFFF"/>
        </w:rPr>
        <w:t>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年，在县委、县政府的正确领导下，我镇紧紧围绕县委、县政府决策部署，加强统筹协调，狠抓工作落实，全面推进依法行政，加快建设法治政府，各项工作成效明显。现将丁市镇202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年法治政府建设情况报告如下：</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 xml:space="preserve">一、主要举措和成效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Times New Roman" w:hAnsi="Times New Roman" w:eastAsia="方正仿宋_GBK" w:cs="仿宋_GB2312"/>
          <w:b w:val="0"/>
          <w:bCs w:val="0"/>
          <w:sz w:val="32"/>
          <w:szCs w:val="32"/>
          <w:shd w:val="clear" w:color="auto" w:fill="FFFFFF"/>
        </w:rPr>
      </w:pPr>
      <w:r>
        <w:rPr>
          <w:rFonts w:hint="eastAsia" w:ascii="Times New Roman" w:hAnsi="Times New Roman" w:eastAsia="方正仿宋_GBK" w:cs="仿宋_GB2312"/>
          <w:b w:val="0"/>
          <w:bCs w:val="0"/>
          <w:sz w:val="32"/>
          <w:szCs w:val="32"/>
          <w:shd w:val="clear" w:color="auto" w:fill="FFFFFF"/>
        </w:rPr>
        <w:t>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年以来，在县委、县政府的正确领导下，在人大及政协的监督支持下</w:t>
      </w:r>
      <w:bookmarkStart w:id="0" w:name="_GoBack"/>
      <w:bookmarkEnd w:id="0"/>
      <w:r>
        <w:rPr>
          <w:rFonts w:hint="eastAsia" w:ascii="Times New Roman" w:hAnsi="Times New Roman" w:eastAsia="方正仿宋_GBK" w:cs="仿宋_GB2312"/>
          <w:b w:val="0"/>
          <w:bCs w:val="0"/>
          <w:sz w:val="32"/>
          <w:szCs w:val="32"/>
          <w:shd w:val="clear" w:color="auto" w:fill="FFFFFF"/>
        </w:rPr>
        <w:t>，镇政府坚持以习近平新时代中国特色社会主义思想为指导，深入贯彻落实党的</w:t>
      </w:r>
      <w:r>
        <w:rPr>
          <w:rFonts w:hint="eastAsia" w:ascii="Times New Roman" w:hAnsi="Times New Roman" w:eastAsia="方正仿宋_GBK" w:cs="仿宋_GB2312"/>
          <w:b w:val="0"/>
          <w:bCs w:val="0"/>
          <w:sz w:val="32"/>
          <w:szCs w:val="32"/>
          <w:shd w:val="clear" w:color="auto" w:fill="FFFFFF"/>
          <w:lang w:val="en-US" w:eastAsia="zh-CN"/>
        </w:rPr>
        <w:t>二十</w:t>
      </w:r>
      <w:r>
        <w:rPr>
          <w:rFonts w:hint="eastAsia" w:ascii="Times New Roman" w:hAnsi="Times New Roman" w:eastAsia="方正仿宋_GBK" w:cs="仿宋_GB2312"/>
          <w:b w:val="0"/>
          <w:bCs w:val="0"/>
          <w:sz w:val="32"/>
          <w:szCs w:val="32"/>
          <w:shd w:val="clear" w:color="auto" w:fill="FFFFFF"/>
        </w:rPr>
        <w:t>大精神，大力推进依法行政，加快建设法治政府，为全镇的经济社会高质量发展提供了良好的法治保障。202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年，全镇实现法律综治网格全覆盖。</w:t>
      </w:r>
      <w:r>
        <w:rPr>
          <w:rFonts w:ascii="Times New Roman" w:hAnsi="Times New Roman" w:eastAsia="方正仿宋_GBK" w:cs="仿宋_GB2312"/>
          <w:b w:val="0"/>
          <w:bCs w:val="0"/>
          <w:sz w:val="32"/>
          <w:szCs w:val="32"/>
          <w:shd w:val="clear" w:color="auto" w:fill="FFFFFF"/>
        </w:rPr>
        <w:t>加强执法人员资格管理，规范行政执法队伍“准入门槛”。加强基层行政执法队伍建设，在继续推进执法力量下沉的同时，注重基层行政执法队伍梯队建设，适时开展针对性强的培训指导，保持基层行政执法队伍的稳定性。加强对“窗口”工作人员、行政执法辅助人员的岗前培训和常态化法治教育。增强各级政府负责人和工作人员的法治意识，发挥法治建设示范带动作用。贯彻落实《关于加强和改进行政机关负责人出庭应诉工作的实施意见》，让行政机关负责人更加重视出庭应诉工作，于庭审应诉中深化法治意识、发现共性问题、明确改进措施并推动行政争议实质性化解。</w:t>
      </w:r>
      <w:r>
        <w:rPr>
          <w:rFonts w:hint="eastAsia" w:ascii="Times New Roman" w:hAnsi="Times New Roman" w:eastAsia="方正仿宋_GBK" w:cs="仿宋_GB2312"/>
          <w:b w:val="0"/>
          <w:bCs w:val="0"/>
          <w:sz w:val="32"/>
          <w:szCs w:val="32"/>
          <w:shd w:val="clear" w:color="auto" w:fill="FFFFFF"/>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Times New Roman" w:hAnsi="Times New Roman" w:eastAsia="方正仿宋_GBK" w:cs="仿宋_GB2312"/>
          <w:b w:val="0"/>
          <w:bCs w:val="0"/>
          <w:sz w:val="32"/>
          <w:szCs w:val="32"/>
        </w:rPr>
      </w:pPr>
      <w:r>
        <w:rPr>
          <w:rStyle w:val="5"/>
          <w:rFonts w:hint="eastAsia" w:ascii="方正楷体_GBK" w:hAnsi="方正楷体_GBK" w:eastAsia="方正楷体_GBK" w:cs="方正楷体_GBK"/>
          <w:b w:val="0"/>
          <w:bCs w:val="0"/>
          <w:sz w:val="32"/>
          <w:szCs w:val="32"/>
          <w:shd w:val="clear" w:color="auto" w:fill="FFFFFF"/>
        </w:rPr>
        <w:t>（一）围绕统筹推进，加大工作力度</w:t>
      </w:r>
      <w:r>
        <w:rPr>
          <w:rFonts w:hint="eastAsia" w:ascii="方正楷体_GBK" w:hAnsi="方正楷体_GBK" w:eastAsia="方正楷体_GBK" w:cs="方正楷体_GBK"/>
          <w:b w:val="0"/>
          <w:bCs w:val="0"/>
          <w:sz w:val="32"/>
          <w:szCs w:val="32"/>
          <w:shd w:val="clear" w:color="auto" w:fill="FFFFFF"/>
        </w:rPr>
        <w:t>。</w:t>
      </w:r>
      <w:r>
        <w:rPr>
          <w:rFonts w:hint="eastAsia" w:ascii="Times New Roman" w:hAnsi="Times New Roman" w:eastAsia="方正仿宋_GBK" w:cs="仿宋_GB2312"/>
          <w:b w:val="0"/>
          <w:bCs w:val="0"/>
          <w:sz w:val="32"/>
          <w:szCs w:val="32"/>
          <w:shd w:val="clear" w:color="auto" w:fill="FFFFFF"/>
        </w:rPr>
        <w:t>坚持把依法行政工作作为建设法治型政府的一项基础性、全局性、长远性工作，着力构建良好的工作平台，全力保障依法行政工作扎实推进。</w:t>
      </w:r>
      <w:r>
        <w:rPr>
          <w:rStyle w:val="5"/>
          <w:rFonts w:hint="eastAsia" w:ascii="Times New Roman" w:hAnsi="Times New Roman" w:eastAsia="方正仿宋_GBK" w:cs="仿宋_GB2312"/>
          <w:b/>
          <w:bCs/>
          <w:sz w:val="32"/>
          <w:szCs w:val="32"/>
          <w:shd w:val="clear" w:color="auto" w:fill="FFFFFF"/>
        </w:rPr>
        <w:t>一是高度重视，强化组织领导</w:t>
      </w:r>
      <w:r>
        <w:rPr>
          <w:rFonts w:hint="eastAsia" w:ascii="Times New Roman" w:hAnsi="Times New Roman" w:eastAsia="方正仿宋_GBK" w:cs="仿宋_GB2312"/>
          <w:b/>
          <w:bCs/>
          <w:sz w:val="32"/>
          <w:szCs w:val="32"/>
          <w:shd w:val="clear" w:color="auto" w:fill="FFFFFF"/>
        </w:rPr>
        <w:t>。</w:t>
      </w:r>
      <w:r>
        <w:rPr>
          <w:rFonts w:hint="eastAsia" w:ascii="Times New Roman" w:hAnsi="Times New Roman" w:eastAsia="方正仿宋_GBK" w:cs="仿宋_GB2312"/>
          <w:b w:val="0"/>
          <w:bCs w:val="0"/>
          <w:sz w:val="32"/>
          <w:szCs w:val="32"/>
          <w:shd w:val="clear" w:color="auto" w:fill="FFFFFF"/>
        </w:rPr>
        <w:t>认真落实政府主要负责人履行推进法治建设第一责任人职责，突出发挥“一把手”在依法行政过程中的组织者、推动者和实践者的重要作用，主要领导多次对法治建设重要工作亲自部署、重大问题亲自过问、重点环节亲自协调、重要任务亲自督办，并将法治政府建设写入政府工作报告，将依法行政工作纳入目标管理绩效考核范畴，与各项中心工作同安排、同部署、同推进</w:t>
      </w:r>
      <w:r>
        <w:rPr>
          <w:rFonts w:hint="eastAsia" w:ascii="Times New Roman" w:hAnsi="Times New Roman" w:eastAsia="方正仿宋_GBK" w:cs="仿宋_GB2312"/>
          <w:b w:val="0"/>
          <w:bCs w:val="0"/>
          <w:sz w:val="32"/>
          <w:szCs w:val="32"/>
          <w:shd w:val="clear" w:color="auto" w:fill="FFFFFF"/>
          <w:lang w:eastAsia="zh-CN"/>
        </w:rPr>
        <w:t>。</w:t>
      </w:r>
      <w:r>
        <w:rPr>
          <w:rStyle w:val="5"/>
          <w:rFonts w:hint="eastAsia" w:ascii="Times New Roman" w:hAnsi="Times New Roman" w:eastAsia="方正仿宋_GBK" w:cs="仿宋_GB2312"/>
          <w:b/>
          <w:bCs/>
          <w:sz w:val="32"/>
          <w:szCs w:val="32"/>
          <w:shd w:val="clear" w:color="auto" w:fill="FFFFFF"/>
        </w:rPr>
        <w:t>二是提升能力，加强队伍建设</w:t>
      </w:r>
      <w:r>
        <w:rPr>
          <w:rFonts w:hint="eastAsia" w:ascii="Times New Roman" w:hAnsi="Times New Roman" w:eastAsia="方正仿宋_GBK" w:cs="仿宋_GB2312"/>
          <w:b/>
          <w:bCs/>
          <w:sz w:val="32"/>
          <w:szCs w:val="32"/>
          <w:shd w:val="clear" w:color="auto" w:fill="FFFFFF"/>
        </w:rPr>
        <w:t>。</w:t>
      </w:r>
      <w:r>
        <w:rPr>
          <w:rFonts w:hint="eastAsia" w:ascii="Times New Roman" w:hAnsi="Times New Roman" w:eastAsia="方正仿宋_GBK" w:cs="仿宋_GB2312"/>
          <w:b w:val="0"/>
          <w:bCs w:val="0"/>
          <w:sz w:val="32"/>
          <w:szCs w:val="32"/>
          <w:shd w:val="clear" w:color="auto" w:fill="FFFFFF"/>
          <w:lang w:eastAsia="zh-CN"/>
        </w:rPr>
        <w:t>在</w:t>
      </w:r>
      <w:r>
        <w:rPr>
          <w:rFonts w:ascii="Times New Roman" w:hAnsi="Times New Roman" w:eastAsia="方正仿宋_GBK" w:cs="仿宋_GB2312"/>
          <w:b w:val="0"/>
          <w:bCs w:val="0"/>
          <w:sz w:val="32"/>
          <w:szCs w:val="32"/>
          <w:shd w:val="clear" w:color="auto" w:fill="FFFFFF"/>
        </w:rPr>
        <w:t>本辖区内</w:t>
      </w:r>
      <w:r>
        <w:rPr>
          <w:rFonts w:hint="eastAsia" w:ascii="Times New Roman" w:hAnsi="Times New Roman" w:eastAsia="方正仿宋_GBK" w:cs="仿宋_GB2312"/>
          <w:b w:val="0"/>
          <w:bCs w:val="0"/>
          <w:sz w:val="32"/>
          <w:szCs w:val="32"/>
          <w:shd w:val="clear" w:color="auto" w:fill="FFFFFF"/>
          <w:lang w:val="en-US" w:eastAsia="zh-CN"/>
        </w:rPr>
        <w:t>大力开展</w:t>
      </w:r>
      <w:r>
        <w:rPr>
          <w:rFonts w:ascii="Times New Roman" w:hAnsi="Times New Roman" w:eastAsia="方正仿宋_GBK" w:cs="仿宋_GB2312"/>
          <w:b w:val="0"/>
          <w:bCs w:val="0"/>
          <w:sz w:val="32"/>
          <w:szCs w:val="32"/>
          <w:shd w:val="clear" w:color="auto" w:fill="FFFFFF"/>
        </w:rPr>
        <w:t>违法建筑进行排查摸底，及时制止相关违法行为，进一步规范行政处罚程序。</w:t>
      </w:r>
      <w:r>
        <w:rPr>
          <w:rFonts w:hint="eastAsia" w:ascii="Times New Roman" w:hAnsi="Times New Roman" w:eastAsia="方正仿宋_GBK" w:cs="仿宋_GB2312"/>
          <w:b w:val="0"/>
          <w:bCs w:val="0"/>
          <w:sz w:val="32"/>
          <w:szCs w:val="32"/>
          <w:shd w:val="clear" w:color="auto" w:fill="FFFFFF"/>
        </w:rPr>
        <w:t>严格落实镇政府全体干部职工学法制度，多次专题学习生态环保、</w:t>
      </w:r>
      <w:r>
        <w:rPr>
          <w:rFonts w:hint="eastAsia" w:ascii="Times New Roman" w:hAnsi="Times New Roman" w:eastAsia="方正仿宋_GBK" w:cs="仿宋_GB2312"/>
          <w:b w:val="0"/>
          <w:bCs w:val="0"/>
          <w:sz w:val="32"/>
          <w:szCs w:val="32"/>
          <w:shd w:val="clear" w:color="auto" w:fill="FFFFFF"/>
          <w:lang w:val="en-US" w:eastAsia="zh-CN"/>
        </w:rPr>
        <w:t>行政执法、</w:t>
      </w:r>
      <w:r>
        <w:rPr>
          <w:rFonts w:hint="eastAsia" w:ascii="Times New Roman" w:hAnsi="Times New Roman" w:eastAsia="方正仿宋_GBK" w:cs="仿宋_GB2312"/>
          <w:b w:val="0"/>
          <w:bCs w:val="0"/>
          <w:sz w:val="32"/>
          <w:szCs w:val="32"/>
          <w:shd w:val="clear" w:color="auto" w:fill="FFFFFF"/>
        </w:rPr>
        <w:t>安全生产等法律法规，安排全镇相关人员参加202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 xml:space="preserve">年法治理论考试，不断提升全镇广大干部依法行政能力和水平。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Times New Roman" w:hAnsi="Times New Roman" w:eastAsia="方正仿宋_GBK" w:cs="仿宋_GB2312"/>
          <w:b w:val="0"/>
          <w:bCs w:val="0"/>
          <w:sz w:val="32"/>
          <w:szCs w:val="32"/>
        </w:rPr>
      </w:pPr>
      <w:r>
        <w:rPr>
          <w:rStyle w:val="5"/>
          <w:rFonts w:hint="eastAsia" w:ascii="方正楷体_GBK" w:hAnsi="方正楷体_GBK" w:eastAsia="方正楷体_GBK" w:cs="方正楷体_GBK"/>
          <w:b w:val="0"/>
          <w:bCs w:val="0"/>
          <w:sz w:val="32"/>
          <w:szCs w:val="32"/>
          <w:shd w:val="clear" w:color="auto" w:fill="FFFFFF"/>
        </w:rPr>
        <w:t>（二）围绕依法行政，夯实制度建设</w:t>
      </w:r>
      <w:r>
        <w:rPr>
          <w:rFonts w:hint="eastAsia" w:ascii="方正楷体_GBK" w:hAnsi="方正楷体_GBK" w:eastAsia="方正楷体_GBK" w:cs="方正楷体_GBK"/>
          <w:b w:val="0"/>
          <w:bCs w:val="0"/>
          <w:sz w:val="32"/>
          <w:szCs w:val="32"/>
          <w:shd w:val="clear" w:color="auto" w:fill="FFFFFF"/>
        </w:rPr>
        <w:t>。</w:t>
      </w:r>
      <w:r>
        <w:rPr>
          <w:rFonts w:ascii="Times New Roman" w:hAnsi="Times New Roman" w:eastAsia="方正仿宋_GBK" w:cs="仿宋_GB2312"/>
          <w:b w:val="0"/>
          <w:bCs w:val="0"/>
          <w:sz w:val="32"/>
          <w:szCs w:val="32"/>
          <w:shd w:val="clear" w:color="auto" w:fill="FFFFFF"/>
        </w:rPr>
        <w:t>坚持改革与法治并重，注重通过深化行政执法改革，推动行政权力条块重构和基层治理重心下移，在“规范”和“优化”上下功夫，提高行政执法整体效能。</w:t>
      </w:r>
      <w:r>
        <w:rPr>
          <w:rFonts w:hint="eastAsia" w:ascii="Times New Roman" w:hAnsi="Times New Roman" w:eastAsia="方正仿宋_GBK" w:cs="仿宋_GB2312"/>
          <w:b w:val="0"/>
          <w:bCs w:val="0"/>
          <w:sz w:val="32"/>
          <w:szCs w:val="32"/>
          <w:shd w:val="clear" w:color="auto" w:fill="FFFFFF"/>
        </w:rPr>
        <w:t>坚持和完善政府制度体系，不断提高制度执行力，提供有力的制度保障。</w:t>
      </w:r>
      <w:r>
        <w:rPr>
          <w:rStyle w:val="5"/>
          <w:rFonts w:hint="eastAsia" w:ascii="Times New Roman" w:hAnsi="Times New Roman" w:eastAsia="方正仿宋_GBK" w:cs="仿宋_GB2312"/>
          <w:b/>
          <w:bCs/>
          <w:sz w:val="32"/>
          <w:szCs w:val="32"/>
          <w:shd w:val="clear" w:color="auto" w:fill="FFFFFF"/>
        </w:rPr>
        <w:t>一是规范审查程序，加强规范性文件管理</w:t>
      </w:r>
      <w:r>
        <w:rPr>
          <w:rFonts w:hint="eastAsia" w:ascii="Times New Roman" w:hAnsi="Times New Roman" w:eastAsia="方正仿宋_GBK" w:cs="仿宋_GB2312"/>
          <w:b/>
          <w:bCs/>
          <w:sz w:val="32"/>
          <w:szCs w:val="32"/>
          <w:shd w:val="clear" w:color="auto" w:fill="FFFFFF"/>
        </w:rPr>
        <w:t>。</w:t>
      </w:r>
      <w:r>
        <w:rPr>
          <w:rFonts w:hint="eastAsia" w:ascii="Times New Roman" w:hAnsi="Times New Roman" w:eastAsia="方正仿宋_GBK" w:cs="仿宋_GB2312"/>
          <w:b w:val="0"/>
          <w:bCs w:val="0"/>
          <w:sz w:val="32"/>
          <w:szCs w:val="32"/>
          <w:shd w:val="clear" w:color="auto" w:fill="FFFFFF"/>
        </w:rPr>
        <w:t>严把规范性文件审核关，严格执行规范性文件“三统一”制度，细化规范性文件签发流程，将法制审核设定为规范性文件签发的必经程序，最大限度避免未经审查而出台规范性文件的情况发生。加强合法性备案审查力量，积极发挥政府法律顾问的作用，参与处理镇级行政决策方面的问题。</w:t>
      </w:r>
      <w:r>
        <w:rPr>
          <w:rStyle w:val="5"/>
          <w:rFonts w:hint="eastAsia" w:ascii="Times New Roman" w:hAnsi="Times New Roman" w:eastAsia="方正仿宋_GBK" w:cs="仿宋_GB2312"/>
          <w:b/>
          <w:bCs/>
          <w:sz w:val="32"/>
          <w:szCs w:val="32"/>
          <w:shd w:val="clear" w:color="auto" w:fill="FFFFFF"/>
        </w:rPr>
        <w:t>二是创新监管机制，规范政府合同管理</w:t>
      </w:r>
      <w:r>
        <w:rPr>
          <w:rFonts w:hint="eastAsia" w:ascii="Times New Roman" w:hAnsi="Times New Roman" w:eastAsia="方正仿宋_GBK" w:cs="仿宋_GB2312"/>
          <w:b/>
          <w:bCs/>
          <w:sz w:val="32"/>
          <w:szCs w:val="32"/>
          <w:shd w:val="clear" w:color="auto" w:fill="FFFFFF"/>
        </w:rPr>
        <w:t>。</w:t>
      </w:r>
      <w:r>
        <w:rPr>
          <w:rFonts w:hint="eastAsia" w:ascii="Times New Roman" w:hAnsi="Times New Roman" w:eastAsia="方正仿宋_GBK" w:cs="仿宋_GB2312"/>
          <w:b w:val="0"/>
          <w:bCs w:val="0"/>
          <w:sz w:val="32"/>
          <w:szCs w:val="32"/>
          <w:shd w:val="clear" w:color="auto" w:fill="FFFFFF"/>
        </w:rPr>
        <w:t>对相关的合同管理工作进行专项检查，并督促其高质量完成问题整改工作，推动合同管理工作更加规范。</w:t>
      </w:r>
      <w:r>
        <w:rPr>
          <w:rFonts w:ascii="Times New Roman" w:hAnsi="Times New Roman" w:eastAsia="方正仿宋_GBK" w:cs="仿宋_GB2312"/>
          <w:b w:val="0"/>
          <w:bCs w:val="0"/>
          <w:sz w:val="32"/>
          <w:szCs w:val="32"/>
          <w:shd w:val="clear" w:color="auto" w:fill="FFFFFF"/>
        </w:rPr>
        <w:t>进一步规范征地、拆违等行政管理行为，建立完善合法性审查工作机制，充分发挥法律顾问作用，对拟出台的各项政策措施严格把关，确保合理合法。</w:t>
      </w:r>
      <w:r>
        <w:rPr>
          <w:rFonts w:hint="eastAsia" w:ascii="Times New Roman" w:hAnsi="Times New Roman" w:eastAsia="方正仿宋_GBK" w:cs="仿宋_GB2312"/>
          <w:b w:val="0"/>
          <w:bCs w:val="0"/>
          <w:sz w:val="32"/>
          <w:szCs w:val="32"/>
          <w:shd w:val="clear" w:color="auto" w:fill="FFFFFF"/>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Times New Roman" w:hAnsi="Times New Roman" w:eastAsia="方正仿宋_GBK" w:cs="仿宋_GB2312"/>
          <w:b w:val="0"/>
          <w:bCs w:val="0"/>
          <w:sz w:val="32"/>
          <w:szCs w:val="32"/>
        </w:rPr>
      </w:pPr>
      <w:r>
        <w:rPr>
          <w:rStyle w:val="5"/>
          <w:rFonts w:hint="eastAsia" w:ascii="方正楷体_GBK" w:hAnsi="方正楷体_GBK" w:eastAsia="方正楷体_GBK" w:cs="方正楷体_GBK"/>
          <w:b w:val="0"/>
          <w:bCs w:val="0"/>
          <w:sz w:val="32"/>
          <w:szCs w:val="32"/>
          <w:shd w:val="clear" w:color="auto" w:fill="FFFFFF"/>
        </w:rPr>
        <w:t>（三）围绕化解争议，畅通民意渠道</w:t>
      </w:r>
      <w:r>
        <w:rPr>
          <w:rFonts w:hint="eastAsia" w:ascii="方正楷体_GBK" w:hAnsi="方正楷体_GBK" w:eastAsia="方正楷体_GBK" w:cs="方正楷体_GBK"/>
          <w:b w:val="0"/>
          <w:bCs w:val="0"/>
          <w:sz w:val="32"/>
          <w:szCs w:val="32"/>
          <w:shd w:val="clear" w:color="auto" w:fill="FFFFFF"/>
        </w:rPr>
        <w:t>。</w:t>
      </w:r>
      <w:r>
        <w:rPr>
          <w:rFonts w:hint="eastAsia" w:ascii="Times New Roman" w:hAnsi="Times New Roman" w:eastAsia="方正仿宋_GBK" w:cs="仿宋_GB2312"/>
          <w:b w:val="0"/>
          <w:bCs w:val="0"/>
          <w:sz w:val="32"/>
          <w:szCs w:val="32"/>
          <w:shd w:val="clear" w:color="auto" w:fill="FFFFFF"/>
        </w:rPr>
        <w:t>注重运用法治思维，多渠道听取群众诉求，着力防范和化解矛盾纠纷。</w:t>
      </w:r>
      <w:r>
        <w:rPr>
          <w:rStyle w:val="5"/>
          <w:rFonts w:hint="eastAsia" w:ascii="Times New Roman" w:hAnsi="Times New Roman" w:eastAsia="方正仿宋_GBK" w:cs="仿宋_GB2312"/>
          <w:b/>
          <w:bCs/>
          <w:sz w:val="32"/>
          <w:szCs w:val="32"/>
          <w:shd w:val="clear" w:color="auto" w:fill="FFFFFF"/>
        </w:rPr>
        <w:t>一是提升行政应诉水平</w:t>
      </w:r>
      <w:r>
        <w:rPr>
          <w:rFonts w:hint="eastAsia" w:ascii="Times New Roman" w:hAnsi="Times New Roman" w:eastAsia="方正仿宋_GBK" w:cs="仿宋_GB2312"/>
          <w:b/>
          <w:bCs/>
          <w:sz w:val="32"/>
          <w:szCs w:val="32"/>
          <w:shd w:val="clear" w:color="auto" w:fill="FFFFFF"/>
        </w:rPr>
        <w:t>。</w:t>
      </w:r>
      <w:r>
        <w:rPr>
          <w:rFonts w:ascii="Times New Roman" w:hAnsi="Times New Roman" w:eastAsia="方正仿宋_GBK" w:cs="仿宋_GB2312"/>
          <w:b w:val="0"/>
          <w:bCs w:val="0"/>
          <w:sz w:val="32"/>
          <w:szCs w:val="32"/>
          <w:shd w:val="clear" w:color="auto" w:fill="FFFFFF"/>
        </w:rPr>
        <w:t>持续清理交叉重叠的行政执法事项，能合则合、该减则减，最大限度减少和防范执法扰民扰企</w:t>
      </w:r>
      <w:r>
        <w:rPr>
          <w:rFonts w:hint="eastAsia" w:ascii="Times New Roman" w:hAnsi="Times New Roman" w:eastAsia="方正仿宋_GBK" w:cs="仿宋_GB2312"/>
          <w:b w:val="0"/>
          <w:bCs w:val="0"/>
          <w:sz w:val="32"/>
          <w:szCs w:val="32"/>
          <w:shd w:val="clear" w:color="auto" w:fill="FFFFFF"/>
        </w:rPr>
        <w:t>。202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年，镇政府共计应出庭应诉案件</w:t>
      </w:r>
      <w:r>
        <w:rPr>
          <w:rFonts w:hint="eastAsia" w:ascii="Times New Roman" w:hAnsi="Times New Roman" w:eastAsia="方正仿宋_GBK" w:cs="仿宋_GB2312"/>
          <w:b w:val="0"/>
          <w:bCs w:val="0"/>
          <w:sz w:val="32"/>
          <w:szCs w:val="32"/>
          <w:shd w:val="clear" w:color="auto" w:fill="FFFFFF"/>
          <w:lang w:val="en-US" w:eastAsia="zh-CN"/>
        </w:rPr>
        <w:t>0</w:t>
      </w:r>
      <w:r>
        <w:rPr>
          <w:rFonts w:hint="eastAsia" w:ascii="Times New Roman" w:hAnsi="Times New Roman" w:eastAsia="方正仿宋_GBK" w:cs="仿宋_GB2312"/>
          <w:b w:val="0"/>
          <w:bCs w:val="0"/>
          <w:sz w:val="32"/>
          <w:szCs w:val="32"/>
          <w:shd w:val="clear" w:color="auto" w:fill="FFFFFF"/>
        </w:rPr>
        <w:t>件，降低了行政诉讼。</w:t>
      </w:r>
      <w:r>
        <w:rPr>
          <w:rStyle w:val="5"/>
          <w:rFonts w:hint="eastAsia" w:ascii="Times New Roman" w:hAnsi="Times New Roman" w:eastAsia="方正仿宋_GBK" w:cs="仿宋_GB2312"/>
          <w:b/>
          <w:bCs/>
          <w:sz w:val="32"/>
          <w:szCs w:val="32"/>
          <w:shd w:val="clear" w:color="auto" w:fill="FFFFFF"/>
        </w:rPr>
        <w:t>二是建立完善诉调对接</w:t>
      </w:r>
      <w:r>
        <w:rPr>
          <w:rFonts w:hint="eastAsia" w:ascii="Times New Roman" w:hAnsi="Times New Roman" w:eastAsia="方正仿宋_GBK" w:cs="仿宋_GB2312"/>
          <w:b/>
          <w:bCs/>
          <w:sz w:val="32"/>
          <w:szCs w:val="32"/>
          <w:shd w:val="clear" w:color="auto" w:fill="FFFFFF"/>
        </w:rPr>
        <w:t>。</w:t>
      </w:r>
      <w:r>
        <w:rPr>
          <w:rFonts w:hint="eastAsia" w:ascii="Times New Roman" w:hAnsi="Times New Roman" w:eastAsia="方正仿宋_GBK" w:cs="仿宋_GB2312"/>
          <w:b w:val="0"/>
          <w:bCs w:val="0"/>
          <w:sz w:val="32"/>
          <w:szCs w:val="32"/>
          <w:shd w:val="clear" w:color="auto" w:fill="FFFFFF"/>
        </w:rPr>
        <w:t>积极发挥人民调解委员会的职能作用，将调解工作置于诉前、诉中、诉后的每个阶段，让大部分案件通过调解达到案结事了。</w:t>
      </w:r>
      <w:r>
        <w:rPr>
          <w:rStyle w:val="5"/>
          <w:rFonts w:ascii="Times New Roman" w:hAnsi="Times New Roman" w:eastAsia="方正仿宋_GBK" w:cs="仿宋_GB2312"/>
          <w:b w:val="0"/>
          <w:bCs w:val="0"/>
          <w:sz w:val="32"/>
          <w:szCs w:val="32"/>
          <w:shd w:val="clear" w:color="auto" w:fill="FFFFFF"/>
        </w:rPr>
        <w:t>多渠道收集群众和企业反映强烈的执法问题，统筹研究对策措施，适时开展集中专项整治，依法规范查处拆迁征收等重点领域、新兴领域的违法行为，尽量减少违法行为对行政相对人合法权益的损害。</w:t>
      </w:r>
      <w:r>
        <w:rPr>
          <w:rFonts w:hint="eastAsia" w:ascii="Times New Roman" w:hAnsi="Times New Roman" w:eastAsia="方正仿宋_GBK" w:cs="仿宋_GB2312"/>
          <w:b w:val="0"/>
          <w:bCs w:val="0"/>
          <w:sz w:val="32"/>
          <w:szCs w:val="32"/>
          <w:shd w:val="clear" w:color="auto" w:fill="FFFFFF"/>
        </w:rPr>
        <w:t>全镇10个村综治网格全面覆盖，10名网格长、</w:t>
      </w:r>
      <w:r>
        <w:rPr>
          <w:rFonts w:hint="eastAsia" w:ascii="Times New Roman" w:hAnsi="Times New Roman" w:eastAsia="方正仿宋_GBK" w:cs="仿宋_GB2312"/>
          <w:b w:val="0"/>
          <w:bCs w:val="0"/>
          <w:sz w:val="32"/>
          <w:szCs w:val="32"/>
          <w:shd w:val="clear" w:color="auto" w:fill="FFFFFF"/>
          <w:lang w:val="en-US" w:eastAsia="zh-CN"/>
        </w:rPr>
        <w:t>68</w:t>
      </w:r>
      <w:r>
        <w:rPr>
          <w:rFonts w:hint="eastAsia" w:ascii="Times New Roman" w:hAnsi="Times New Roman" w:eastAsia="方正仿宋_GBK" w:cs="仿宋_GB2312"/>
          <w:b w:val="0"/>
          <w:bCs w:val="0"/>
          <w:sz w:val="32"/>
          <w:szCs w:val="32"/>
          <w:shd w:val="clear" w:color="auto" w:fill="FFFFFF"/>
        </w:rPr>
        <w:t xml:space="preserve">名网格员，参与矛盾纠纷化解。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_GB2312"/>
          <w:b w:val="0"/>
          <w:bCs w:val="0"/>
          <w:kern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（四）优化服务，推进信息公开。</w:t>
      </w:r>
      <w:r>
        <w:rPr>
          <w:rFonts w:ascii="Times New Roman" w:hAnsi="Times New Roman" w:eastAsia="方正仿宋_GBK" w:cs="仿宋_GB2312"/>
          <w:b w:val="0"/>
          <w:bCs w:val="0"/>
          <w:kern w:val="0"/>
          <w:sz w:val="32"/>
          <w:szCs w:val="32"/>
          <w:shd w:val="clear" w:color="auto" w:fill="FFFFFF"/>
        </w:rPr>
        <w:t>深化落实行政执法“三项制度”，</w:t>
      </w:r>
      <w:r>
        <w:rPr>
          <w:rFonts w:ascii="Times New Roman" w:hAnsi="Times New Roman" w:eastAsia="方正仿宋_GBK" w:cs="仿宋_GB2312"/>
          <w:b w:val="0"/>
          <w:bCs w:val="0"/>
          <w:sz w:val="32"/>
          <w:szCs w:val="32"/>
          <w:shd w:val="clear" w:color="auto" w:fill="FFFFFF"/>
        </w:rPr>
        <w:t>加快完善行政执法证据收集制度，健全并严格落实重大行政执法听证制度，强化行政执法事前公开、规范事中公示、加强事后公开，规范行政检查、行政处罚等行为。</w:t>
      </w:r>
      <w:r>
        <w:rPr>
          <w:rFonts w:hint="eastAsia" w:ascii="Times New Roman" w:hAnsi="Times New Roman" w:eastAsia="方正仿宋_GBK" w:cs="仿宋_GB2312"/>
          <w:b w:val="0"/>
          <w:bCs w:val="0"/>
          <w:sz w:val="32"/>
          <w:szCs w:val="32"/>
          <w:shd w:val="clear" w:color="auto" w:fill="FFFFFF"/>
        </w:rPr>
        <w:t>我镇本着“便民、公开、依法、高效”的原则，整合资源，完善配套，创新举措，优化服务，不断推进我镇为民服务全程代理工作。重点对全镇有行政审批事项的部门和审批流程进行全面梳理整合，把群众最关心、最需要解决的事项纳入代理范围，把服务范围、服务规范、服务承诺等社会普遍关心和涉及社会公众利益的内容作为公开的重点内容，优化审批事项流程，简化办事手续。公开投诉机构和投诉电话，接受群众的监督和投诉。</w:t>
      </w:r>
      <w:r>
        <w:rPr>
          <w:rFonts w:ascii="Times New Roman" w:hAnsi="Times New Roman" w:eastAsia="方正仿宋_GBK" w:cs="仿宋_GB2312"/>
          <w:b w:val="0"/>
          <w:bCs w:val="0"/>
          <w:sz w:val="32"/>
          <w:szCs w:val="32"/>
          <w:shd w:val="clear" w:color="auto" w:fill="FFFFFF"/>
        </w:rPr>
        <w:t>健全行政执法事项清单制度，对行政检查、行政处罚、行政强制等执法事项一律实行清单化管理并向社会公布。重点围绕信息公开、违法建筑查处、土地征收补偿安置等方面，持续加强行政执法作风建设，严厉杜绝“钓鱼”执法、简单粗暴执法等行为，坚决纠正执法不作为慢作为，不断提升执法公信力。</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2" w:firstLineChars="200"/>
        <w:textAlignment w:val="auto"/>
        <w:rPr>
          <w:rFonts w:hint="eastAsia"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bCs/>
          <w:sz w:val="32"/>
          <w:szCs w:val="32"/>
          <w:shd w:val="clear" w:color="auto" w:fill="FFFFFF"/>
        </w:rPr>
        <w:t xml:space="preserve">二、存在的不足和原因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Times New Roman" w:hAnsi="Times New Roman" w:eastAsia="方正仿宋_GBK" w:cs="仿宋_GB2312"/>
          <w:b w:val="0"/>
          <w:bCs w:val="0"/>
          <w:sz w:val="32"/>
          <w:szCs w:val="32"/>
          <w:shd w:val="clear" w:color="auto" w:fill="FFFFFF"/>
        </w:rPr>
      </w:pPr>
      <w:r>
        <w:rPr>
          <w:rFonts w:hint="eastAsia" w:ascii="Times New Roman" w:hAnsi="Times New Roman" w:eastAsia="方正仿宋_GBK" w:cs="仿宋_GB2312"/>
          <w:b w:val="0"/>
          <w:bCs w:val="0"/>
          <w:sz w:val="32"/>
          <w:szCs w:val="32"/>
          <w:shd w:val="clear" w:color="auto" w:fill="FFFFFF"/>
        </w:rPr>
        <w:t>我镇虽然在推进依法行政方面做了大量工作也取得了明显的效果，全镇依法行政工作再上了一个新台阶，但也清楚地认识到我镇的依法行政工作也存在一些亟待改善的地方，与上级的要求相比还存在着一定的差距，主要表现在以下四个“滞后”：</w:t>
      </w:r>
      <w:r>
        <w:rPr>
          <w:rFonts w:hint="eastAsia" w:ascii="Times New Roman" w:hAnsi="Times New Roman" w:eastAsia="方正仿宋_GBK" w:cs="仿宋_GB2312"/>
          <w:b/>
          <w:bCs/>
          <w:sz w:val="32"/>
          <w:szCs w:val="32"/>
          <w:shd w:val="clear" w:color="auto" w:fill="FFFFFF"/>
        </w:rPr>
        <w:t>一是机构建设滞后。</w:t>
      </w:r>
      <w:r>
        <w:rPr>
          <w:rFonts w:hint="eastAsia" w:ascii="Times New Roman" w:hAnsi="Times New Roman" w:eastAsia="方正仿宋_GBK" w:cs="仿宋_GB2312"/>
          <w:b w:val="0"/>
          <w:bCs w:val="0"/>
          <w:sz w:val="32"/>
          <w:szCs w:val="32"/>
          <w:shd w:val="clear" w:color="auto" w:fill="FFFFFF"/>
        </w:rPr>
        <w:t>主要是目前镇一级在依法行政方面没有专门的常设机构，大都由相关部门的工作人员兼职，而且还身兼多职。</w:t>
      </w:r>
      <w:r>
        <w:rPr>
          <w:rFonts w:hint="eastAsia" w:ascii="Times New Roman" w:hAnsi="Times New Roman" w:eastAsia="方正仿宋_GBK" w:cs="仿宋_GB2312"/>
          <w:b/>
          <w:bCs/>
          <w:sz w:val="32"/>
          <w:szCs w:val="32"/>
          <w:shd w:val="clear" w:color="auto" w:fill="FFFFFF"/>
        </w:rPr>
        <w:t>二是队伍建设滞后。</w:t>
      </w:r>
      <w:r>
        <w:rPr>
          <w:rFonts w:hint="eastAsia" w:ascii="Times New Roman" w:hAnsi="Times New Roman" w:eastAsia="方正仿宋_GBK" w:cs="仿宋_GB2312"/>
          <w:b w:val="0"/>
          <w:bCs w:val="0"/>
          <w:sz w:val="32"/>
          <w:szCs w:val="32"/>
          <w:shd w:val="clear" w:color="auto" w:fill="FFFFFF"/>
        </w:rPr>
        <w:t>个别同志的法制观念还有待进一步提高，对如何依法依规依程序开展行政执法的认识还不够。大多数行政人员没有受过系统专业的法律教育，自身的法律综合素质和业务能力还不能适应依法行政的要求，队伍整体素质和业务能力有待进一步提高。</w:t>
      </w:r>
      <w:r>
        <w:rPr>
          <w:rFonts w:hint="eastAsia" w:ascii="Times New Roman" w:hAnsi="Times New Roman" w:eastAsia="方正仿宋_GBK" w:cs="仿宋_GB2312"/>
          <w:b/>
          <w:bCs/>
          <w:sz w:val="32"/>
          <w:szCs w:val="32"/>
          <w:shd w:val="clear" w:color="auto" w:fill="FFFFFF"/>
        </w:rPr>
        <w:t>三是机制建设滞后。</w:t>
      </w:r>
      <w:r>
        <w:rPr>
          <w:rFonts w:hint="eastAsia" w:ascii="Times New Roman" w:hAnsi="Times New Roman" w:eastAsia="方正仿宋_GBK" w:cs="仿宋_GB2312"/>
          <w:b w:val="0"/>
          <w:bCs w:val="0"/>
          <w:sz w:val="32"/>
          <w:szCs w:val="32"/>
          <w:shd w:val="clear" w:color="auto" w:fill="FFFFFF"/>
        </w:rPr>
        <w:t>目前镇一级的工作直接面向基层和群众，涉及面广、事务繁杂，但镇级的管理职权有限，特别是行政执法相关权限薄弱，许多执法实施主体均为县级或县级以上人民政府及其主管部门，镇一级事实上不具有执法主体资格，由于职权不配套，影响了统筹协调和管理职能的发挥。</w:t>
      </w:r>
      <w:r>
        <w:rPr>
          <w:rFonts w:hint="eastAsia" w:ascii="Times New Roman" w:hAnsi="Times New Roman" w:eastAsia="方正仿宋_GBK" w:cs="仿宋_GB2312"/>
          <w:b/>
          <w:bCs/>
          <w:sz w:val="32"/>
          <w:szCs w:val="32"/>
          <w:shd w:val="clear" w:color="auto" w:fill="FFFFFF"/>
        </w:rPr>
        <w:t>四是群众</w:t>
      </w:r>
      <w:r>
        <w:rPr>
          <w:rFonts w:hint="eastAsia" w:ascii="Times New Roman" w:hAnsi="Times New Roman" w:eastAsia="方正仿宋_GBK" w:cs="仿宋_GB2312"/>
          <w:b/>
          <w:bCs/>
          <w:sz w:val="32"/>
          <w:szCs w:val="32"/>
          <w:shd w:val="clear" w:color="auto" w:fill="FFFFFF"/>
          <w:lang w:eastAsia="zh-CN"/>
        </w:rPr>
        <w:t>法治意识</w:t>
      </w:r>
      <w:r>
        <w:rPr>
          <w:rFonts w:hint="eastAsia" w:ascii="Times New Roman" w:hAnsi="Times New Roman" w:eastAsia="方正仿宋_GBK" w:cs="仿宋_GB2312"/>
          <w:b/>
          <w:bCs/>
          <w:sz w:val="32"/>
          <w:szCs w:val="32"/>
          <w:shd w:val="clear" w:color="auto" w:fill="FFFFFF"/>
        </w:rPr>
        <w:t>滞后。</w:t>
      </w:r>
      <w:r>
        <w:rPr>
          <w:rFonts w:hint="eastAsia" w:ascii="Times New Roman" w:hAnsi="Times New Roman" w:eastAsia="方正仿宋_GBK" w:cs="仿宋_GB2312"/>
          <w:b w:val="0"/>
          <w:bCs w:val="0"/>
          <w:sz w:val="32"/>
          <w:szCs w:val="32"/>
          <w:shd w:val="clear" w:color="auto" w:fill="FFFFFF"/>
        </w:rPr>
        <w:t>主要表现为基层群众的</w:t>
      </w:r>
      <w:r>
        <w:rPr>
          <w:rFonts w:hint="eastAsia" w:ascii="Times New Roman" w:hAnsi="Times New Roman" w:eastAsia="方正仿宋_GBK" w:cs="仿宋_GB2312"/>
          <w:b w:val="0"/>
          <w:bCs w:val="0"/>
          <w:sz w:val="32"/>
          <w:szCs w:val="32"/>
          <w:shd w:val="clear" w:color="auto" w:fill="FFFFFF"/>
          <w:lang w:eastAsia="zh-CN"/>
        </w:rPr>
        <w:t>法治意识</w:t>
      </w:r>
      <w:r>
        <w:rPr>
          <w:rFonts w:hint="eastAsia" w:ascii="Times New Roman" w:hAnsi="Times New Roman" w:eastAsia="方正仿宋_GBK" w:cs="仿宋_GB2312"/>
          <w:b w:val="0"/>
          <w:bCs w:val="0"/>
          <w:sz w:val="32"/>
          <w:szCs w:val="32"/>
          <w:shd w:val="clear" w:color="auto" w:fill="FFFFFF"/>
        </w:rPr>
        <w:t xml:space="preserve">较为淡薄，主动学法、懂法、依法的意识不高，也普遍存在法不责众的心态，使有时行政执法行为受到不同程度的干扰。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shd w:val="clear" w:color="auto" w:fill="FFFFFF"/>
        </w:rPr>
        <w:t>三、下</w:t>
      </w:r>
      <w:r>
        <w:rPr>
          <w:rFonts w:hint="eastAsia" w:ascii="方正黑体_GBK" w:hAnsi="方正黑体_GBK" w:eastAsia="方正黑体_GBK" w:cs="方正黑体_GBK"/>
          <w:b w:val="0"/>
          <w:bCs w:val="0"/>
          <w:sz w:val="32"/>
          <w:szCs w:val="32"/>
          <w:shd w:val="clear" w:color="auto" w:fill="FFFFFF"/>
          <w:lang w:eastAsia="zh-CN"/>
        </w:rPr>
        <w:t>一</w:t>
      </w:r>
      <w:r>
        <w:rPr>
          <w:rFonts w:hint="eastAsia" w:ascii="方正黑体_GBK" w:hAnsi="方正黑体_GBK" w:eastAsia="方正黑体_GBK" w:cs="方正黑体_GBK"/>
          <w:b w:val="0"/>
          <w:bCs w:val="0"/>
          <w:sz w:val="32"/>
          <w:szCs w:val="32"/>
          <w:shd w:val="clear" w:color="auto" w:fill="FFFFFF"/>
        </w:rPr>
        <w:t xml:space="preserve">年度的主要安排 </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ascii="Times New Roman" w:hAnsi="Times New Roman" w:eastAsia="方正仿宋_GBK" w:cs="仿宋_GB2312"/>
          <w:b w:val="0"/>
          <w:bCs w:val="0"/>
          <w:sz w:val="32"/>
          <w:szCs w:val="32"/>
          <w:shd w:val="clear" w:color="auto" w:fill="FFFFFF"/>
        </w:rPr>
      </w:pPr>
      <w:r>
        <w:rPr>
          <w:rFonts w:hint="eastAsia" w:ascii="Times New Roman" w:hAnsi="Times New Roman" w:eastAsia="方正仿宋_GBK" w:cs="仿宋_GB2312"/>
          <w:b w:val="0"/>
          <w:bCs w:val="0"/>
          <w:sz w:val="32"/>
          <w:szCs w:val="32"/>
          <w:shd w:val="clear" w:color="auto" w:fill="FFFFFF"/>
        </w:rPr>
        <w:t>2023年我们将不忘初心、砥砺前行，在有序开展依法行政工作的基础上，着力从以下方面，推进依法行政和法治政府建设工作。</w:t>
      </w:r>
      <w:r>
        <w:rPr>
          <w:rFonts w:hint="eastAsia" w:ascii="Times New Roman" w:hAnsi="Times New Roman" w:eastAsia="方正仿宋_GBK" w:cs="仿宋_GB2312"/>
          <w:b/>
          <w:bCs/>
          <w:sz w:val="32"/>
          <w:szCs w:val="32"/>
          <w:shd w:val="clear" w:color="auto" w:fill="FFFFFF"/>
        </w:rPr>
        <w:t>一是强化法制宣教。</w:t>
      </w:r>
      <w:r>
        <w:rPr>
          <w:rFonts w:hint="eastAsia" w:ascii="Times New Roman" w:hAnsi="Times New Roman" w:eastAsia="方正仿宋_GBK" w:cs="仿宋_GB2312"/>
          <w:b w:val="0"/>
          <w:bCs w:val="0"/>
          <w:sz w:val="32"/>
          <w:szCs w:val="32"/>
          <w:shd w:val="clear" w:color="auto" w:fill="FFFFFF"/>
        </w:rPr>
        <w:t>加强对群众的普法宣传教育，提高群众尤其是农村群众的</w:t>
      </w:r>
      <w:r>
        <w:rPr>
          <w:rFonts w:hint="eastAsia" w:ascii="Times New Roman" w:hAnsi="Times New Roman" w:eastAsia="方正仿宋_GBK" w:cs="仿宋_GB2312"/>
          <w:b w:val="0"/>
          <w:bCs w:val="0"/>
          <w:sz w:val="32"/>
          <w:szCs w:val="32"/>
          <w:shd w:val="clear" w:color="auto" w:fill="FFFFFF"/>
          <w:lang w:eastAsia="zh-CN"/>
        </w:rPr>
        <w:t>法治意识</w:t>
      </w:r>
      <w:r>
        <w:rPr>
          <w:rFonts w:hint="eastAsia" w:ascii="Times New Roman" w:hAnsi="Times New Roman" w:eastAsia="方正仿宋_GBK" w:cs="仿宋_GB2312"/>
          <w:b w:val="0"/>
          <w:bCs w:val="0"/>
          <w:sz w:val="32"/>
          <w:szCs w:val="32"/>
          <w:shd w:val="clear" w:color="auto" w:fill="FFFFFF"/>
        </w:rPr>
        <w:t>和法律素养，营造自觉遵守与执行法律的良好氛围并为行政执法创造一个良好的法律环境。继续落实领导班子集体学法制度，着力提高领导干部运用法治思维和法律手段推进发展、维护稳定的能力</w:t>
      </w:r>
      <w:r>
        <w:rPr>
          <w:rFonts w:hint="eastAsia" w:ascii="Times New Roman" w:hAnsi="Times New Roman" w:eastAsia="方正仿宋_GBK" w:cs="仿宋_GB2312"/>
          <w:b w:val="0"/>
          <w:bCs w:val="0"/>
          <w:sz w:val="32"/>
          <w:szCs w:val="32"/>
          <w:shd w:val="clear" w:color="auto" w:fill="FFFFFF"/>
          <w:lang w:eastAsia="zh-CN"/>
        </w:rPr>
        <w:t>。</w:t>
      </w:r>
      <w:r>
        <w:rPr>
          <w:rFonts w:ascii="Times New Roman" w:hAnsi="Times New Roman" w:eastAsia="方正仿宋_GBK" w:cs="仿宋_GB2312"/>
          <w:b/>
          <w:bCs/>
          <w:sz w:val="32"/>
          <w:szCs w:val="32"/>
          <w:shd w:val="clear" w:color="auto" w:fill="FFFFFF"/>
        </w:rPr>
        <w:t>二是完善决策机制。</w:t>
      </w:r>
      <w:r>
        <w:rPr>
          <w:rFonts w:ascii="Times New Roman" w:hAnsi="Times New Roman" w:eastAsia="方正仿宋_GBK" w:cs="仿宋_GB2312"/>
          <w:b w:val="0"/>
          <w:bCs w:val="0"/>
          <w:sz w:val="32"/>
          <w:szCs w:val="32"/>
          <w:shd w:val="clear" w:color="auto" w:fill="FFFFFF"/>
        </w:rPr>
        <w:t>健全重大行政决策机制，完善重大行政决策的公众参与、专家论证、公开听证、风险评估、合法性审查和集体讨论决定等程序，提高决策的民主性科学性。</w:t>
      </w:r>
      <w:r>
        <w:rPr>
          <w:rFonts w:ascii="Times New Roman" w:hAnsi="Times New Roman" w:eastAsia="方正仿宋_GBK" w:cs="仿宋_GB2312"/>
          <w:b/>
          <w:bCs/>
          <w:sz w:val="32"/>
          <w:szCs w:val="32"/>
          <w:shd w:val="clear" w:color="auto" w:fill="FFFFFF"/>
        </w:rPr>
        <w:t>三是加强文件管理。</w:t>
      </w:r>
      <w:r>
        <w:rPr>
          <w:rFonts w:ascii="Times New Roman" w:hAnsi="Times New Roman" w:eastAsia="方正仿宋_GBK" w:cs="仿宋_GB2312"/>
          <w:b w:val="0"/>
          <w:bCs w:val="0"/>
          <w:sz w:val="32"/>
          <w:szCs w:val="32"/>
          <w:shd w:val="clear" w:color="auto" w:fill="FFFFFF"/>
        </w:rPr>
        <w:t>继续严把规范性文件的法律审核关，未经规定程序和法制机构审查的规范性文件不得发布施行，强化规范性文件的备案管理，严格按要求和程序公布，</w:t>
      </w:r>
      <w:r>
        <w:rPr>
          <w:rFonts w:hint="eastAsia" w:ascii="Times New Roman" w:hAnsi="Times New Roman" w:eastAsia="方正仿宋_GBK" w:cs="仿宋_GB2312"/>
          <w:b w:val="0"/>
          <w:bCs w:val="0"/>
          <w:sz w:val="32"/>
          <w:szCs w:val="32"/>
          <w:shd w:val="clear" w:color="auto" w:fill="FFFFFF"/>
          <w:lang w:eastAsia="zh-CN"/>
        </w:rPr>
        <w:t>加大</w:t>
      </w:r>
      <w:r>
        <w:rPr>
          <w:rFonts w:ascii="Times New Roman" w:hAnsi="Times New Roman" w:eastAsia="方正仿宋_GBK" w:cs="仿宋_GB2312"/>
          <w:b w:val="0"/>
          <w:bCs w:val="0"/>
          <w:sz w:val="32"/>
          <w:szCs w:val="32"/>
          <w:shd w:val="clear" w:color="auto" w:fill="FFFFFF"/>
        </w:rPr>
        <w:t>备案后的审查力度</w:t>
      </w:r>
      <w:r>
        <w:rPr>
          <w:rFonts w:hint="eastAsia" w:ascii="Times New Roman" w:hAnsi="Times New Roman" w:eastAsia="方正仿宋_GBK" w:cs="仿宋_GB2312"/>
          <w:b w:val="0"/>
          <w:bCs w:val="0"/>
          <w:sz w:val="32"/>
          <w:szCs w:val="32"/>
          <w:shd w:val="clear" w:color="auto" w:fill="FFFFFF"/>
          <w:lang w:eastAsia="zh-CN"/>
        </w:rPr>
        <w:t>。</w:t>
      </w:r>
      <w:r>
        <w:rPr>
          <w:rFonts w:ascii="Times New Roman" w:hAnsi="Times New Roman" w:eastAsia="方正仿宋_GBK" w:cs="仿宋_GB2312"/>
          <w:b/>
          <w:bCs/>
          <w:sz w:val="32"/>
          <w:szCs w:val="32"/>
          <w:shd w:val="clear" w:color="auto" w:fill="FFFFFF"/>
        </w:rPr>
        <w:t>四是规范执法行为。</w:t>
      </w:r>
      <w:r>
        <w:rPr>
          <w:rFonts w:ascii="Times New Roman" w:hAnsi="Times New Roman" w:eastAsia="方正仿宋_GBK" w:cs="仿宋_GB2312"/>
          <w:b w:val="0"/>
          <w:bCs w:val="0"/>
          <w:sz w:val="32"/>
          <w:szCs w:val="32"/>
          <w:shd w:val="clear" w:color="auto" w:fill="FFFFFF"/>
        </w:rPr>
        <w:t>严格执行依法行政相关法律法规，进一步规范配合有关部门执法的执行政法行为，健全行政执法岗位责任制，明确执法的权力和责任，全程监控执法过程，确保程序公正、实体准确</w:t>
      </w:r>
      <w:r>
        <w:rPr>
          <w:rFonts w:hint="eastAsia" w:ascii="Times New Roman" w:hAnsi="Times New Roman" w:eastAsia="方正仿宋_GBK" w:cs="仿宋_GB2312"/>
          <w:b w:val="0"/>
          <w:bCs w:val="0"/>
          <w:sz w:val="32"/>
          <w:szCs w:val="32"/>
          <w:shd w:val="clear" w:color="auto" w:fill="FFFFFF"/>
          <w:lang w:eastAsia="zh-CN"/>
        </w:rPr>
        <w:t>。</w:t>
      </w:r>
      <w:r>
        <w:rPr>
          <w:rFonts w:ascii="Times New Roman" w:hAnsi="Times New Roman" w:eastAsia="方正仿宋_GBK" w:cs="仿宋_GB2312"/>
          <w:b/>
          <w:bCs/>
          <w:sz w:val="32"/>
          <w:szCs w:val="32"/>
          <w:shd w:val="clear" w:color="auto" w:fill="FFFFFF"/>
        </w:rPr>
        <w:t>五是抓好队伍建设。</w:t>
      </w:r>
      <w:r>
        <w:rPr>
          <w:rFonts w:ascii="Times New Roman" w:hAnsi="Times New Roman" w:eastAsia="方正仿宋_GBK" w:cs="仿宋_GB2312"/>
          <w:b w:val="0"/>
          <w:bCs w:val="0"/>
          <w:sz w:val="32"/>
          <w:szCs w:val="32"/>
          <w:shd w:val="clear" w:color="auto" w:fill="FFFFFF"/>
        </w:rPr>
        <w:t>有针对性、经常性、多渠道地对相关行政人员进行部门法律法规和专业知识的学习培训，突出抓好公正执法、纪律作风和职业道德教育，不断提高队伍的业务素质、依法行政能力和执法水平，适应依法行政的新要求</w:t>
      </w:r>
      <w:r>
        <w:rPr>
          <w:rFonts w:hint="eastAsia" w:ascii="Times New Roman" w:hAnsi="Times New Roman" w:eastAsia="方正仿宋_GBK" w:cs="仿宋_GB2312"/>
          <w:b w:val="0"/>
          <w:bCs w:val="0"/>
          <w:sz w:val="32"/>
          <w:szCs w:val="32"/>
          <w:shd w:val="clear" w:color="auto" w:fill="FFFFFF"/>
          <w:lang w:eastAsia="zh-CN"/>
        </w:rPr>
        <w:t>。</w:t>
      </w:r>
      <w:r>
        <w:rPr>
          <w:rFonts w:ascii="Times New Roman" w:hAnsi="Times New Roman" w:eastAsia="方正仿宋_GBK" w:cs="仿宋_GB2312"/>
          <w:b/>
          <w:bCs/>
          <w:sz w:val="32"/>
          <w:szCs w:val="32"/>
          <w:shd w:val="clear" w:color="auto" w:fill="FFFFFF"/>
        </w:rPr>
        <w:t>六是推进信息公开。</w:t>
      </w:r>
      <w:r>
        <w:rPr>
          <w:rFonts w:ascii="Times New Roman" w:hAnsi="Times New Roman" w:eastAsia="方正仿宋_GBK" w:cs="仿宋_GB2312"/>
          <w:b w:val="0"/>
          <w:bCs w:val="0"/>
          <w:sz w:val="32"/>
          <w:szCs w:val="32"/>
          <w:shd w:val="clear" w:color="auto" w:fill="FFFFFF"/>
        </w:rPr>
        <w:t>继续加大政府信息公开力度，不断拓宽政府信息公开范围和内容，及时、准确、全面、具体的公开政府信息</w:t>
      </w:r>
      <w:r>
        <w:rPr>
          <w:rFonts w:hint="eastAsia" w:ascii="Times New Roman" w:hAnsi="Times New Roman" w:eastAsia="方正仿宋_GBK" w:cs="仿宋_GB2312"/>
          <w:b w:val="0"/>
          <w:bCs w:val="0"/>
          <w:sz w:val="32"/>
          <w:szCs w:val="32"/>
          <w:shd w:val="clear" w:color="auto" w:fill="FFFFFF"/>
          <w:lang w:eastAsia="zh-CN"/>
        </w:rPr>
        <w:t>。</w:t>
      </w:r>
      <w:r>
        <w:rPr>
          <w:rFonts w:ascii="Times New Roman" w:hAnsi="Times New Roman" w:eastAsia="方正仿宋_GBK" w:cs="仿宋_GB2312"/>
          <w:b/>
          <w:bCs/>
          <w:sz w:val="32"/>
          <w:szCs w:val="32"/>
          <w:shd w:val="clear" w:color="auto" w:fill="FFFFFF"/>
        </w:rPr>
        <w:t>七是加大监督力度。</w:t>
      </w:r>
      <w:r>
        <w:rPr>
          <w:rFonts w:ascii="Times New Roman" w:hAnsi="Times New Roman" w:eastAsia="方正仿宋_GBK" w:cs="仿宋_GB2312"/>
          <w:b w:val="0"/>
          <w:bCs w:val="0"/>
          <w:sz w:val="32"/>
          <w:szCs w:val="32"/>
          <w:shd w:val="clear" w:color="auto" w:fill="FFFFFF"/>
        </w:rPr>
        <w:t>综合运用党委、人大监督和政府督查、内部自查以及媒体和群众监督等方式，依法加强对重点领域、重点行业、重点工作的监督力度，健全投诉举报处理制度，严查行政不作为、乱作为、失职渎职、违法行政等行为，提高行政效能</w:t>
      </w:r>
      <w:r>
        <w:rPr>
          <w:rFonts w:hint="eastAsia" w:ascii="Times New Roman" w:hAnsi="Times New Roman" w:eastAsia="方正仿宋_GBK" w:cs="仿宋_GB2312"/>
          <w:b w:val="0"/>
          <w:bCs w:val="0"/>
          <w:sz w:val="32"/>
          <w:szCs w:val="32"/>
          <w:shd w:val="clear" w:color="auto" w:fill="FFFFFF"/>
          <w:lang w:eastAsia="zh-CN"/>
        </w:rPr>
        <w:t>。</w:t>
      </w:r>
      <w:r>
        <w:rPr>
          <w:rFonts w:ascii="Times New Roman" w:hAnsi="Times New Roman" w:eastAsia="方正仿宋_GBK" w:cs="仿宋_GB2312"/>
          <w:b/>
          <w:bCs/>
          <w:sz w:val="32"/>
          <w:szCs w:val="32"/>
          <w:shd w:val="clear" w:color="auto" w:fill="FFFFFF"/>
        </w:rPr>
        <w:t>八是创新社会管理。</w:t>
      </w:r>
      <w:r>
        <w:rPr>
          <w:rFonts w:ascii="Times New Roman" w:hAnsi="Times New Roman" w:eastAsia="方正仿宋_GBK" w:cs="仿宋_GB2312"/>
          <w:b w:val="0"/>
          <w:bCs w:val="0"/>
          <w:sz w:val="32"/>
          <w:szCs w:val="32"/>
          <w:shd w:val="clear" w:color="auto" w:fill="FFFFFF"/>
        </w:rPr>
        <w:t>加强社会矛盾纠纷调处化解，扎实做好教育、稳控、处置和防范各项工作。加强社会治安综合治理，依法防范和严厉打击各类违法犯罪活动。加大清理清查和打击力度，保持打假严打高压态势。加大安全生产执法力度，抓好食品安全动态监测和长效监管</w:t>
      </w:r>
      <w:r>
        <w:rPr>
          <w:rFonts w:hint="eastAsia" w:ascii="Times New Roman" w:hAnsi="Times New Roman" w:eastAsia="方正仿宋_GBK" w:cs="仿宋_GB2312"/>
          <w:b w:val="0"/>
          <w:bCs w:val="0"/>
          <w:sz w:val="32"/>
          <w:szCs w:val="32"/>
          <w:shd w:val="clear" w:color="auto" w:fill="FFFFFF"/>
          <w:lang w:val="en-US" w:eastAsia="zh-CN"/>
        </w:rPr>
        <w:t>工作</w:t>
      </w:r>
      <w:r>
        <w:rPr>
          <w:rFonts w:ascii="Times New Roman" w:hAnsi="Times New Roman" w:eastAsia="方正仿宋_GBK" w:cs="仿宋_GB2312"/>
          <w:b w:val="0"/>
          <w:bCs w:val="0"/>
          <w:sz w:val="32"/>
          <w:szCs w:val="32"/>
          <w:shd w:val="clear" w:color="auto" w:fill="FFFFFF"/>
        </w:rPr>
        <w:t>。</w:t>
      </w: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textAlignment w:val="auto"/>
        <w:rPr>
          <w:rFonts w:ascii="Times New Roman" w:hAnsi="Times New Roman" w:eastAsia="方正仿宋_GBK" w:cs="仿宋_GB2312"/>
          <w:b w:val="0"/>
          <w:bCs w:val="0"/>
          <w:sz w:val="32"/>
          <w:szCs w:val="32"/>
          <w:shd w:val="clear" w:color="auto" w:fill="FFFFFF"/>
        </w:rPr>
      </w:pPr>
    </w:p>
    <w:p>
      <w:pPr>
        <w:pStyle w:val="2"/>
        <w:keepNext w:val="0"/>
        <w:keepLines w:val="0"/>
        <w:pageBreakBefore w:val="0"/>
        <w:widowControl/>
        <w:kinsoku/>
        <w:wordWrap/>
        <w:overflowPunct/>
        <w:topLinePunct w:val="0"/>
        <w:autoSpaceDE/>
        <w:autoSpaceDN/>
        <w:bidi w:val="0"/>
        <w:adjustRightInd/>
        <w:snapToGrid/>
        <w:spacing w:line="560" w:lineRule="exact"/>
        <w:ind w:left="150" w:right="150" w:firstLine="640" w:firstLineChars="200"/>
        <w:jc w:val="right"/>
        <w:textAlignment w:val="auto"/>
        <w:rPr>
          <w:rFonts w:hint="eastAsia" w:ascii="Times New Roman" w:hAnsi="Times New Roman" w:eastAsia="方正仿宋_GBK" w:cs="仿宋_GB2312"/>
          <w:b w:val="0"/>
          <w:bCs w:val="0"/>
          <w:sz w:val="32"/>
          <w:szCs w:val="32"/>
          <w:shd w:val="clear" w:color="auto" w:fill="FFFFFF"/>
        </w:rPr>
      </w:pPr>
      <w:r>
        <w:rPr>
          <w:rFonts w:hint="eastAsia" w:ascii="Times New Roman" w:hAnsi="Times New Roman" w:eastAsia="方正仿宋_GBK" w:cs="仿宋_GB2312"/>
          <w:b w:val="0"/>
          <w:bCs w:val="0"/>
          <w:sz w:val="32"/>
          <w:szCs w:val="32"/>
          <w:shd w:val="clear" w:color="auto" w:fill="FFFFFF"/>
        </w:rPr>
        <w:t>酉阳土家族苗族自治县丁市镇人民政府</w:t>
      </w:r>
    </w:p>
    <w:p>
      <w:pPr>
        <w:pStyle w:val="2"/>
        <w:keepNext w:val="0"/>
        <w:keepLines w:val="0"/>
        <w:pageBreakBefore w:val="0"/>
        <w:widowControl/>
        <w:kinsoku/>
        <w:wordWrap/>
        <w:overflowPunct/>
        <w:topLinePunct w:val="0"/>
        <w:autoSpaceDE/>
        <w:autoSpaceDN/>
        <w:bidi w:val="0"/>
        <w:adjustRightInd/>
        <w:snapToGrid/>
        <w:spacing w:line="560" w:lineRule="exact"/>
        <w:ind w:left="150" w:right="790" w:firstLine="640" w:firstLineChars="200"/>
        <w:jc w:val="center"/>
        <w:textAlignment w:val="auto"/>
        <w:rPr>
          <w:rFonts w:hint="eastAsia" w:ascii="仿宋_GB2312" w:hAnsi="仿宋_GB2312" w:eastAsia="仿宋_GB2312" w:cs="仿宋_GB2312"/>
          <w:b w:val="0"/>
          <w:bCs w:val="0"/>
          <w:sz w:val="32"/>
          <w:szCs w:val="32"/>
          <w:shd w:val="clear" w:color="auto" w:fill="FFFFFF"/>
        </w:rPr>
      </w:pPr>
      <w:r>
        <w:rPr>
          <w:rFonts w:hint="eastAsia" w:ascii="Times New Roman" w:hAnsi="Times New Roman" w:eastAsia="方正仿宋_GBK" w:cs="仿宋_GB2312"/>
          <w:b w:val="0"/>
          <w:bCs w:val="0"/>
          <w:sz w:val="32"/>
          <w:szCs w:val="32"/>
          <w:shd w:val="clear" w:color="auto" w:fill="FFFFFF"/>
        </w:rPr>
        <w:t xml:space="preserve">          </w:t>
      </w:r>
      <w:r>
        <w:rPr>
          <w:rFonts w:hint="eastAsia" w:ascii="Times New Roman" w:hAnsi="Times New Roman" w:eastAsia="方正仿宋_GBK" w:cs="仿宋_GB2312"/>
          <w:b w:val="0"/>
          <w:bCs w:val="0"/>
          <w:sz w:val="32"/>
          <w:szCs w:val="32"/>
          <w:shd w:val="clear" w:color="auto" w:fill="FFFFFF"/>
          <w:lang w:val="en-US" w:eastAsia="zh-CN"/>
        </w:rPr>
        <w:t xml:space="preserve">      </w:t>
      </w:r>
      <w:r>
        <w:rPr>
          <w:rFonts w:hint="eastAsia" w:ascii="Times New Roman" w:hAnsi="Times New Roman" w:eastAsia="方正仿宋_GBK" w:cs="仿宋_GB2312"/>
          <w:b w:val="0"/>
          <w:bCs w:val="0"/>
          <w:sz w:val="32"/>
          <w:szCs w:val="32"/>
          <w:shd w:val="clear" w:color="auto" w:fill="FFFFFF"/>
        </w:rPr>
        <w:t xml:space="preserve">   202</w:t>
      </w:r>
      <w:r>
        <w:rPr>
          <w:rFonts w:hint="eastAsia" w:ascii="Times New Roman" w:hAnsi="Times New Roman" w:eastAsia="方正仿宋_GBK" w:cs="仿宋_GB2312"/>
          <w:b w:val="0"/>
          <w:bCs w:val="0"/>
          <w:sz w:val="32"/>
          <w:szCs w:val="32"/>
          <w:shd w:val="clear" w:color="auto" w:fill="FFFFFF"/>
          <w:lang w:val="en-US" w:eastAsia="zh-CN"/>
        </w:rPr>
        <w:t>3</w:t>
      </w:r>
      <w:r>
        <w:rPr>
          <w:rFonts w:hint="eastAsia" w:ascii="Times New Roman" w:hAnsi="Times New Roman" w:eastAsia="方正仿宋_GBK" w:cs="仿宋_GB2312"/>
          <w:b w:val="0"/>
          <w:bCs w:val="0"/>
          <w:sz w:val="32"/>
          <w:szCs w:val="32"/>
          <w:shd w:val="clear" w:color="auto" w:fill="FFFFFF"/>
        </w:rPr>
        <w:t>年</w:t>
      </w:r>
      <w:r>
        <w:rPr>
          <w:rFonts w:hint="eastAsia" w:ascii="Times New Roman" w:hAnsi="Times New Roman" w:eastAsia="方正仿宋_GBK" w:cs="仿宋_GB2312"/>
          <w:b w:val="0"/>
          <w:bCs w:val="0"/>
          <w:sz w:val="32"/>
          <w:szCs w:val="32"/>
          <w:shd w:val="clear" w:color="auto" w:fill="FFFFFF"/>
          <w:lang w:val="en-US" w:eastAsia="zh-CN"/>
        </w:rPr>
        <w:t>1</w:t>
      </w:r>
      <w:r>
        <w:rPr>
          <w:rFonts w:hint="eastAsia" w:ascii="Times New Roman" w:hAnsi="Times New Roman" w:eastAsia="方正仿宋_GBK" w:cs="仿宋_GB2312"/>
          <w:b w:val="0"/>
          <w:bCs w:val="0"/>
          <w:sz w:val="32"/>
          <w:szCs w:val="32"/>
          <w:shd w:val="clear" w:color="auto" w:fill="FFFFFF"/>
        </w:rPr>
        <w:t>月</w:t>
      </w:r>
      <w:r>
        <w:rPr>
          <w:rFonts w:hint="eastAsia" w:ascii="Times New Roman" w:hAnsi="Times New Roman" w:eastAsia="方正仿宋_GBK" w:cs="仿宋_GB2312"/>
          <w:b w:val="0"/>
          <w:bCs w:val="0"/>
          <w:sz w:val="32"/>
          <w:szCs w:val="32"/>
          <w:shd w:val="clear" w:color="auto" w:fill="FFFFFF"/>
          <w:lang w:val="en-US" w:eastAsia="zh-CN"/>
        </w:rPr>
        <w:t>16</w:t>
      </w:r>
      <w:r>
        <w:rPr>
          <w:rFonts w:hint="eastAsia" w:ascii="Times New Roman" w:hAnsi="Times New Roman" w:eastAsia="方正仿宋_GBK" w:cs="仿宋_GB2312"/>
          <w:b w:val="0"/>
          <w:bCs w:val="0"/>
          <w:sz w:val="32"/>
          <w:szCs w:val="32"/>
          <w:shd w:val="clear" w:color="auto" w:fill="FFFFFF"/>
        </w:rPr>
        <w:t>日</w:t>
      </w:r>
    </w:p>
    <w:sectPr>
      <w:pgSz w:w="11906" w:h="16838"/>
      <w:pgMar w:top="1383" w:right="1803" w:bottom="1440" w:left="1803" w:header="851" w:footer="992" w:gutter="0"/>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新人文宋简"/>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2UyZDE2NWUyZDE4MjIyNWQ4ZjAzYTE0YTBmMjkifQ=="/>
    <w:docVar w:name="KSO_WPS_MARK_KEY" w:val="00344b08-eb1b-4dbb-84a7-a1471460f429"/>
  </w:docVars>
  <w:rsids>
    <w:rsidRoot w:val="00172A27"/>
    <w:rsid w:val="000B2A08"/>
    <w:rsid w:val="001160A2"/>
    <w:rsid w:val="00201495"/>
    <w:rsid w:val="002A77E7"/>
    <w:rsid w:val="00404582"/>
    <w:rsid w:val="0045319A"/>
    <w:rsid w:val="004A5FA1"/>
    <w:rsid w:val="0050071A"/>
    <w:rsid w:val="00533E74"/>
    <w:rsid w:val="005F54FE"/>
    <w:rsid w:val="00B02DB2"/>
    <w:rsid w:val="00BE7180"/>
    <w:rsid w:val="02A23DA7"/>
    <w:rsid w:val="09D7661F"/>
    <w:rsid w:val="115C491D"/>
    <w:rsid w:val="174D108A"/>
    <w:rsid w:val="1AAA573A"/>
    <w:rsid w:val="1AE26A82"/>
    <w:rsid w:val="1E613F77"/>
    <w:rsid w:val="1EFB7B61"/>
    <w:rsid w:val="20C92FFF"/>
    <w:rsid w:val="25CD7939"/>
    <w:rsid w:val="27831115"/>
    <w:rsid w:val="2EE929A5"/>
    <w:rsid w:val="30F9618E"/>
    <w:rsid w:val="3DE770C2"/>
    <w:rsid w:val="43E066A9"/>
    <w:rsid w:val="465471FA"/>
    <w:rsid w:val="4E6F604C"/>
    <w:rsid w:val="55F07EB9"/>
    <w:rsid w:val="5D2B47F8"/>
    <w:rsid w:val="5FD369DB"/>
    <w:rsid w:val="616C228A"/>
    <w:rsid w:val="65F83E57"/>
    <w:rsid w:val="6B620E94"/>
    <w:rsid w:val="72242B96"/>
    <w:rsid w:val="72CC236B"/>
    <w:rsid w:val="76902094"/>
    <w:rsid w:val="787F6ECC"/>
    <w:rsid w:val="7CE94786"/>
    <w:rsid w:val="7EBA751C"/>
    <w:rsid w:val="EEFC6A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bCs/>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44444"/>
      <w:u w:val="singl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rPr>
      <w:color w:val="333333"/>
      <w:sz w:val="21"/>
      <w:szCs w:val="21"/>
      <w:bdr w:val="single" w:color="999999" w:sz="2" w:space="0"/>
      <w:shd w:val="clear" w:color="auto" w:fill="FFFFFF"/>
    </w:rPr>
  </w:style>
  <w:style w:type="character" w:styleId="10">
    <w:name w:val="HTML Variable"/>
    <w:basedOn w:val="4"/>
    <w:qFormat/>
    <w:uiPriority w:val="0"/>
  </w:style>
  <w:style w:type="character" w:styleId="11">
    <w:name w:val="Hyperlink"/>
    <w:basedOn w:val="4"/>
    <w:qFormat/>
    <w:uiPriority w:val="0"/>
    <w:rPr>
      <w:color w:val="444444"/>
      <w:u w:val="single"/>
    </w:rPr>
  </w:style>
  <w:style w:type="character" w:styleId="12">
    <w:name w:val="HTML Code"/>
    <w:basedOn w:val="4"/>
    <w:qFormat/>
    <w:uiPriority w:val="0"/>
    <w:rPr>
      <w:rFonts w:hint="default" w:ascii="monospace" w:hAnsi="monospace" w:eastAsia="monospace" w:cs="monospace"/>
      <w:sz w:val="21"/>
      <w:szCs w:val="21"/>
    </w:rPr>
  </w:style>
  <w:style w:type="character" w:styleId="13">
    <w:name w:val="HTML Cite"/>
    <w:basedOn w:val="4"/>
    <w:qFormat/>
    <w:uiPriority w:val="0"/>
  </w:style>
  <w:style w:type="character" w:styleId="14">
    <w:name w:val="HTML Keyboard"/>
    <w:basedOn w:val="4"/>
    <w:qFormat/>
    <w:uiPriority w:val="0"/>
    <w:rPr>
      <w:rFonts w:ascii="monospace" w:hAnsi="monospace" w:eastAsia="monospace" w:cs="monospace"/>
      <w:sz w:val="21"/>
      <w:szCs w:val="21"/>
    </w:rPr>
  </w:style>
  <w:style w:type="character" w:styleId="15">
    <w:name w:val="HTML Sample"/>
    <w:basedOn w:val="4"/>
    <w:qFormat/>
    <w:uiPriority w:val="0"/>
    <w:rPr>
      <w:rFonts w:hint="default" w:ascii="monospace" w:hAnsi="monospace" w:eastAsia="monospace" w:cs="monospace"/>
      <w:sz w:val="21"/>
      <w:szCs w:val="21"/>
    </w:rPr>
  </w:style>
  <w:style w:type="character" w:customStyle="1" w:styleId="16">
    <w:name w:val="icon032"/>
    <w:basedOn w:val="4"/>
    <w:qFormat/>
    <w:uiPriority w:val="0"/>
  </w:style>
  <w:style w:type="character" w:customStyle="1" w:styleId="17">
    <w:name w:val="c21"/>
    <w:basedOn w:val="4"/>
    <w:qFormat/>
    <w:uiPriority w:val="0"/>
  </w:style>
  <w:style w:type="character" w:customStyle="1" w:styleId="18">
    <w:name w:val="icon024"/>
    <w:basedOn w:val="4"/>
    <w:qFormat/>
    <w:uiPriority w:val="0"/>
  </w:style>
  <w:style w:type="character" w:customStyle="1" w:styleId="19">
    <w:name w:val="wsbs_icon"/>
    <w:basedOn w:val="4"/>
    <w:qFormat/>
    <w:uiPriority w:val="0"/>
  </w:style>
  <w:style w:type="character" w:customStyle="1" w:styleId="20">
    <w:name w:val="hit"/>
    <w:basedOn w:val="4"/>
    <w:qFormat/>
    <w:uiPriority w:val="0"/>
    <w:rPr>
      <w:vanish/>
    </w:rPr>
  </w:style>
  <w:style w:type="character" w:customStyle="1" w:styleId="21">
    <w:name w:val="c31"/>
    <w:basedOn w:val="4"/>
    <w:qFormat/>
    <w:uiPriority w:val="0"/>
  </w:style>
  <w:style w:type="character" w:customStyle="1" w:styleId="22">
    <w:name w:val="icon04"/>
    <w:basedOn w:val="4"/>
    <w:qFormat/>
    <w:uiPriority w:val="0"/>
  </w:style>
  <w:style w:type="character" w:customStyle="1" w:styleId="23">
    <w:name w:val="icon014"/>
    <w:basedOn w:val="4"/>
    <w:qFormat/>
    <w:uiPriority w:val="0"/>
  </w:style>
  <w:style w:type="character" w:customStyle="1" w:styleId="24">
    <w:name w:val="over6"/>
    <w:basedOn w:val="4"/>
    <w:qFormat/>
    <w:uiPriority w:val="0"/>
    <w:rPr>
      <w:color w:val="999999"/>
    </w:rPr>
  </w:style>
  <w:style w:type="character" w:customStyle="1" w:styleId="25">
    <w:name w:val="msg-box20"/>
    <w:basedOn w:val="4"/>
    <w:qFormat/>
    <w:uiPriority w:val="0"/>
  </w:style>
  <w:style w:type="character" w:customStyle="1" w:styleId="26">
    <w:name w:val="interview-names"/>
    <w:basedOn w:val="4"/>
    <w:qFormat/>
    <w:uiPriority w:val="0"/>
  </w:style>
  <w:style w:type="character" w:customStyle="1" w:styleId="27">
    <w:name w:val="c2"/>
    <w:basedOn w:val="4"/>
    <w:qFormat/>
    <w:uiPriority w:val="0"/>
  </w:style>
  <w:style w:type="character" w:customStyle="1" w:styleId="28">
    <w:name w:val="buvis"/>
    <w:basedOn w:val="4"/>
    <w:qFormat/>
    <w:uiPriority w:val="0"/>
    <w:rPr>
      <w:color w:val="999999"/>
    </w:rPr>
  </w:style>
  <w:style w:type="character" w:customStyle="1" w:styleId="29">
    <w:name w:val="icon041"/>
    <w:basedOn w:val="4"/>
    <w:qFormat/>
    <w:uiPriority w:val="0"/>
  </w:style>
  <w:style w:type="character" w:customStyle="1" w:styleId="30">
    <w:name w:val="red"/>
    <w:basedOn w:val="4"/>
    <w:qFormat/>
    <w:uiPriority w:val="0"/>
    <w:rPr>
      <w:color w:val="FF0000"/>
    </w:rPr>
  </w:style>
  <w:style w:type="character" w:customStyle="1" w:styleId="31">
    <w:name w:val="c3"/>
    <w:basedOn w:val="4"/>
    <w:qFormat/>
    <w:uiPriority w:val="0"/>
  </w:style>
  <w:style w:type="character" w:customStyle="1" w:styleId="32">
    <w:name w:val="starting6"/>
    <w:basedOn w:val="4"/>
    <w:qFormat/>
    <w:uiPriority w:val="0"/>
    <w:rPr>
      <w:color w:val="339900"/>
    </w:rPr>
  </w:style>
  <w:style w:type="character" w:customStyle="1" w:styleId="33">
    <w:name w:val="bsharetext"/>
    <w:basedOn w:val="4"/>
    <w:qFormat/>
    <w:uiPriority w:val="0"/>
  </w:style>
  <w:style w:type="character" w:customStyle="1" w:styleId="34">
    <w:name w:val="c1"/>
    <w:basedOn w:val="4"/>
    <w:qFormat/>
    <w:uiPriority w:val="0"/>
  </w:style>
  <w:style w:type="character" w:customStyle="1" w:styleId="35">
    <w:name w:val="wsbs_icon2"/>
    <w:basedOn w:val="4"/>
    <w:qFormat/>
    <w:uiPriority w:val="0"/>
  </w:style>
  <w:style w:type="character" w:customStyle="1" w:styleId="36">
    <w:name w:val="buvis1"/>
    <w:basedOn w:val="4"/>
    <w:qFormat/>
    <w:uiPriority w:val="0"/>
    <w:rPr>
      <w:color w:val="CC0000"/>
    </w:rPr>
  </w:style>
  <w:style w:type="character" w:customStyle="1" w:styleId="37">
    <w:name w:val="icon025"/>
    <w:basedOn w:val="4"/>
    <w:qFormat/>
    <w:uiPriority w:val="0"/>
  </w:style>
  <w:style w:type="character" w:customStyle="1" w:styleId="38">
    <w:name w:val="wsbs_icon4"/>
    <w:basedOn w:val="4"/>
    <w:qFormat/>
    <w:uiPriority w:val="0"/>
  </w:style>
  <w:style w:type="character" w:customStyle="1" w:styleId="39">
    <w:name w:val="bt1"/>
    <w:basedOn w:val="4"/>
    <w:qFormat/>
    <w:uiPriority w:val="0"/>
    <w:rPr>
      <w:color w:val="FFFFFF"/>
      <w:sz w:val="18"/>
      <w:szCs w:val="18"/>
      <w:shd w:val="clear" w:color="auto" w:fill="0E76CD"/>
    </w:rPr>
  </w:style>
  <w:style w:type="character" w:customStyle="1" w:styleId="40">
    <w:name w:val="nostart4"/>
    <w:basedOn w:val="4"/>
    <w:qFormat/>
    <w:uiPriority w:val="0"/>
    <w:rPr>
      <w:color w:val="FF0000"/>
    </w:rPr>
  </w:style>
  <w:style w:type="character" w:customStyle="1" w:styleId="41">
    <w:name w:val="icon031"/>
    <w:basedOn w:val="4"/>
    <w:qFormat/>
    <w:uiPriority w:val="0"/>
  </w:style>
  <w:style w:type="character" w:customStyle="1" w:styleId="42">
    <w:name w:val="wsbs_icon3"/>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3634</Words>
  <Characters>3672</Characters>
  <Lines>26</Lines>
  <Paragraphs>7</Paragraphs>
  <TotalTime>21</TotalTime>
  <ScaleCrop>false</ScaleCrop>
  <LinksUpToDate>false</LinksUpToDate>
  <CharactersWithSpaces>3699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2022-09-19T13:25:00Z</dcterms:created>
  <dc:creator>羊恙</dc:creator>
  <cp:lastModifiedBy> </cp:lastModifiedBy>
  <cp:lastPrinted>2024-01-25T12:52:00Z</cp:lastPrinted>
  <dcterms:modified xsi:type="dcterms:W3CDTF">2024-01-30T10:19:46Z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F013EC95B73A497E9EA8598E4A90DB80_13</vt:lpwstr>
  </property>
</Properties>
</file>