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bookmarkStart w:id="0" w:name="_GoBack"/>
      <w:r>
        <w:rPr>
          <w:rFonts w:hint="eastAsia"/>
          <w:sz w:val="44"/>
          <w:szCs w:val="44"/>
        </w:rPr>
        <w:t>酉阳自治县市政服务领域政务公开标准目录</w:t>
      </w:r>
    </w:p>
    <w:bookmarkEnd w:id="0"/>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753"/>
        <w:gridCol w:w="945"/>
        <w:gridCol w:w="916"/>
        <w:gridCol w:w="1189"/>
        <w:gridCol w:w="1410"/>
        <w:gridCol w:w="842"/>
        <w:gridCol w:w="907"/>
        <w:gridCol w:w="2423"/>
        <w:gridCol w:w="745"/>
        <w:gridCol w:w="784"/>
        <w:gridCol w:w="667"/>
        <w:gridCol w:w="764"/>
        <w:gridCol w:w="628"/>
        <w:gridCol w:w="579"/>
        <w:gridCol w:w="70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87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序号</w:t>
            </w:r>
          </w:p>
        </w:tc>
        <w:tc>
          <w:tcPr>
            <w:tcW w:w="202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公开事项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(要素)</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公开依据</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时限</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主体</w:t>
            </w:r>
          </w:p>
        </w:tc>
        <w:tc>
          <w:tcPr>
            <w:tcW w:w="33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公开渠道和载体</w:t>
            </w:r>
          </w:p>
        </w:tc>
        <w:tc>
          <w:tcPr>
            <w:tcW w:w="177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公开对象</w:t>
            </w:r>
          </w:p>
        </w:tc>
        <w:tc>
          <w:tcPr>
            <w:tcW w:w="162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公开方式</w:t>
            </w:r>
          </w:p>
        </w:tc>
        <w:tc>
          <w:tcPr>
            <w:tcW w:w="207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公开层级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一级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事项</w:t>
            </w: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二级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事项</w:t>
            </w: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社会</w:t>
            </w:r>
          </w:p>
        </w:tc>
        <w:tc>
          <w:tcPr>
            <w:tcW w:w="9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特定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群体</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主动</w:t>
            </w:r>
          </w:p>
        </w:tc>
        <w:tc>
          <w:tcPr>
            <w:tcW w:w="8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申请</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市级</w:t>
            </w:r>
          </w:p>
        </w:tc>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县级</w:t>
            </w:r>
          </w:p>
        </w:tc>
        <w:tc>
          <w:tcPr>
            <w:tcW w:w="7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乡级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860" w:hRule="atLeast"/>
        </w:trPr>
        <w:tc>
          <w:tcPr>
            <w:tcW w:w="87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w:t>
            </w:r>
          </w:p>
        </w:tc>
        <w:tc>
          <w:tcPr>
            <w:tcW w:w="10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城镇燃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气管理</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燃气经营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许可</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1. 《城镇燃气管理条例》: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2. 《重庆市天然气管理条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民政府经信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68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005"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改动市政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天然气设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施审批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1. 《城镇燃气管理条例》: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2. 《重庆市天然气管理条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民政府经信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 ■政府网站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 □广播电视     □纸质媒体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 公开查阅点  □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025"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185" w:hRule="atLeast"/>
        </w:trPr>
        <w:tc>
          <w:tcPr>
            <w:tcW w:w="870"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2 </w:t>
            </w:r>
          </w:p>
        </w:tc>
        <w:tc>
          <w:tcPr>
            <w:tcW w:w="1035"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水、城镇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排水与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污水处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理</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由于工程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施工、设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备维修等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原因确需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停止供水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的审批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《城市供水条例》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50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1965"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供水工程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建设方案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审查</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《重庆市城市供水节水管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理条例》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14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605"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城镇污水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排入排水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管网许可</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《城镇排水与污水处理条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民政府住房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城乡建设部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605"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38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拆除、改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动城镇排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水与污水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处理设施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审核</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《城镇排水与污水处理条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民政府住房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城乡建设部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56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0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拆除、改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动、迁移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城市公共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供水设施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审核</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《城市供水条例》《重庆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市城市供水节水管理条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 子 屏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2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3 </w:t>
            </w:r>
          </w:p>
        </w:tc>
        <w:tc>
          <w:tcPr>
            <w:tcW w:w="10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林绿化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建设项目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附属园林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绿化工程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设计方案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审查</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1.《城市绿化条例》: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2.《重庆市城市园林绿化条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3.《重庆市人民政府关于印发重庆市工程建设项目审批制度改革试点实施方案的通知》。</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  ■政府网站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□便民服务站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6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295"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工程建设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涉及城市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绿地、树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木审批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1.《国务院对确需保留的行政审批项目设定行政许可的决定》;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2.《城市绿化条例》: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3.《重庆市城市园林绿化条例》。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  ■政府网站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□便民服务站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02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575"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非工程建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设涉及城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市 绿 地 、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树木审批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《重庆市城市园林绿化条例》。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  ■政府网站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32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公园内举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办大型游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乐、展览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等活动审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《重庆市公园管理条例》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75"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4 </w:t>
            </w:r>
          </w:p>
        </w:tc>
        <w:tc>
          <w:tcPr>
            <w:tcW w:w="10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市容环卫管理</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从事生活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垃圾经营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性 清 扫 、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收集、运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输、处理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服务审批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1. 《国务院对确需保留的行政审批项目设定行政许可的决定》;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2. 《城市生活垃圾管理办法》: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3. 《重庆市市容环境卫生管理条例》;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4. 《重庆市生活垃圾管理条例》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市人民政府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城市管理部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■政府网站    □政府公报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□两微一端    □广播电视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□公开查阅点  □发布会/听证会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905"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城市建筑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垃圾处置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核准</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1. 《国务院对确需保留的行政审批项目设定行政许可的决定》;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2. 《城市建筑垃圾管理规定》</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区县人民政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府城市管理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0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非主干道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临时占道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经营许可</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《重庆市市容环境卫生管理条例》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区县人民政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府城市管理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20" w:hRule="atLeast"/>
        </w:trPr>
        <w:tc>
          <w:tcPr>
            <w:tcW w:w="87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5 </w:t>
            </w:r>
          </w:p>
        </w:tc>
        <w:tc>
          <w:tcPr>
            <w:tcW w:w="1035"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户外广告管理</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设置大型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户外广告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及在城市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建 筑 物 、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设施上悬</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挂、张贴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宣传品审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《城市市容和环境卫生管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理条例》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区县人民政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府城市管理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95"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临时户外</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广告设置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许可</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《重庆市户外广告管理条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2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6 </w:t>
            </w:r>
          </w:p>
        </w:tc>
        <w:tc>
          <w:tcPr>
            <w:tcW w:w="1035"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市政设施建设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w:t>
            </w: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关闭、闲</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置、拆除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城市环卫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设施许可</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1. 《中华人民共和国固体废物污染环境防治法》;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2. 《城市市容和环境卫生管理条例》。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□广播电视       □纸质媒体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□公开查阅点     □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95"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855"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市政设施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建设类审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1. 《城市道路管理条例》: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2. 《国务院对确需保留的行政审批项目设定行政许可的决定》: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3. 《国务院关于印发清理规范投资项目报建审批事项实施方案的通知》。</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□广播电视     □纸质媒体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86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特殊车辆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在城市道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路上行驶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(包括经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过城市桥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梁)审批</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《城市道路管理条例》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24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2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占用、迁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移、拆除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城市道路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照明设施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审核</w:t>
            </w:r>
          </w:p>
        </w:tc>
        <w:tc>
          <w:tcPr>
            <w:tcW w:w="14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《重庆市市政设施管理条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例》</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市、区县人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民政府城市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管理部门</w:t>
            </w:r>
          </w:p>
        </w:tc>
        <w:tc>
          <w:tcPr>
            <w:tcW w:w="3375" w:type="dxa"/>
            <w:vMerge w:val="restart"/>
            <w:tcBorders>
              <w:top w:val="outset" w:color="auto" w:sz="6" w:space="0"/>
              <w:left w:val="outset" w:color="auto" w:sz="6" w:space="0"/>
              <w:bottom w:val="single" w:color="000000"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□广播电视       □纸质媒体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 子 屏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16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62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3375" w:type="dxa"/>
            <w:vMerge w:val="continue"/>
            <w:tcBorders>
              <w:top w:val="outset" w:color="auto" w:sz="6" w:space="0"/>
              <w:left w:val="outset" w:color="auto"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91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7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7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640" w:hRule="atLeast"/>
        </w:trPr>
        <w:tc>
          <w:tcPr>
            <w:tcW w:w="870"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1035"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pPr>
              <w:rPr>
                <w:rFonts w:hint="eastAsia" w:ascii="宋体"/>
                <w:sz w:val="24"/>
                <w:szCs w:val="24"/>
              </w:rPr>
            </w:pPr>
          </w:p>
        </w:tc>
        <w:tc>
          <w:tcPr>
            <w:tcW w:w="99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临时性建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筑物搭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建、堆放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物料、占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道施工审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批</w:t>
            </w:r>
          </w:p>
        </w:tc>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1 . 申请条件；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 . 申请材料；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. 申请流程；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4.法定依据。</w:t>
            </w:r>
          </w:p>
        </w:tc>
        <w:tc>
          <w:tcPr>
            <w:tcW w:w="162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《城市市容和环境卫生管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理条例》</w:t>
            </w:r>
          </w:p>
        </w:tc>
        <w:tc>
          <w:tcPr>
            <w:tcW w:w="10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制定或获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取信息之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日起20个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工作日内</w:t>
            </w:r>
          </w:p>
        </w:tc>
        <w:tc>
          <w:tcPr>
            <w:tcW w:w="9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区县人民政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府城市管理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部门</w:t>
            </w:r>
          </w:p>
        </w:tc>
        <w:tc>
          <w:tcPr>
            <w:tcW w:w="3375" w:type="dxa"/>
            <w:tcBorders>
              <w:top w:val="outset" w:color="auto" w:sz="6" w:space="0"/>
              <w:left w:val="outset" w:color="auto" w:sz="6" w:space="0"/>
              <w:bottom w:val="outset" w:color="auto" w:sz="6" w:space="0"/>
              <w:right w:val="single" w:color="000000"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■政府网站     □政府公报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□两微一端     □发布会/听证会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□广播电视     □纸质媒体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□公开查阅点   □政务服务中心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□便民服务站   □入户/现场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□社区/企事业单位/村公示栏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 (电子屏)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□精准推送     □其他</w:t>
            </w:r>
          </w:p>
        </w:tc>
        <w:tc>
          <w:tcPr>
            <w:tcW w:w="8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9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8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r>
              <w:rPr>
                <w:rFonts w:ascii="宋体" w:hAnsi="宋体" w:eastAsia="宋体" w:cs="宋体"/>
                <w:kern w:val="0"/>
                <w:sz w:val="24"/>
                <w:szCs w:val="24"/>
                <w:lang w:val="en-US" w:eastAsia="zh-CN" w:bidi="ar"/>
              </w:rPr>
              <w:t>√</w:t>
            </w:r>
          </w:p>
        </w:tc>
        <w:tc>
          <w:tcPr>
            <w:tcW w:w="7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756B0"/>
    <w:rsid w:val="203D474A"/>
    <w:rsid w:val="63363834"/>
    <w:rsid w:val="7CE1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2025-01-10T07:21:00Z</dcterms:created>
  <dc:creator>yyzjw</dc:creator>
  <cp:lastModifiedBy>yyzjw</cp:lastModifiedBy>
  <dcterms:modified xsi:type="dcterms:W3CDTF">2025-01-20T03:35:18Z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D717470E7AC149BA902CFF7EBBB753E3</vt:lpwstr>
  </property>
</Properties>
</file>