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重庆市酉阳土家族苗族自治县建设工程质量站</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bookmarkEnd w:id="0"/>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val="0"/>
        <w:kinsoku/>
        <w:wordWrap/>
        <w:overflowPunct/>
        <w:topLinePunct w:val="0"/>
        <w:bidi w:val="0"/>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b/>
          <w:bCs/>
          <w:color w:val="auto"/>
          <w:sz w:val="32"/>
          <w:szCs w:val="32"/>
          <w:shd w:val="clear" w:color="auto" w:fill="FFFFFF"/>
          <w:lang w:val="en-US" w:eastAsia="zh-CN" w:bidi="ar-SA"/>
        </w:rPr>
        <w:t>1.</w:t>
      </w:r>
      <w:r>
        <w:rPr>
          <w:rFonts w:hint="default" w:ascii="Times New Roman" w:hAnsi="Times New Roman" w:eastAsia="方正仿宋_GBK" w:cs="Times New Roman"/>
          <w:color w:val="auto"/>
          <w:sz w:val="32"/>
          <w:szCs w:val="32"/>
          <w:shd w:val="clear" w:color="auto" w:fill="FFFFFF"/>
          <w:lang w:val="en-US" w:eastAsia="zh-CN" w:bidi="ar-SA"/>
        </w:rPr>
        <w:t>负责工程建设质量有关法律法规和方针政策的宣传及相关培训工作。</w:t>
      </w:r>
    </w:p>
    <w:p>
      <w:pPr>
        <w:keepNext w:val="0"/>
        <w:keepLines w:val="0"/>
        <w:pageBreakBefore w:val="0"/>
        <w:widowControl w:val="0"/>
        <w:kinsoku/>
        <w:wordWrap/>
        <w:overflowPunct/>
        <w:topLinePunct w:val="0"/>
        <w:bidi w:val="0"/>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b/>
          <w:bCs/>
          <w:color w:val="auto"/>
          <w:sz w:val="32"/>
          <w:szCs w:val="32"/>
          <w:shd w:val="clear" w:color="auto" w:fill="FFFFFF"/>
          <w:lang w:val="en-US" w:eastAsia="zh-CN" w:bidi="ar-SA"/>
        </w:rPr>
        <w:t>2.</w:t>
      </w:r>
      <w:r>
        <w:rPr>
          <w:rFonts w:hint="default" w:ascii="Times New Roman" w:hAnsi="Times New Roman" w:eastAsia="方正仿宋_GBK" w:cs="Times New Roman"/>
          <w:color w:val="auto"/>
          <w:sz w:val="32"/>
          <w:szCs w:val="32"/>
          <w:shd w:val="clear" w:color="auto" w:fill="FFFFFF"/>
          <w:lang w:val="en-US" w:eastAsia="zh-CN" w:bidi="ar-SA"/>
        </w:rPr>
        <w:t>受县住房城乡建委委托，负责县域内房屋建筑与市政基础设施工程（含人防工程）新建、扩建、改建的质量管理。参与工程质量事故的调查处理。</w:t>
      </w:r>
    </w:p>
    <w:p>
      <w:pPr>
        <w:keepNext w:val="0"/>
        <w:keepLines w:val="0"/>
        <w:pageBreakBefore w:val="0"/>
        <w:widowControl w:val="0"/>
        <w:kinsoku/>
        <w:wordWrap/>
        <w:overflowPunct/>
        <w:topLinePunct w:val="0"/>
        <w:bidi w:val="0"/>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b/>
          <w:bCs/>
          <w:color w:val="auto"/>
          <w:sz w:val="32"/>
          <w:szCs w:val="32"/>
          <w:shd w:val="clear" w:color="auto" w:fill="FFFFFF"/>
          <w:lang w:val="en-US" w:eastAsia="zh-CN" w:bidi="ar-SA"/>
        </w:rPr>
        <w:t>3.</w:t>
      </w:r>
      <w:r>
        <w:rPr>
          <w:rFonts w:hint="default" w:ascii="Times New Roman" w:hAnsi="Times New Roman" w:eastAsia="方正仿宋_GBK" w:cs="Times New Roman"/>
          <w:color w:val="auto"/>
          <w:sz w:val="32"/>
          <w:szCs w:val="32"/>
          <w:shd w:val="clear" w:color="auto" w:fill="FFFFFF"/>
          <w:lang w:val="en-US" w:eastAsia="zh-CN" w:bidi="ar-SA"/>
        </w:rPr>
        <w:t>受理和处理建设过程中有关工程质量投诉，以及对建设工程质量违规违法单位提出整改建议。</w:t>
      </w:r>
    </w:p>
    <w:p>
      <w:pPr>
        <w:keepNext w:val="0"/>
        <w:keepLines w:val="0"/>
        <w:pageBreakBefore w:val="0"/>
        <w:widowControl w:val="0"/>
        <w:kinsoku/>
        <w:wordWrap/>
        <w:overflowPunct/>
        <w:topLinePunct w:val="0"/>
        <w:bidi w:val="0"/>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b/>
          <w:bCs/>
          <w:color w:val="auto"/>
          <w:sz w:val="32"/>
          <w:szCs w:val="32"/>
          <w:shd w:val="clear" w:color="auto" w:fill="FFFFFF"/>
          <w:lang w:val="en-US" w:eastAsia="zh-CN" w:bidi="ar-SA"/>
        </w:rPr>
        <w:t>4.</w:t>
      </w:r>
      <w:r>
        <w:rPr>
          <w:rFonts w:hint="default" w:ascii="Times New Roman" w:hAnsi="Times New Roman" w:eastAsia="方正仿宋_GBK" w:cs="Times New Roman"/>
          <w:color w:val="auto"/>
          <w:sz w:val="32"/>
          <w:szCs w:val="32"/>
          <w:shd w:val="clear" w:color="auto" w:fill="FFFFFF"/>
          <w:lang w:val="en-US" w:eastAsia="zh-CN" w:bidi="ar-SA"/>
        </w:rPr>
        <w:t>为建设工程的质量、验收和验收备案管理提供技术服务。</w:t>
      </w:r>
    </w:p>
    <w:p>
      <w:pPr>
        <w:keepNext w:val="0"/>
        <w:keepLines w:val="0"/>
        <w:pageBreakBefore w:val="0"/>
        <w:widowControl w:val="0"/>
        <w:kinsoku/>
        <w:wordWrap/>
        <w:overflowPunct/>
        <w:topLinePunct w:val="0"/>
        <w:bidi w:val="0"/>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b/>
          <w:bCs/>
          <w:color w:val="auto"/>
          <w:sz w:val="32"/>
          <w:szCs w:val="32"/>
          <w:shd w:val="clear" w:color="auto" w:fill="FFFFFF"/>
          <w:lang w:val="en-US" w:eastAsia="zh-CN" w:bidi="ar-SA"/>
        </w:rPr>
        <w:t>5.</w:t>
      </w:r>
      <w:r>
        <w:rPr>
          <w:rFonts w:hint="default" w:ascii="Times New Roman" w:hAnsi="Times New Roman" w:eastAsia="方正仿宋_GBK" w:cs="Times New Roman"/>
          <w:color w:val="auto"/>
          <w:sz w:val="32"/>
          <w:szCs w:val="32"/>
          <w:shd w:val="clear" w:color="auto" w:fill="FFFFFF"/>
          <w:lang w:val="en-US" w:eastAsia="zh-CN" w:bidi="ar-SA"/>
        </w:rPr>
        <w:t>承担城镇房屋主体使用安全、房屋安全鉴定和白蚁防治等工作。</w:t>
      </w:r>
    </w:p>
    <w:p>
      <w:pPr>
        <w:keepNext w:val="0"/>
        <w:keepLines w:val="0"/>
        <w:pageBreakBefore w:val="0"/>
        <w:widowControl w:val="0"/>
        <w:kinsoku/>
        <w:wordWrap/>
        <w:overflowPunct/>
        <w:topLinePunct w:val="0"/>
        <w:bidi w:val="0"/>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b/>
          <w:bCs/>
          <w:color w:val="auto"/>
          <w:sz w:val="32"/>
          <w:szCs w:val="32"/>
          <w:shd w:val="clear" w:color="auto" w:fill="FFFFFF"/>
          <w:lang w:val="en-US" w:eastAsia="zh-CN" w:bidi="ar-SA"/>
        </w:rPr>
        <w:t>6.</w:t>
      </w:r>
      <w:r>
        <w:rPr>
          <w:rFonts w:hint="default" w:ascii="Times New Roman" w:hAnsi="Times New Roman" w:eastAsia="方正仿宋_GBK" w:cs="Times New Roman"/>
          <w:color w:val="auto"/>
          <w:sz w:val="32"/>
          <w:szCs w:val="32"/>
          <w:shd w:val="clear" w:color="auto" w:fill="FFFFFF"/>
          <w:lang w:val="en-US" w:eastAsia="zh-CN" w:bidi="ar-SA"/>
        </w:rPr>
        <w:t>完成县住房城乡建委交办的其他工作。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（二）机构设置</w:t>
      </w:r>
    </w:p>
    <w:p>
      <w:pPr>
        <w:keepNext w:val="0"/>
        <w:keepLines w:val="0"/>
        <w:pageBreakBefore w:val="0"/>
        <w:widowControl w:val="0"/>
        <w:kinsoku/>
        <w:wordWrap/>
        <w:overflowPunct/>
        <w:topLinePunct w:val="0"/>
        <w:bidi w:val="0"/>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酉阳土家族苗族自治县建设工程质量站为县住房城乡建委管理的公益一类事业单位，机构规格为副科级，属全额拨款的事业单位。我单位核定编制10人，实有在册人数10人。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决算</w:t>
      </w:r>
      <w:r>
        <w:rPr>
          <w:rStyle w:val="13"/>
          <w:rFonts w:hint="default" w:ascii="Times New Roman" w:hAnsi="Times New Roman" w:eastAsia="方正黑体_GBK" w:cs="Times New Roman"/>
          <w:b w:val="0"/>
          <w:bCs/>
          <w:sz w:val="32"/>
          <w:szCs w:val="32"/>
          <w:shd w:val="clear" w:color="auto" w:fill="FFFFFF"/>
          <w:lang w:eastAsia="zh-CN"/>
        </w:rPr>
        <w:t>收支</w:t>
      </w:r>
      <w:r>
        <w:rPr>
          <w:rStyle w:val="13"/>
          <w:rFonts w:hint="default" w:ascii="Times New Roman" w:hAnsi="Times New Roman" w:eastAsia="方正黑体_GBK" w:cs="Times New Roman"/>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222.36万元。收、支与2023年度相比</w:t>
      </w:r>
      <w:r>
        <w:rPr>
          <w:rFonts w:hint="default" w:ascii="Times New Roman" w:hAnsi="Times New Roman" w:eastAsia="方正仿宋_GBK" w:cs="Times New Roman"/>
          <w:color w:val="auto"/>
          <w:sz w:val="32"/>
          <w:szCs w:val="32"/>
          <w:shd w:val="clear" w:color="auto" w:fill="FFFFFF"/>
          <w:lang w:val="en-US" w:eastAsia="zh-CN"/>
        </w:rPr>
        <w:t>，增加13.81万元，增长6.6%，主要原因</w:t>
      </w:r>
      <w:r>
        <w:rPr>
          <w:rFonts w:hint="eastAsia" w:ascii="Times New Roman" w:hAnsi="Times New Roman" w:eastAsia="方正仿宋_GBK" w:cs="Times New Roman"/>
          <w:color w:val="auto"/>
          <w:sz w:val="32"/>
          <w:szCs w:val="32"/>
          <w:shd w:val="clear" w:color="auto" w:fill="FFFFFF"/>
          <w:lang w:val="en-US" w:eastAsia="zh-CN"/>
        </w:rPr>
        <w:t>一</w:t>
      </w:r>
      <w:r>
        <w:rPr>
          <w:rFonts w:hint="default" w:ascii="Times New Roman" w:hAnsi="Times New Roman" w:eastAsia="方正仿宋_GBK" w:cs="Times New Roman"/>
          <w:color w:val="auto"/>
          <w:sz w:val="32"/>
          <w:szCs w:val="32"/>
          <w:shd w:val="clear" w:color="auto" w:fill="FFFFFF"/>
          <w:lang w:val="en-US" w:eastAsia="zh-CN"/>
        </w:rPr>
        <w:t>是在职人员增加1人；</w:t>
      </w:r>
      <w:r>
        <w:rPr>
          <w:rFonts w:hint="eastAsia" w:ascii="Times New Roman" w:hAnsi="Times New Roman" w:eastAsia="方正仿宋_GBK" w:cs="Times New Roman"/>
          <w:color w:val="auto"/>
          <w:sz w:val="32"/>
          <w:szCs w:val="32"/>
          <w:shd w:val="clear" w:color="auto" w:fill="FFFFFF"/>
          <w:lang w:val="en-US" w:eastAsia="zh-CN"/>
        </w:rPr>
        <w:t>二</w:t>
      </w:r>
      <w:r>
        <w:rPr>
          <w:rFonts w:hint="default" w:ascii="Times New Roman" w:hAnsi="Times New Roman" w:eastAsia="方正仿宋_GBK" w:cs="Times New Roman"/>
          <w:color w:val="auto"/>
          <w:sz w:val="32"/>
          <w:szCs w:val="32"/>
          <w:shd w:val="clear" w:color="auto" w:fill="FFFFFF"/>
          <w:lang w:val="en-US" w:eastAsia="zh-CN"/>
        </w:rPr>
        <w:t>是人员正常薪资晋级。</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1</w:t>
      </w:r>
      <w:r>
        <w:rPr>
          <w:rStyle w:val="13"/>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2024年度收入合计222.36万元，与2023年度相比，增加13.81万</w:t>
      </w:r>
      <w:r>
        <w:rPr>
          <w:rFonts w:hint="default" w:ascii="Times New Roman" w:hAnsi="Times New Roman" w:eastAsia="方正仿宋_GBK" w:cs="Times New Roman"/>
          <w:color w:val="auto"/>
          <w:sz w:val="32"/>
          <w:szCs w:val="32"/>
          <w:shd w:val="clear" w:color="auto" w:fill="FFFFFF"/>
          <w:lang w:val="en-US" w:eastAsia="zh-CN"/>
        </w:rPr>
        <w:t>元，增长6.6%，主要原因</w:t>
      </w:r>
      <w:r>
        <w:rPr>
          <w:rFonts w:hint="eastAsia" w:ascii="Times New Roman" w:hAnsi="Times New Roman" w:eastAsia="方正仿宋_GBK" w:cs="Times New Roman"/>
          <w:color w:val="auto"/>
          <w:sz w:val="32"/>
          <w:szCs w:val="32"/>
          <w:shd w:val="clear" w:color="auto" w:fill="FFFFFF"/>
          <w:lang w:val="en-US" w:eastAsia="zh-CN"/>
        </w:rPr>
        <w:t>一</w:t>
      </w:r>
      <w:r>
        <w:rPr>
          <w:rFonts w:hint="default" w:ascii="Times New Roman" w:hAnsi="Times New Roman" w:eastAsia="方正仿宋_GBK" w:cs="Times New Roman"/>
          <w:color w:val="auto"/>
          <w:sz w:val="32"/>
          <w:szCs w:val="32"/>
          <w:shd w:val="clear" w:color="auto" w:fill="FFFFFF"/>
          <w:lang w:val="en-US" w:eastAsia="zh-CN"/>
        </w:rPr>
        <w:t>是在职人员增加1人；</w:t>
      </w:r>
      <w:r>
        <w:rPr>
          <w:rFonts w:hint="eastAsia" w:ascii="Times New Roman" w:hAnsi="Times New Roman" w:eastAsia="方正仿宋_GBK" w:cs="Times New Roman"/>
          <w:color w:val="auto"/>
          <w:sz w:val="32"/>
          <w:szCs w:val="32"/>
          <w:shd w:val="clear" w:color="auto" w:fill="FFFFFF"/>
          <w:lang w:val="en-US" w:eastAsia="zh-CN"/>
        </w:rPr>
        <w:t>二</w:t>
      </w:r>
      <w:r>
        <w:rPr>
          <w:rFonts w:hint="default" w:ascii="Times New Roman" w:hAnsi="Times New Roman" w:eastAsia="方正仿宋_GBK" w:cs="Times New Roman"/>
          <w:color w:val="auto"/>
          <w:sz w:val="32"/>
          <w:szCs w:val="32"/>
          <w:shd w:val="clear" w:color="auto" w:fill="FFFFFF"/>
          <w:lang w:val="en-US" w:eastAsia="zh-CN"/>
        </w:rPr>
        <w:t>是人员正常薪资晋级。其中：财政拨款收入222.36万元，占100.0%；事业收入0.0</w:t>
      </w:r>
      <w:r>
        <w:rPr>
          <w:rFonts w:hint="default" w:ascii="Times New Roman" w:hAnsi="Times New Roman" w:eastAsia="方正仿宋_GBK" w:cs="Times New Roman"/>
          <w:sz w:val="32"/>
          <w:szCs w:val="32"/>
          <w:shd w:val="clear" w:color="auto" w:fill="FFFFFF"/>
        </w:rPr>
        <w:t>0万元，占0.0%；经营收入0.00万元，占0.0%；其他收入0.00万元，占0.0%。此外，使用非财政拨款结余（含专用结余）0.00万元，年初结转和结余0.00万元。</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2</w:t>
      </w:r>
      <w:r>
        <w:rPr>
          <w:rStyle w:val="13"/>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2024年度支出合计222.36万元，与2023年度相比，增加13.81万元，增长6.6%，主要原因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color w:val="auto"/>
          <w:sz w:val="32"/>
          <w:szCs w:val="32"/>
          <w:shd w:val="clear" w:color="auto" w:fill="FFFFFF"/>
          <w:lang w:val="en-US" w:eastAsia="zh-CN"/>
        </w:rPr>
        <w:t>是在职人员增加1人；</w:t>
      </w:r>
      <w:r>
        <w:rPr>
          <w:rFonts w:hint="eastAsia" w:ascii="Times New Roman" w:hAnsi="Times New Roman" w:eastAsia="方正仿宋_GBK" w:cs="Times New Roman"/>
          <w:color w:val="auto"/>
          <w:sz w:val="32"/>
          <w:szCs w:val="32"/>
          <w:shd w:val="clear" w:color="auto" w:fill="FFFFFF"/>
          <w:lang w:val="en-US" w:eastAsia="zh-CN"/>
        </w:rPr>
        <w:t>二</w:t>
      </w:r>
      <w:r>
        <w:rPr>
          <w:rFonts w:hint="default" w:ascii="Times New Roman" w:hAnsi="Times New Roman" w:eastAsia="方正仿宋_GBK" w:cs="Times New Roman"/>
          <w:color w:val="auto"/>
          <w:sz w:val="32"/>
          <w:szCs w:val="32"/>
          <w:shd w:val="clear" w:color="auto" w:fill="FFFFFF"/>
          <w:lang w:val="en-US" w:eastAsia="zh-CN"/>
        </w:rPr>
        <w:t>是人员正常薪资晋级。其中：基本支出222.36万元，占100.0%；项目支出0.00万元，占0.0%；经</w:t>
      </w:r>
      <w:r>
        <w:rPr>
          <w:rFonts w:hint="default" w:ascii="Times New Roman" w:hAnsi="Times New Roman" w:eastAsia="方正仿宋_GBK" w:cs="Times New Roman"/>
          <w:sz w:val="32"/>
          <w:szCs w:val="32"/>
          <w:shd w:val="clear" w:color="auto" w:fill="FFFFFF"/>
        </w:rPr>
        <w:t>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val="en-US" w:eastAsia="zh-CN"/>
        </w:rPr>
      </w:pPr>
      <w:r>
        <w:rPr>
          <w:rStyle w:val="13"/>
          <w:rFonts w:hint="default"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2024年度财政拨款收、支总计均为222.36万元。与2023年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相比，财政拨款收、支总计各增加13.81万元，增长6.6%。主要原因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color w:val="auto"/>
          <w:sz w:val="32"/>
          <w:szCs w:val="32"/>
          <w:shd w:val="clear" w:color="auto" w:fill="FFFFFF"/>
          <w:lang w:val="en-US" w:eastAsia="zh-CN"/>
        </w:rPr>
        <w:t>在职人员增加1人；</w:t>
      </w:r>
      <w:r>
        <w:rPr>
          <w:rFonts w:hint="eastAsia" w:ascii="Times New Roman" w:hAnsi="Times New Roman" w:eastAsia="方正仿宋_GBK" w:cs="Times New Roman"/>
          <w:color w:val="auto"/>
          <w:sz w:val="32"/>
          <w:szCs w:val="32"/>
          <w:shd w:val="clear" w:color="auto" w:fill="FFFFFF"/>
          <w:lang w:val="en-US" w:eastAsia="zh-CN"/>
        </w:rPr>
        <w:t>二</w:t>
      </w:r>
      <w:r>
        <w:rPr>
          <w:rFonts w:hint="default" w:ascii="Times New Roman" w:hAnsi="Times New Roman" w:eastAsia="方正仿宋_GBK" w:cs="Times New Roman"/>
          <w:color w:val="auto"/>
          <w:sz w:val="32"/>
          <w:szCs w:val="32"/>
          <w:shd w:val="clear" w:color="auto" w:fill="FFFFFF"/>
          <w:lang w:val="en-US" w:eastAsia="zh-CN"/>
        </w:rPr>
        <w:t>是人员正常薪资晋级。</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（三）一般公共预算财政拨款收入支出决算情况说明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2024年度一般公共预算财政拨款收入222.36万元，与2023年度相比，</w:t>
      </w:r>
      <w:r>
        <w:rPr>
          <w:rFonts w:hint="default" w:ascii="Times New Roman" w:hAnsi="Times New Roman" w:eastAsia="方正仿宋_GBK" w:cs="Times New Roman"/>
          <w:color w:val="auto"/>
          <w:sz w:val="32"/>
          <w:szCs w:val="32"/>
          <w:shd w:val="clear" w:color="auto" w:fill="FFFFFF"/>
          <w:lang w:val="en-US" w:eastAsia="zh-CN"/>
        </w:rPr>
        <w:t>增加13.81万元，增长6.6%。主要原因</w:t>
      </w:r>
      <w:r>
        <w:rPr>
          <w:rFonts w:hint="eastAsia" w:ascii="Times New Roman" w:hAnsi="Times New Roman" w:eastAsia="方正仿宋_GBK" w:cs="Times New Roman"/>
          <w:color w:val="auto"/>
          <w:sz w:val="32"/>
          <w:szCs w:val="32"/>
          <w:shd w:val="clear" w:color="auto" w:fill="FFFFFF"/>
          <w:lang w:val="en-US" w:eastAsia="zh-CN"/>
        </w:rPr>
        <w:t>一</w:t>
      </w:r>
      <w:r>
        <w:rPr>
          <w:rFonts w:hint="default" w:ascii="Times New Roman" w:hAnsi="Times New Roman" w:eastAsia="方正仿宋_GBK" w:cs="Times New Roman"/>
          <w:color w:val="auto"/>
          <w:sz w:val="32"/>
          <w:szCs w:val="32"/>
          <w:shd w:val="clear" w:color="auto" w:fill="FFFFFF"/>
          <w:lang w:val="en-US" w:eastAsia="zh-CN"/>
        </w:rPr>
        <w:t>是在职人员增加1人；</w:t>
      </w:r>
      <w:r>
        <w:rPr>
          <w:rFonts w:hint="eastAsia" w:ascii="Times New Roman" w:hAnsi="Times New Roman" w:eastAsia="方正仿宋_GBK" w:cs="Times New Roman"/>
          <w:color w:val="auto"/>
          <w:sz w:val="32"/>
          <w:szCs w:val="32"/>
          <w:shd w:val="clear" w:color="auto" w:fill="FFFFFF"/>
          <w:lang w:val="en-US" w:eastAsia="zh-CN"/>
        </w:rPr>
        <w:t>二</w:t>
      </w:r>
      <w:r>
        <w:rPr>
          <w:rFonts w:hint="default" w:ascii="Times New Roman" w:hAnsi="Times New Roman" w:eastAsia="方正仿宋_GBK" w:cs="Times New Roman"/>
          <w:color w:val="auto"/>
          <w:sz w:val="32"/>
          <w:szCs w:val="32"/>
          <w:shd w:val="clear" w:color="auto" w:fill="FFFFFF"/>
          <w:lang w:val="en-US" w:eastAsia="zh-CN"/>
        </w:rPr>
        <w:t>是人员正常薪资晋级。较年初预算数增加29.31万元，增长15.2%。主要原因</w:t>
      </w:r>
      <w:r>
        <w:rPr>
          <w:rFonts w:hint="eastAsia" w:ascii="Times New Roman" w:hAnsi="Times New Roman" w:eastAsia="方正仿宋_GBK" w:cs="Times New Roman"/>
          <w:color w:val="auto"/>
          <w:sz w:val="32"/>
          <w:szCs w:val="32"/>
          <w:shd w:val="clear" w:color="auto" w:fill="FFFFFF"/>
          <w:lang w:val="en-US" w:eastAsia="zh-CN"/>
        </w:rPr>
        <w:t>一</w:t>
      </w:r>
      <w:r>
        <w:rPr>
          <w:rFonts w:hint="default" w:ascii="Times New Roman" w:hAnsi="Times New Roman" w:eastAsia="方正仿宋_GBK" w:cs="Times New Roman"/>
          <w:color w:val="auto"/>
          <w:sz w:val="32"/>
          <w:szCs w:val="32"/>
          <w:shd w:val="clear" w:color="auto" w:fill="FFFFFF"/>
          <w:lang w:val="en-US" w:eastAsia="zh-CN"/>
        </w:rPr>
        <w:t>是在职人员增加1人；</w:t>
      </w:r>
      <w:r>
        <w:rPr>
          <w:rFonts w:hint="eastAsia" w:ascii="Times New Roman" w:hAnsi="Times New Roman" w:eastAsia="方正仿宋_GBK" w:cs="Times New Roman"/>
          <w:color w:val="auto"/>
          <w:sz w:val="32"/>
          <w:szCs w:val="32"/>
          <w:shd w:val="clear" w:color="auto" w:fill="FFFFFF"/>
          <w:lang w:val="en-US" w:eastAsia="zh-CN"/>
        </w:rPr>
        <w:t>二</w:t>
      </w:r>
      <w:r>
        <w:rPr>
          <w:rFonts w:hint="default" w:ascii="Times New Roman" w:hAnsi="Times New Roman" w:eastAsia="方正仿宋_GBK" w:cs="Times New Roman"/>
          <w:color w:val="auto"/>
          <w:sz w:val="32"/>
          <w:szCs w:val="32"/>
          <w:shd w:val="clear" w:color="auto" w:fill="FFFFFF"/>
          <w:lang w:val="en-US" w:eastAsia="zh-CN"/>
        </w:rPr>
        <w:t>是人员正常薪资晋级。此外，年初财政拨款结转和结余0.00万元。</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2024年度一般公共预算财政拨款支出222.36万元，与2023年度相比，增加13.81万元，增长6.6%。主要原因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color w:val="auto"/>
          <w:sz w:val="32"/>
          <w:szCs w:val="32"/>
          <w:shd w:val="clear" w:color="auto" w:fill="FFFFFF"/>
          <w:lang w:val="en-US" w:eastAsia="zh-CN"/>
        </w:rPr>
        <w:t>是</w:t>
      </w:r>
      <w:r>
        <w:rPr>
          <w:rFonts w:hint="default" w:ascii="Times New Roman" w:hAnsi="Times New Roman" w:eastAsia="方正仿宋_GBK" w:cs="Times New Roman"/>
          <w:color w:val="auto"/>
          <w:sz w:val="32"/>
          <w:szCs w:val="32"/>
          <w:shd w:val="clear" w:color="auto" w:fill="FFFFFF"/>
          <w:lang w:eastAsia="zh-CN"/>
        </w:rPr>
        <w:t>在职人员增加</w:t>
      </w:r>
      <w:r>
        <w:rPr>
          <w:rFonts w:hint="default" w:ascii="Times New Roman" w:hAnsi="Times New Roman" w:eastAsia="方正仿宋_GBK" w:cs="Times New Roman"/>
          <w:color w:val="auto"/>
          <w:sz w:val="32"/>
          <w:szCs w:val="32"/>
          <w:shd w:val="clear" w:color="auto" w:fill="FFFFFF"/>
          <w:lang w:val="en-US" w:eastAsia="zh-CN"/>
        </w:rPr>
        <w:t>1人；</w:t>
      </w:r>
      <w:r>
        <w:rPr>
          <w:rFonts w:hint="eastAsia" w:ascii="Times New Roman" w:hAnsi="Times New Roman" w:eastAsia="方正仿宋_GBK" w:cs="Times New Roman"/>
          <w:color w:val="auto"/>
          <w:sz w:val="32"/>
          <w:szCs w:val="32"/>
          <w:shd w:val="clear" w:color="auto" w:fill="FFFFFF"/>
          <w:lang w:val="en-US" w:eastAsia="zh-CN"/>
        </w:rPr>
        <w:t>二</w:t>
      </w:r>
      <w:r>
        <w:rPr>
          <w:rFonts w:hint="default" w:ascii="Times New Roman" w:hAnsi="Times New Roman" w:eastAsia="方正仿宋_GBK" w:cs="Times New Roman"/>
          <w:color w:val="auto"/>
          <w:sz w:val="32"/>
          <w:szCs w:val="32"/>
          <w:shd w:val="clear" w:color="auto" w:fill="FFFFFF"/>
          <w:lang w:val="en-US" w:eastAsia="zh-CN"/>
        </w:rPr>
        <w:t>是人员正常薪资晋级。</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较年初预算数增加29.31万元，增长15.2%。主要原因</w:t>
      </w:r>
      <w:r>
        <w:rPr>
          <w:rFonts w:hint="eastAsia" w:ascii="Times New Roman" w:hAnsi="Times New Roman" w:eastAsia="方正仿宋_GBK" w:cs="Times New Roman"/>
          <w:color w:val="auto"/>
          <w:sz w:val="32"/>
          <w:szCs w:val="32"/>
          <w:shd w:val="clear" w:color="auto" w:fill="FFFFFF"/>
          <w:lang w:val="en-US" w:eastAsia="zh-CN"/>
        </w:rPr>
        <w:t>一</w:t>
      </w:r>
      <w:r>
        <w:rPr>
          <w:rFonts w:hint="default" w:ascii="Times New Roman" w:hAnsi="Times New Roman" w:eastAsia="方正仿宋_GBK" w:cs="Times New Roman"/>
          <w:color w:val="auto"/>
          <w:sz w:val="32"/>
          <w:szCs w:val="32"/>
          <w:shd w:val="clear" w:color="auto" w:fill="FFFFFF"/>
          <w:lang w:val="en-US" w:eastAsia="zh-CN"/>
        </w:rPr>
        <w:t>是</w:t>
      </w:r>
      <w:r>
        <w:rPr>
          <w:rFonts w:hint="default" w:ascii="Times New Roman" w:hAnsi="Times New Roman" w:eastAsia="方正仿宋_GBK" w:cs="Times New Roman"/>
          <w:color w:val="auto"/>
          <w:sz w:val="32"/>
          <w:szCs w:val="32"/>
          <w:shd w:val="clear" w:color="auto" w:fill="FFFFFF"/>
          <w:lang w:eastAsia="zh-CN"/>
        </w:rPr>
        <w:t>在职人员增加</w:t>
      </w:r>
      <w:r>
        <w:rPr>
          <w:rFonts w:hint="default" w:ascii="Times New Roman" w:hAnsi="Times New Roman" w:eastAsia="方正仿宋_GBK" w:cs="Times New Roman"/>
          <w:color w:val="auto"/>
          <w:sz w:val="32"/>
          <w:szCs w:val="32"/>
          <w:shd w:val="clear" w:color="auto" w:fill="FFFFFF"/>
          <w:lang w:val="en-US" w:eastAsia="zh-CN"/>
        </w:rPr>
        <w:t>1人；</w:t>
      </w:r>
      <w:r>
        <w:rPr>
          <w:rFonts w:hint="eastAsia" w:ascii="Times New Roman" w:hAnsi="Times New Roman" w:eastAsia="方正仿宋_GBK" w:cs="Times New Roman"/>
          <w:color w:val="auto"/>
          <w:sz w:val="32"/>
          <w:szCs w:val="32"/>
          <w:shd w:val="clear" w:color="auto" w:fill="FFFFFF"/>
          <w:lang w:val="en-US" w:eastAsia="zh-CN"/>
        </w:rPr>
        <w:t>二</w:t>
      </w:r>
      <w:r>
        <w:rPr>
          <w:rFonts w:hint="default" w:ascii="Times New Roman" w:hAnsi="Times New Roman" w:eastAsia="方正仿宋_GBK" w:cs="Times New Roman"/>
          <w:color w:val="auto"/>
          <w:sz w:val="32"/>
          <w:szCs w:val="32"/>
          <w:shd w:val="clear" w:color="auto" w:fill="FFFFFF"/>
          <w:lang w:val="en-US" w:eastAsia="zh-CN"/>
        </w:rPr>
        <w:t>是人员正常薪资晋级。</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就业支出26.17万元，占11.8%，较年初预算数增加3.08万元，增长1</w:t>
      </w:r>
      <w:r>
        <w:rPr>
          <w:rFonts w:hint="default" w:ascii="Times New Roman" w:hAnsi="Times New Roman" w:eastAsia="方正仿宋_GBK" w:cs="Times New Roman"/>
          <w:color w:val="auto"/>
          <w:sz w:val="32"/>
          <w:szCs w:val="32"/>
          <w:shd w:val="clear" w:color="auto" w:fill="FFFFFF"/>
          <w:lang w:eastAsia="zh-CN"/>
        </w:rPr>
        <w:t>3.3%，主要原因</w:t>
      </w:r>
      <w:r>
        <w:rPr>
          <w:rFonts w:hint="eastAsia" w:ascii="Times New Roman" w:hAnsi="Times New Roman" w:eastAsia="方正仿宋_GBK" w:cs="Times New Roman"/>
          <w:color w:val="auto"/>
          <w:sz w:val="32"/>
          <w:szCs w:val="32"/>
          <w:shd w:val="clear" w:color="auto" w:fill="FFFFFF"/>
          <w:lang w:val="en-US" w:eastAsia="zh-CN"/>
        </w:rPr>
        <w:t>一</w:t>
      </w:r>
      <w:r>
        <w:rPr>
          <w:rFonts w:hint="default" w:ascii="Times New Roman" w:hAnsi="Times New Roman" w:eastAsia="方正仿宋_GBK" w:cs="Times New Roman"/>
          <w:color w:val="auto"/>
          <w:sz w:val="32"/>
          <w:szCs w:val="32"/>
          <w:shd w:val="clear" w:color="auto" w:fill="FFFFFF"/>
          <w:lang w:val="en-US" w:eastAsia="zh-CN"/>
        </w:rPr>
        <w:t>是</w:t>
      </w:r>
      <w:r>
        <w:rPr>
          <w:rFonts w:hint="default" w:ascii="Times New Roman" w:hAnsi="Times New Roman" w:eastAsia="方正仿宋_GBK" w:cs="Times New Roman"/>
          <w:color w:val="auto"/>
          <w:sz w:val="32"/>
          <w:szCs w:val="32"/>
          <w:shd w:val="clear" w:color="auto" w:fill="FFFFFF"/>
          <w:lang w:eastAsia="zh-CN"/>
        </w:rPr>
        <w:t>在职人员增加</w:t>
      </w:r>
      <w:r>
        <w:rPr>
          <w:rFonts w:hint="default" w:ascii="Times New Roman" w:hAnsi="Times New Roman" w:eastAsia="方正仿宋_GBK" w:cs="Times New Roman"/>
          <w:color w:val="auto"/>
          <w:sz w:val="32"/>
          <w:szCs w:val="32"/>
          <w:shd w:val="clear" w:color="auto" w:fill="FFFFFF"/>
          <w:lang w:val="en-US" w:eastAsia="zh-CN"/>
        </w:rPr>
        <w:t>1人；</w:t>
      </w:r>
      <w:r>
        <w:rPr>
          <w:rFonts w:hint="eastAsia" w:ascii="Times New Roman" w:hAnsi="Times New Roman" w:eastAsia="方正仿宋_GBK" w:cs="Times New Roman"/>
          <w:color w:val="auto"/>
          <w:sz w:val="32"/>
          <w:szCs w:val="32"/>
          <w:shd w:val="clear" w:color="auto" w:fill="FFFFFF"/>
          <w:lang w:val="en-US" w:eastAsia="zh-CN"/>
        </w:rPr>
        <w:t>二</w:t>
      </w:r>
      <w:r>
        <w:rPr>
          <w:rFonts w:hint="default" w:ascii="Times New Roman" w:hAnsi="Times New Roman" w:eastAsia="方正仿宋_GBK" w:cs="Times New Roman"/>
          <w:color w:val="auto"/>
          <w:sz w:val="32"/>
          <w:szCs w:val="32"/>
          <w:shd w:val="clear" w:color="auto" w:fill="FFFFFF"/>
          <w:lang w:val="en-US" w:eastAsia="zh-CN"/>
        </w:rPr>
        <w:t>是人员正常薪资晋级。</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lang w:eastAsia="zh-CN"/>
        </w:rPr>
        <w:t>）卫生健康支出10.10万元，占4.5%，较年初预算数无增减，变动为</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lang w:eastAsia="zh-CN"/>
        </w:rPr>
        <w:t>）城乡社区支出176.03万元，占79.2%，较年初预算数增加26.23万元，增长17.5%，主要原因</w:t>
      </w:r>
      <w:r>
        <w:rPr>
          <w:rFonts w:hint="eastAsia" w:ascii="Times New Roman" w:hAnsi="Times New Roman" w:eastAsia="方正仿宋_GBK" w:cs="Times New Roman"/>
          <w:color w:val="auto"/>
          <w:sz w:val="32"/>
          <w:szCs w:val="32"/>
          <w:shd w:val="clear" w:color="auto" w:fill="FFFFFF"/>
          <w:lang w:val="en-US" w:eastAsia="zh-CN"/>
        </w:rPr>
        <w:t>一</w:t>
      </w:r>
      <w:r>
        <w:rPr>
          <w:rFonts w:hint="default" w:ascii="Times New Roman" w:hAnsi="Times New Roman" w:eastAsia="方正仿宋_GBK" w:cs="Times New Roman"/>
          <w:color w:val="auto"/>
          <w:sz w:val="32"/>
          <w:szCs w:val="32"/>
          <w:shd w:val="clear" w:color="auto" w:fill="FFFFFF"/>
          <w:lang w:val="en-US" w:eastAsia="zh-CN"/>
        </w:rPr>
        <w:t>是</w:t>
      </w:r>
      <w:r>
        <w:rPr>
          <w:rFonts w:hint="default" w:ascii="Times New Roman" w:hAnsi="Times New Roman" w:eastAsia="方正仿宋_GBK" w:cs="Times New Roman"/>
          <w:color w:val="auto"/>
          <w:sz w:val="32"/>
          <w:szCs w:val="32"/>
          <w:shd w:val="clear" w:color="auto" w:fill="FFFFFF"/>
          <w:lang w:eastAsia="zh-CN"/>
        </w:rPr>
        <w:t>在职人员增加</w:t>
      </w:r>
      <w:r>
        <w:rPr>
          <w:rFonts w:hint="default" w:ascii="Times New Roman" w:hAnsi="Times New Roman" w:eastAsia="方正仿宋_GBK" w:cs="Times New Roman"/>
          <w:color w:val="auto"/>
          <w:sz w:val="32"/>
          <w:szCs w:val="32"/>
          <w:shd w:val="clear" w:color="auto" w:fill="FFFFFF"/>
          <w:lang w:val="en-US" w:eastAsia="zh-CN"/>
        </w:rPr>
        <w:t>1人；</w:t>
      </w:r>
      <w:r>
        <w:rPr>
          <w:rFonts w:hint="eastAsia" w:ascii="Times New Roman" w:hAnsi="Times New Roman" w:eastAsia="方正仿宋_GBK" w:cs="Times New Roman"/>
          <w:color w:val="auto"/>
          <w:sz w:val="32"/>
          <w:szCs w:val="32"/>
          <w:shd w:val="clear" w:color="auto" w:fill="FFFFFF"/>
          <w:lang w:val="en-US" w:eastAsia="zh-CN"/>
        </w:rPr>
        <w:t>二</w:t>
      </w:r>
      <w:r>
        <w:rPr>
          <w:rFonts w:hint="default" w:ascii="Times New Roman" w:hAnsi="Times New Roman" w:eastAsia="方正仿宋_GBK" w:cs="Times New Roman"/>
          <w:color w:val="auto"/>
          <w:sz w:val="32"/>
          <w:szCs w:val="32"/>
          <w:shd w:val="clear" w:color="auto" w:fill="FFFFFF"/>
          <w:lang w:val="en-US" w:eastAsia="zh-CN"/>
        </w:rPr>
        <w:t>是人员正常薪资晋级。</w:t>
      </w:r>
    </w:p>
    <w:p>
      <w:pPr>
        <w:spacing w:line="596"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10.06万元，占4.5%，较年初预算数无增减，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2024年度一般公共财政拨款基本支出222.36万元。</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人员经费203.85万元，与2023年度相比，增加17.58万元，增长9.4%，主要原因</w:t>
      </w:r>
      <w:r>
        <w:rPr>
          <w:rFonts w:hint="eastAsia" w:ascii="Times New Roman" w:hAnsi="Times New Roman" w:eastAsia="方正仿宋_GBK" w:cs="Times New Roman"/>
          <w:color w:val="auto"/>
          <w:sz w:val="32"/>
          <w:szCs w:val="32"/>
          <w:shd w:val="clear" w:color="auto" w:fill="FFFFFF"/>
          <w:lang w:val="en-US" w:eastAsia="zh-CN"/>
        </w:rPr>
        <w:t>一</w:t>
      </w:r>
      <w:r>
        <w:rPr>
          <w:rFonts w:hint="default" w:ascii="Times New Roman" w:hAnsi="Times New Roman" w:eastAsia="方正仿宋_GBK" w:cs="Times New Roman"/>
          <w:color w:val="auto"/>
          <w:sz w:val="32"/>
          <w:szCs w:val="32"/>
          <w:shd w:val="clear" w:color="auto" w:fill="FFFFFF"/>
          <w:lang w:val="en-US" w:eastAsia="zh-CN"/>
        </w:rPr>
        <w:t>是</w:t>
      </w:r>
      <w:r>
        <w:rPr>
          <w:rFonts w:hint="default" w:ascii="Times New Roman" w:hAnsi="Times New Roman" w:eastAsia="方正仿宋_GBK" w:cs="Times New Roman"/>
          <w:color w:val="auto"/>
          <w:sz w:val="32"/>
          <w:szCs w:val="32"/>
          <w:shd w:val="clear" w:color="auto" w:fill="FFFFFF"/>
          <w:lang w:eastAsia="zh-CN"/>
        </w:rPr>
        <w:t>在职人员增加</w:t>
      </w:r>
      <w:r>
        <w:rPr>
          <w:rFonts w:hint="default" w:ascii="Times New Roman" w:hAnsi="Times New Roman" w:eastAsia="方正仿宋_GBK" w:cs="Times New Roman"/>
          <w:color w:val="auto"/>
          <w:sz w:val="32"/>
          <w:szCs w:val="32"/>
          <w:shd w:val="clear" w:color="auto" w:fill="FFFFFF"/>
          <w:lang w:val="en-US" w:eastAsia="zh-CN"/>
        </w:rPr>
        <w:t>1人；</w:t>
      </w:r>
      <w:r>
        <w:rPr>
          <w:rFonts w:hint="eastAsia" w:ascii="Times New Roman" w:hAnsi="Times New Roman" w:eastAsia="方正仿宋_GBK" w:cs="Times New Roman"/>
          <w:color w:val="auto"/>
          <w:sz w:val="32"/>
          <w:szCs w:val="32"/>
          <w:shd w:val="clear" w:color="auto" w:fill="FFFFFF"/>
          <w:lang w:val="en-US" w:eastAsia="zh-CN"/>
        </w:rPr>
        <w:t>二</w:t>
      </w:r>
      <w:r>
        <w:rPr>
          <w:rFonts w:hint="default" w:ascii="Times New Roman" w:hAnsi="Times New Roman" w:eastAsia="方正仿宋_GBK" w:cs="Times New Roman"/>
          <w:color w:val="auto"/>
          <w:sz w:val="32"/>
          <w:szCs w:val="32"/>
          <w:shd w:val="clear" w:color="auto" w:fill="FFFFFF"/>
          <w:lang w:val="en-US" w:eastAsia="zh-CN"/>
        </w:rPr>
        <w:t>是人员正常薪资晋级。</w:t>
      </w:r>
      <w:r>
        <w:rPr>
          <w:rFonts w:hint="default" w:ascii="Times New Roman" w:hAnsi="Times New Roman" w:eastAsia="方正仿宋_GBK" w:cs="Times New Roman"/>
          <w:color w:val="auto"/>
          <w:sz w:val="32"/>
          <w:szCs w:val="32"/>
          <w:shd w:val="clear" w:color="auto" w:fill="FFFFFF"/>
          <w:lang w:eastAsia="zh-CN"/>
        </w:rPr>
        <w:t>人员经费为工资福利支出</w:t>
      </w:r>
      <w:r>
        <w:rPr>
          <w:rFonts w:hint="default" w:ascii="Times New Roman" w:hAnsi="Times New Roman" w:eastAsia="方正仿宋_GBK" w:cs="Times New Roman"/>
          <w:color w:val="auto"/>
          <w:sz w:val="32"/>
          <w:szCs w:val="32"/>
          <w:shd w:val="clear" w:color="auto" w:fill="FFFFFF"/>
          <w:lang w:val="en-US" w:eastAsia="zh-CN"/>
        </w:rPr>
        <w:t>201.35</w:t>
      </w:r>
      <w:r>
        <w:rPr>
          <w:rFonts w:hint="default" w:ascii="Times New Roman" w:hAnsi="Times New Roman" w:eastAsia="方正仿宋_GBK" w:cs="Times New Roman"/>
          <w:color w:val="auto"/>
          <w:sz w:val="32"/>
          <w:szCs w:val="32"/>
          <w:shd w:val="clear" w:color="auto" w:fill="FFFFFF"/>
          <w:lang w:eastAsia="zh-CN"/>
        </w:rPr>
        <w:t>用途主要包括</w:t>
      </w:r>
      <w:r>
        <w:rPr>
          <w:rFonts w:hint="eastAsia" w:ascii="Times New Roman" w:hAnsi="Times New Roman" w:eastAsia="方正仿宋_GBK" w:cs="Times New Roman"/>
          <w:color w:val="auto"/>
          <w:sz w:val="32"/>
          <w:szCs w:val="32"/>
          <w:shd w:val="clear" w:color="auto" w:fill="FFFFFF"/>
          <w:lang w:val="en-US" w:eastAsia="zh-CN"/>
        </w:rPr>
        <w:t>一</w:t>
      </w:r>
      <w:r>
        <w:rPr>
          <w:rFonts w:hint="default" w:ascii="Times New Roman" w:hAnsi="Times New Roman" w:eastAsia="方正仿宋_GBK" w:cs="Times New Roman"/>
          <w:color w:val="auto"/>
          <w:sz w:val="32"/>
          <w:szCs w:val="32"/>
          <w:shd w:val="clear" w:color="auto" w:fill="FFFFFF"/>
          <w:lang w:val="en-US" w:eastAsia="zh-CN"/>
        </w:rPr>
        <w:t>是</w:t>
      </w:r>
      <w:r>
        <w:rPr>
          <w:rFonts w:hint="default" w:ascii="Times New Roman" w:hAnsi="Times New Roman" w:eastAsia="方正仿宋_GBK" w:cs="Times New Roman"/>
          <w:color w:val="auto"/>
          <w:sz w:val="32"/>
          <w:szCs w:val="32"/>
          <w:shd w:val="clear" w:color="auto" w:fill="FFFFFF"/>
          <w:lang w:eastAsia="zh-CN"/>
        </w:rPr>
        <w:t>在职人员增加</w:t>
      </w:r>
      <w:r>
        <w:rPr>
          <w:rFonts w:hint="default" w:ascii="Times New Roman" w:hAnsi="Times New Roman" w:eastAsia="方正仿宋_GBK" w:cs="Times New Roman"/>
          <w:color w:val="auto"/>
          <w:sz w:val="32"/>
          <w:szCs w:val="32"/>
          <w:shd w:val="clear" w:color="auto" w:fill="FFFFFF"/>
          <w:lang w:val="en-US" w:eastAsia="zh-CN"/>
        </w:rPr>
        <w:t>1人；</w:t>
      </w:r>
      <w:r>
        <w:rPr>
          <w:rFonts w:hint="eastAsia" w:ascii="Times New Roman" w:hAnsi="Times New Roman" w:eastAsia="方正仿宋_GBK" w:cs="Times New Roman"/>
          <w:color w:val="auto"/>
          <w:sz w:val="32"/>
          <w:szCs w:val="32"/>
          <w:shd w:val="clear" w:color="auto" w:fill="FFFFFF"/>
          <w:lang w:val="en-US" w:eastAsia="zh-CN"/>
        </w:rPr>
        <w:t>二</w:t>
      </w:r>
      <w:r>
        <w:rPr>
          <w:rFonts w:hint="default" w:ascii="Times New Roman" w:hAnsi="Times New Roman" w:eastAsia="方正仿宋_GBK" w:cs="Times New Roman"/>
          <w:color w:val="auto"/>
          <w:sz w:val="32"/>
          <w:szCs w:val="32"/>
          <w:shd w:val="clear" w:color="auto" w:fill="FFFFFF"/>
          <w:lang w:val="en-US" w:eastAsia="zh-CN"/>
        </w:rPr>
        <w:t>是人员正常薪资晋级。</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lang w:eastAsia="zh-CN"/>
        </w:rPr>
        <w:t>公用经费18.51万元，与2023年度相比，减少3.77万元，下降16.9%，主要原因是按照财政局要求，</w:t>
      </w:r>
      <w:r>
        <w:rPr>
          <w:rFonts w:hint="eastAsia" w:ascii="Times New Roman" w:hAnsi="Times New Roman" w:eastAsia="方正仿宋_GBK" w:cs="Times New Roman"/>
          <w:color w:val="auto"/>
          <w:sz w:val="32"/>
          <w:szCs w:val="32"/>
          <w:shd w:val="clear" w:color="auto" w:fill="FFFFFF"/>
          <w:lang w:val="en-US" w:eastAsia="zh-CN"/>
        </w:rPr>
        <w:t>厉</w:t>
      </w:r>
      <w:r>
        <w:rPr>
          <w:rFonts w:hint="default" w:ascii="Times New Roman" w:hAnsi="Times New Roman" w:eastAsia="方正仿宋_GBK" w:cs="Times New Roman"/>
          <w:color w:val="auto"/>
          <w:sz w:val="32"/>
          <w:szCs w:val="32"/>
          <w:shd w:val="clear" w:color="auto" w:fill="FFFFFF"/>
          <w:lang w:eastAsia="zh-CN"/>
        </w:rPr>
        <w:t>行节约，压缩办公经费。公用经费用途主要</w:t>
      </w:r>
      <w:r>
        <w:rPr>
          <w:rFonts w:hint="default" w:ascii="Times New Roman" w:hAnsi="Times New Roman" w:eastAsia="方正仿宋_GBK" w:cs="Times New Roman"/>
          <w:sz w:val="32"/>
          <w:szCs w:val="32"/>
          <w:shd w:val="clear" w:color="auto" w:fill="FFFFFF"/>
        </w:rPr>
        <w:t>包括</w:t>
      </w:r>
      <w:r>
        <w:rPr>
          <w:rFonts w:hint="default" w:ascii="Times New Roman" w:hAnsi="Times New Roman" w:eastAsia="方正仿宋_GBK" w:cs="Times New Roman"/>
          <w:color w:val="auto"/>
          <w:kern w:val="0"/>
          <w:sz w:val="32"/>
          <w:szCs w:val="32"/>
          <w:shd w:val="clear" w:fill="FFFFFF"/>
        </w:rPr>
        <w:t>单位的日常运转和工作人员差旅费的报销。</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本单位2024年度无政府性基金预算财政拨款收支。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lang w:eastAsia="zh-CN"/>
        </w:rPr>
        <w:t>本单位2024年度无国有资本经营预算财政拨款支出。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w:t>
      </w:r>
      <w:r>
        <w:rPr>
          <w:rStyle w:val="13"/>
          <w:rFonts w:hint="default" w:ascii="Times New Roman" w:hAnsi="Times New Roman" w:eastAsia="方正黑体_GBK" w:cs="Times New Roman"/>
          <w:b w:val="0"/>
          <w:bCs/>
          <w:sz w:val="32"/>
          <w:szCs w:val="32"/>
          <w:shd w:val="clear" w:color="auto" w:fill="FFFFFF"/>
          <w:lang w:eastAsia="zh-CN"/>
        </w:rPr>
        <w:t>财政拨款</w:t>
      </w:r>
      <w:r>
        <w:rPr>
          <w:rStyle w:val="13"/>
          <w:rFonts w:hint="default" w:ascii="Times New Roman" w:hAnsi="Times New Roman" w:eastAsia="方正黑体_GBK" w:cs="Times New Roman"/>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（一）“三公”经费支出总体情况说明</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w:t>
      </w:r>
      <w:r>
        <w:rPr>
          <w:rFonts w:hint="default" w:ascii="Times New Roman" w:hAnsi="Times New Roman" w:eastAsia="方正仿宋_GBK" w:cs="Times New Roman"/>
          <w:color w:val="auto"/>
          <w:sz w:val="32"/>
          <w:szCs w:val="32"/>
          <w:shd w:val="clear" w:color="auto" w:fill="FFFFFF"/>
          <w:lang w:eastAsia="zh-CN"/>
        </w:rPr>
        <w:t>单位属于事业单位，财政未保障我单位“三公”经费。</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本单位属于事业单位，财政未保障我单位“三公”经费，变动为</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（二）“三公”经费分项支出情况</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本单位因公出国（境）费用0.00万元，主要是用于我单位无因公出国（境）事项。费用支出较年初预算数无增减，主要原因是我单位属于事业单位，财政未保障我单位“三公”经费。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2023年度和2024年度未发生因公出国（境）支出</w:t>
      </w:r>
      <w:r>
        <w:rPr>
          <w:rFonts w:hint="default" w:ascii="Times New Roman" w:hAnsi="Times New Roman" w:eastAsia="方正仿宋_GBK" w:cs="Times New Roman"/>
          <w:sz w:val="32"/>
          <w:szCs w:val="32"/>
          <w:shd w:val="clear" w:color="auto" w:fill="FFFFFF"/>
          <w:lang w:eastAsia="zh-CN"/>
        </w:rPr>
        <w:t>。</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公务用车购置费0.00万。费用支出较年初预算数无增减，主要原因是本单位</w:t>
      </w:r>
      <w:r>
        <w:rPr>
          <w:rFonts w:hint="default" w:ascii="Times New Roman" w:hAnsi="Times New Roman" w:eastAsia="方正仿宋_GBK" w:cs="Times New Roman"/>
          <w:sz w:val="32"/>
          <w:szCs w:val="32"/>
          <w:shd w:val="clear" w:color="auto" w:fill="FFFFFF"/>
          <w:lang w:val="en-US" w:eastAsia="zh-CN"/>
        </w:rPr>
        <w:t>2024年未购置公务用车</w:t>
      </w:r>
      <w:r>
        <w:rPr>
          <w:rFonts w:hint="default" w:ascii="Times New Roman" w:hAnsi="Times New Roman" w:eastAsia="方正仿宋_GBK" w:cs="Times New Roman"/>
          <w:sz w:val="32"/>
          <w:szCs w:val="32"/>
          <w:shd w:val="clear" w:color="auto" w:fill="FFFFFF"/>
          <w:lang w:eastAsia="zh-CN"/>
        </w:rPr>
        <w:t>。较上年支出数无增减，主要原因是本单位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2023年和2024年未购置公务用车。</w:t>
      </w:r>
    </w:p>
    <w:p>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公务用车运行维护费0.00万元。费用支出较年初预算数无增减，</w:t>
      </w:r>
      <w:r>
        <w:rPr>
          <w:rFonts w:hint="default" w:ascii="Times New Roman" w:hAnsi="Times New Roman" w:eastAsia="方正仿宋_GBK" w:cs="Times New Roman"/>
          <w:sz w:val="32"/>
          <w:szCs w:val="32"/>
          <w:shd w:val="clear" w:color="auto" w:fill="FFFFFF"/>
          <w:lang w:val="en-US" w:eastAsia="zh-CN"/>
        </w:rPr>
        <w:t>主要原因是本单位年初未预算公务车运行费。较上年支出数无增减，主要原因是本单位2023年度和2024年度未发生公务车运行维护费支出。</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公务接待费0.00万元。费用支出较年初预算数无增减，主要原因是本单位年初未预算公务接待费。较上年支出数无增减，主要原因是本单位本年度未预算公务接待费，公务接待费在机关单位登记。</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本年度会议费支出0.00万元，与2023年度相比，无增减，主要原因是</w:t>
      </w:r>
      <w:r>
        <w:rPr>
          <w:rFonts w:hint="default" w:ascii="Times New Roman" w:hAnsi="Times New Roman" w:eastAsia="方正仿宋_GBK" w:cs="Times New Roman"/>
          <w:sz w:val="32"/>
          <w:szCs w:val="32"/>
          <w:shd w:val="clear" w:color="auto" w:fill="FFFFFF"/>
          <w:lang w:val="en-US" w:eastAsia="zh-CN"/>
        </w:rPr>
        <w:t>2023年与2024年均未发生会议费用支出</w:t>
      </w:r>
      <w:r>
        <w:rPr>
          <w:rFonts w:hint="default" w:ascii="Times New Roman" w:hAnsi="Times New Roman" w:eastAsia="方正仿宋_GBK" w:cs="Times New Roman"/>
          <w:sz w:val="32"/>
          <w:szCs w:val="32"/>
          <w:shd w:val="clear" w:color="auto" w:fill="FFFFFF"/>
        </w:rPr>
        <w:t>。本年度培训费支出0.00万元，与2023年度相比，减少1.07万元，下降100.0%，主要原因是</w:t>
      </w:r>
      <w:r>
        <w:rPr>
          <w:rFonts w:hint="default" w:ascii="Times New Roman" w:hAnsi="Times New Roman" w:eastAsia="方正仿宋_GBK" w:cs="Times New Roman"/>
          <w:sz w:val="32"/>
          <w:szCs w:val="32"/>
          <w:shd w:val="clear" w:color="auto" w:fill="FFFFFF"/>
          <w:lang w:eastAsia="zh-CN"/>
        </w:rPr>
        <w:t>本单位为酉阳土家族苗族自治县住房和城乡建设委员会下属二级事业单位，公用经费由机关单位统一调度，本年度本单位在职人员继续教育培训费用未在本单位登记</w:t>
      </w:r>
      <w:r>
        <w:rPr>
          <w:rFonts w:hint="default" w:ascii="Times New Roman" w:hAnsi="Times New Roman" w:eastAsia="方正仿宋_GBK" w:cs="Times New Roman"/>
          <w:sz w:val="32"/>
          <w:szCs w:val="32"/>
          <w:shd w:val="clear" w:color="auto" w:fill="FFFFFF"/>
        </w:rPr>
        <w:t>。本年度差旅费支出1.80万元，与2023年度相比，减少3.37万元，下降65.2%，主要原因是</w:t>
      </w:r>
      <w:r>
        <w:rPr>
          <w:rFonts w:hint="default" w:ascii="Times New Roman" w:hAnsi="Times New Roman" w:eastAsia="方正仿宋_GBK" w:cs="Times New Roman"/>
          <w:sz w:val="32"/>
          <w:szCs w:val="32"/>
          <w:shd w:val="clear" w:color="auto" w:fill="FFFFFF"/>
          <w:lang w:eastAsia="zh-CN"/>
        </w:rPr>
        <w:t>本单位为酉阳土家族苗族自治县住房和城乡建设委员会下属二级事业单位，公用经费由机关单位统一调度，本年度本单位部分差旅费用未在本单位登记</w:t>
      </w:r>
      <w:r>
        <w:rPr>
          <w:rFonts w:hint="default" w:ascii="Times New Roman" w:hAnsi="Times New Roman" w:eastAsia="方正仿宋_GBK" w:cs="Times New Roman"/>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因</w:t>
      </w:r>
      <w:r>
        <w:rPr>
          <w:rFonts w:hint="default" w:ascii="Times New Roman" w:hAnsi="Times New Roman" w:eastAsia="方正仿宋_GBK" w:cs="Times New Roman"/>
          <w:sz w:val="32"/>
          <w:szCs w:val="32"/>
          <w:shd w:val="clear" w:color="auto" w:fill="FFFFFF"/>
          <w:lang w:eastAsia="zh-CN"/>
        </w:rPr>
        <w:t>我单位与机关单位在同一办公地点办公</w:t>
      </w:r>
      <w:r>
        <w:rPr>
          <w:rFonts w:hint="default" w:ascii="Times New Roman" w:hAnsi="Times New Roman" w:eastAsia="方正仿宋_GBK" w:cs="Times New Roman"/>
          <w:sz w:val="32"/>
          <w:szCs w:val="32"/>
          <w:shd w:val="clear" w:color="auto" w:fill="FFFFFF"/>
        </w:rPr>
        <w:t>，我单位资产</w:t>
      </w:r>
      <w:r>
        <w:rPr>
          <w:rFonts w:hint="default" w:ascii="Times New Roman" w:hAnsi="Times New Roman" w:eastAsia="方正仿宋_GBK" w:cs="Times New Roman"/>
          <w:sz w:val="32"/>
          <w:szCs w:val="32"/>
          <w:shd w:val="clear" w:color="auto" w:fill="FFFFFF"/>
          <w:lang w:eastAsia="zh-CN"/>
        </w:rPr>
        <w:t>全部登记在机关单位，我单位</w:t>
      </w:r>
      <w:r>
        <w:rPr>
          <w:rFonts w:hint="default" w:ascii="Times New Roman" w:hAnsi="Times New Roman" w:eastAsia="方正仿宋_GBK" w:cs="Times New Roman"/>
          <w:sz w:val="32"/>
          <w:szCs w:val="32"/>
          <w:shd w:val="clear" w:color="auto" w:fill="FFFFFF"/>
        </w:rPr>
        <w:t>未纳入部门资产决算报表。</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lang w:eastAsia="zh-CN"/>
        </w:rPr>
        <w:t>2024年度我单位未发生政府采购事项，无相关经费支出。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我单位无项目支出，未开展绩效自评。</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20"/>
        <w:autoSpaceDE w:val="0"/>
        <w:spacing w:line="596" w:lineRule="exact"/>
        <w:ind w:left="959" w:leftChars="266" w:hanging="321" w:hangingChars="100"/>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黑体_GBK" w:cs="Times New Roman"/>
          <w:b w:val="0"/>
          <w:bCs/>
          <w:kern w:val="0"/>
          <w:sz w:val="32"/>
          <w:szCs w:val="32"/>
        </w:rPr>
      </w:pPr>
      <w:r>
        <w:rPr>
          <w:rStyle w:val="16"/>
          <w:rFonts w:hint="default" w:ascii="Times New Roman" w:hAnsi="Times New Roman" w:eastAsia="方正黑体_GBK" w:cs="Times New Roman"/>
          <w:b w:val="0"/>
          <w:bCs/>
          <w:sz w:val="32"/>
          <w:szCs w:val="32"/>
          <w:shd w:val="clear" w:fill="FFFFFF"/>
        </w:rPr>
        <w:t xml:space="preserve"> </w:t>
      </w:r>
      <w:r>
        <w:rPr>
          <w:rStyle w:val="16"/>
          <w:rFonts w:hint="default" w:ascii="Times New Roman" w:hAnsi="Times New Roman" w:eastAsia="方正黑体_GBK" w:cs="Times New Roman"/>
          <w:b w:val="0"/>
          <w:bCs/>
          <w:sz w:val="32"/>
          <w:szCs w:val="32"/>
          <w:shd w:val="clear" w:fill="FFFFFF"/>
          <w:lang w:val="en-US" w:eastAsia="zh-CN"/>
        </w:rPr>
        <w:t xml:space="preserve">  </w:t>
      </w:r>
      <w:r>
        <w:rPr>
          <w:rStyle w:val="13"/>
          <w:rFonts w:hint="default" w:ascii="Times New Roman" w:hAnsi="Times New Roman" w:eastAsia="方正黑体_GBK" w:cs="Times New Roman"/>
          <w:b w:val="0"/>
          <w:bCs/>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黑体_GBK" w:cs="Times New Roman"/>
          <w:b w:val="0"/>
          <w:bCs/>
          <w:kern w:val="0"/>
          <w:sz w:val="32"/>
          <w:szCs w:val="32"/>
        </w:rPr>
      </w:pPr>
      <w:r>
        <w:rPr>
          <w:rStyle w:val="13"/>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jc w:val="both"/>
        <w:textAlignment w:val="auto"/>
        <w:rPr>
          <w:rFonts w:hint="default" w:ascii="Times New Roman" w:hAnsi="Times New Roman" w:eastAsia="方正仿宋_GBK" w:cs="Times New Roman"/>
          <w:kern w:val="0"/>
          <w:sz w:val="32"/>
          <w:szCs w:val="32"/>
          <w:shd w:val="clear"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lang w:val="en-US" w:eastAsia="zh-CN" w:bidi="ar-SA"/>
        </w:rPr>
        <w:t>联系人：王梅   023-75532356</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酉阳土家族苗族自治县建设工程质量站</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酉阳土家族苗族自治县建设工程质量站</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222.36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222.36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酉阳土家族苗族自治县建设工程质量站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222.36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222.36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酉阳土家族苗族自治县建设工程质量站</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酉阳土家族苗族自治县建设工程质量站</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酉阳土家族苗族自治县建设工程质量站</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203.85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酉阳土家族苗族自治县建设工程质量站</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酉阳土家族苗族自治县建设工程质量站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酉阳土家族苗族自治县建设工程质量站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NWE5MDY2ZDBhMmU4M2UwZDVmZTFjMTQzYzY4OT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2BC68C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574B68"/>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B26012"/>
    <w:rsid w:val="60C74F6C"/>
    <w:rsid w:val="60EC54B1"/>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8FA0C10"/>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5751</Words>
  <Characters>7094</Characters>
  <Lines>186</Lines>
  <Paragraphs>52</Paragraphs>
  <TotalTime>10</TotalTime>
  <ScaleCrop>false</ScaleCrop>
  <LinksUpToDate>false</LinksUpToDate>
  <CharactersWithSpaces>7380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yyzjw</cp:lastModifiedBy>
  <dcterms:modified xsi:type="dcterms:W3CDTF">2025-10-20T03:24:21Z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8633AFEE9E464E979E9841305AE4CEA7</vt:lpwstr>
  </property>
  <property fmtid="{D5CDD505-2E9C-101B-9397-08002B2CF9AE}" pid="4" name="KSOTemplateDocerSaveRecord">
    <vt:lpwstr>eyJoZGlkIjoiMDhkMjQ3MGIxYmQ4NmNmOTZkYzg0MWQ4OGM5MjAxOTQiLCJ1c2VySWQiOiIxNjUwMDA0OTUwIn0=</vt:lpwstr>
  </property>
</Properties>
</file>