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重庆市酉阳土家族苗族自治县城市管理综合行政执法支队</w:t>
      </w:r>
    </w:p>
    <w:p>
      <w:pPr>
        <w:pStyle w:val="9"/>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一、单位基本情况</w:t>
      </w:r>
    </w:p>
    <w:p>
      <w:pPr>
        <w:spacing w:line="600" w:lineRule="exact"/>
        <w:ind w:firstLine="640" w:firstLineChars="200"/>
        <w:rPr>
          <w:rFonts w:hint="default" w:ascii="方正楷体_GBK" w:hAnsi="方正楷体_GBK" w:eastAsia="方正楷体_GBK" w:cs="方正楷体_GBK"/>
          <w:sz w:val="32"/>
        </w:rPr>
      </w:pPr>
      <w:r>
        <w:rPr>
          <w:rFonts w:ascii="方正楷体_GBK" w:hAnsi="方正楷体_GBK" w:eastAsia="方正楷体_GBK" w:cs="方正楷体_GBK"/>
          <w:sz w:val="32"/>
        </w:rPr>
        <w:t>（一）职能职责</w:t>
      </w:r>
    </w:p>
    <w:p>
      <w:pPr>
        <w:pStyle w:val="15"/>
        <w:autoSpaceDE w:val="0"/>
        <w:spacing w:before="0" w:beforeAutospacing="0"/>
        <w:ind w:firstLine="640" w:firstLineChars="200"/>
        <w:rPr>
          <w:rFonts w:ascii="Times New Roman" w:hAnsi="Times New Roman" w:eastAsia="方正仿宋_GBK" w:cs="仿宋_GB2312"/>
          <w:kern w:val="2"/>
          <w:sz w:val="32"/>
          <w:szCs w:val="22"/>
        </w:rPr>
      </w:pPr>
      <w:r>
        <w:rPr>
          <w:rFonts w:ascii="Times New Roman" w:hAnsi="Times New Roman" w:eastAsia="方正仿宋_GBK" w:cs="仿宋_GB2312"/>
          <w:kern w:val="2"/>
          <w:sz w:val="32"/>
          <w:szCs w:val="22"/>
        </w:rPr>
        <w:t>1.贯彻执行有关城市管理行政执法的法律、法规、规章和方针政策，依法接受委托集中行使城市管理综合行政执法范围的行政处罚权及相应行政强制措施。</w:t>
      </w:r>
    </w:p>
    <w:p>
      <w:pPr>
        <w:pStyle w:val="15"/>
        <w:autoSpaceDE w:val="0"/>
        <w:spacing w:before="0" w:beforeAutospacing="0"/>
        <w:ind w:firstLine="640" w:firstLineChars="200"/>
        <w:rPr>
          <w:rFonts w:ascii="Times New Roman" w:hAnsi="Times New Roman" w:eastAsia="方正仿宋_GBK" w:cs="仿宋_GB2312"/>
          <w:kern w:val="2"/>
          <w:sz w:val="32"/>
          <w:szCs w:val="22"/>
        </w:rPr>
      </w:pPr>
      <w:r>
        <w:rPr>
          <w:rFonts w:ascii="Times New Roman" w:hAnsi="Times New Roman" w:eastAsia="方正仿宋_GBK" w:cs="仿宋_GB2312"/>
          <w:kern w:val="2"/>
          <w:sz w:val="32"/>
          <w:szCs w:val="22"/>
        </w:rPr>
        <w:t>2.承担县域内的市政公用、市容环卫、城市供水排水、园林绿化的全部行政处罚及相应行政强制职能。</w:t>
      </w:r>
    </w:p>
    <w:p>
      <w:pPr>
        <w:pStyle w:val="15"/>
        <w:autoSpaceDE w:val="0"/>
        <w:spacing w:before="0" w:beforeAutospacing="0"/>
        <w:ind w:firstLine="640" w:firstLineChars="200"/>
        <w:rPr>
          <w:rFonts w:ascii="Times New Roman" w:hAnsi="Times New Roman" w:eastAsia="方正仿宋_GBK" w:cs="仿宋_GB2312"/>
          <w:kern w:val="2"/>
          <w:sz w:val="32"/>
          <w:szCs w:val="22"/>
        </w:rPr>
      </w:pPr>
      <w:r>
        <w:rPr>
          <w:rFonts w:ascii="Times New Roman" w:hAnsi="Times New Roman" w:eastAsia="方正仿宋_GBK" w:cs="仿宋_GB2312"/>
          <w:kern w:val="2"/>
          <w:sz w:val="32"/>
          <w:szCs w:val="22"/>
        </w:rPr>
        <w:t>3.承担环境保护管理方面市直管及跨区域的露天烧烤污染、城市焚烧沥青塑料垃圾等烟尘和恶臭污染、露天焚烧秸秆落叶等烟尘污染的行政处罚及相应行政强制职能。</w:t>
      </w:r>
    </w:p>
    <w:p>
      <w:pPr>
        <w:pStyle w:val="15"/>
        <w:autoSpaceDE w:val="0"/>
        <w:spacing w:before="0" w:beforeAutospacing="0"/>
        <w:ind w:firstLine="640" w:firstLineChars="200"/>
        <w:rPr>
          <w:rFonts w:ascii="Times New Roman" w:hAnsi="Times New Roman" w:eastAsia="方正仿宋_GBK" w:cs="仿宋_GB2312"/>
          <w:kern w:val="2"/>
          <w:sz w:val="32"/>
          <w:szCs w:val="22"/>
        </w:rPr>
      </w:pPr>
      <w:r>
        <w:rPr>
          <w:rFonts w:ascii="Times New Roman" w:hAnsi="Times New Roman" w:eastAsia="方正仿宋_GBK" w:cs="仿宋_GB2312"/>
          <w:kern w:val="2"/>
          <w:sz w:val="32"/>
          <w:szCs w:val="22"/>
        </w:rPr>
        <w:t>4.承担工商管理方面的户外公共场所无照经营、违规设置户外广告的行政处罚及相应行政强制职能。</w:t>
      </w:r>
    </w:p>
    <w:p>
      <w:pPr>
        <w:pStyle w:val="15"/>
        <w:autoSpaceDE w:val="0"/>
        <w:spacing w:before="0" w:beforeAutospacing="0"/>
        <w:ind w:firstLine="640" w:firstLineChars="200"/>
        <w:rPr>
          <w:rFonts w:ascii="Times New Roman" w:hAnsi="Times New Roman" w:eastAsia="方正仿宋_GBK" w:cs="仿宋_GB2312"/>
          <w:kern w:val="2"/>
          <w:sz w:val="32"/>
          <w:szCs w:val="22"/>
        </w:rPr>
      </w:pPr>
      <w:r>
        <w:rPr>
          <w:rFonts w:ascii="Times New Roman" w:hAnsi="Times New Roman" w:eastAsia="方正仿宋_GBK" w:cs="仿宋_GB2312"/>
          <w:kern w:val="2"/>
          <w:sz w:val="32"/>
          <w:szCs w:val="22"/>
        </w:rPr>
        <w:t>5.承担交通管理方面的侵占城市道路的行政处罚及相应行政强制职能。</w:t>
      </w:r>
    </w:p>
    <w:p>
      <w:pPr>
        <w:pStyle w:val="15"/>
        <w:autoSpaceDE w:val="0"/>
        <w:spacing w:before="0" w:beforeAutospacing="0"/>
        <w:ind w:firstLine="640" w:firstLineChars="200"/>
        <w:rPr>
          <w:rFonts w:ascii="Times New Roman" w:hAnsi="Times New Roman" w:eastAsia="方正仿宋_GBK" w:cs="仿宋_GB2312"/>
          <w:kern w:val="2"/>
          <w:sz w:val="32"/>
          <w:szCs w:val="22"/>
        </w:rPr>
      </w:pPr>
      <w:r>
        <w:rPr>
          <w:rFonts w:ascii="Times New Roman" w:hAnsi="Times New Roman" w:eastAsia="方正仿宋_GBK" w:cs="仿宋_GB2312"/>
          <w:kern w:val="2"/>
          <w:sz w:val="32"/>
          <w:szCs w:val="22"/>
        </w:rPr>
        <w:t>6.承担水务管理方面的向城市河道倾倒废弃物和垃圾的行政处罚及相应行政强制职能。</w:t>
      </w:r>
    </w:p>
    <w:p>
      <w:pPr>
        <w:pStyle w:val="15"/>
        <w:autoSpaceDE w:val="0"/>
        <w:spacing w:before="0" w:beforeAutospacing="0"/>
        <w:ind w:firstLine="640" w:firstLineChars="200"/>
        <w:rPr>
          <w:rFonts w:ascii="Times New Roman" w:hAnsi="Times New Roman" w:eastAsia="方正仿宋_GBK" w:cs="仿宋_GB2312"/>
          <w:kern w:val="2"/>
          <w:sz w:val="32"/>
          <w:szCs w:val="22"/>
        </w:rPr>
      </w:pPr>
      <w:r>
        <w:rPr>
          <w:rFonts w:ascii="Times New Roman" w:hAnsi="Times New Roman" w:eastAsia="方正仿宋_GBK" w:cs="仿宋_GB2312"/>
          <w:kern w:val="2"/>
          <w:sz w:val="32"/>
          <w:szCs w:val="22"/>
        </w:rPr>
        <w:t>7.承担食品药品监管方面的户外公共场所食品销售和餐 饮摊点无证经营的行政处罚及相应行政强制职能。</w:t>
      </w:r>
    </w:p>
    <w:p>
      <w:pPr>
        <w:pStyle w:val="15"/>
        <w:autoSpaceDE w:val="0"/>
        <w:spacing w:before="0" w:beforeAutospacing="0"/>
        <w:ind w:firstLine="640" w:firstLineChars="200"/>
        <w:rPr>
          <w:rFonts w:ascii="Times New Roman" w:hAnsi="Times New Roman" w:eastAsia="方正仿宋_GBK" w:cs="仿宋_GB2312"/>
          <w:kern w:val="2"/>
          <w:sz w:val="32"/>
          <w:szCs w:val="22"/>
        </w:rPr>
      </w:pPr>
      <w:r>
        <w:rPr>
          <w:rFonts w:ascii="Times New Roman" w:hAnsi="Times New Roman" w:eastAsia="方正仿宋_GBK" w:cs="仿宋_GB2312"/>
          <w:kern w:val="2"/>
          <w:sz w:val="32"/>
          <w:szCs w:val="22"/>
        </w:rPr>
        <w:t>8.承担城市管理综合行政执法重大复杂违法违规案件查处工作。</w:t>
      </w:r>
    </w:p>
    <w:p>
      <w:pPr>
        <w:pStyle w:val="15"/>
        <w:autoSpaceDE w:val="0"/>
        <w:spacing w:before="0" w:beforeAutospacing="0"/>
        <w:ind w:firstLine="640" w:firstLineChars="200"/>
        <w:rPr>
          <w:rFonts w:ascii="Times New Roman" w:hAnsi="Times New Roman" w:eastAsia="方正仿宋_GBK" w:cs="仿宋_GB2312"/>
          <w:kern w:val="2"/>
          <w:sz w:val="32"/>
          <w:szCs w:val="22"/>
        </w:rPr>
      </w:pPr>
      <w:r>
        <w:rPr>
          <w:rFonts w:ascii="Times New Roman" w:hAnsi="Times New Roman" w:eastAsia="方正仿宋_GBK" w:cs="仿宋_GB2312"/>
          <w:kern w:val="2"/>
          <w:sz w:val="32"/>
          <w:szCs w:val="22"/>
        </w:rPr>
        <w:t>9.负责城市管理综合行政执法队伍纠察工作，承办城市管理综合行政执法专项整治行动和重大执法活动。</w:t>
      </w:r>
    </w:p>
    <w:p>
      <w:pPr>
        <w:pStyle w:val="15"/>
        <w:autoSpaceDE w:val="0"/>
        <w:spacing w:before="0" w:beforeAutospacing="0"/>
        <w:ind w:firstLine="640" w:firstLineChars="200"/>
        <w:rPr>
          <w:rFonts w:ascii="Times New Roman" w:hAnsi="Times New Roman" w:eastAsia="方正仿宋_GBK" w:cs="仿宋_GB2312"/>
          <w:kern w:val="2"/>
          <w:sz w:val="32"/>
          <w:szCs w:val="22"/>
        </w:rPr>
      </w:pPr>
      <w:r>
        <w:rPr>
          <w:rFonts w:ascii="Times New Roman" w:hAnsi="Times New Roman" w:eastAsia="方正仿宋_GBK" w:cs="仿宋_GB2312"/>
          <w:kern w:val="2"/>
          <w:sz w:val="32"/>
          <w:szCs w:val="22"/>
        </w:rPr>
        <w:t>10.组织推进城市管理综合行政执法信息化建设。</w:t>
      </w:r>
    </w:p>
    <w:p>
      <w:pPr>
        <w:pStyle w:val="15"/>
        <w:autoSpaceDE w:val="0"/>
        <w:spacing w:before="0" w:beforeAutospacing="0"/>
        <w:ind w:firstLine="640" w:firstLineChars="200"/>
        <w:rPr>
          <w:rFonts w:ascii="Times New Roman" w:hAnsi="Times New Roman" w:eastAsia="方正仿宋_GBK" w:cs="仿宋_GB2312"/>
          <w:kern w:val="2"/>
          <w:sz w:val="32"/>
          <w:szCs w:val="22"/>
        </w:rPr>
      </w:pPr>
      <w:r>
        <w:rPr>
          <w:rFonts w:ascii="Times New Roman" w:hAnsi="Times New Roman" w:eastAsia="方正仿宋_GBK" w:cs="仿宋_GB2312"/>
          <w:kern w:val="2"/>
          <w:sz w:val="32"/>
          <w:szCs w:val="22"/>
        </w:rPr>
        <w:t>11.县城市规划区城镇建设用地范围内的城市违法建筑执法职责。</w:t>
      </w:r>
    </w:p>
    <w:p>
      <w:pPr>
        <w:spacing w:line="600" w:lineRule="exact"/>
        <w:ind w:firstLine="640" w:firstLineChars="200"/>
        <w:rPr>
          <w:rFonts w:hint="default" w:ascii="Times New Roman" w:hAnsi="Times New Roman" w:eastAsia="方正仿宋_GBK" w:cs="仿宋_GB2312"/>
          <w:sz w:val="32"/>
        </w:rPr>
      </w:pPr>
      <w:r>
        <w:rPr>
          <w:rFonts w:ascii="Times New Roman" w:hAnsi="Times New Roman" w:eastAsia="方正仿宋_GBK" w:cs="仿宋_GB2312"/>
          <w:kern w:val="2"/>
          <w:sz w:val="32"/>
          <w:szCs w:val="22"/>
        </w:rPr>
        <w:t>12.承办上级交办的其他工作。</w:t>
      </w:r>
    </w:p>
    <w:p>
      <w:pPr>
        <w:spacing w:line="600" w:lineRule="exact"/>
        <w:ind w:firstLine="640" w:firstLineChars="200"/>
        <w:rPr>
          <w:rFonts w:hint="default" w:ascii="方正楷体_GBK" w:hAnsi="方正楷体_GBK" w:eastAsia="方正楷体_GBK" w:cs="方正楷体_GBK"/>
          <w:sz w:val="32"/>
        </w:rPr>
      </w:pPr>
      <w:r>
        <w:rPr>
          <w:rFonts w:ascii="方正楷体_GBK" w:hAnsi="方正楷体_GBK" w:eastAsia="方正楷体_GBK" w:cs="方正楷体_GBK"/>
          <w:sz w:val="32"/>
        </w:rPr>
        <w:t>（二）机构设置</w:t>
      </w:r>
    </w:p>
    <w:p>
      <w:pPr>
        <w:pStyle w:val="15"/>
        <w:spacing w:before="0" w:beforeAutospacing="0"/>
        <w:ind w:left="405"/>
        <w:rPr>
          <w:rFonts w:ascii="Times New Roman" w:hAnsi="Times New Roman" w:eastAsia="方正仿宋_GBK" w:cs="仿宋_GB2312"/>
          <w:kern w:val="2"/>
          <w:sz w:val="32"/>
          <w:szCs w:val="22"/>
        </w:rPr>
      </w:pPr>
      <w:r>
        <w:rPr>
          <w:rFonts w:ascii="Times New Roman" w:hAnsi="Times New Roman" w:eastAsia="方正仿宋_GBK" w:cs="仿宋_GB2312"/>
          <w:kern w:val="2"/>
          <w:sz w:val="32"/>
          <w:szCs w:val="22"/>
        </w:rPr>
        <w:t>（1）综合科</w:t>
      </w:r>
    </w:p>
    <w:p>
      <w:pPr>
        <w:pStyle w:val="15"/>
        <w:autoSpaceDE w:val="0"/>
        <w:spacing w:before="0" w:beforeAutospacing="0"/>
        <w:ind w:firstLine="640" w:firstLineChars="200"/>
        <w:rPr>
          <w:rFonts w:ascii="Times New Roman" w:hAnsi="Times New Roman" w:eastAsia="方正仿宋_GBK" w:cs="仿宋_GB2312"/>
          <w:kern w:val="2"/>
          <w:sz w:val="32"/>
          <w:szCs w:val="22"/>
        </w:rPr>
      </w:pPr>
      <w:r>
        <w:rPr>
          <w:rFonts w:ascii="Times New Roman" w:hAnsi="Times New Roman" w:eastAsia="方正仿宋_GBK" w:cs="仿宋_GB2312"/>
          <w:kern w:val="2"/>
          <w:sz w:val="32"/>
          <w:szCs w:val="22"/>
        </w:rPr>
        <w:t>承担文电、会务、机要、档案等日常工作，承办目标考核、保密、信访、财务及后勤保障等工作，承担城管执法信息化平台的运用工作，承担党的思想、组织、作风和廉政建设工作，承办组织人事、宣传教育和职工培训工作，承担意识形态、精神文明建设、工会、共青团、妇委会工作。</w:t>
      </w:r>
    </w:p>
    <w:p>
      <w:pPr>
        <w:pStyle w:val="15"/>
        <w:autoSpaceDE w:val="0"/>
        <w:spacing w:before="0" w:beforeAutospacing="0"/>
        <w:ind w:firstLine="640" w:firstLineChars="200"/>
        <w:rPr>
          <w:rFonts w:ascii="Times New Roman" w:hAnsi="Times New Roman" w:eastAsia="方正仿宋_GBK" w:cs="仿宋_GB2312"/>
          <w:kern w:val="2"/>
          <w:sz w:val="32"/>
          <w:szCs w:val="22"/>
        </w:rPr>
      </w:pPr>
      <w:r>
        <w:rPr>
          <w:rFonts w:ascii="Times New Roman" w:hAnsi="Times New Roman" w:eastAsia="方正仿宋_GBK" w:cs="仿宋_GB2312"/>
          <w:kern w:val="2"/>
          <w:sz w:val="32"/>
          <w:szCs w:val="22"/>
        </w:rPr>
        <w:t>（2）政策法规科</w:t>
      </w:r>
    </w:p>
    <w:p>
      <w:pPr>
        <w:pStyle w:val="15"/>
        <w:autoSpaceDE w:val="0"/>
        <w:spacing w:before="0" w:beforeAutospacing="0"/>
        <w:ind w:firstLine="640" w:firstLineChars="200"/>
        <w:rPr>
          <w:rFonts w:ascii="Times New Roman" w:hAnsi="Times New Roman" w:eastAsia="方正仿宋_GBK" w:cs="仿宋_GB2312"/>
          <w:kern w:val="2"/>
          <w:sz w:val="32"/>
          <w:szCs w:val="22"/>
        </w:rPr>
      </w:pPr>
      <w:r>
        <w:rPr>
          <w:rFonts w:ascii="Times New Roman" w:hAnsi="Times New Roman" w:eastAsia="方正仿宋_GBK" w:cs="仿宋_GB2312"/>
          <w:kern w:val="2"/>
          <w:sz w:val="32"/>
          <w:szCs w:val="22"/>
        </w:rPr>
        <w:t>承担执法业务规范和制度建设工作，承办相关法律事务；负责案件办理情况的监督审查；承担城市管理综合行政执法队伍纠察工作；承办城市管理综合行政执法专项整治行动和重大执法活动；承办重大复杂违法违规案件的督办；承办行政执法文书的制发、审核、回收和执法档案管理工作；承办行政复议、行政应诉等法律事务。</w:t>
      </w:r>
    </w:p>
    <w:p>
      <w:pPr>
        <w:pStyle w:val="15"/>
        <w:autoSpaceDE w:val="0"/>
        <w:spacing w:before="0" w:beforeAutospacing="0"/>
        <w:ind w:firstLine="640" w:firstLineChars="200"/>
        <w:rPr>
          <w:rFonts w:ascii="Times New Roman" w:hAnsi="Times New Roman" w:eastAsia="方正仿宋_GBK" w:cs="仿宋_GB2312"/>
          <w:kern w:val="2"/>
          <w:sz w:val="32"/>
          <w:szCs w:val="22"/>
        </w:rPr>
      </w:pPr>
      <w:r>
        <w:rPr>
          <w:rFonts w:ascii="Times New Roman" w:hAnsi="Times New Roman" w:eastAsia="方正仿宋_GBK" w:cs="仿宋_GB2312"/>
          <w:kern w:val="2"/>
          <w:sz w:val="32"/>
          <w:szCs w:val="22"/>
        </w:rPr>
        <w:t>（3）停车管理办公室</w:t>
      </w:r>
    </w:p>
    <w:p>
      <w:pPr>
        <w:pStyle w:val="15"/>
        <w:autoSpaceDE w:val="0"/>
        <w:spacing w:before="0" w:beforeAutospacing="0"/>
        <w:ind w:firstLine="640" w:firstLineChars="200"/>
        <w:rPr>
          <w:rFonts w:ascii="Times New Roman" w:hAnsi="Times New Roman" w:eastAsia="方正仿宋_GBK" w:cs="仿宋_GB2312"/>
          <w:kern w:val="2"/>
          <w:sz w:val="32"/>
          <w:szCs w:val="22"/>
        </w:rPr>
      </w:pPr>
      <w:r>
        <w:rPr>
          <w:rFonts w:ascii="Times New Roman" w:hAnsi="Times New Roman" w:eastAsia="方正仿宋_GBK" w:cs="仿宋_GB2312"/>
          <w:kern w:val="2"/>
          <w:sz w:val="32"/>
          <w:szCs w:val="22"/>
        </w:rPr>
        <w:t>负责县城停车场的具体管理、备案登记工作，负责全县建筑物配建停车场、公共停车场、路内停车位的管理，负责全县停车信息系统建设，统一管理全县停车泊位信息与使用数据，加强停车信息的互联互通；负责对停车场、路内停车位经营管理者（单位）的管理；负责县城建成区车辆乱停乱放的管理。</w:t>
      </w:r>
    </w:p>
    <w:p>
      <w:pPr>
        <w:pStyle w:val="15"/>
        <w:autoSpaceDE w:val="0"/>
        <w:spacing w:before="0" w:beforeAutospacing="0"/>
        <w:ind w:firstLine="640" w:firstLineChars="200"/>
        <w:rPr>
          <w:rFonts w:ascii="Times New Roman" w:hAnsi="Times New Roman" w:eastAsia="方正仿宋_GBK" w:cs="仿宋_GB2312"/>
          <w:kern w:val="2"/>
          <w:sz w:val="32"/>
          <w:szCs w:val="22"/>
        </w:rPr>
      </w:pPr>
      <w:r>
        <w:rPr>
          <w:rFonts w:ascii="Times New Roman" w:hAnsi="Times New Roman" w:eastAsia="方正仿宋_GBK" w:cs="仿宋_GB2312"/>
          <w:kern w:val="2"/>
          <w:sz w:val="32"/>
          <w:szCs w:val="22"/>
        </w:rPr>
        <w:t>（4）信息技术科</w:t>
      </w:r>
    </w:p>
    <w:p>
      <w:pPr>
        <w:pStyle w:val="15"/>
        <w:autoSpaceDE w:val="0"/>
        <w:spacing w:before="0" w:beforeAutospacing="0"/>
        <w:ind w:firstLine="640" w:firstLineChars="200"/>
        <w:rPr>
          <w:rFonts w:ascii="Times New Roman" w:hAnsi="Times New Roman" w:eastAsia="方正仿宋_GBK" w:cs="仿宋_GB2312"/>
          <w:kern w:val="2"/>
          <w:sz w:val="32"/>
          <w:szCs w:val="22"/>
        </w:rPr>
      </w:pPr>
      <w:r>
        <w:rPr>
          <w:rFonts w:ascii="Times New Roman" w:hAnsi="Times New Roman" w:eastAsia="方正仿宋_GBK" w:cs="仿宋_GB2312"/>
          <w:kern w:val="2"/>
          <w:sz w:val="32"/>
          <w:szCs w:val="22"/>
        </w:rPr>
        <w:t>承担城市管理数字化、智慧化建设与运行的监管工作；牵头开展城市管理领域的大数据应用；承担本系统网络信息技术安全监管；承办科技成果的申报、评审、验收；组织推广城市管理行业新技术、新工艺；承办节能减排管理工作；统筹城市管理领域对外技术交流与合作；指导乡镇（街道）城市管理科技及数字化、智慧化建设工作。</w:t>
      </w:r>
    </w:p>
    <w:p>
      <w:pPr>
        <w:pStyle w:val="15"/>
        <w:autoSpaceDE w:val="0"/>
        <w:spacing w:before="0" w:beforeAutospacing="0"/>
        <w:ind w:firstLine="640" w:firstLineChars="200"/>
        <w:rPr>
          <w:rFonts w:ascii="Times New Roman" w:hAnsi="Times New Roman" w:eastAsia="方正仿宋_GBK" w:cs="仿宋_GB2312"/>
          <w:kern w:val="2"/>
          <w:sz w:val="32"/>
          <w:szCs w:val="22"/>
        </w:rPr>
      </w:pPr>
      <w:r>
        <w:rPr>
          <w:rFonts w:ascii="Times New Roman" w:hAnsi="Times New Roman" w:eastAsia="方正仿宋_GBK" w:cs="仿宋_GB2312"/>
          <w:kern w:val="2"/>
          <w:sz w:val="32"/>
          <w:szCs w:val="22"/>
        </w:rPr>
        <w:t>（5）安全监督科</w:t>
      </w:r>
    </w:p>
    <w:p>
      <w:pPr>
        <w:pStyle w:val="15"/>
        <w:autoSpaceDE w:val="0"/>
        <w:spacing w:before="0" w:beforeAutospacing="0"/>
        <w:ind w:firstLine="640" w:firstLineChars="200"/>
        <w:rPr>
          <w:rFonts w:ascii="Times New Roman" w:hAnsi="Times New Roman" w:eastAsia="方正仿宋_GBK" w:cs="仿宋_GB2312"/>
          <w:kern w:val="2"/>
          <w:sz w:val="32"/>
          <w:szCs w:val="22"/>
        </w:rPr>
      </w:pPr>
      <w:r>
        <w:rPr>
          <w:rFonts w:ascii="Times New Roman" w:hAnsi="Times New Roman" w:eastAsia="方正仿宋_GBK" w:cs="仿宋_GB2312"/>
          <w:kern w:val="2"/>
          <w:sz w:val="32"/>
          <w:szCs w:val="22"/>
        </w:rPr>
        <w:t>组织拟订城市管理行业安全生产年度监督检查和应急管理工作计划、管理制度并监督实施；承担城市管理行业安全生产综合监管工作；组织编制相关应急预案并组织演练、监督实施；参与相关突发事件应急处置；负责市政设施、园林绿化的安全监督管理；负责职责范围内公园、风景名胜区、游乐园的安全监督管理；承担安全生产信息收集、报送和建立安全生产档案工作；负责城市安全生产宣传、教育和培训工作；参与城市管理行业安全事故的调查处理工作。</w:t>
      </w:r>
    </w:p>
    <w:p>
      <w:pPr>
        <w:pStyle w:val="15"/>
        <w:autoSpaceDE w:val="0"/>
        <w:spacing w:before="0" w:beforeAutospacing="0"/>
        <w:ind w:firstLine="640" w:firstLineChars="200"/>
        <w:rPr>
          <w:rFonts w:ascii="Times New Roman" w:hAnsi="Times New Roman" w:eastAsia="方正仿宋_GBK" w:cs="仿宋_GB2312"/>
          <w:kern w:val="2"/>
          <w:sz w:val="32"/>
          <w:szCs w:val="22"/>
        </w:rPr>
      </w:pPr>
      <w:r>
        <w:rPr>
          <w:rFonts w:ascii="Times New Roman" w:hAnsi="Times New Roman" w:eastAsia="方正仿宋_GBK" w:cs="仿宋_GB2312"/>
          <w:kern w:val="2"/>
          <w:sz w:val="32"/>
          <w:szCs w:val="22"/>
        </w:rPr>
        <w:t>（6）市政公用设施执法大队</w:t>
      </w:r>
    </w:p>
    <w:p>
      <w:pPr>
        <w:pStyle w:val="15"/>
        <w:autoSpaceDE w:val="0"/>
        <w:spacing w:before="0" w:beforeAutospacing="0"/>
        <w:ind w:firstLine="640" w:firstLineChars="200"/>
        <w:rPr>
          <w:rFonts w:ascii="Times New Roman" w:hAnsi="Times New Roman" w:eastAsia="方正仿宋_GBK" w:cs="仿宋_GB2312"/>
          <w:kern w:val="2"/>
          <w:sz w:val="32"/>
          <w:szCs w:val="22"/>
        </w:rPr>
      </w:pPr>
      <w:r>
        <w:rPr>
          <w:rFonts w:ascii="Times New Roman" w:hAnsi="Times New Roman" w:eastAsia="方正仿宋_GBK" w:cs="仿宋_GB2312"/>
          <w:kern w:val="2"/>
          <w:sz w:val="32"/>
          <w:szCs w:val="22"/>
        </w:rPr>
        <w:t>承担建城区内道路、桥梁（隧道、涵洞）、供水、排水、供热、照明等市政设施和县直管停车场、侵占城市道路的行政处罚及相应行政强制职能；依法查处重大复杂案件；参与联合联动执法。</w:t>
      </w:r>
    </w:p>
    <w:p>
      <w:pPr>
        <w:pStyle w:val="15"/>
        <w:autoSpaceDE w:val="0"/>
        <w:spacing w:before="0" w:beforeAutospacing="0"/>
        <w:ind w:firstLine="640" w:firstLineChars="200"/>
        <w:rPr>
          <w:rFonts w:ascii="Times New Roman" w:hAnsi="Times New Roman" w:eastAsia="方正仿宋_GBK" w:cs="仿宋_GB2312"/>
          <w:kern w:val="2"/>
          <w:sz w:val="32"/>
          <w:szCs w:val="22"/>
        </w:rPr>
      </w:pPr>
      <w:r>
        <w:rPr>
          <w:rFonts w:ascii="Times New Roman" w:hAnsi="Times New Roman" w:eastAsia="方正仿宋_GBK" w:cs="仿宋_GB2312"/>
          <w:kern w:val="2"/>
          <w:sz w:val="32"/>
          <w:szCs w:val="22"/>
        </w:rPr>
        <w:t>（7）园林绿化执法大队</w:t>
      </w:r>
    </w:p>
    <w:p>
      <w:pPr>
        <w:pStyle w:val="15"/>
        <w:autoSpaceDE w:val="0"/>
        <w:spacing w:before="0" w:beforeAutospacing="0"/>
        <w:ind w:firstLine="640" w:firstLineChars="200"/>
        <w:rPr>
          <w:rFonts w:ascii="Times New Roman" w:hAnsi="Times New Roman" w:eastAsia="方正仿宋_GBK" w:cs="仿宋_GB2312"/>
          <w:kern w:val="2"/>
          <w:sz w:val="32"/>
          <w:szCs w:val="22"/>
        </w:rPr>
      </w:pPr>
      <w:r>
        <w:rPr>
          <w:rFonts w:ascii="Times New Roman" w:hAnsi="Times New Roman" w:eastAsia="方正仿宋_GBK" w:cs="仿宋_GB2312"/>
          <w:kern w:val="2"/>
          <w:sz w:val="32"/>
          <w:szCs w:val="22"/>
        </w:rPr>
        <w:t>承担建城区范围的园林绿化和公园等行政处罚及相应行政强制职能。依法查处重大复杂案件。参与联合联动执法。</w:t>
      </w:r>
    </w:p>
    <w:p>
      <w:pPr>
        <w:pStyle w:val="15"/>
        <w:autoSpaceDE w:val="0"/>
        <w:spacing w:before="0" w:beforeAutospacing="0"/>
        <w:ind w:firstLine="640" w:firstLineChars="200"/>
        <w:rPr>
          <w:rFonts w:ascii="Times New Roman" w:hAnsi="Times New Roman" w:eastAsia="方正仿宋_GBK" w:cs="仿宋_GB2312"/>
          <w:kern w:val="2"/>
          <w:sz w:val="32"/>
          <w:szCs w:val="22"/>
        </w:rPr>
      </w:pPr>
      <w:r>
        <w:rPr>
          <w:rFonts w:ascii="Times New Roman" w:hAnsi="Times New Roman" w:eastAsia="方正仿宋_GBK" w:cs="仿宋_GB2312"/>
          <w:kern w:val="2"/>
          <w:sz w:val="32"/>
          <w:szCs w:val="22"/>
        </w:rPr>
        <w:t>（8）城市违法建筑执法大队</w:t>
      </w:r>
    </w:p>
    <w:p>
      <w:pPr>
        <w:pStyle w:val="15"/>
        <w:autoSpaceDE w:val="0"/>
        <w:spacing w:before="0" w:beforeAutospacing="0"/>
        <w:ind w:firstLine="640" w:firstLineChars="200"/>
        <w:rPr>
          <w:rFonts w:ascii="Times New Roman" w:hAnsi="Times New Roman" w:eastAsia="方正仿宋_GBK" w:cs="仿宋_GB2312"/>
          <w:kern w:val="2"/>
          <w:sz w:val="32"/>
          <w:szCs w:val="22"/>
        </w:rPr>
      </w:pPr>
      <w:r>
        <w:rPr>
          <w:rFonts w:ascii="Times New Roman" w:hAnsi="Times New Roman" w:eastAsia="方正仿宋_GBK" w:cs="仿宋_GB2312"/>
          <w:kern w:val="2"/>
          <w:sz w:val="32"/>
          <w:szCs w:val="22"/>
        </w:rPr>
        <w:t>承担县城市规划区城镇建设用地范围内的城市违法建筑行政处罚权及与之相关的行政检查、行政强制权等执法职能。参与国土空间规划和城市规划法律、法规、规章普法宣传。依法查处跨区域及重大复杂案件。参与联合联动执法。</w:t>
      </w:r>
    </w:p>
    <w:p>
      <w:pPr>
        <w:pStyle w:val="15"/>
        <w:autoSpaceDE w:val="0"/>
        <w:spacing w:before="0" w:beforeAutospacing="0"/>
        <w:ind w:firstLine="640" w:firstLineChars="200"/>
        <w:rPr>
          <w:rFonts w:ascii="Times New Roman" w:hAnsi="Times New Roman" w:eastAsia="方正仿宋_GBK" w:cs="仿宋_GB2312"/>
          <w:kern w:val="2"/>
          <w:sz w:val="32"/>
          <w:szCs w:val="22"/>
        </w:rPr>
      </w:pPr>
      <w:r>
        <w:rPr>
          <w:rFonts w:ascii="Times New Roman" w:hAnsi="Times New Roman" w:eastAsia="方正仿宋_GBK" w:cs="仿宋_GB2312"/>
          <w:kern w:val="2"/>
          <w:sz w:val="32"/>
          <w:szCs w:val="22"/>
        </w:rPr>
        <w:t>（9）市容环境卫生执法大队</w:t>
      </w:r>
    </w:p>
    <w:p>
      <w:pPr>
        <w:spacing w:line="600" w:lineRule="exact"/>
        <w:ind w:firstLine="640" w:firstLineChars="200"/>
        <w:rPr>
          <w:rFonts w:hint="default" w:ascii="Times New Roman" w:hAnsi="Times New Roman" w:eastAsia="方正仿宋_GBK" w:cs="仿宋_GB2312"/>
          <w:sz w:val="32"/>
        </w:rPr>
      </w:pPr>
      <w:r>
        <w:rPr>
          <w:rFonts w:ascii="Times New Roman" w:hAnsi="Times New Roman" w:eastAsia="方正仿宋_GBK" w:cs="仿宋_GB2312"/>
          <w:kern w:val="2"/>
          <w:sz w:val="32"/>
          <w:szCs w:val="22"/>
        </w:rPr>
        <w:t>承担建城区范围的市容环境秩序、餐厨垃圾、城市水域垃圾、露天烧烤污染、城市焚烧沥青塑料垃圾等烟尘和恶臭污染、露天焚烧秸秆落叶等烟尘污染、向城市河道倾倒废弃物和垃圾、户外公共场所无照经营、违规设置户外广告、户外公共场所食品销售和餐饮摊点无证经营等行政处罚及相应行政强制职能；依法查处重大复杂案件；参与联合联动执法。</w:t>
      </w:r>
    </w:p>
    <w:p>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二、单位决算收支情况说明</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1512.23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收、支与2023年度相比，增加110.99万元，增长7.9%</w:t>
      </w:r>
      <w:r>
        <w:rPr>
          <w:rFonts w:ascii="方正仿宋_GBK" w:hAnsi="方正仿宋_GBK" w:eastAsia="方正仿宋_GBK" w:cs="方正仿宋_GBK"/>
          <w:sz w:val="32"/>
          <w:szCs w:val="32"/>
          <w:shd w:val="clear" w:color="auto" w:fill="FFFFFF"/>
        </w:rPr>
        <w:t>，主要原因是住房公积金和社保基数调标、协管人员工资调标、两违管控工作经费增加等。</w:t>
      </w:r>
    </w:p>
    <w:p>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1512.23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与2023年度相比，增加110.99万元，增长7.9%</w:t>
      </w:r>
      <w:r>
        <w:rPr>
          <w:rFonts w:ascii="方正仿宋_GBK" w:hAnsi="方正仿宋_GBK" w:eastAsia="方正仿宋_GBK" w:cs="方正仿宋_GBK"/>
          <w:sz w:val="32"/>
          <w:szCs w:val="32"/>
          <w:shd w:val="clear" w:color="auto" w:fill="FFFFFF"/>
        </w:rPr>
        <w:t>，主要原因是住房公积金和社保基数调标、协管人员工资调标、两违管控工作经费增加</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1512.23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1512.23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与2023年度相比，增加110.99万元，增长7.9%</w:t>
      </w:r>
      <w:r>
        <w:rPr>
          <w:rFonts w:ascii="方正仿宋_GBK" w:hAnsi="方正仿宋_GBK" w:eastAsia="方正仿宋_GBK" w:cs="方正仿宋_GBK"/>
          <w:sz w:val="32"/>
          <w:szCs w:val="32"/>
          <w:shd w:val="clear" w:color="auto" w:fill="FFFFFF"/>
        </w:rPr>
        <w:t>，主要原因是住房公积金和社保基数调标、协管人员工资调标、两违管控工作经费增加。其中：基本支出</w:t>
      </w:r>
      <w:r>
        <w:rPr>
          <w:rFonts w:hint="default" w:ascii="Times New Roman" w:hAnsi="Times New Roman" w:eastAsia="方正仿宋_GBK"/>
          <w:sz w:val="32"/>
          <w:szCs w:val="32"/>
          <w:shd w:val="clear" w:color="auto" w:fill="FFFFFF"/>
        </w:rPr>
        <w:t>1321.49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87.4%</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190.74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12.6%</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1512.23</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财政拨款收、支总计各增加110.99万元，增长7.9%</w:t>
      </w:r>
      <w:r>
        <w:rPr>
          <w:rFonts w:ascii="方正仿宋_GBK" w:hAnsi="方正仿宋_GBK" w:eastAsia="方正仿宋_GBK" w:cs="方正仿宋_GBK"/>
          <w:sz w:val="32"/>
          <w:szCs w:val="32"/>
          <w:shd w:val="clear" w:color="auto" w:fill="FFFFFF"/>
        </w:rPr>
        <w:t>。主要原因是住房公积金和社保基数调标、协管人员工资调标、两违管控工作经费增加。</w:t>
      </w:r>
    </w:p>
    <w:p>
      <w:pPr>
        <w:pStyle w:val="9"/>
        <w:snapToGrid w:val="0"/>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1407.23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与2023年度相比，增加5.99万元，增长0.4%</w:t>
      </w:r>
      <w:r>
        <w:rPr>
          <w:rFonts w:ascii="方正仿宋_GBK" w:hAnsi="方正仿宋_GBK" w:eastAsia="方正仿宋_GBK" w:cs="方正仿宋_GBK"/>
          <w:sz w:val="32"/>
          <w:szCs w:val="32"/>
          <w:shd w:val="clear" w:color="auto" w:fill="FFFFFF"/>
        </w:rPr>
        <w:t>。主要原因是住房公积金和社保基数调标。</w:t>
      </w:r>
      <w:r>
        <w:rPr>
          <w:rFonts w:hint="default" w:ascii="Times New Roman" w:hAnsi="Times New Roman" w:eastAsia="方正仿宋_GBK"/>
          <w:sz w:val="32"/>
          <w:szCs w:val="32"/>
          <w:shd w:val="clear" w:color="auto" w:fill="FFFFFF"/>
        </w:rPr>
        <w:t>较年初预算数减少55.04万元，下降3.8%</w:t>
      </w:r>
      <w:r>
        <w:rPr>
          <w:rFonts w:ascii="方正仿宋_GBK" w:hAnsi="方正仿宋_GBK" w:eastAsia="方正仿宋_GBK" w:cs="方正仿宋_GBK"/>
          <w:sz w:val="32"/>
          <w:szCs w:val="32"/>
          <w:shd w:val="clear" w:color="auto" w:fill="FFFFFF"/>
        </w:rPr>
        <w:t>。主要原因是城市管理整治工作经费、执法人员采购服装经费、办公用房租赁费等项目财政拨款收入减少。此外，年初财政拨款结转和结余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1407.23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与2023年度相比，增加5.99万元，增长0.4%</w:t>
      </w:r>
      <w:r>
        <w:rPr>
          <w:rFonts w:ascii="方正仿宋_GBK" w:hAnsi="方正仿宋_GBK" w:eastAsia="方正仿宋_GBK" w:cs="方正仿宋_GBK"/>
          <w:sz w:val="32"/>
          <w:szCs w:val="32"/>
          <w:shd w:val="clear" w:color="auto" w:fill="FFFFFF"/>
        </w:rPr>
        <w:t>。主要原因是住房公积金和社保基数调标。</w:t>
      </w:r>
      <w:r>
        <w:rPr>
          <w:rFonts w:hint="default" w:ascii="Times New Roman" w:hAnsi="Times New Roman" w:eastAsia="方正仿宋_GBK"/>
          <w:sz w:val="32"/>
          <w:szCs w:val="32"/>
          <w:shd w:val="clear" w:color="auto" w:fill="FFFFFF"/>
        </w:rPr>
        <w:t>较年初预算数减少55.04万元，下降3.8%</w:t>
      </w:r>
      <w:r>
        <w:rPr>
          <w:rFonts w:ascii="方正仿宋_GBK" w:hAnsi="方正仿宋_GBK" w:eastAsia="方正仿宋_GBK" w:cs="方正仿宋_GBK"/>
          <w:sz w:val="32"/>
          <w:szCs w:val="32"/>
          <w:shd w:val="clear" w:color="auto" w:fill="FFFFFF"/>
        </w:rPr>
        <w:t>。主要原因是城市管理整治工作经费、执法人员采购服装经费、办公用房租赁费等项目财政拨款收入减少。</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130.24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9.3%</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较年初预算数增加34.47万元，增长36.0%</w:t>
      </w:r>
      <w:r>
        <w:rPr>
          <w:rFonts w:ascii="方正仿宋_GBK" w:hAnsi="方正仿宋_GBK" w:eastAsia="方正仿宋_GBK" w:cs="方正仿宋_GBK"/>
          <w:sz w:val="32"/>
          <w:szCs w:val="32"/>
          <w:shd w:val="clear" w:color="auto" w:fill="FFFFFF"/>
        </w:rPr>
        <w:t>，主要原因是社保基数调标。</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43.52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较年初预算数减少2.40万元，下降5.2%</w:t>
      </w:r>
      <w:r>
        <w:rPr>
          <w:rFonts w:ascii="方正仿宋_GBK" w:hAnsi="方正仿宋_GBK" w:eastAsia="方正仿宋_GBK" w:cs="方正仿宋_GBK"/>
          <w:sz w:val="32"/>
          <w:szCs w:val="32"/>
          <w:shd w:val="clear" w:color="auto" w:fill="FFFFFF"/>
        </w:rPr>
        <w:t>，主要原</w:t>
      </w:r>
      <w:r>
        <w:rPr>
          <w:rFonts w:ascii="Times New Roman" w:hAnsi="Times New Roman" w:eastAsia="方正仿宋_GBK"/>
          <w:sz w:val="32"/>
          <w:szCs w:val="32"/>
          <w:shd w:val="clear" w:color="auto" w:fill="FFFFFF"/>
        </w:rPr>
        <w:t>因是体检费未实现支付。</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1170.39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83.2%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较年初预算数减少86.72万元，下降6.9%</w:t>
      </w:r>
      <w:r>
        <w:rPr>
          <w:rFonts w:ascii="方正仿宋_GBK" w:hAnsi="方正仿宋_GBK" w:eastAsia="方正仿宋_GBK" w:cs="方正仿宋_GBK"/>
          <w:sz w:val="32"/>
          <w:szCs w:val="32"/>
          <w:shd w:val="clear" w:color="auto" w:fill="FFFFFF"/>
        </w:rPr>
        <w:t>，主要原因是城市管理整治工作经费、执法人员采购服装经费、办公用房租赁费等项目财政拨款收入减少。</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18.24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pPr>
        <w:spacing w:line="596"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44.84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较年初预算数减少0.39万元，下降0.9%</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年中人员减少。</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1321.49</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1237.53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与2023年度相比，增加51.22万元，增长4.3%</w:t>
      </w:r>
      <w:r>
        <w:rPr>
          <w:rFonts w:ascii="方正仿宋_GBK" w:hAnsi="方正仿宋_GBK" w:eastAsia="方正仿宋_GBK" w:cs="方正仿宋_GBK"/>
          <w:sz w:val="32"/>
          <w:szCs w:val="32"/>
          <w:shd w:val="clear" w:color="auto" w:fill="FFFFFF"/>
        </w:rPr>
        <w:t>，主要原</w:t>
      </w:r>
      <w:r>
        <w:rPr>
          <w:rFonts w:ascii="Times New Roman" w:hAnsi="Times New Roman" w:eastAsia="方正仿宋_GBK"/>
          <w:sz w:val="32"/>
          <w:szCs w:val="32"/>
          <w:shd w:val="clear" w:color="auto" w:fill="FFFFFF"/>
        </w:rPr>
        <w:t>因是住房公积金和社保基数调标。</w:t>
      </w:r>
      <w:r>
        <w:rPr>
          <w:rFonts w:ascii="方正仿宋_GBK" w:hAnsi="方正仿宋_GBK" w:eastAsia="方正仿宋_GBK" w:cs="方正仿宋_GBK"/>
          <w:sz w:val="32"/>
          <w:szCs w:val="32"/>
          <w:shd w:val="clear" w:color="auto" w:fill="FFFFFF"/>
        </w:rPr>
        <w:t>人员经费用途主要包括基本工资、津贴补贴、伙食补助费、绩效工资、机关事业单位基本养老保险缴费、职工基本医疗保险费、职业年金、住房公积金、其他工资福利支出、医疗补助等。</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83.96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与2023年度相比，增加12.04万元，增长16.7%</w:t>
      </w:r>
      <w:r>
        <w:rPr>
          <w:rFonts w:ascii="方正仿宋_GBK" w:hAnsi="方正仿宋_GBK" w:eastAsia="方正仿宋_GBK" w:cs="方正仿宋_GBK"/>
          <w:sz w:val="32"/>
          <w:szCs w:val="32"/>
          <w:shd w:val="clear" w:color="auto" w:fill="FFFFFF"/>
        </w:rPr>
        <w:t>，主要原因是两违管控工作力度加大，公务用车运行维护费增加。公用经费用途主要包括办公费、印刷费、水电费、邮电费、差旅费、租赁费、会议费、培训费、劳务费、工会经费、福利费和公务用车运行维护费等。</w:t>
      </w:r>
    </w:p>
    <w:p>
      <w:pPr>
        <w:pStyle w:val="9"/>
        <w:snapToGrid w:val="0"/>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105.00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与2023年度相比，增加105.00万元，增长100.0%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两违管控工作经费增加。</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105.00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与2023年度相比，增加105.00万元，增长100.0%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两违管控工作经费增加。</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Times New Roman" w:hAnsi="Times New Roman" w:eastAsia="方正仿宋_GBK"/>
          <w:sz w:val="32"/>
          <w:szCs w:val="32"/>
          <w:shd w:val="clear" w:color="auto" w:fill="FFFFFF"/>
        </w:rPr>
        <w:t>本单位</w:t>
      </w:r>
      <w:r>
        <w:rPr>
          <w:rFonts w:hint="default" w:ascii="Times New Roman" w:hAnsi="Times New Roman" w:eastAsia="方正仿宋_GBK"/>
          <w:sz w:val="32"/>
          <w:szCs w:val="32"/>
          <w:shd w:val="clear" w:color="auto" w:fill="FFFFFF"/>
        </w:rPr>
        <w:t>2024</w:t>
      </w:r>
      <w:r>
        <w:rPr>
          <w:rFonts w:ascii="Times New Roman" w:hAnsi="Times New Roman" w:eastAsia="方正仿宋_GBK"/>
          <w:sz w:val="32"/>
          <w:szCs w:val="32"/>
          <w:shd w:val="clear" w:color="auto" w:fill="FFFFFF"/>
        </w:rPr>
        <w:t>年度无国有资本经营预算财政拨款支出。</w:t>
      </w:r>
    </w:p>
    <w:p>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三、财政拨款“三公”经费情况说明</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16.23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较年初预算数减少3.77万元，下降18.9%</w:t>
      </w:r>
      <w:r>
        <w:rPr>
          <w:rFonts w:ascii="方正仿宋_GBK" w:hAnsi="方正仿宋_GBK" w:eastAsia="方正仿宋_GBK" w:cs="方正仿宋_GBK"/>
          <w:sz w:val="32"/>
          <w:szCs w:val="32"/>
          <w:shd w:val="clear" w:color="auto" w:fill="FFFFFF"/>
        </w:rPr>
        <w:t>，主要原因是按照过紧日子要求，压减支出。</w:t>
      </w:r>
      <w:r>
        <w:rPr>
          <w:rFonts w:hint="default" w:ascii="方正仿宋_GBK" w:hAnsi="方正仿宋_GBK" w:eastAsia="方正仿宋_GBK" w:cs="方正仿宋_GBK"/>
          <w:sz w:val="32"/>
          <w:szCs w:val="32"/>
          <w:shd w:val="clear" w:color="auto" w:fill="FFFFFF"/>
        </w:rPr>
        <w:t>较上年支出数增加0.26万元，增长1.6%</w:t>
      </w:r>
      <w:r>
        <w:rPr>
          <w:rFonts w:ascii="方正仿宋_GBK" w:hAnsi="方正仿宋_GBK" w:eastAsia="方正仿宋_GBK" w:cs="方正仿宋_GBK"/>
          <w:sz w:val="32"/>
          <w:szCs w:val="32"/>
          <w:shd w:val="clear" w:color="auto" w:fill="FFFFFF"/>
        </w:rPr>
        <w:t>，主要原因是两违管控工作力度加大，公务用车运行维护费增加。</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16.23</w:t>
      </w:r>
      <w:r>
        <w:rPr>
          <w:rFonts w:ascii="方正仿宋_GBK" w:hAnsi="方正仿宋_GBK" w:eastAsia="方正仿宋_GBK" w:cs="方正仿宋_GBK"/>
          <w:sz w:val="32"/>
          <w:szCs w:val="32"/>
          <w:shd w:val="clear" w:color="auto" w:fill="FFFFFF"/>
        </w:rPr>
        <w:t>万元，主要用于公务车辆加油费、车辆维修维护费、车辆保险费等。支出</w:t>
      </w:r>
      <w:r>
        <w:rPr>
          <w:rFonts w:hint="default" w:ascii="方正仿宋_GBK" w:hAnsi="方正仿宋_GBK" w:eastAsia="方正仿宋_GBK" w:cs="方正仿宋_GBK"/>
          <w:sz w:val="32"/>
          <w:szCs w:val="32"/>
          <w:shd w:val="clear" w:color="auto" w:fill="FFFFFF"/>
        </w:rPr>
        <w:t>较年初预算数减少3.77万元，下降18.9%</w:t>
      </w:r>
      <w:r>
        <w:rPr>
          <w:rFonts w:ascii="方正仿宋_GBK" w:hAnsi="方正仿宋_GBK" w:eastAsia="方正仿宋_GBK" w:cs="方正仿宋_GBK"/>
          <w:sz w:val="32"/>
          <w:szCs w:val="32"/>
          <w:shd w:val="clear" w:color="auto" w:fill="FFFFFF"/>
        </w:rPr>
        <w:t>，主要原因是按照过紧日子要求，压减支出。</w:t>
      </w:r>
      <w:r>
        <w:rPr>
          <w:rFonts w:hint="default" w:ascii="方正仿宋_GBK" w:hAnsi="方正仿宋_GBK" w:eastAsia="方正仿宋_GBK" w:cs="方正仿宋_GBK"/>
          <w:sz w:val="32"/>
          <w:szCs w:val="32"/>
          <w:shd w:val="clear" w:color="auto" w:fill="FFFFFF"/>
        </w:rPr>
        <w:t>较上年支出数增加0.26万元，增长1.6%</w:t>
      </w:r>
      <w:r>
        <w:rPr>
          <w:rFonts w:ascii="方正仿宋_GBK" w:hAnsi="方正仿宋_GBK" w:eastAsia="方正仿宋_GBK" w:cs="方正仿宋_GBK"/>
          <w:sz w:val="32"/>
          <w:szCs w:val="32"/>
          <w:shd w:val="clear" w:color="auto" w:fill="FFFFFF"/>
        </w:rPr>
        <w:t>，主要原因是两违管控工作力度加大，公务用车运行维护费增加。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1.35</w:t>
      </w:r>
      <w:r>
        <w:rPr>
          <w:rFonts w:ascii="方正仿宋_GBK" w:hAnsi="方正仿宋_GBK" w:eastAsia="方正仿宋_GBK" w:cs="方正仿宋_GBK"/>
          <w:sz w:val="32"/>
          <w:szCs w:val="32"/>
          <w:shd w:val="clear" w:color="auto" w:fill="FFFFFF"/>
        </w:rPr>
        <w:t>万元。</w:t>
      </w:r>
    </w:p>
    <w:p>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9"/>
        <w:shd w:val="clear" w:color="auto" w:fill="FFFFFF"/>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w:t>
      </w:r>
      <w:r>
        <w:rPr>
          <w:rFonts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5.27</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与2023年度相比，增加0.34万元，增长6.9%</w:t>
      </w:r>
      <w:r>
        <w:rPr>
          <w:rFonts w:ascii="方正仿宋_GBK" w:hAnsi="方正仿宋_GBK" w:eastAsia="方正仿宋_GBK" w:cs="方正仿宋_GBK"/>
          <w:sz w:val="32"/>
          <w:szCs w:val="32"/>
          <w:shd w:val="clear" w:color="auto" w:fill="FFFFFF"/>
        </w:rPr>
        <w:t>，主要原因是职工培训会议增加。</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按照部门决算列报口径，我</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不在机关运行经费统计范围之内。</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2024年度我单位未发生政府采购事项，无相关经费支出。</w:t>
      </w:r>
    </w:p>
    <w:p>
      <w:pPr>
        <w:pStyle w:val="15"/>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rPr>
        <w:t>五、2024年度预算绩效管理情况说明</w:t>
      </w:r>
    </w:p>
    <w:p>
      <w:pPr>
        <w:pStyle w:val="15"/>
        <w:numPr>
          <w:ilvl w:val="0"/>
          <w:numId w:val="1"/>
        </w:numPr>
        <w:autoSpaceDE w:val="0"/>
        <w:spacing w:before="0" w:beforeAutospacing="0" w:after="0" w:afterAutospacing="0" w:line="596" w:lineRule="exact"/>
        <w:ind w:firstLine="643" w:firstLineChars="20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单位自评情况</w:t>
      </w:r>
    </w:p>
    <w:p>
      <w:pPr>
        <w:pStyle w:val="19"/>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我单位对3二级项目开展了绩效自评，涉及财政拨款项目支出资金190.74万元。</w:t>
      </w:r>
    </w:p>
    <w:p>
      <w:pPr>
        <w:pStyle w:val="15"/>
        <w:numPr>
          <w:numId w:val="0"/>
        </w:numPr>
        <w:autoSpaceDE w:val="0"/>
        <w:spacing w:before="0" w:beforeAutospacing="0" w:after="0" w:afterAutospacing="0" w:line="596" w:lineRule="exact"/>
        <w:rPr>
          <w:rFonts w:hint="default" w:ascii="楷体" w:hAnsi="楷体" w:eastAsia="楷体" w:cs="楷体"/>
          <w:b/>
          <w:bCs/>
          <w:sz w:val="32"/>
          <w:szCs w:val="32"/>
          <w:shd w:val="clear" w:color="auto" w:fill="FFFFFF"/>
          <w:lang w:val="en-US" w:eastAsia="zh-CN"/>
        </w:rPr>
      </w:pPr>
    </w:p>
    <w:p>
      <w:pPr>
        <w:pStyle w:val="15"/>
        <w:autoSpaceDE w:val="0"/>
        <w:spacing w:before="0" w:beforeAutospacing="0" w:after="0" w:afterAutospacing="0" w:line="596" w:lineRule="exact"/>
        <w:ind w:firstLine="643" w:firstLineChars="20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5"/>
        <w:autoSpaceDE w:val="0"/>
        <w:spacing w:before="0" w:beforeAutospacing="0" w:after="0" w:afterAutospacing="0" w:line="596" w:lineRule="exact"/>
        <w:ind w:firstLine="640" w:firstLineChars="200"/>
        <w:rPr>
          <w:rFonts w:hint="eastAsia"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bookmarkStart w:id="0" w:name="_GoBack"/>
      <w:bookmarkEnd w:id="0"/>
    </w:p>
    <w:p>
      <w:pPr>
        <w:pStyle w:val="19"/>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19"/>
        <w:autoSpaceDE w:val="0"/>
        <w:spacing w:line="596" w:lineRule="exact"/>
        <w:ind w:firstLine="640"/>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县</w:t>
      </w:r>
      <w:r>
        <w:rPr>
          <w:rFonts w:ascii="方正仿宋_GBK" w:hAnsi="方正仿宋_GBK" w:eastAsia="方正仿宋_GBK" w:cs="方正仿宋_GBK"/>
          <w:sz w:val="32"/>
          <w:szCs w:val="32"/>
          <w:shd w:val="clear" w:color="auto" w:fill="FFFFFF"/>
        </w:rPr>
        <w:t>财政局未委托第三方对我单位开展绩效评价。</w:t>
      </w:r>
    </w:p>
    <w:p>
      <w:pPr>
        <w:pStyle w:val="15"/>
        <w:autoSpaceDE w:val="0"/>
        <w:spacing w:before="0" w:beforeAutospacing="0" w:after="0" w:afterAutospacing="0" w:line="596" w:lineRule="exact"/>
        <w:rPr>
          <w:rFonts w:ascii="方正仿宋_GBK" w:hAnsi="方正仿宋_GBK" w:eastAsia="方正仿宋_GBK" w:cs="方正仿宋_GBK"/>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3"/>
          <w:rFonts w:hint="eastAsia" w:ascii="黑体" w:hAnsi="黑体" w:eastAsia="黑体" w:cs="黑体"/>
          <w:sz w:val="32"/>
          <w:szCs w:val="32"/>
          <w:shd w:val="clear" w:color="auto" w:fill="FFFFFF"/>
        </w:rPr>
        <w:t xml:space="preserve"> 六、专业名词解释</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黑体" w:hAnsi="黑体" w:eastAsia="黑体" w:cs="黑体"/>
          <w:sz w:val="32"/>
          <w:szCs w:val="32"/>
          <w:shd w:val="clear" w:color="auto" w:fill="FFFFFF"/>
        </w:rPr>
        <w:t>七、决算公开联系方式及信息反馈渠道</w:t>
      </w:r>
    </w:p>
    <w:p>
      <w:pPr>
        <w:pStyle w:val="15"/>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5"/>
        <w:spacing w:before="0" w:beforeAutospacing="0" w:after="0" w:afterAutospacing="0" w:line="596" w:lineRule="exact"/>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杨东斌   023-75558406</w:t>
      </w:r>
    </w:p>
    <w:p>
      <w:pPr>
        <w:pStyle w:val="14"/>
        <w:autoSpaceDE w:val="0"/>
        <w:spacing w:line="596" w:lineRule="exact"/>
        <w:ind w:firstLine="640"/>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酉阳土家族苗族自治县城市管理综合行政执法支队</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1,407.23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130.24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1,275.39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1,512.23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1,512.23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1,512.23</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1,512.23</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酉阳土家族苗族自治县城市管理综合行政执法支队</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1,512.23</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1,512.23</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130.24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130.24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130.24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130.24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85.29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85.29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42.65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42.65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35.80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35.80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1,275.39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1,275.39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1,170.39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1,170.39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1,170.39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1,170.39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其他城市基础设施配套费安排的支出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酉阳土家族苗族自治县城市管理综合行政执法支队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1,512.23</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1,321.49</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190.74</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130.24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130.24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130.24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130.24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85.29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85.29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42.65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42.65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43.52</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43.52</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35.80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35.80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1,275.39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1,102.89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172.50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1,170.39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1,102.89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1,170.39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1,102.89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其他城市基础设施配套费安排的支出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酉阳土家族苗族自治县城市管理综合行政执法支队</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1,407.23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105.00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130.24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130.24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1,275.39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1,170.39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105.00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44.84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44.84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1,512.23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1,512.23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1,407.23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105.00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1,512.23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1,512.23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1,407.23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105.00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酉阳土家族苗族自治县城市管理综合行政执法支队</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1,407.23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1,321.49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85.74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130.24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130.24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130.24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130.24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85.29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85.29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42.65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42.65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43.52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43.52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43.52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43.52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35.80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35.80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1,170.39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1,102.89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67.50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1,170.39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1,102.89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67.50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1,170.39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1,102.89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67.50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44.84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44.84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44.84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44.84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44.84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44.84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酉阳土家族苗族自治县城市管理综合行政执法支队</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1,235.03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83.96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227.26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358.41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85.29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44.84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398.35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1,237.53</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83.96</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酉阳土家族苗族自治县城市管理综合行政执法支队</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105.00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105.00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105.00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21213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城市基础设施配套费安排的支出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2121399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其他城市基础设施配套费安排的支出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酉阳土家族苗族自治县城市管理综合行政执法支队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酉阳土家族苗族自治县城市管理综合行政执法支队</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16.23</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16.23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16.23</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16.23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16.23</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16.23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5.27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3535" cy="147955"/>
              <wp:effectExtent l="0" t="0" r="0"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343535" cy="147955"/>
                      </a:xfrm>
                      <a:prstGeom prst="rect">
                        <a:avLst/>
                      </a:prstGeom>
                      <a:noFill/>
                      <a:ln>
                        <a:noFill/>
                      </a:ln>
                    </wps:spPr>
                    <wps:txbx>
                      <w:txbxContent>
                        <w:p>
                          <w:pPr>
                            <w:pStyle w:val="6"/>
                            <w:rPr>
                              <w:rFonts w:hint="default"/>
                            </w:rPr>
                          </w:pPr>
                          <w:r>
                            <w:fldChar w:fldCharType="begin"/>
                          </w:r>
                          <w:r>
                            <w:instrText xml:space="preserve"> PAGE  \* MERGEFORMAT </w:instrText>
                          </w:r>
                          <w:r>
                            <w:fldChar w:fldCharType="separate"/>
                          </w:r>
                          <w:r>
                            <w:rPr>
                              <w:rFonts w:hint="default"/>
                            </w:rPr>
                            <w:t>- 14 -</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65pt;width:27.05pt;mso-position-horizontal:center;mso-position-horizontal-relative:margin;mso-wrap-style:none;z-index:251659264;mso-width-relative:page;mso-height-relative:page;" filled="f" stroked="f" coordsize="21600,21600" o:gfxdata="UEsDBAoAAAAAAIdO4kAAAAAAAAAAAAAAAAAEAAAAZHJzL1BLAwQUAAAACACHTuJAJtupU9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tupU9IAAAADAQAADwAAAAAAAAABACAAAAAiAAAAZHJzL2Rvd25yZXYueG1sUEsB&#10;AhQAFAAAAAgAh07iQAFh51H7AQAAAQQAAA4AAAAAAAAAAQAgAAAAIQEAAGRycy9lMm9Eb2MueG1s&#10;UEsFBgAAAAAGAAYAWQEAAI4FAAAAAA==&#10;">
              <v:fill on="f" focussize="0,0"/>
              <v:stroke on="f"/>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400685" cy="147955"/>
              <wp:effectExtent l="0" t="0" r="0" b="0"/>
              <wp:wrapNone/>
              <wp:docPr id="2" name="Text Box 8"/>
              <wp:cNvGraphicFramePr/>
              <a:graphic xmlns:a="http://schemas.openxmlformats.org/drawingml/2006/main">
                <a:graphicData uri="http://schemas.microsoft.com/office/word/2010/wordprocessingShape">
                  <wps:wsp>
                    <wps:cNvSpPr txBox="1">
                      <a:spLocks noChangeArrowheads="1"/>
                    </wps:cNvSpPr>
                    <wps:spPr bwMode="auto">
                      <a:xfrm>
                        <a:off x="0" y="0"/>
                        <a:ext cx="400685" cy="147955"/>
                      </a:xfrm>
                      <a:prstGeom prst="rect">
                        <a:avLst/>
                      </a:prstGeom>
                      <a:noFill/>
                      <a:ln>
                        <a:noFill/>
                      </a:ln>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wps:txbx>
                    <wps:bodyPr rot="0" vert="horz" wrap="none" lIns="0" tIns="0" rIns="0" bIns="0" anchor="t" anchorCtr="0" upright="1">
                      <a:spAutoFit/>
                    </wps:bodyPr>
                  </wps:wsp>
                </a:graphicData>
              </a:graphic>
            </wp:anchor>
          </w:drawing>
        </mc:Choice>
        <mc:Fallback>
          <w:pict>
            <v:shape id="Text Box 8" o:spid="_x0000_s1026" o:spt="202" type="#_x0000_t202" style="position:absolute;left:0pt;margin-top:0pt;height:11.65pt;width:31.55pt;mso-position-horizontal:center;mso-position-horizontal-relative:margin;mso-wrap-style:none;z-index:251661312;mso-width-relative:page;mso-height-relative:page;" filled="f" stroked="f" coordsize="21600,21600" o:allowoverlap="f"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lDqPLRAAAAAwEAAA8AAAAAAAAAAQAgAAAAIgAAAGRycy9kb3ducmV2LnhtbFBLAQIU&#10;ABQAAAAIAIdO4kCTAwjF+gEAAAEEAAAOAAAAAAAAAAEAIAAAACABAABkcnMvZTJvRG9jLnhtbFBL&#10;BQYAAAAABgAGAFkBAACMBQAAAAA=&#10;">
              <v:fill on="f" focussize="0,0"/>
              <v:stroke on="f"/>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572135" cy="220980"/>
              <wp:effectExtent l="0" t="1905" r="0" b="0"/>
              <wp:wrapNone/>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72135" cy="220980"/>
                      </a:xfrm>
                      <a:prstGeom prst="rect">
                        <a:avLst/>
                      </a:prstGeom>
                      <a:noFill/>
                      <a:ln>
                        <a:noFill/>
                      </a:ln>
                    </wps:spPr>
                    <wps:txbx>
                      <w:txbxContent>
                        <w:p>
                          <w:pPr>
                            <w:pStyle w:val="6"/>
                            <w:jc w:val="both"/>
                            <w:rPr>
                              <w:rFonts w:hint="default" w:cs="宋体"/>
                            </w:rPr>
                          </w:pPr>
                          <w:r>
                            <w:rPr>
                              <w:rFonts w:cs="宋体"/>
                            </w:rPr>
                            <w:t>— 27.1 —</w:t>
                          </w:r>
                        </w:p>
                      </w:txbxContent>
                    </wps:txbx>
                    <wps:bodyPr rot="0" vert="horz" wrap="none" lIns="0" tIns="0" rIns="0" bIns="0" anchor="t" anchorCtr="0" upright="1">
                      <a:noAutofit/>
                    </wps:bodyPr>
                  </wps:wsp>
                </a:graphicData>
              </a:graphic>
            </wp:anchor>
          </w:drawing>
        </mc:Choice>
        <mc:Fallback>
          <w:pict>
            <v:shape id="Text Box 7" o:spid="_x0000_s1026" o:spt="202" type="#_x0000_t202" style="position:absolute;left:0pt;margin-top:1160.4pt;height:17.4pt;width:45.05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yX6FDWAAAACQEAAA8AAAAAAAAAAQAgAAAAIgAAAGRycy9kb3ducmV2Lnht&#10;bFBLAQIUABQAAAAIAIdO4kBva0M4+wEAAAEEAAAOAAAAAAAAAAEAIAAAACUBAABkcnMvZTJvRG9j&#10;LnhtbFBLBQYAAAAABgAGAFkBAACSBQAAAAA=&#10;">
              <v:fill on="f" focussize="0,0"/>
              <v:stroke on="f"/>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727DB3"/>
    <w:multiLevelType w:val="singleLevel"/>
    <w:tmpl w:val="D4727DB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NWE5MDY2ZDBhMmU4M2UwZDVmZTFjMTQzYzY4OTIifQ=="/>
  </w:docVars>
  <w:rsids>
    <w:rsidRoot w:val="00B03CCD"/>
    <w:rsid w:val="000239C6"/>
    <w:rsid w:val="000633A3"/>
    <w:rsid w:val="000B1841"/>
    <w:rsid w:val="001B3315"/>
    <w:rsid w:val="001D3BB7"/>
    <w:rsid w:val="002847D9"/>
    <w:rsid w:val="002B254B"/>
    <w:rsid w:val="0033333E"/>
    <w:rsid w:val="0034050A"/>
    <w:rsid w:val="0044504F"/>
    <w:rsid w:val="004569DE"/>
    <w:rsid w:val="00466C9B"/>
    <w:rsid w:val="00486CFC"/>
    <w:rsid w:val="00491DDD"/>
    <w:rsid w:val="004F34E4"/>
    <w:rsid w:val="00550ABE"/>
    <w:rsid w:val="00615EB6"/>
    <w:rsid w:val="00623A85"/>
    <w:rsid w:val="0071387E"/>
    <w:rsid w:val="00770383"/>
    <w:rsid w:val="007819D4"/>
    <w:rsid w:val="007B419D"/>
    <w:rsid w:val="007B7C4B"/>
    <w:rsid w:val="007D3D39"/>
    <w:rsid w:val="00811519"/>
    <w:rsid w:val="00962712"/>
    <w:rsid w:val="00984C6A"/>
    <w:rsid w:val="00994AF7"/>
    <w:rsid w:val="009B67B8"/>
    <w:rsid w:val="009C14C9"/>
    <w:rsid w:val="009D2B67"/>
    <w:rsid w:val="009E1452"/>
    <w:rsid w:val="00A566F9"/>
    <w:rsid w:val="00AF2751"/>
    <w:rsid w:val="00B03CCD"/>
    <w:rsid w:val="00B468D7"/>
    <w:rsid w:val="00BC591E"/>
    <w:rsid w:val="00BE2B89"/>
    <w:rsid w:val="00BF0D89"/>
    <w:rsid w:val="00C10E9E"/>
    <w:rsid w:val="00C20C3E"/>
    <w:rsid w:val="00C5163E"/>
    <w:rsid w:val="00CB37DF"/>
    <w:rsid w:val="00CF2ACF"/>
    <w:rsid w:val="00D03AAF"/>
    <w:rsid w:val="00D23EEE"/>
    <w:rsid w:val="00DD0539"/>
    <w:rsid w:val="00E07662"/>
    <w:rsid w:val="00E368E9"/>
    <w:rsid w:val="00EE1E33"/>
    <w:rsid w:val="00F73F90"/>
    <w:rsid w:val="00F87053"/>
    <w:rsid w:val="00FA783E"/>
    <w:rsid w:val="00FB4B3B"/>
    <w:rsid w:val="01474EBF"/>
    <w:rsid w:val="01F3521E"/>
    <w:rsid w:val="03B87EA0"/>
    <w:rsid w:val="03E3214F"/>
    <w:rsid w:val="044C50BA"/>
    <w:rsid w:val="05BC6D49"/>
    <w:rsid w:val="06194FF1"/>
    <w:rsid w:val="06A2550B"/>
    <w:rsid w:val="06D704C6"/>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footnote text"/>
    <w:basedOn w:val="1"/>
    <w:next w:val="3"/>
    <w:link w:val="20"/>
    <w:qFormat/>
    <w:uiPriority w:val="0"/>
    <w:pPr>
      <w:snapToGrid w:val="0"/>
    </w:pPr>
    <w:rPr>
      <w:sz w:val="18"/>
      <w:szCs w:val="18"/>
    </w:rPr>
  </w:style>
  <w:style w:type="paragraph" w:styleId="3">
    <w:name w:val="Body Text First Indent 2"/>
    <w:basedOn w:val="4"/>
    <w:next w:val="1"/>
    <w:link w:val="2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autoRedefine/>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autoRedefine/>
    <w:unhideWhenUsed/>
    <w:qFormat/>
    <w:uiPriority w:val="0"/>
    <w:pPr>
      <w:spacing w:before="100" w:beforeAutospacing="1" w:after="100" w:afterAutospacing="1"/>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autoRedefine/>
    <w:qFormat/>
    <w:uiPriority w:val="0"/>
    <w:rPr>
      <w:b/>
    </w:rPr>
  </w:style>
  <w:style w:type="paragraph" w:customStyle="1" w:styleId="14">
    <w:name w:val="列出段落1"/>
    <w:basedOn w:val="1"/>
    <w:autoRedefine/>
    <w:qFormat/>
    <w:uiPriority w:val="99"/>
    <w:pPr>
      <w:ind w:firstLine="420" w:firstLineChars="200"/>
    </w:pPr>
    <w:rPr>
      <w:rFonts w:hint="default"/>
    </w:rPr>
  </w:style>
  <w:style w:type="paragraph" w:customStyle="1" w:styleId="15">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autoRedefine/>
    <w:qFormat/>
    <w:uiPriority w:val="0"/>
    <w:rPr>
      <w:rFonts w:hint="default" w:ascii="Wingdings" w:hAnsi="Wingdings" w:cs="Wingdings"/>
      <w:b/>
      <w:bCs/>
    </w:rPr>
  </w:style>
  <w:style w:type="paragraph" w:customStyle="1" w:styleId="17">
    <w:name w:val="列出段落2"/>
    <w:autoRedefine/>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autoRedefine/>
    <w:qFormat/>
    <w:uiPriority w:val="0"/>
    <w:rPr>
      <w:rFonts w:ascii="宋体" w:hAnsi="宋体"/>
      <w:sz w:val="18"/>
      <w:szCs w:val="18"/>
    </w:rPr>
  </w:style>
  <w:style w:type="paragraph" w:customStyle="1" w:styleId="19">
    <w:name w:val="列出段落3"/>
    <w:basedOn w:val="1"/>
    <w:autoRedefine/>
    <w:qFormat/>
    <w:uiPriority w:val="99"/>
    <w:pPr>
      <w:ind w:firstLine="420" w:firstLineChars="200"/>
    </w:pPr>
  </w:style>
  <w:style w:type="character" w:customStyle="1" w:styleId="20">
    <w:name w:val="脚注文本 Char"/>
    <w:basedOn w:val="12"/>
    <w:link w:val="2"/>
    <w:autoRedefine/>
    <w:qFormat/>
    <w:uiPriority w:val="0"/>
    <w:rPr>
      <w:rFonts w:ascii="宋体" w:hAnsi="宋体"/>
      <w:sz w:val="18"/>
      <w:szCs w:val="18"/>
    </w:rPr>
  </w:style>
  <w:style w:type="character" w:customStyle="1" w:styleId="21">
    <w:name w:val="正文首行缩进 2 Char"/>
    <w:basedOn w:val="12"/>
    <w:link w:val="3"/>
    <w:autoRedefine/>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2390</Words>
  <Characters>13626</Characters>
  <Lines>113</Lines>
  <Paragraphs>31</Paragraphs>
  <TotalTime>0</TotalTime>
  <ScaleCrop>false</ScaleCrop>
  <LinksUpToDate>false</LinksUpToDate>
  <CharactersWithSpaces>15985</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2025-09-29T07:24:00Z</dcterms:created>
  <dc:creator>Administrator</dc:creator>
  <cp:lastModifiedBy>Administrator</cp:lastModifiedBy>
  <dcterms:modified xsi:type="dcterms:W3CDTF">2025-10-16T01:38:04Z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BB46EABDBB2749749395447164B066B3_12</vt:lpwstr>
  </property>
</Properties>
</file>