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kinsoku/>
        <w:wordWrap/>
        <w:overflowPunct/>
        <w:topLinePunct w:val="0"/>
        <w:autoSpaceDN/>
        <w:bidi w:val="0"/>
        <w:adjustRightInd/>
        <w:spacing w:before="0" w:beforeAutospacing="0" w:after="0" w:afterAutospacing="0" w:line="60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重庆市酉阳土家族苗族自治县城乡建设档案馆</w:t>
      </w:r>
    </w:p>
    <w:p>
      <w:pPr>
        <w:pStyle w:val="9"/>
        <w:keepNext w:val="0"/>
        <w:keepLines w:val="0"/>
        <w:pageBreakBefore w:val="0"/>
        <w:widowControl/>
        <w:kinsoku/>
        <w:wordWrap/>
        <w:overflowPunct/>
        <w:topLinePunct w:val="0"/>
        <w:autoSpaceDN/>
        <w:bidi w:val="0"/>
        <w:adjustRightInd/>
        <w:spacing w:before="0" w:beforeAutospacing="0" w:after="0" w:afterAutospacing="0" w:line="600" w:lineRule="exact"/>
        <w:jc w:val="center"/>
        <w:textAlignment w:val="auto"/>
        <w:rPr>
          <w:rFonts w:hint="default" w:ascii="Times New Roman" w:hAnsi="Times New Roman" w:eastAsia="方正小标宋_GBK" w:cs="Times New Roman"/>
          <w:sz w:val="44"/>
          <w:szCs w:val="44"/>
          <w:shd w:val="clear" w:color="auto" w:fill="FFFFFF"/>
        </w:rPr>
      </w:pPr>
      <w:r>
        <w:rPr>
          <w:rFonts w:hint="default" w:ascii="Times New Roman" w:hAnsi="Times New Roman" w:eastAsia="方正小标宋_GBK" w:cs="Times New Roman"/>
          <w:sz w:val="44"/>
          <w:szCs w:val="44"/>
          <w:shd w:val="clear" w:color="auto" w:fill="FFFFFF"/>
        </w:rPr>
        <w:t>2024年度决算公开说明</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13"/>
          <w:rFonts w:hint="default" w:ascii="Times New Roman" w:hAnsi="Times New Roman" w:eastAsia="方正黑体_GBK" w:cs="Times New Roman"/>
          <w:b w:val="0"/>
          <w:bCs/>
          <w:sz w:val="32"/>
          <w:szCs w:val="32"/>
          <w:shd w:val="clear" w:color="auto" w:fill="FFFFFF"/>
        </w:rPr>
      </w:pPr>
      <w:r>
        <w:rPr>
          <w:rStyle w:val="13"/>
          <w:rFonts w:hint="default" w:ascii="Times New Roman" w:hAnsi="Times New Roman" w:eastAsia="方正黑体_GBK" w:cs="Times New Roman"/>
          <w:b w:val="0"/>
          <w:bCs/>
          <w:sz w:val="32"/>
          <w:szCs w:val="32"/>
          <w:shd w:val="clear" w:color="auto" w:fill="FFFFFF"/>
        </w:rPr>
        <w:t>一、</w:t>
      </w:r>
      <w:r>
        <w:rPr>
          <w:rStyle w:val="13"/>
          <w:rFonts w:hint="default" w:ascii="Times New Roman" w:hAnsi="Times New Roman" w:eastAsia="方正黑体_GBK" w:cs="Times New Roman"/>
          <w:b w:val="0"/>
          <w:bCs/>
          <w:sz w:val="32"/>
          <w:szCs w:val="32"/>
          <w:shd w:val="clear" w:color="auto" w:fill="FFFFFF"/>
          <w:lang w:eastAsia="zh-CN"/>
        </w:rPr>
        <w:t>单位</w:t>
      </w:r>
      <w:r>
        <w:rPr>
          <w:rStyle w:val="13"/>
          <w:rFonts w:hint="default" w:ascii="Times New Roman" w:hAnsi="Times New Roman" w:eastAsia="方正黑体_GBK" w:cs="Times New Roman"/>
          <w:b w:val="0"/>
          <w:bCs/>
          <w:sz w:val="32"/>
          <w:szCs w:val="32"/>
          <w:shd w:val="clear" w:color="auto" w:fill="FFFFFF"/>
        </w:rPr>
        <w:t>基本情况</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楷体_GBK" w:cs="Times New Roman"/>
          <w:b w:val="0"/>
          <w:bCs/>
          <w:sz w:val="32"/>
          <w:szCs w:val="32"/>
        </w:rPr>
      </w:pPr>
      <w:r>
        <w:rPr>
          <w:rStyle w:val="13"/>
          <w:rFonts w:hint="default" w:ascii="Times New Roman" w:hAnsi="Times New Roman" w:eastAsia="方正楷体_GBK" w:cs="Times New Roman"/>
          <w:b w:val="0"/>
          <w:bCs/>
          <w:sz w:val="32"/>
          <w:szCs w:val="32"/>
          <w:shd w:val="clear" w:color="auto" w:fill="FFFFFF"/>
        </w:rPr>
        <w:t>（一）职能职责</w:t>
      </w:r>
    </w:p>
    <w:p>
      <w:pPr>
        <w:keepNext w:val="0"/>
        <w:keepLines w:val="0"/>
        <w:pageBreakBefore w:val="0"/>
        <w:widowControl/>
        <w:kinsoku/>
        <w:wordWrap/>
        <w:overflowPunct/>
        <w:topLinePunct w:val="0"/>
        <w:autoSpaceDN/>
        <w:bidi w:val="0"/>
        <w:adjustRightInd/>
        <w:spacing w:line="600" w:lineRule="exact"/>
        <w:ind w:firstLine="640" w:firstLineChars="200"/>
        <w:textAlignment w:val="auto"/>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b/>
          <w:bCs/>
          <w:sz w:val="32"/>
          <w:szCs w:val="32"/>
          <w:shd w:val="clear" w:color="auto" w:fill="FFFFFF"/>
          <w:lang w:val="en-US" w:eastAsia="zh-CN" w:bidi="ar-SA"/>
        </w:rPr>
        <w:t>1.</w:t>
      </w:r>
      <w:r>
        <w:rPr>
          <w:rFonts w:hint="default" w:ascii="Times New Roman" w:hAnsi="Times New Roman" w:eastAsia="方正仿宋_GBK" w:cs="Times New Roman"/>
          <w:sz w:val="32"/>
          <w:szCs w:val="32"/>
          <w:shd w:val="clear" w:color="auto" w:fill="FFFFFF"/>
          <w:lang w:val="en-US" w:eastAsia="zh-CN" w:bidi="ar-SA"/>
        </w:rPr>
        <w:t>贯彻执行国家、重庆市有关城建档案方面的法律、法规，依法开展城建档案的管理；</w:t>
      </w:r>
    </w:p>
    <w:p>
      <w:pPr>
        <w:keepNext w:val="0"/>
        <w:keepLines w:val="0"/>
        <w:pageBreakBefore w:val="0"/>
        <w:widowControl/>
        <w:kinsoku/>
        <w:wordWrap/>
        <w:overflowPunct/>
        <w:topLinePunct w:val="0"/>
        <w:autoSpaceDN/>
        <w:bidi w:val="0"/>
        <w:adjustRightInd/>
        <w:spacing w:line="600" w:lineRule="exact"/>
        <w:ind w:firstLine="640" w:firstLineChars="200"/>
        <w:textAlignment w:val="auto"/>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b/>
          <w:bCs/>
          <w:sz w:val="32"/>
          <w:szCs w:val="32"/>
          <w:shd w:val="clear" w:color="auto" w:fill="FFFFFF"/>
          <w:lang w:val="en-US" w:eastAsia="zh-CN" w:bidi="ar-SA"/>
        </w:rPr>
        <w:t>2.</w:t>
      </w:r>
      <w:r>
        <w:rPr>
          <w:rFonts w:hint="default" w:ascii="Times New Roman" w:hAnsi="Times New Roman" w:eastAsia="方正仿宋_GBK" w:cs="Times New Roman"/>
          <w:sz w:val="32"/>
          <w:szCs w:val="32"/>
          <w:shd w:val="clear" w:color="auto" w:fill="FFFFFF"/>
          <w:lang w:val="en-US" w:eastAsia="zh-CN" w:bidi="ar-SA"/>
        </w:rPr>
        <w:t>接收和保管全县具有永久保存价值和部分具有长期保存价值的城建档案和城建资料；</w:t>
      </w:r>
    </w:p>
    <w:p>
      <w:pPr>
        <w:keepNext w:val="0"/>
        <w:keepLines w:val="0"/>
        <w:pageBreakBefore w:val="0"/>
        <w:widowControl/>
        <w:kinsoku/>
        <w:wordWrap/>
        <w:overflowPunct/>
        <w:topLinePunct w:val="0"/>
        <w:autoSpaceDN/>
        <w:bidi w:val="0"/>
        <w:adjustRightInd/>
        <w:spacing w:line="600" w:lineRule="exact"/>
        <w:ind w:firstLine="640" w:firstLineChars="200"/>
        <w:textAlignment w:val="auto"/>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b/>
          <w:bCs/>
          <w:sz w:val="32"/>
          <w:szCs w:val="32"/>
          <w:shd w:val="clear" w:color="auto" w:fill="FFFFFF"/>
          <w:lang w:val="en-US" w:eastAsia="zh-CN" w:bidi="ar-SA"/>
        </w:rPr>
        <w:t>3.</w:t>
      </w:r>
      <w:r>
        <w:rPr>
          <w:rFonts w:hint="default" w:ascii="Times New Roman" w:hAnsi="Times New Roman" w:eastAsia="方正仿宋_GBK" w:cs="Times New Roman"/>
          <w:sz w:val="32"/>
          <w:szCs w:val="32"/>
          <w:shd w:val="clear" w:color="auto" w:fill="FFFFFF"/>
          <w:lang w:val="en-US" w:eastAsia="zh-CN" w:bidi="ar-SA"/>
        </w:rPr>
        <w:t>对接收进馆的城建档案进行科学管理；</w:t>
      </w:r>
    </w:p>
    <w:p>
      <w:pPr>
        <w:keepNext w:val="0"/>
        <w:keepLines w:val="0"/>
        <w:pageBreakBefore w:val="0"/>
        <w:widowControl/>
        <w:kinsoku/>
        <w:wordWrap/>
        <w:overflowPunct/>
        <w:topLinePunct w:val="0"/>
        <w:autoSpaceDN/>
        <w:bidi w:val="0"/>
        <w:adjustRightInd/>
        <w:spacing w:line="600" w:lineRule="exact"/>
        <w:ind w:firstLine="640" w:firstLineChars="200"/>
        <w:textAlignment w:val="auto"/>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b/>
          <w:bCs/>
          <w:sz w:val="32"/>
          <w:szCs w:val="32"/>
          <w:shd w:val="clear" w:color="auto" w:fill="FFFFFF"/>
          <w:lang w:val="en-US" w:eastAsia="zh-CN" w:bidi="ar-SA"/>
        </w:rPr>
        <w:t>4.</w:t>
      </w:r>
      <w:r>
        <w:rPr>
          <w:rFonts w:hint="default" w:ascii="Times New Roman" w:hAnsi="Times New Roman" w:eastAsia="方正仿宋_GBK" w:cs="Times New Roman"/>
          <w:sz w:val="32"/>
          <w:szCs w:val="32"/>
          <w:shd w:val="clear" w:color="auto" w:fill="FFFFFF"/>
          <w:lang w:val="en-US" w:eastAsia="zh-CN" w:bidi="ar-SA"/>
        </w:rPr>
        <w:t>对城市建设单位的城建档案工作进行指导、检查，并参加城市建设工程档案材料的专项验收；</w:t>
      </w:r>
    </w:p>
    <w:p>
      <w:pPr>
        <w:keepNext w:val="0"/>
        <w:keepLines w:val="0"/>
        <w:pageBreakBefore w:val="0"/>
        <w:widowControl/>
        <w:kinsoku/>
        <w:wordWrap/>
        <w:overflowPunct/>
        <w:topLinePunct w:val="0"/>
        <w:autoSpaceDN/>
        <w:bidi w:val="0"/>
        <w:adjustRightInd/>
        <w:spacing w:line="600" w:lineRule="exact"/>
        <w:ind w:firstLine="640" w:firstLineChars="200"/>
        <w:textAlignment w:val="auto"/>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b/>
          <w:bCs/>
          <w:sz w:val="32"/>
          <w:szCs w:val="32"/>
          <w:shd w:val="clear" w:color="auto" w:fill="FFFFFF"/>
          <w:lang w:val="en-US" w:eastAsia="zh-CN" w:bidi="ar-SA"/>
        </w:rPr>
        <w:t>5.</w:t>
      </w:r>
      <w:r>
        <w:rPr>
          <w:rFonts w:hint="default" w:ascii="Times New Roman" w:hAnsi="Times New Roman" w:eastAsia="方正仿宋_GBK" w:cs="Times New Roman"/>
          <w:sz w:val="32"/>
          <w:szCs w:val="32"/>
          <w:shd w:val="clear" w:color="auto" w:fill="FFFFFF"/>
          <w:lang w:val="en-US" w:eastAsia="zh-CN" w:bidi="ar-SA"/>
        </w:rPr>
        <w:t>积极开发城建档案信息资源，开展档案利用、信息交流、咨询服务和各种编研工作，为城市各项工作服务；</w:t>
      </w:r>
    </w:p>
    <w:p>
      <w:pPr>
        <w:keepNext w:val="0"/>
        <w:keepLines w:val="0"/>
        <w:pageBreakBefore w:val="0"/>
        <w:widowControl/>
        <w:kinsoku/>
        <w:wordWrap/>
        <w:overflowPunct/>
        <w:topLinePunct w:val="0"/>
        <w:autoSpaceDN/>
        <w:bidi w:val="0"/>
        <w:adjustRightInd/>
        <w:spacing w:line="600" w:lineRule="exact"/>
        <w:ind w:firstLine="640" w:firstLineChars="200"/>
        <w:textAlignment w:val="auto"/>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b/>
          <w:bCs/>
          <w:sz w:val="32"/>
          <w:szCs w:val="32"/>
          <w:shd w:val="clear" w:color="auto" w:fill="FFFFFF"/>
          <w:lang w:val="en-US" w:eastAsia="zh-CN" w:bidi="ar-SA"/>
        </w:rPr>
        <w:t>6.</w:t>
      </w:r>
      <w:r>
        <w:rPr>
          <w:rFonts w:hint="default" w:ascii="Times New Roman" w:hAnsi="Times New Roman" w:eastAsia="方正仿宋_GBK" w:cs="Times New Roman"/>
          <w:sz w:val="32"/>
          <w:szCs w:val="32"/>
          <w:shd w:val="clear" w:color="auto" w:fill="FFFFFF"/>
          <w:lang w:val="en-US" w:eastAsia="zh-CN" w:bidi="ar-SA"/>
        </w:rPr>
        <w:t>负责全县城建档案工作人员的业务培训；</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b/>
          <w:bCs/>
          <w:sz w:val="32"/>
          <w:szCs w:val="32"/>
          <w:shd w:val="clear" w:color="auto" w:fill="FFFFFF"/>
          <w:lang w:val="en-US" w:eastAsia="zh-CN" w:bidi="ar-SA"/>
        </w:rPr>
        <w:t>7.</w:t>
      </w:r>
      <w:r>
        <w:rPr>
          <w:rFonts w:hint="default" w:ascii="Times New Roman" w:hAnsi="Times New Roman" w:eastAsia="方正仿宋_GBK" w:cs="Times New Roman"/>
          <w:sz w:val="32"/>
          <w:szCs w:val="32"/>
          <w:shd w:val="clear" w:color="auto" w:fill="FFFFFF"/>
          <w:lang w:val="en-US" w:eastAsia="zh-CN" w:bidi="ar-SA"/>
        </w:rPr>
        <w:t>组织开展城建档案理论与发展的研究工作。</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13"/>
          <w:rFonts w:hint="default" w:ascii="Times New Roman" w:hAnsi="Times New Roman" w:eastAsia="方正楷体_GBK" w:cs="Times New Roman"/>
          <w:b w:val="0"/>
          <w:bCs/>
          <w:sz w:val="32"/>
          <w:szCs w:val="32"/>
          <w:shd w:val="clear" w:color="auto" w:fill="FFFFFF"/>
        </w:rPr>
      </w:pPr>
      <w:r>
        <w:rPr>
          <w:rStyle w:val="13"/>
          <w:rFonts w:hint="default" w:ascii="Times New Roman" w:hAnsi="Times New Roman" w:eastAsia="方正楷体_GBK" w:cs="Times New Roman"/>
          <w:b w:val="0"/>
          <w:bCs/>
          <w:sz w:val="32"/>
          <w:szCs w:val="32"/>
          <w:shd w:val="clear" w:color="auto" w:fill="FFFFFF"/>
        </w:rPr>
        <w:t>（二）机构设置</w:t>
      </w:r>
    </w:p>
    <w:p>
      <w:pPr>
        <w:keepNext w:val="0"/>
        <w:keepLines w:val="0"/>
        <w:pageBreakBefore w:val="0"/>
        <w:widowControl/>
        <w:kinsoku/>
        <w:wordWrap/>
        <w:overflowPunct/>
        <w:topLinePunct w:val="0"/>
        <w:autoSpaceDN/>
        <w:bidi w:val="0"/>
        <w:adjustRightInd/>
        <w:spacing w:line="600" w:lineRule="exact"/>
        <w:ind w:firstLine="640" w:firstLineChars="200"/>
        <w:textAlignment w:val="auto"/>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酉阳土家族苗族自治县城乡建设档案馆，为县住房城乡建委管理的公益一类事业单位，机构规格为副科级，属全额拨款的事业单位。我单位核定编制3人，实有在册人数3人。</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13"/>
          <w:rFonts w:hint="default" w:ascii="Times New Roman" w:hAnsi="Times New Roman" w:eastAsia="方正黑体_GBK" w:cs="Times New Roman"/>
          <w:b w:val="0"/>
          <w:bCs/>
          <w:sz w:val="32"/>
          <w:szCs w:val="32"/>
          <w:shd w:val="clear" w:color="auto" w:fill="FFFFFF"/>
        </w:rPr>
      </w:pPr>
      <w:r>
        <w:rPr>
          <w:rStyle w:val="13"/>
          <w:rFonts w:hint="default" w:ascii="Times New Roman" w:hAnsi="Times New Roman" w:eastAsia="方正黑体_GBK" w:cs="Times New Roman"/>
          <w:b w:val="0"/>
          <w:bCs/>
          <w:sz w:val="32"/>
          <w:szCs w:val="32"/>
          <w:shd w:val="clear" w:color="auto" w:fill="FFFFFF"/>
        </w:rPr>
        <w:t>二、</w:t>
      </w:r>
      <w:r>
        <w:rPr>
          <w:rStyle w:val="13"/>
          <w:rFonts w:hint="default" w:ascii="Times New Roman" w:hAnsi="Times New Roman" w:eastAsia="方正黑体_GBK" w:cs="Times New Roman"/>
          <w:b w:val="0"/>
          <w:bCs/>
          <w:sz w:val="32"/>
          <w:szCs w:val="32"/>
          <w:shd w:val="clear" w:color="auto" w:fill="FFFFFF"/>
          <w:lang w:eastAsia="zh-CN"/>
        </w:rPr>
        <w:t>单位</w:t>
      </w:r>
      <w:r>
        <w:rPr>
          <w:rStyle w:val="13"/>
          <w:rFonts w:hint="default" w:ascii="Times New Roman" w:hAnsi="Times New Roman" w:eastAsia="方正黑体_GBK" w:cs="Times New Roman"/>
          <w:b w:val="0"/>
          <w:bCs/>
          <w:sz w:val="32"/>
          <w:szCs w:val="32"/>
          <w:shd w:val="clear" w:color="auto" w:fill="FFFFFF"/>
        </w:rPr>
        <w:t>决算</w:t>
      </w:r>
      <w:r>
        <w:rPr>
          <w:rStyle w:val="13"/>
          <w:rFonts w:hint="default" w:ascii="Times New Roman" w:hAnsi="Times New Roman" w:eastAsia="方正黑体_GBK" w:cs="Times New Roman"/>
          <w:b w:val="0"/>
          <w:bCs/>
          <w:sz w:val="32"/>
          <w:szCs w:val="32"/>
          <w:shd w:val="clear" w:color="auto" w:fill="FFFFFF"/>
          <w:lang w:eastAsia="zh-CN"/>
        </w:rPr>
        <w:t>收支</w:t>
      </w:r>
      <w:r>
        <w:rPr>
          <w:rStyle w:val="13"/>
          <w:rFonts w:hint="default" w:ascii="Times New Roman" w:hAnsi="Times New Roman" w:eastAsia="方正黑体_GBK" w:cs="Times New Roman"/>
          <w:b w:val="0"/>
          <w:bCs/>
          <w:sz w:val="32"/>
          <w:szCs w:val="32"/>
          <w:shd w:val="clear" w:color="auto" w:fill="FFFFFF"/>
        </w:rPr>
        <w:t>情况说明</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13"/>
          <w:rFonts w:hint="default" w:ascii="Times New Roman" w:hAnsi="Times New Roman" w:eastAsia="方正楷体_GBK" w:cs="Times New Roman"/>
          <w:b w:val="0"/>
          <w:bCs/>
          <w:sz w:val="32"/>
          <w:szCs w:val="32"/>
          <w:shd w:val="clear" w:color="auto" w:fill="FFFFFF"/>
        </w:rPr>
      </w:pPr>
      <w:r>
        <w:rPr>
          <w:rStyle w:val="13"/>
          <w:rFonts w:hint="default" w:ascii="Times New Roman" w:hAnsi="Times New Roman" w:eastAsia="方正楷体_GBK" w:cs="Times New Roman"/>
          <w:b w:val="0"/>
          <w:bCs/>
          <w:sz w:val="32"/>
          <w:szCs w:val="32"/>
          <w:shd w:val="clear" w:color="auto" w:fill="FFFFFF"/>
        </w:rPr>
        <w:t>（一）收入支出决算总体情况说明</w:t>
      </w:r>
    </w:p>
    <w:p>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2024年度收</w:t>
      </w:r>
      <w:r>
        <w:rPr>
          <w:rFonts w:hint="default" w:ascii="Times New Roman" w:hAnsi="Times New Roman" w:eastAsia="方正仿宋_GBK" w:cs="Times New Roman"/>
          <w:sz w:val="32"/>
          <w:szCs w:val="32"/>
          <w:shd w:val="clear" w:color="auto" w:fill="FFFFFF"/>
          <w:lang w:eastAsia="zh-CN"/>
        </w:rPr>
        <w:t>、支</w:t>
      </w:r>
      <w:r>
        <w:rPr>
          <w:rFonts w:hint="default" w:ascii="Times New Roman" w:hAnsi="Times New Roman" w:eastAsia="方正仿宋_GBK" w:cs="Times New Roman"/>
          <w:sz w:val="32"/>
          <w:szCs w:val="32"/>
          <w:shd w:val="clear" w:color="auto" w:fill="FFFFFF"/>
        </w:rPr>
        <w:t>总计</w:t>
      </w:r>
      <w:r>
        <w:rPr>
          <w:rFonts w:hint="default" w:ascii="Times New Roman" w:hAnsi="Times New Roman" w:eastAsia="方正仿宋_GBK" w:cs="Times New Roman"/>
          <w:sz w:val="32"/>
          <w:szCs w:val="32"/>
          <w:shd w:val="clear" w:color="auto" w:fill="FFFFFF"/>
          <w:lang w:eastAsia="zh-CN"/>
        </w:rPr>
        <w:t>均为</w:t>
      </w:r>
      <w:r>
        <w:rPr>
          <w:rFonts w:hint="default" w:ascii="Times New Roman" w:hAnsi="Times New Roman" w:eastAsia="方正仿宋_GBK" w:cs="Times New Roman"/>
          <w:sz w:val="32"/>
          <w:szCs w:val="32"/>
          <w:shd w:val="clear" w:color="auto" w:fill="FFFFFF"/>
        </w:rPr>
        <w:t>66.38万元。收、支与2023年度相比，增加9.82万元，增长17.4%，主要原因</w:t>
      </w:r>
      <w:r>
        <w:rPr>
          <w:rFonts w:hint="eastAsia" w:ascii="Times New Roman" w:hAnsi="Times New Roman" w:eastAsia="方正仿宋_GBK" w:cs="Times New Roman"/>
          <w:sz w:val="32"/>
          <w:szCs w:val="32"/>
          <w:shd w:val="clear" w:color="auto" w:fill="FFFFFF"/>
          <w:lang w:val="en-US" w:eastAsia="zh-CN"/>
        </w:rPr>
        <w:t>一</w:t>
      </w:r>
      <w:r>
        <w:rPr>
          <w:rFonts w:hint="default" w:ascii="Times New Roman" w:hAnsi="Times New Roman" w:eastAsia="方正仿宋_GBK" w:cs="Times New Roman"/>
          <w:sz w:val="32"/>
          <w:szCs w:val="32"/>
          <w:shd w:val="clear" w:color="auto" w:fill="FFFFFF"/>
          <w:lang w:val="en-US" w:eastAsia="zh-CN"/>
        </w:rPr>
        <w:t>是</w:t>
      </w:r>
      <w:r>
        <w:rPr>
          <w:rFonts w:hint="default" w:ascii="Times New Roman" w:hAnsi="Times New Roman" w:eastAsia="方正仿宋_GBK" w:cs="Times New Roman"/>
          <w:sz w:val="32"/>
          <w:szCs w:val="32"/>
          <w:shd w:val="clear" w:color="auto" w:fill="FFFFFF"/>
        </w:rPr>
        <w:t>工资正常增长</w:t>
      </w:r>
      <w:r>
        <w:rPr>
          <w:rFonts w:hint="default" w:ascii="Times New Roman" w:hAnsi="Times New Roman" w:eastAsia="方正仿宋_GBK" w:cs="Times New Roman"/>
          <w:sz w:val="32"/>
          <w:szCs w:val="32"/>
          <w:shd w:val="clear" w:color="auto" w:fill="FFFFFF"/>
          <w:lang w:eastAsia="zh-CN"/>
        </w:rPr>
        <w:t>；</w:t>
      </w:r>
      <w:r>
        <w:rPr>
          <w:rFonts w:hint="eastAsia" w:ascii="Times New Roman" w:hAnsi="Times New Roman" w:eastAsia="方正仿宋_GBK" w:cs="Times New Roman"/>
          <w:sz w:val="32"/>
          <w:szCs w:val="32"/>
          <w:shd w:val="clear" w:color="auto" w:fill="FFFFFF"/>
          <w:lang w:val="en-US" w:eastAsia="zh-CN"/>
        </w:rPr>
        <w:t>二</w:t>
      </w:r>
      <w:r>
        <w:rPr>
          <w:rFonts w:hint="default" w:ascii="Times New Roman" w:hAnsi="Times New Roman" w:eastAsia="方正仿宋_GBK" w:cs="Times New Roman"/>
          <w:sz w:val="32"/>
          <w:szCs w:val="32"/>
          <w:shd w:val="clear" w:color="auto" w:fill="FFFFFF"/>
          <w:lang w:val="en-US" w:eastAsia="zh-CN"/>
        </w:rPr>
        <w:t>是</w:t>
      </w:r>
      <w:r>
        <w:rPr>
          <w:rFonts w:hint="default" w:ascii="Times New Roman" w:hAnsi="Times New Roman" w:eastAsia="方正仿宋_GBK" w:cs="Times New Roman"/>
          <w:sz w:val="32"/>
          <w:szCs w:val="32"/>
          <w:shd w:val="clear" w:color="auto" w:fill="FFFFFF"/>
        </w:rPr>
        <w:t>事业人员超额绩效纳入养老保险、职业年金基数测算</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导致人员经费提高。</w:t>
      </w:r>
    </w:p>
    <w:p>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Style w:val="13"/>
          <w:rFonts w:hint="default" w:ascii="Times New Roman" w:hAnsi="Times New Roman" w:eastAsia="方正仿宋_GBK" w:cs="Times New Roman"/>
          <w:sz w:val="32"/>
          <w:szCs w:val="32"/>
          <w:shd w:val="clear" w:color="auto" w:fill="FFFFFF"/>
          <w:lang w:val="en-US" w:eastAsia="zh-CN"/>
        </w:rPr>
        <w:t>1</w:t>
      </w:r>
      <w:r>
        <w:rPr>
          <w:rStyle w:val="13"/>
          <w:rFonts w:hint="default" w:ascii="Times New Roman" w:hAnsi="Times New Roman" w:eastAsia="方正仿宋_GBK" w:cs="Times New Roman"/>
          <w:sz w:val="32"/>
          <w:szCs w:val="32"/>
          <w:shd w:val="clear" w:color="auto" w:fill="FFFFFF"/>
        </w:rPr>
        <w:t>.收入情况。</w:t>
      </w:r>
      <w:r>
        <w:rPr>
          <w:rFonts w:hint="default" w:ascii="Times New Roman" w:hAnsi="Times New Roman" w:eastAsia="方正仿宋_GBK" w:cs="Times New Roman"/>
          <w:sz w:val="32"/>
          <w:szCs w:val="32"/>
          <w:shd w:val="clear" w:color="auto" w:fill="FFFFFF"/>
        </w:rPr>
        <w:t>2024年度收入合计66.38万元，与2023年度相比，增加9.82万元，增长17.4%，主要原因</w:t>
      </w:r>
      <w:r>
        <w:rPr>
          <w:rFonts w:hint="eastAsia" w:ascii="Times New Roman" w:hAnsi="Times New Roman" w:eastAsia="方正仿宋_GBK" w:cs="Times New Roman"/>
          <w:sz w:val="32"/>
          <w:szCs w:val="32"/>
          <w:shd w:val="clear" w:color="auto" w:fill="FFFFFF"/>
          <w:lang w:val="en-US" w:eastAsia="zh-CN"/>
        </w:rPr>
        <w:t>一</w:t>
      </w:r>
      <w:r>
        <w:rPr>
          <w:rFonts w:hint="default" w:ascii="Times New Roman" w:hAnsi="Times New Roman" w:eastAsia="方正仿宋_GBK" w:cs="Times New Roman"/>
          <w:sz w:val="32"/>
          <w:szCs w:val="32"/>
          <w:shd w:val="clear" w:color="auto" w:fill="FFFFFF"/>
          <w:lang w:val="en-US" w:eastAsia="zh-CN"/>
        </w:rPr>
        <w:t>是</w:t>
      </w:r>
      <w:r>
        <w:rPr>
          <w:rFonts w:hint="default" w:ascii="Times New Roman" w:hAnsi="Times New Roman" w:eastAsia="方正仿宋_GBK" w:cs="Times New Roman"/>
          <w:sz w:val="32"/>
          <w:szCs w:val="32"/>
          <w:shd w:val="clear" w:color="auto" w:fill="FFFFFF"/>
        </w:rPr>
        <w:t>工资正常增长</w:t>
      </w:r>
      <w:r>
        <w:rPr>
          <w:rFonts w:hint="default" w:ascii="Times New Roman" w:hAnsi="Times New Roman" w:eastAsia="方正仿宋_GBK" w:cs="Times New Roman"/>
          <w:sz w:val="32"/>
          <w:szCs w:val="32"/>
          <w:shd w:val="clear" w:color="auto" w:fill="FFFFFF"/>
          <w:lang w:eastAsia="zh-CN"/>
        </w:rPr>
        <w:t>；</w:t>
      </w:r>
      <w:r>
        <w:rPr>
          <w:rFonts w:hint="eastAsia" w:ascii="Times New Roman" w:hAnsi="Times New Roman" w:eastAsia="方正仿宋_GBK" w:cs="Times New Roman"/>
          <w:sz w:val="32"/>
          <w:szCs w:val="32"/>
          <w:shd w:val="clear" w:color="auto" w:fill="FFFFFF"/>
          <w:lang w:val="en-US" w:eastAsia="zh-CN"/>
        </w:rPr>
        <w:t>二</w:t>
      </w:r>
      <w:r>
        <w:rPr>
          <w:rFonts w:hint="default" w:ascii="Times New Roman" w:hAnsi="Times New Roman" w:eastAsia="方正仿宋_GBK" w:cs="Times New Roman"/>
          <w:sz w:val="32"/>
          <w:szCs w:val="32"/>
          <w:shd w:val="clear" w:color="auto" w:fill="FFFFFF"/>
          <w:lang w:val="en-US" w:eastAsia="zh-CN"/>
        </w:rPr>
        <w:t>是</w:t>
      </w:r>
      <w:r>
        <w:rPr>
          <w:rFonts w:hint="default" w:ascii="Times New Roman" w:hAnsi="Times New Roman" w:eastAsia="方正仿宋_GBK" w:cs="Times New Roman"/>
          <w:sz w:val="32"/>
          <w:szCs w:val="32"/>
          <w:shd w:val="clear" w:color="auto" w:fill="FFFFFF"/>
        </w:rPr>
        <w:t>事业人员超额绩效纳入养老保险、职业年金基数测算</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导致人员经费提高。其中：财政拨款收入66.38万元，占100.0%；事业收入0.00万元，占0.0%；经营收入0.00万元，占0.0%；其他收入0.00万元，占0.0%。此外，使用非财政拨款结余（含专用结余）0.00万元，年初结转和结余0.00万元。</w:t>
      </w:r>
    </w:p>
    <w:p>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Style w:val="13"/>
          <w:rFonts w:hint="default" w:ascii="Times New Roman" w:hAnsi="Times New Roman" w:eastAsia="方正仿宋_GBK" w:cs="Times New Roman"/>
          <w:sz w:val="32"/>
          <w:szCs w:val="32"/>
          <w:shd w:val="clear" w:color="auto" w:fill="FFFFFF"/>
          <w:lang w:val="en-US" w:eastAsia="zh-CN"/>
        </w:rPr>
        <w:t>2</w:t>
      </w:r>
      <w:r>
        <w:rPr>
          <w:rStyle w:val="13"/>
          <w:rFonts w:hint="default" w:ascii="Times New Roman" w:hAnsi="Times New Roman" w:eastAsia="方正仿宋_GBK" w:cs="Times New Roman"/>
          <w:sz w:val="32"/>
          <w:szCs w:val="32"/>
          <w:shd w:val="clear" w:color="auto" w:fill="FFFFFF"/>
        </w:rPr>
        <w:t>.支出情况。</w:t>
      </w:r>
      <w:r>
        <w:rPr>
          <w:rFonts w:hint="default" w:ascii="Times New Roman" w:hAnsi="Times New Roman" w:eastAsia="方正仿宋_GBK" w:cs="Times New Roman"/>
          <w:sz w:val="32"/>
          <w:szCs w:val="32"/>
          <w:shd w:val="clear" w:color="auto" w:fill="FFFFFF"/>
        </w:rPr>
        <w:t>2024年度支出合计66.38万元，与2023年度相比，增加9.82万元，增长17.4%，主要原因</w:t>
      </w:r>
      <w:r>
        <w:rPr>
          <w:rFonts w:hint="eastAsia" w:ascii="Times New Roman" w:hAnsi="Times New Roman" w:eastAsia="方正仿宋_GBK" w:cs="Times New Roman"/>
          <w:sz w:val="32"/>
          <w:szCs w:val="32"/>
          <w:shd w:val="clear" w:color="auto" w:fill="FFFFFF"/>
          <w:lang w:val="en-US" w:eastAsia="zh-CN"/>
        </w:rPr>
        <w:t>一</w:t>
      </w:r>
      <w:r>
        <w:rPr>
          <w:rFonts w:hint="default" w:ascii="Times New Roman" w:hAnsi="Times New Roman" w:eastAsia="方正仿宋_GBK" w:cs="Times New Roman"/>
          <w:sz w:val="32"/>
          <w:szCs w:val="32"/>
          <w:shd w:val="clear" w:color="auto" w:fill="FFFFFF"/>
          <w:lang w:val="en-US" w:eastAsia="zh-CN"/>
        </w:rPr>
        <w:t>是</w:t>
      </w:r>
      <w:r>
        <w:rPr>
          <w:rFonts w:hint="default" w:ascii="Times New Roman" w:hAnsi="Times New Roman" w:eastAsia="方正仿宋_GBK" w:cs="Times New Roman"/>
          <w:sz w:val="32"/>
          <w:szCs w:val="32"/>
          <w:shd w:val="clear" w:color="auto" w:fill="FFFFFF"/>
        </w:rPr>
        <w:t>工资正常增长</w:t>
      </w:r>
      <w:r>
        <w:rPr>
          <w:rFonts w:hint="default" w:ascii="Times New Roman" w:hAnsi="Times New Roman" w:eastAsia="方正仿宋_GBK" w:cs="Times New Roman"/>
          <w:sz w:val="32"/>
          <w:szCs w:val="32"/>
          <w:shd w:val="clear" w:color="auto" w:fill="FFFFFF"/>
          <w:lang w:eastAsia="zh-CN"/>
        </w:rPr>
        <w:t>；</w:t>
      </w:r>
      <w:r>
        <w:rPr>
          <w:rFonts w:hint="eastAsia" w:ascii="Times New Roman" w:hAnsi="Times New Roman" w:eastAsia="方正仿宋_GBK" w:cs="Times New Roman"/>
          <w:sz w:val="32"/>
          <w:szCs w:val="32"/>
          <w:shd w:val="clear" w:color="auto" w:fill="FFFFFF"/>
          <w:lang w:val="en-US" w:eastAsia="zh-CN"/>
        </w:rPr>
        <w:t>二</w:t>
      </w:r>
      <w:r>
        <w:rPr>
          <w:rFonts w:hint="default" w:ascii="Times New Roman" w:hAnsi="Times New Roman" w:eastAsia="方正仿宋_GBK" w:cs="Times New Roman"/>
          <w:sz w:val="32"/>
          <w:szCs w:val="32"/>
          <w:shd w:val="clear" w:color="auto" w:fill="FFFFFF"/>
          <w:lang w:val="en-US" w:eastAsia="zh-CN"/>
        </w:rPr>
        <w:t>是</w:t>
      </w:r>
      <w:r>
        <w:rPr>
          <w:rFonts w:hint="default" w:ascii="Times New Roman" w:hAnsi="Times New Roman" w:eastAsia="方正仿宋_GBK" w:cs="Times New Roman"/>
          <w:sz w:val="32"/>
          <w:szCs w:val="32"/>
          <w:shd w:val="clear" w:color="auto" w:fill="FFFFFF"/>
        </w:rPr>
        <w:t>事业人员超额绩效纳入养老保险、职业年金基数测算</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导致人员经费提高。其中：基本支出66.38万元，占100.0%；项目支出0.00万元，占0.0%；经营支出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万元，占0.0%。此外，结余分配0.00万元。</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Style w:val="13"/>
          <w:rFonts w:hint="default" w:ascii="Times New Roman" w:hAnsi="Times New Roman" w:eastAsia="方正仿宋_GBK" w:cs="Times New Roman"/>
          <w:sz w:val="32"/>
          <w:szCs w:val="32"/>
          <w:shd w:val="clear" w:color="auto" w:fill="FFFFFF"/>
          <w:lang w:val="en-US" w:eastAsia="zh-CN"/>
        </w:rPr>
        <w:t>3</w:t>
      </w:r>
      <w:r>
        <w:rPr>
          <w:rStyle w:val="13"/>
          <w:rFonts w:hint="default" w:ascii="Times New Roman" w:hAnsi="Times New Roman" w:eastAsia="方正仿宋_GBK" w:cs="Times New Roman"/>
          <w:sz w:val="32"/>
          <w:szCs w:val="32"/>
          <w:shd w:val="clear" w:color="auto" w:fill="FFFFFF"/>
        </w:rPr>
        <w:t>.结转结余情况。</w:t>
      </w:r>
      <w:r>
        <w:rPr>
          <w:rFonts w:hint="default" w:ascii="Times New Roman" w:hAnsi="Times New Roman" w:eastAsia="方正仿宋_GBK" w:cs="Times New Roman"/>
          <w:sz w:val="32"/>
          <w:szCs w:val="32"/>
          <w:shd w:val="clear" w:color="auto" w:fill="FFFFFF"/>
        </w:rPr>
        <w:t>2024年度年末结转和结余0.00万元，与2023年度相比，无增减，</w:t>
      </w:r>
      <w:r>
        <w:rPr>
          <w:rFonts w:hint="default" w:ascii="Times New Roman" w:hAnsi="Times New Roman" w:eastAsia="方正仿宋_GBK" w:cs="Times New Roman"/>
          <w:sz w:val="32"/>
          <w:szCs w:val="32"/>
          <w:shd w:val="clear" w:color="auto" w:fill="FFFFFF"/>
          <w:lang w:eastAsia="zh-CN"/>
        </w:rPr>
        <w:t>变动为</w:t>
      </w:r>
      <w:r>
        <w:rPr>
          <w:rFonts w:hint="default" w:ascii="Times New Roman" w:hAnsi="Times New Roman" w:eastAsia="方正仿宋_GBK" w:cs="Times New Roman"/>
          <w:sz w:val="32"/>
          <w:szCs w:val="32"/>
          <w:shd w:val="clear" w:color="auto" w:fill="FFFFFF"/>
          <w:lang w:val="en-US" w:eastAsia="zh-CN"/>
        </w:rPr>
        <w:t>0。</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13"/>
          <w:rFonts w:hint="default" w:ascii="Times New Roman" w:hAnsi="Times New Roman" w:eastAsia="方正楷体_GBK" w:cs="Times New Roman"/>
          <w:b w:val="0"/>
          <w:bCs/>
          <w:sz w:val="32"/>
          <w:szCs w:val="32"/>
          <w:shd w:val="clear" w:color="auto" w:fill="FFFFFF"/>
        </w:rPr>
      </w:pPr>
      <w:r>
        <w:rPr>
          <w:rStyle w:val="13"/>
          <w:rFonts w:hint="default" w:ascii="Times New Roman" w:hAnsi="Times New Roman" w:eastAsia="方正楷体_GBK" w:cs="Times New Roman"/>
          <w:b w:val="0"/>
          <w:bCs/>
          <w:sz w:val="32"/>
          <w:szCs w:val="32"/>
          <w:shd w:val="clear" w:color="auto" w:fill="FFFFFF"/>
        </w:rPr>
        <w:t>（二）财政拨款收入支出决算总体情况说明</w:t>
      </w:r>
    </w:p>
    <w:p>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2024年度财政拨款收、支总计均为66.38万元。与2023年</w:t>
      </w:r>
      <w:r>
        <w:rPr>
          <w:rFonts w:hint="default" w:ascii="Times New Roman" w:hAnsi="Times New Roman" w:eastAsia="方正仿宋_GBK" w:cs="Times New Roman"/>
          <w:sz w:val="32"/>
          <w:szCs w:val="32"/>
          <w:shd w:val="clear" w:color="auto" w:fill="FFFFFF"/>
          <w:lang w:eastAsia="zh-CN"/>
        </w:rPr>
        <w:t>度</w:t>
      </w:r>
      <w:r>
        <w:rPr>
          <w:rFonts w:hint="default" w:ascii="Times New Roman" w:hAnsi="Times New Roman" w:eastAsia="方正仿宋_GBK" w:cs="Times New Roman"/>
          <w:sz w:val="32"/>
          <w:szCs w:val="32"/>
          <w:shd w:val="clear" w:color="auto" w:fill="FFFFFF"/>
        </w:rPr>
        <w:t>相比，财政拨款收、支总计各增加9.82万元，增长17.4%。主要原因</w:t>
      </w:r>
      <w:r>
        <w:rPr>
          <w:rFonts w:hint="eastAsia" w:ascii="Times New Roman" w:hAnsi="Times New Roman" w:eastAsia="方正仿宋_GBK" w:cs="Times New Roman"/>
          <w:sz w:val="32"/>
          <w:szCs w:val="32"/>
          <w:shd w:val="clear" w:color="auto" w:fill="FFFFFF"/>
          <w:lang w:val="en-US" w:eastAsia="zh-CN"/>
        </w:rPr>
        <w:t>一</w:t>
      </w:r>
      <w:r>
        <w:rPr>
          <w:rFonts w:hint="default" w:ascii="Times New Roman" w:hAnsi="Times New Roman" w:eastAsia="方正仿宋_GBK" w:cs="Times New Roman"/>
          <w:sz w:val="32"/>
          <w:szCs w:val="32"/>
          <w:shd w:val="clear" w:color="auto" w:fill="FFFFFF"/>
          <w:lang w:val="en-US" w:eastAsia="zh-CN"/>
        </w:rPr>
        <w:t>是</w:t>
      </w:r>
      <w:r>
        <w:rPr>
          <w:rFonts w:hint="default" w:ascii="Times New Roman" w:hAnsi="Times New Roman" w:eastAsia="方正仿宋_GBK" w:cs="Times New Roman"/>
          <w:sz w:val="32"/>
          <w:szCs w:val="32"/>
          <w:shd w:val="clear" w:color="auto" w:fill="FFFFFF"/>
        </w:rPr>
        <w:t>工资正常增长</w:t>
      </w:r>
      <w:r>
        <w:rPr>
          <w:rFonts w:hint="default" w:ascii="Times New Roman" w:hAnsi="Times New Roman" w:eastAsia="方正仿宋_GBK" w:cs="Times New Roman"/>
          <w:sz w:val="32"/>
          <w:szCs w:val="32"/>
          <w:shd w:val="clear" w:color="auto" w:fill="FFFFFF"/>
          <w:lang w:eastAsia="zh-CN"/>
        </w:rPr>
        <w:t>；</w:t>
      </w:r>
      <w:r>
        <w:rPr>
          <w:rFonts w:hint="eastAsia" w:ascii="Times New Roman" w:hAnsi="Times New Roman" w:eastAsia="方正仿宋_GBK" w:cs="Times New Roman"/>
          <w:sz w:val="32"/>
          <w:szCs w:val="32"/>
          <w:shd w:val="clear" w:color="auto" w:fill="FFFFFF"/>
          <w:lang w:val="en-US" w:eastAsia="zh-CN"/>
        </w:rPr>
        <w:t>二</w:t>
      </w:r>
      <w:r>
        <w:rPr>
          <w:rFonts w:hint="default" w:ascii="Times New Roman" w:hAnsi="Times New Roman" w:eastAsia="方正仿宋_GBK" w:cs="Times New Roman"/>
          <w:sz w:val="32"/>
          <w:szCs w:val="32"/>
          <w:shd w:val="clear" w:color="auto" w:fill="FFFFFF"/>
          <w:lang w:val="en-US" w:eastAsia="zh-CN"/>
        </w:rPr>
        <w:t>是</w:t>
      </w:r>
      <w:r>
        <w:rPr>
          <w:rFonts w:hint="default" w:ascii="Times New Roman" w:hAnsi="Times New Roman" w:eastAsia="方正仿宋_GBK" w:cs="Times New Roman"/>
          <w:sz w:val="32"/>
          <w:szCs w:val="32"/>
          <w:shd w:val="clear" w:color="auto" w:fill="FFFFFF"/>
        </w:rPr>
        <w:t>事业人员超额绩效纳入养老保险、职业年金基数测算</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导致人员经费提高。</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13"/>
          <w:rFonts w:hint="default" w:ascii="Times New Roman" w:hAnsi="Times New Roman" w:eastAsia="方正楷体_GBK" w:cs="Times New Roman"/>
          <w:b w:val="0"/>
          <w:bCs/>
          <w:sz w:val="32"/>
          <w:szCs w:val="32"/>
          <w:shd w:val="clear" w:color="auto" w:fill="FFFFFF"/>
        </w:rPr>
      </w:pPr>
      <w:r>
        <w:rPr>
          <w:rStyle w:val="13"/>
          <w:rFonts w:hint="default" w:ascii="Times New Roman" w:hAnsi="Times New Roman" w:eastAsia="方正楷体_GBK" w:cs="Times New Roman"/>
          <w:b w:val="0"/>
          <w:bCs/>
          <w:sz w:val="32"/>
          <w:szCs w:val="32"/>
          <w:shd w:val="clear" w:color="auto" w:fill="FFFFFF"/>
        </w:rPr>
        <w:t>（三）一般公共预算财政拨款收入支出决算情况说明</w:t>
      </w:r>
    </w:p>
    <w:p>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Style w:val="13"/>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rPr>
        <w:t>2024年度一般公共预算财政拨款收入66.38万元，与2023年度相比，增加9.82万元，增长17.4%。主要原因</w:t>
      </w:r>
      <w:r>
        <w:rPr>
          <w:rFonts w:hint="eastAsia" w:ascii="Times New Roman" w:hAnsi="Times New Roman" w:eastAsia="方正仿宋_GBK" w:cs="Times New Roman"/>
          <w:sz w:val="32"/>
          <w:szCs w:val="32"/>
          <w:shd w:val="clear" w:color="auto" w:fill="FFFFFF"/>
          <w:lang w:val="en-US" w:eastAsia="zh-CN"/>
        </w:rPr>
        <w:t>一</w:t>
      </w:r>
      <w:r>
        <w:rPr>
          <w:rFonts w:hint="default" w:ascii="Times New Roman" w:hAnsi="Times New Roman" w:eastAsia="方正仿宋_GBK" w:cs="Times New Roman"/>
          <w:sz w:val="32"/>
          <w:szCs w:val="32"/>
          <w:shd w:val="clear" w:color="auto" w:fill="FFFFFF"/>
          <w:lang w:val="en-US" w:eastAsia="zh-CN"/>
        </w:rPr>
        <w:t>是</w:t>
      </w:r>
      <w:r>
        <w:rPr>
          <w:rFonts w:hint="default" w:ascii="Times New Roman" w:hAnsi="Times New Roman" w:eastAsia="方正仿宋_GBK" w:cs="Times New Roman"/>
          <w:sz w:val="32"/>
          <w:szCs w:val="32"/>
          <w:shd w:val="clear" w:color="auto" w:fill="FFFFFF"/>
        </w:rPr>
        <w:t>工资正常增长</w:t>
      </w:r>
      <w:r>
        <w:rPr>
          <w:rFonts w:hint="default" w:ascii="Times New Roman" w:hAnsi="Times New Roman" w:eastAsia="方正仿宋_GBK" w:cs="Times New Roman"/>
          <w:sz w:val="32"/>
          <w:szCs w:val="32"/>
          <w:shd w:val="clear" w:color="auto" w:fill="FFFFFF"/>
          <w:lang w:eastAsia="zh-CN"/>
        </w:rPr>
        <w:t>；</w:t>
      </w:r>
      <w:r>
        <w:rPr>
          <w:rFonts w:hint="eastAsia" w:ascii="Times New Roman" w:hAnsi="Times New Roman" w:eastAsia="方正仿宋_GBK" w:cs="Times New Roman"/>
          <w:sz w:val="32"/>
          <w:szCs w:val="32"/>
          <w:shd w:val="clear" w:color="auto" w:fill="FFFFFF"/>
          <w:lang w:val="en-US" w:eastAsia="zh-CN"/>
        </w:rPr>
        <w:t>二</w:t>
      </w:r>
      <w:r>
        <w:rPr>
          <w:rFonts w:hint="default" w:ascii="Times New Roman" w:hAnsi="Times New Roman" w:eastAsia="方正仿宋_GBK" w:cs="Times New Roman"/>
          <w:sz w:val="32"/>
          <w:szCs w:val="32"/>
          <w:shd w:val="clear" w:color="auto" w:fill="FFFFFF"/>
          <w:lang w:val="en-US" w:eastAsia="zh-CN"/>
        </w:rPr>
        <w:t>是</w:t>
      </w:r>
      <w:r>
        <w:rPr>
          <w:rFonts w:hint="default" w:ascii="Times New Roman" w:hAnsi="Times New Roman" w:eastAsia="方正仿宋_GBK" w:cs="Times New Roman"/>
          <w:sz w:val="32"/>
          <w:szCs w:val="32"/>
          <w:shd w:val="clear" w:color="auto" w:fill="FFFFFF"/>
        </w:rPr>
        <w:t>事业人员超额绩效纳入养老保险、职业年金基数测算</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导致人员经费提高。较年初预算数增加9.48万元，增长16.7%。主要原因</w:t>
      </w:r>
      <w:r>
        <w:rPr>
          <w:rFonts w:hint="eastAsia" w:ascii="Times New Roman" w:hAnsi="Times New Roman" w:eastAsia="方正仿宋_GBK" w:cs="Times New Roman"/>
          <w:sz w:val="32"/>
          <w:szCs w:val="32"/>
          <w:shd w:val="clear" w:color="auto" w:fill="FFFFFF"/>
          <w:lang w:val="en-US" w:eastAsia="zh-CN"/>
        </w:rPr>
        <w:t>一</w:t>
      </w:r>
      <w:r>
        <w:rPr>
          <w:rFonts w:hint="default" w:ascii="Times New Roman" w:hAnsi="Times New Roman" w:eastAsia="方正仿宋_GBK" w:cs="Times New Roman"/>
          <w:sz w:val="32"/>
          <w:szCs w:val="32"/>
          <w:shd w:val="clear" w:color="auto" w:fill="FFFFFF"/>
          <w:lang w:val="en-US" w:eastAsia="zh-CN"/>
        </w:rPr>
        <w:t>是</w:t>
      </w:r>
      <w:r>
        <w:rPr>
          <w:rFonts w:hint="default" w:ascii="Times New Roman" w:hAnsi="Times New Roman" w:eastAsia="方正仿宋_GBK" w:cs="Times New Roman"/>
          <w:sz w:val="32"/>
          <w:szCs w:val="32"/>
          <w:shd w:val="clear" w:color="auto" w:fill="FFFFFF"/>
        </w:rPr>
        <w:t>工资正常增长</w:t>
      </w:r>
      <w:r>
        <w:rPr>
          <w:rFonts w:hint="default" w:ascii="Times New Roman" w:hAnsi="Times New Roman" w:eastAsia="方正仿宋_GBK" w:cs="Times New Roman"/>
          <w:sz w:val="32"/>
          <w:szCs w:val="32"/>
          <w:shd w:val="clear" w:color="auto" w:fill="FFFFFF"/>
          <w:lang w:eastAsia="zh-CN"/>
        </w:rPr>
        <w:t>；</w:t>
      </w:r>
      <w:r>
        <w:rPr>
          <w:rFonts w:hint="eastAsia" w:ascii="Times New Roman" w:hAnsi="Times New Roman" w:eastAsia="方正仿宋_GBK" w:cs="Times New Roman"/>
          <w:sz w:val="32"/>
          <w:szCs w:val="32"/>
          <w:shd w:val="clear" w:color="auto" w:fill="FFFFFF"/>
          <w:lang w:val="en-US" w:eastAsia="zh-CN"/>
        </w:rPr>
        <w:t>二</w:t>
      </w:r>
      <w:r>
        <w:rPr>
          <w:rFonts w:hint="default" w:ascii="Times New Roman" w:hAnsi="Times New Roman" w:eastAsia="方正仿宋_GBK" w:cs="Times New Roman"/>
          <w:sz w:val="32"/>
          <w:szCs w:val="32"/>
          <w:shd w:val="clear" w:color="auto" w:fill="FFFFFF"/>
          <w:lang w:val="en-US" w:eastAsia="zh-CN"/>
        </w:rPr>
        <w:t>是</w:t>
      </w:r>
      <w:r>
        <w:rPr>
          <w:rFonts w:hint="default" w:ascii="Times New Roman" w:hAnsi="Times New Roman" w:eastAsia="方正仿宋_GBK" w:cs="Times New Roman"/>
          <w:sz w:val="32"/>
          <w:szCs w:val="32"/>
          <w:shd w:val="clear" w:color="auto" w:fill="FFFFFF"/>
        </w:rPr>
        <w:t>事业人员超额绩效纳入养老保险、职业年金基数测算</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导致人员经费提高。此外，年初财政拨款结转和结余0.00万元。</w:t>
      </w:r>
    </w:p>
    <w:p>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rPr>
      </w:pPr>
      <w:r>
        <w:rPr>
          <w:rStyle w:val="13"/>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rPr>
        <w:t>2024年度一般公共预算财政拨款支出66.38万元，与2023年度相比，增加9.82万元，增长17.4%。主要原因</w:t>
      </w:r>
      <w:r>
        <w:rPr>
          <w:rFonts w:hint="eastAsia" w:ascii="Times New Roman" w:hAnsi="Times New Roman" w:eastAsia="方正仿宋_GBK" w:cs="Times New Roman"/>
          <w:sz w:val="32"/>
          <w:szCs w:val="32"/>
          <w:shd w:val="clear" w:color="auto" w:fill="FFFFFF"/>
          <w:lang w:val="en-US" w:eastAsia="zh-CN"/>
        </w:rPr>
        <w:t>一</w:t>
      </w:r>
      <w:r>
        <w:rPr>
          <w:rFonts w:hint="default" w:ascii="Times New Roman" w:hAnsi="Times New Roman" w:eastAsia="方正仿宋_GBK" w:cs="Times New Roman"/>
          <w:sz w:val="32"/>
          <w:szCs w:val="32"/>
          <w:shd w:val="clear" w:color="auto" w:fill="FFFFFF"/>
          <w:lang w:val="en-US" w:eastAsia="zh-CN"/>
        </w:rPr>
        <w:t>是</w:t>
      </w:r>
      <w:r>
        <w:rPr>
          <w:rFonts w:hint="default" w:ascii="Times New Roman" w:hAnsi="Times New Roman" w:eastAsia="方正仿宋_GBK" w:cs="Times New Roman"/>
          <w:sz w:val="32"/>
          <w:szCs w:val="32"/>
          <w:shd w:val="clear" w:color="auto" w:fill="FFFFFF"/>
        </w:rPr>
        <w:t>工资正常增长</w:t>
      </w:r>
      <w:r>
        <w:rPr>
          <w:rFonts w:hint="default" w:ascii="Times New Roman" w:hAnsi="Times New Roman" w:eastAsia="方正仿宋_GBK" w:cs="Times New Roman"/>
          <w:sz w:val="32"/>
          <w:szCs w:val="32"/>
          <w:shd w:val="clear" w:color="auto" w:fill="FFFFFF"/>
          <w:lang w:eastAsia="zh-CN"/>
        </w:rPr>
        <w:t>；</w:t>
      </w:r>
      <w:r>
        <w:rPr>
          <w:rFonts w:hint="eastAsia" w:ascii="Times New Roman" w:hAnsi="Times New Roman" w:eastAsia="方正仿宋_GBK" w:cs="Times New Roman"/>
          <w:sz w:val="32"/>
          <w:szCs w:val="32"/>
          <w:shd w:val="clear" w:color="auto" w:fill="FFFFFF"/>
          <w:lang w:val="en-US" w:eastAsia="zh-CN"/>
        </w:rPr>
        <w:t>二</w:t>
      </w:r>
      <w:r>
        <w:rPr>
          <w:rFonts w:hint="default" w:ascii="Times New Roman" w:hAnsi="Times New Roman" w:eastAsia="方正仿宋_GBK" w:cs="Times New Roman"/>
          <w:sz w:val="32"/>
          <w:szCs w:val="32"/>
          <w:shd w:val="clear" w:color="auto" w:fill="FFFFFF"/>
          <w:lang w:val="en-US" w:eastAsia="zh-CN"/>
        </w:rPr>
        <w:t>是</w:t>
      </w:r>
      <w:r>
        <w:rPr>
          <w:rFonts w:hint="default" w:ascii="Times New Roman" w:hAnsi="Times New Roman" w:eastAsia="方正仿宋_GBK" w:cs="Times New Roman"/>
          <w:sz w:val="32"/>
          <w:szCs w:val="32"/>
          <w:shd w:val="clear" w:color="auto" w:fill="FFFFFF"/>
        </w:rPr>
        <w:t>事业人员超额绩效纳入养老保险、职业年金基数测算</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导致人员经费提高。较年初预算数增加9.48万元，增长16.7%。主要原因</w:t>
      </w:r>
      <w:r>
        <w:rPr>
          <w:rFonts w:hint="eastAsia" w:ascii="Times New Roman" w:hAnsi="Times New Roman" w:eastAsia="方正仿宋_GBK" w:cs="Times New Roman"/>
          <w:sz w:val="32"/>
          <w:szCs w:val="32"/>
          <w:shd w:val="clear" w:color="auto" w:fill="FFFFFF"/>
          <w:lang w:val="en-US" w:eastAsia="zh-CN"/>
        </w:rPr>
        <w:t>一</w:t>
      </w:r>
      <w:r>
        <w:rPr>
          <w:rFonts w:hint="default" w:ascii="Times New Roman" w:hAnsi="Times New Roman" w:eastAsia="方正仿宋_GBK" w:cs="Times New Roman"/>
          <w:sz w:val="32"/>
          <w:szCs w:val="32"/>
          <w:shd w:val="clear" w:color="auto" w:fill="FFFFFF"/>
          <w:lang w:val="en-US" w:eastAsia="zh-CN"/>
        </w:rPr>
        <w:t>是</w:t>
      </w:r>
      <w:r>
        <w:rPr>
          <w:rFonts w:hint="default" w:ascii="Times New Roman" w:hAnsi="Times New Roman" w:eastAsia="方正仿宋_GBK" w:cs="Times New Roman"/>
          <w:sz w:val="32"/>
          <w:szCs w:val="32"/>
          <w:shd w:val="clear" w:color="auto" w:fill="FFFFFF"/>
        </w:rPr>
        <w:t>工资正常增长</w:t>
      </w:r>
      <w:r>
        <w:rPr>
          <w:rFonts w:hint="default" w:ascii="Times New Roman" w:hAnsi="Times New Roman" w:eastAsia="方正仿宋_GBK" w:cs="Times New Roman"/>
          <w:sz w:val="32"/>
          <w:szCs w:val="32"/>
          <w:shd w:val="clear" w:color="auto" w:fill="FFFFFF"/>
          <w:lang w:eastAsia="zh-CN"/>
        </w:rPr>
        <w:t>；</w:t>
      </w:r>
      <w:r>
        <w:rPr>
          <w:rFonts w:hint="eastAsia" w:ascii="Times New Roman" w:hAnsi="Times New Roman" w:eastAsia="方正仿宋_GBK" w:cs="Times New Roman"/>
          <w:sz w:val="32"/>
          <w:szCs w:val="32"/>
          <w:shd w:val="clear" w:color="auto" w:fill="FFFFFF"/>
          <w:lang w:val="en-US" w:eastAsia="zh-CN"/>
        </w:rPr>
        <w:t>二</w:t>
      </w:r>
      <w:r>
        <w:rPr>
          <w:rFonts w:hint="default" w:ascii="Times New Roman" w:hAnsi="Times New Roman" w:eastAsia="方正仿宋_GBK" w:cs="Times New Roman"/>
          <w:sz w:val="32"/>
          <w:szCs w:val="32"/>
          <w:shd w:val="clear" w:color="auto" w:fill="FFFFFF"/>
          <w:lang w:val="en-US" w:eastAsia="zh-CN"/>
        </w:rPr>
        <w:t>是</w:t>
      </w:r>
      <w:r>
        <w:rPr>
          <w:rFonts w:hint="default" w:ascii="Times New Roman" w:hAnsi="Times New Roman" w:eastAsia="方正仿宋_GBK" w:cs="Times New Roman"/>
          <w:sz w:val="32"/>
          <w:szCs w:val="32"/>
          <w:shd w:val="clear" w:color="auto" w:fill="FFFFFF"/>
        </w:rPr>
        <w:t>事业人员超额绩效纳入养老保险、职业年金基数测算</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导致人员经费提高。</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FFFFFF"/>
        </w:rPr>
      </w:pPr>
      <w:r>
        <w:rPr>
          <w:rFonts w:hint="default" w:ascii="Times New Roman" w:hAnsi="Times New Roman" w:eastAsia="方正仿宋_GBK" w:cs="Times New Roman"/>
          <w:sz w:val="32"/>
          <w:szCs w:val="32"/>
          <w:highlight w:val="none"/>
          <w:shd w:val="clear" w:color="auto" w:fill="FFFFFF"/>
        </w:rPr>
        <w:t>一般公共预算财政拨款支出主要</w:t>
      </w:r>
      <w:r>
        <w:rPr>
          <w:rFonts w:hint="default" w:ascii="Times New Roman" w:hAnsi="Times New Roman" w:eastAsia="方正仿宋_GBK" w:cs="Times New Roman"/>
          <w:sz w:val="32"/>
          <w:szCs w:val="32"/>
          <w:highlight w:val="none"/>
          <w:shd w:val="clear" w:color="auto" w:fill="FFFFFF"/>
          <w:lang w:eastAsia="zh-CN"/>
        </w:rPr>
        <w:t>用途如下</w:t>
      </w:r>
      <w:r>
        <w:rPr>
          <w:rFonts w:hint="default" w:ascii="Times New Roman" w:hAnsi="Times New Roman" w:eastAsia="方正仿宋_GBK" w:cs="Times New Roman"/>
          <w:sz w:val="32"/>
          <w:szCs w:val="32"/>
          <w:highlight w:val="none"/>
          <w:shd w:val="clear" w:color="auto" w:fill="FFFFFF"/>
        </w:rPr>
        <w:t>：</w:t>
      </w:r>
    </w:p>
    <w:p>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1</w:t>
      </w:r>
      <w:r>
        <w:rPr>
          <w:rFonts w:hint="default" w:ascii="Times New Roman" w:hAnsi="Times New Roman" w:eastAsia="方正仿宋_GBK" w:cs="Times New Roman"/>
          <w:sz w:val="32"/>
          <w:szCs w:val="32"/>
          <w:shd w:val="clear" w:color="auto" w:fill="FFFFFF"/>
        </w:rPr>
        <w:t>）社会保障</w:t>
      </w:r>
      <w:r>
        <w:rPr>
          <w:rFonts w:hint="default" w:ascii="Times New Roman" w:hAnsi="Times New Roman" w:eastAsia="方正仿宋_GBK" w:cs="Times New Roman"/>
          <w:sz w:val="32"/>
          <w:szCs w:val="32"/>
          <w:shd w:val="clear" w:color="auto" w:fill="FFFFFF"/>
          <w:lang w:eastAsia="zh-CN"/>
        </w:rPr>
        <w:t>和</w:t>
      </w:r>
      <w:r>
        <w:rPr>
          <w:rFonts w:hint="default" w:ascii="Times New Roman" w:hAnsi="Times New Roman" w:eastAsia="方正仿宋_GBK" w:cs="Times New Roman"/>
          <w:sz w:val="32"/>
          <w:szCs w:val="32"/>
          <w:shd w:val="clear" w:color="auto" w:fill="FFFFFF"/>
        </w:rPr>
        <w:t>就业支出6.74万元，占10.2%，较年初预算数增加0.90万元，增长15.4%，主要原因</w:t>
      </w:r>
      <w:r>
        <w:rPr>
          <w:rFonts w:hint="eastAsia" w:ascii="Times New Roman" w:hAnsi="Times New Roman" w:eastAsia="方正仿宋_GBK" w:cs="Times New Roman"/>
          <w:sz w:val="32"/>
          <w:szCs w:val="32"/>
          <w:shd w:val="clear" w:color="auto" w:fill="FFFFFF"/>
          <w:lang w:val="en-US" w:eastAsia="zh-CN"/>
        </w:rPr>
        <w:t>一</w:t>
      </w:r>
      <w:r>
        <w:rPr>
          <w:rFonts w:hint="default" w:ascii="Times New Roman" w:hAnsi="Times New Roman" w:eastAsia="方正仿宋_GBK" w:cs="Times New Roman"/>
          <w:sz w:val="32"/>
          <w:szCs w:val="32"/>
          <w:shd w:val="clear" w:color="auto" w:fill="FFFFFF"/>
          <w:lang w:val="en-US" w:eastAsia="zh-CN"/>
        </w:rPr>
        <w:t>是</w:t>
      </w:r>
      <w:r>
        <w:rPr>
          <w:rFonts w:hint="default" w:ascii="Times New Roman" w:hAnsi="Times New Roman" w:eastAsia="方正仿宋_GBK" w:cs="Times New Roman"/>
          <w:sz w:val="32"/>
          <w:szCs w:val="32"/>
          <w:shd w:val="clear" w:color="auto" w:fill="FFFFFF"/>
        </w:rPr>
        <w:t>工资正常增长</w:t>
      </w:r>
      <w:r>
        <w:rPr>
          <w:rFonts w:hint="default" w:ascii="Times New Roman" w:hAnsi="Times New Roman" w:eastAsia="方正仿宋_GBK" w:cs="Times New Roman"/>
          <w:sz w:val="32"/>
          <w:szCs w:val="32"/>
          <w:shd w:val="clear" w:color="auto" w:fill="FFFFFF"/>
          <w:lang w:eastAsia="zh-CN"/>
        </w:rPr>
        <w:t>；</w:t>
      </w:r>
      <w:r>
        <w:rPr>
          <w:rFonts w:hint="eastAsia" w:ascii="Times New Roman" w:hAnsi="Times New Roman" w:eastAsia="方正仿宋_GBK" w:cs="Times New Roman"/>
          <w:sz w:val="32"/>
          <w:szCs w:val="32"/>
          <w:shd w:val="clear" w:color="auto" w:fill="FFFFFF"/>
          <w:lang w:val="en-US" w:eastAsia="zh-CN"/>
        </w:rPr>
        <w:t>二</w:t>
      </w:r>
      <w:r>
        <w:rPr>
          <w:rFonts w:hint="default" w:ascii="Times New Roman" w:hAnsi="Times New Roman" w:eastAsia="方正仿宋_GBK" w:cs="Times New Roman"/>
          <w:sz w:val="32"/>
          <w:szCs w:val="32"/>
          <w:shd w:val="clear" w:color="auto" w:fill="FFFFFF"/>
          <w:lang w:val="en-US" w:eastAsia="zh-CN"/>
        </w:rPr>
        <w:t>是</w:t>
      </w:r>
      <w:r>
        <w:rPr>
          <w:rFonts w:hint="default" w:ascii="Times New Roman" w:hAnsi="Times New Roman" w:eastAsia="方正仿宋_GBK" w:cs="Times New Roman"/>
          <w:sz w:val="32"/>
          <w:szCs w:val="32"/>
          <w:shd w:val="clear" w:color="auto" w:fill="FFFFFF"/>
        </w:rPr>
        <w:t>事业人员超额绩效纳入养老保险、职业年金基数测算</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导致人员经费提高。</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）卫生健康支出2.87万元，占4.3%，较年初预算数无增减，</w:t>
      </w:r>
      <w:r>
        <w:rPr>
          <w:rFonts w:hint="default" w:ascii="Times New Roman" w:hAnsi="Times New Roman" w:eastAsia="方正仿宋_GBK" w:cs="Times New Roman"/>
          <w:sz w:val="32"/>
          <w:szCs w:val="32"/>
          <w:shd w:val="clear" w:color="auto" w:fill="FFFFFF"/>
          <w:lang w:eastAsia="zh-CN"/>
        </w:rPr>
        <w:t>变动为</w:t>
      </w:r>
      <w:r>
        <w:rPr>
          <w:rFonts w:hint="default" w:ascii="Times New Roman" w:hAnsi="Times New Roman" w:eastAsia="方正仿宋_GBK" w:cs="Times New Roman"/>
          <w:sz w:val="32"/>
          <w:szCs w:val="32"/>
          <w:shd w:val="clear" w:color="auto" w:fill="FFFFFF"/>
          <w:lang w:val="en-US" w:eastAsia="zh-CN"/>
        </w:rPr>
        <w:t>0。</w:t>
      </w:r>
    </w:p>
    <w:p>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）城乡社区支出53.95万元，占81.3%，较年初预算数增加8.58万元，增长18.9%，主要原因</w:t>
      </w:r>
      <w:r>
        <w:rPr>
          <w:rFonts w:hint="eastAsia" w:ascii="Times New Roman" w:hAnsi="Times New Roman" w:eastAsia="方正仿宋_GBK" w:cs="Times New Roman"/>
          <w:sz w:val="32"/>
          <w:szCs w:val="32"/>
          <w:shd w:val="clear" w:color="auto" w:fill="FFFFFF"/>
          <w:lang w:val="en-US" w:eastAsia="zh-CN"/>
        </w:rPr>
        <w:t>一</w:t>
      </w:r>
      <w:r>
        <w:rPr>
          <w:rFonts w:hint="default" w:ascii="Times New Roman" w:hAnsi="Times New Roman" w:eastAsia="方正仿宋_GBK" w:cs="Times New Roman"/>
          <w:sz w:val="32"/>
          <w:szCs w:val="32"/>
          <w:shd w:val="clear" w:color="auto" w:fill="FFFFFF"/>
          <w:lang w:val="en-US" w:eastAsia="zh-CN"/>
        </w:rPr>
        <w:t>是</w:t>
      </w:r>
      <w:r>
        <w:rPr>
          <w:rFonts w:hint="default" w:ascii="Times New Roman" w:hAnsi="Times New Roman" w:eastAsia="方正仿宋_GBK" w:cs="Times New Roman"/>
          <w:sz w:val="32"/>
          <w:szCs w:val="32"/>
          <w:shd w:val="clear" w:color="auto" w:fill="FFFFFF"/>
        </w:rPr>
        <w:t>工资正常增长</w:t>
      </w:r>
      <w:r>
        <w:rPr>
          <w:rFonts w:hint="default" w:ascii="Times New Roman" w:hAnsi="Times New Roman" w:eastAsia="方正仿宋_GBK" w:cs="Times New Roman"/>
          <w:sz w:val="32"/>
          <w:szCs w:val="32"/>
          <w:shd w:val="clear" w:color="auto" w:fill="FFFFFF"/>
          <w:lang w:eastAsia="zh-CN"/>
        </w:rPr>
        <w:t>；</w:t>
      </w:r>
      <w:r>
        <w:rPr>
          <w:rFonts w:hint="eastAsia" w:ascii="Times New Roman" w:hAnsi="Times New Roman" w:eastAsia="方正仿宋_GBK" w:cs="Times New Roman"/>
          <w:sz w:val="32"/>
          <w:szCs w:val="32"/>
          <w:shd w:val="clear" w:color="auto" w:fill="FFFFFF"/>
          <w:lang w:val="en-US" w:eastAsia="zh-CN"/>
        </w:rPr>
        <w:t>二</w:t>
      </w:r>
      <w:r>
        <w:rPr>
          <w:rFonts w:hint="default" w:ascii="Times New Roman" w:hAnsi="Times New Roman" w:eastAsia="方正仿宋_GBK" w:cs="Times New Roman"/>
          <w:sz w:val="32"/>
          <w:szCs w:val="32"/>
          <w:shd w:val="clear" w:color="auto" w:fill="FFFFFF"/>
          <w:lang w:val="en-US" w:eastAsia="zh-CN"/>
        </w:rPr>
        <w:t>是</w:t>
      </w:r>
      <w:r>
        <w:rPr>
          <w:rFonts w:hint="default" w:ascii="Times New Roman" w:hAnsi="Times New Roman" w:eastAsia="方正仿宋_GBK" w:cs="Times New Roman"/>
          <w:sz w:val="32"/>
          <w:szCs w:val="32"/>
          <w:shd w:val="clear" w:color="auto" w:fill="FFFFFF"/>
        </w:rPr>
        <w:t>事业人员超额绩效纳入养老保险、职业年金基数测算</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导致人员经费提高。</w:t>
      </w:r>
    </w:p>
    <w:p>
      <w:pPr>
        <w:keepNext w:val="0"/>
        <w:keepLines w:val="0"/>
        <w:pageBreakBefore w:val="0"/>
        <w:widowControl/>
        <w:kinsoku/>
        <w:wordWrap/>
        <w:overflowPunct/>
        <w:topLinePunct w:val="0"/>
        <w:autoSpaceDN/>
        <w:bidi w:val="0"/>
        <w:adjustRightInd/>
        <w:spacing w:line="600"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住房保障支出</w:t>
      </w:r>
      <w:r>
        <w:rPr>
          <w:rFonts w:hint="default" w:ascii="Times New Roman" w:hAnsi="Times New Roman" w:eastAsia="方正仿宋_GBK" w:cs="Times New Roman"/>
          <w:sz w:val="32"/>
          <w:szCs w:val="32"/>
          <w:shd w:val="clear" w:color="auto" w:fill="FFFFFF"/>
        </w:rPr>
        <w:t>2.83万元，占4.3%，较年初预算数无增减，</w:t>
      </w:r>
      <w:r>
        <w:rPr>
          <w:rFonts w:hint="default" w:ascii="Times New Roman" w:hAnsi="Times New Roman" w:eastAsia="方正仿宋_GBK" w:cs="Times New Roman"/>
          <w:sz w:val="32"/>
          <w:szCs w:val="32"/>
          <w:shd w:val="clear" w:color="auto" w:fill="FFFFFF"/>
          <w:lang w:eastAsia="zh-CN"/>
        </w:rPr>
        <w:t>变动为</w:t>
      </w:r>
      <w:r>
        <w:rPr>
          <w:rFonts w:hint="default" w:ascii="Times New Roman" w:hAnsi="Times New Roman" w:eastAsia="方正仿宋_GBK" w:cs="Times New Roman"/>
          <w:sz w:val="32"/>
          <w:szCs w:val="32"/>
          <w:shd w:val="clear" w:color="auto" w:fill="FFFFFF"/>
          <w:lang w:val="en-US" w:eastAsia="zh-CN"/>
        </w:rPr>
        <w:t>0。</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lang w:val="en-US" w:eastAsia="zh-CN"/>
        </w:rPr>
      </w:pPr>
      <w:r>
        <w:rPr>
          <w:rStyle w:val="13"/>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rPr>
        <w:t>2024年度年末一般公共预算财政拨款结转和结余0.00万元，与2023年度相比，无增减，</w:t>
      </w:r>
      <w:r>
        <w:rPr>
          <w:rFonts w:hint="default" w:ascii="Times New Roman" w:hAnsi="Times New Roman" w:eastAsia="方正仿宋_GBK" w:cs="Times New Roman"/>
          <w:sz w:val="32"/>
          <w:szCs w:val="32"/>
          <w:shd w:val="clear" w:color="auto" w:fill="FFFFFF"/>
          <w:lang w:eastAsia="zh-CN"/>
        </w:rPr>
        <w:t>变动为</w:t>
      </w:r>
      <w:r>
        <w:rPr>
          <w:rFonts w:hint="default" w:ascii="Times New Roman" w:hAnsi="Times New Roman" w:eastAsia="方正仿宋_GBK" w:cs="Times New Roman"/>
          <w:sz w:val="32"/>
          <w:szCs w:val="32"/>
          <w:shd w:val="clear" w:color="auto" w:fill="FFFFFF"/>
          <w:lang w:val="en-US" w:eastAsia="zh-CN"/>
        </w:rPr>
        <w:t>0。</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13"/>
          <w:rFonts w:hint="default" w:ascii="Times New Roman" w:hAnsi="Times New Roman" w:eastAsia="方正楷体_GBK" w:cs="Times New Roman"/>
          <w:b w:val="0"/>
          <w:bCs/>
          <w:sz w:val="32"/>
          <w:szCs w:val="32"/>
          <w:shd w:val="clear" w:color="auto" w:fill="FFFFFF"/>
        </w:rPr>
      </w:pPr>
      <w:r>
        <w:rPr>
          <w:rStyle w:val="13"/>
          <w:rFonts w:hint="default" w:ascii="Times New Roman" w:hAnsi="Times New Roman" w:eastAsia="方正楷体_GBK" w:cs="Times New Roman"/>
          <w:b w:val="0"/>
          <w:bCs/>
          <w:sz w:val="32"/>
          <w:szCs w:val="32"/>
          <w:shd w:val="clear" w:color="auto" w:fill="FFFFFF"/>
        </w:rPr>
        <w:t>（四）一般公共预算财政拨款基本支出决算情况说明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2024年度一般公共财政拨款基本支出66.38万元。</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人员经费60.18万元，与2023年度相比，增加9.20万元，增长18.1%，主要原因</w:t>
      </w:r>
      <w:r>
        <w:rPr>
          <w:rFonts w:hint="eastAsia" w:ascii="Times New Roman" w:hAnsi="Times New Roman" w:eastAsia="方正仿宋_GBK" w:cs="Times New Roman"/>
          <w:sz w:val="32"/>
          <w:szCs w:val="32"/>
          <w:shd w:val="clear" w:color="auto" w:fill="FFFFFF"/>
          <w:lang w:val="en-US" w:eastAsia="zh-CN"/>
        </w:rPr>
        <w:t>一</w:t>
      </w:r>
      <w:r>
        <w:rPr>
          <w:rFonts w:hint="default" w:ascii="Times New Roman" w:hAnsi="Times New Roman" w:eastAsia="方正仿宋_GBK" w:cs="Times New Roman"/>
          <w:sz w:val="32"/>
          <w:szCs w:val="32"/>
          <w:shd w:val="clear" w:color="auto" w:fill="FFFFFF"/>
          <w:lang w:val="en-US" w:eastAsia="zh-CN"/>
        </w:rPr>
        <w:t>是</w:t>
      </w:r>
      <w:r>
        <w:rPr>
          <w:rFonts w:hint="default" w:ascii="Times New Roman" w:hAnsi="Times New Roman" w:eastAsia="方正仿宋_GBK" w:cs="Times New Roman"/>
          <w:sz w:val="32"/>
          <w:szCs w:val="32"/>
          <w:shd w:val="clear" w:color="auto" w:fill="FFFFFF"/>
        </w:rPr>
        <w:t>工资正常增长</w:t>
      </w:r>
      <w:r>
        <w:rPr>
          <w:rFonts w:hint="default" w:ascii="Times New Roman" w:hAnsi="Times New Roman" w:eastAsia="方正仿宋_GBK" w:cs="Times New Roman"/>
          <w:sz w:val="32"/>
          <w:szCs w:val="32"/>
          <w:shd w:val="clear" w:color="auto" w:fill="FFFFFF"/>
          <w:lang w:eastAsia="zh-CN"/>
        </w:rPr>
        <w:t>；</w:t>
      </w:r>
      <w:r>
        <w:rPr>
          <w:rFonts w:hint="eastAsia" w:ascii="Times New Roman" w:hAnsi="Times New Roman" w:eastAsia="方正仿宋_GBK" w:cs="Times New Roman"/>
          <w:sz w:val="32"/>
          <w:szCs w:val="32"/>
          <w:shd w:val="clear" w:color="auto" w:fill="FFFFFF"/>
          <w:lang w:val="en-US" w:eastAsia="zh-CN"/>
        </w:rPr>
        <w:t>二</w:t>
      </w:r>
      <w:bookmarkStart w:id="0" w:name="_GoBack"/>
      <w:bookmarkEnd w:id="0"/>
      <w:r>
        <w:rPr>
          <w:rFonts w:hint="default" w:ascii="Times New Roman" w:hAnsi="Times New Roman" w:eastAsia="方正仿宋_GBK" w:cs="Times New Roman"/>
          <w:sz w:val="32"/>
          <w:szCs w:val="32"/>
          <w:shd w:val="clear" w:color="auto" w:fill="FFFFFF"/>
          <w:lang w:val="en-US" w:eastAsia="zh-CN"/>
        </w:rPr>
        <w:t>是</w:t>
      </w:r>
      <w:r>
        <w:rPr>
          <w:rFonts w:hint="default" w:ascii="Times New Roman" w:hAnsi="Times New Roman" w:eastAsia="方正仿宋_GBK" w:cs="Times New Roman"/>
          <w:sz w:val="32"/>
          <w:szCs w:val="32"/>
          <w:shd w:val="clear" w:color="auto" w:fill="FFFFFF"/>
        </w:rPr>
        <w:t>事业人员超额绩效纳入养老保险、职业年金基数测算</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导致人员经费提高。人员经费</w:t>
      </w:r>
      <w:r>
        <w:rPr>
          <w:rFonts w:hint="default" w:ascii="Times New Roman" w:hAnsi="Times New Roman" w:eastAsia="方正仿宋_GBK" w:cs="Times New Roman"/>
          <w:sz w:val="32"/>
          <w:szCs w:val="32"/>
          <w:shd w:val="clear" w:color="auto" w:fill="FFFFFF"/>
          <w:lang w:eastAsia="zh-CN"/>
        </w:rPr>
        <w:t>为</w:t>
      </w:r>
      <w:r>
        <w:rPr>
          <w:rFonts w:hint="default" w:ascii="Times New Roman" w:hAnsi="Times New Roman" w:eastAsia="方正仿宋_GBK" w:cs="Times New Roman"/>
          <w:color w:val="auto"/>
          <w:sz w:val="32"/>
          <w:szCs w:val="32"/>
          <w:shd w:val="clear" w:color="auto" w:fill="FFFFFF"/>
          <w:lang w:eastAsia="zh-CN"/>
        </w:rPr>
        <w:t>工资福利支出</w:t>
      </w:r>
      <w:r>
        <w:rPr>
          <w:rFonts w:hint="default" w:ascii="Times New Roman" w:hAnsi="Times New Roman" w:eastAsia="方正仿宋_GBK" w:cs="Times New Roman"/>
          <w:color w:val="auto"/>
          <w:sz w:val="32"/>
          <w:szCs w:val="32"/>
          <w:shd w:val="clear" w:color="auto" w:fill="FFFFFF"/>
          <w:lang w:val="en-US" w:eastAsia="zh-CN"/>
        </w:rPr>
        <w:t>50.98万元，</w:t>
      </w:r>
      <w:r>
        <w:rPr>
          <w:rFonts w:hint="default" w:ascii="Times New Roman" w:hAnsi="Times New Roman" w:eastAsia="方正仿宋_GBK" w:cs="Times New Roman"/>
          <w:sz w:val="32"/>
          <w:szCs w:val="32"/>
          <w:shd w:val="clear" w:color="auto" w:fill="FFFFFF"/>
        </w:rPr>
        <w:t>用途主要包括发放单位工作人员工资薪酬和缴纳五险一金。</w:t>
      </w:r>
    </w:p>
    <w:p>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公用经费6.20万元，与2023年度相比，增加0.62万元，增长11.1%，主要原因是</w:t>
      </w:r>
      <w:r>
        <w:rPr>
          <w:rFonts w:hint="default" w:ascii="Times New Roman" w:hAnsi="Times New Roman" w:eastAsia="方正仿宋_GBK" w:cs="Times New Roman"/>
          <w:sz w:val="32"/>
          <w:szCs w:val="32"/>
          <w:shd w:val="clear" w:color="auto" w:fill="FFFFFF"/>
          <w:lang w:val="en-US" w:eastAsia="zh-CN"/>
        </w:rPr>
        <w:t>20</w:t>
      </w:r>
      <w:r>
        <w:rPr>
          <w:rFonts w:hint="default" w:ascii="Times New Roman" w:hAnsi="Times New Roman" w:eastAsia="方正仿宋_GBK" w:cs="Times New Roman"/>
          <w:sz w:val="32"/>
          <w:szCs w:val="32"/>
          <w:shd w:val="clear" w:color="auto" w:fill="FFFFFF"/>
        </w:rPr>
        <w:t>23年财力紧张，部分支出未实现，</w:t>
      </w:r>
      <w:r>
        <w:rPr>
          <w:rFonts w:hint="default" w:ascii="Times New Roman" w:hAnsi="Times New Roman" w:eastAsia="方正仿宋_GBK" w:cs="Times New Roman"/>
          <w:sz w:val="32"/>
          <w:szCs w:val="32"/>
          <w:shd w:val="clear" w:color="auto" w:fill="FFFFFF"/>
          <w:lang w:val="en-US" w:eastAsia="zh-CN"/>
        </w:rPr>
        <w:t>20</w:t>
      </w:r>
      <w:r>
        <w:rPr>
          <w:rFonts w:hint="default" w:ascii="Times New Roman" w:hAnsi="Times New Roman" w:eastAsia="方正仿宋_GBK" w:cs="Times New Roman"/>
          <w:sz w:val="32"/>
          <w:szCs w:val="32"/>
          <w:shd w:val="clear" w:color="auto" w:fill="FFFFFF"/>
        </w:rPr>
        <w:t>24年实现部门公用经费支出。公用经费用途主要包括单位的日常运转和工作人员差旅费的报销。</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13"/>
          <w:rFonts w:hint="default" w:ascii="Times New Roman" w:hAnsi="Times New Roman" w:eastAsia="方正楷体_GBK" w:cs="Times New Roman"/>
          <w:b w:val="0"/>
          <w:bCs/>
          <w:sz w:val="32"/>
          <w:szCs w:val="32"/>
          <w:shd w:val="clear" w:color="auto" w:fill="FFFFFF"/>
        </w:rPr>
      </w:pPr>
      <w:r>
        <w:rPr>
          <w:rStyle w:val="13"/>
          <w:rFonts w:hint="default" w:ascii="Times New Roman" w:hAnsi="Times New Roman" w:eastAsia="方正楷体_GBK" w:cs="Times New Roman"/>
          <w:b w:val="0"/>
          <w:bCs/>
          <w:sz w:val="32"/>
          <w:szCs w:val="32"/>
          <w:shd w:val="clear" w:color="auto" w:fill="FFFFFF"/>
        </w:rPr>
        <w:t>（五）政府性基金预算收支决算情况说明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2024年度无政府性基金预算财政拨款收支。</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13"/>
          <w:rFonts w:hint="default" w:ascii="Times New Roman" w:hAnsi="Times New Roman" w:eastAsia="方正楷体_GBK" w:cs="Times New Roman"/>
          <w:b w:val="0"/>
          <w:bCs/>
          <w:sz w:val="32"/>
          <w:szCs w:val="32"/>
          <w:shd w:val="clear" w:color="auto" w:fill="FFFFFF"/>
        </w:rPr>
      </w:pPr>
      <w:r>
        <w:rPr>
          <w:rStyle w:val="13"/>
          <w:rFonts w:hint="default" w:ascii="Times New Roman" w:hAnsi="Times New Roman" w:eastAsia="方正楷体_GBK" w:cs="Times New Roman"/>
          <w:b w:val="0"/>
          <w:bCs/>
          <w:sz w:val="32"/>
          <w:szCs w:val="32"/>
          <w:shd w:val="clear" w:color="auto" w:fill="FFFFFF"/>
        </w:rPr>
        <w:t>（六）国有资本经营预算财政拨款支出决算情况说明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2024年度无国有资本经营预算财政拨款支出。</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13"/>
          <w:rFonts w:hint="default" w:ascii="Times New Roman" w:hAnsi="Times New Roman" w:eastAsia="方正黑体_GBK" w:cs="Times New Roman"/>
          <w:b w:val="0"/>
          <w:bCs/>
          <w:sz w:val="32"/>
          <w:szCs w:val="32"/>
          <w:shd w:val="clear" w:color="auto" w:fill="FFFFFF"/>
        </w:rPr>
      </w:pPr>
      <w:r>
        <w:rPr>
          <w:rStyle w:val="13"/>
          <w:rFonts w:hint="default" w:ascii="Times New Roman" w:hAnsi="Times New Roman" w:eastAsia="方正黑体_GBK" w:cs="Times New Roman"/>
          <w:b w:val="0"/>
          <w:bCs/>
          <w:sz w:val="32"/>
          <w:szCs w:val="32"/>
          <w:shd w:val="clear" w:color="auto" w:fill="FFFFFF"/>
        </w:rPr>
        <w:t>三、</w:t>
      </w:r>
      <w:r>
        <w:rPr>
          <w:rStyle w:val="13"/>
          <w:rFonts w:hint="default" w:ascii="Times New Roman" w:hAnsi="Times New Roman" w:eastAsia="方正黑体_GBK" w:cs="Times New Roman"/>
          <w:b w:val="0"/>
          <w:bCs/>
          <w:sz w:val="32"/>
          <w:szCs w:val="32"/>
          <w:shd w:val="clear" w:color="auto" w:fill="FFFFFF"/>
          <w:lang w:eastAsia="zh-CN"/>
        </w:rPr>
        <w:t>财政拨款</w:t>
      </w:r>
      <w:r>
        <w:rPr>
          <w:rStyle w:val="13"/>
          <w:rFonts w:hint="default" w:ascii="Times New Roman" w:hAnsi="Times New Roman" w:eastAsia="方正黑体_GBK" w:cs="Times New Roman"/>
          <w:b w:val="0"/>
          <w:bCs/>
          <w:sz w:val="32"/>
          <w:szCs w:val="32"/>
          <w:shd w:val="clear" w:color="auto" w:fill="FFFFFF"/>
        </w:rPr>
        <w:t>“三公”经费情况说明</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13"/>
          <w:rFonts w:hint="default" w:ascii="Times New Roman" w:hAnsi="Times New Roman" w:eastAsia="方正楷体_GBK" w:cs="Times New Roman"/>
          <w:b w:val="0"/>
          <w:bCs/>
          <w:sz w:val="32"/>
          <w:szCs w:val="32"/>
          <w:shd w:val="clear" w:color="auto" w:fill="FFFFFF"/>
        </w:rPr>
      </w:pPr>
      <w:r>
        <w:rPr>
          <w:rStyle w:val="13"/>
          <w:rFonts w:hint="default" w:ascii="Times New Roman" w:hAnsi="Times New Roman" w:eastAsia="方正楷体_GBK" w:cs="Times New Roman"/>
          <w:b w:val="0"/>
          <w:bCs/>
          <w:sz w:val="32"/>
          <w:szCs w:val="32"/>
          <w:shd w:val="clear" w:color="auto" w:fill="FFFFFF"/>
        </w:rPr>
        <w:t>（一）“三公”经费支出总体情况说明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2024年度“三公”经费支出共计0.00万元，较年初预算数无增减，主要原因是</w:t>
      </w:r>
      <w:r>
        <w:rPr>
          <w:rFonts w:hint="default" w:ascii="Times New Roman" w:hAnsi="Times New Roman" w:eastAsia="方正仿宋_GBK" w:cs="Times New Roman"/>
          <w:sz w:val="32"/>
          <w:szCs w:val="32"/>
          <w:shd w:val="clear" w:color="auto" w:fill="FFFFFF"/>
          <w:lang w:eastAsia="zh-CN"/>
        </w:rPr>
        <w:t>我单位属于事业单位，财政未保障我单位“三公”经费。</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13"/>
          <w:rFonts w:hint="default" w:ascii="Times New Roman" w:hAnsi="Times New Roman" w:eastAsia="方正楷体_GBK" w:cs="Times New Roman"/>
          <w:b w:val="0"/>
          <w:bCs/>
          <w:sz w:val="32"/>
          <w:szCs w:val="32"/>
          <w:shd w:val="clear" w:color="auto" w:fill="FFFFFF"/>
        </w:rPr>
      </w:pPr>
      <w:r>
        <w:rPr>
          <w:rStyle w:val="13"/>
          <w:rFonts w:hint="default" w:ascii="Times New Roman" w:hAnsi="Times New Roman" w:eastAsia="方正楷体_GBK" w:cs="Times New Roman"/>
          <w:b w:val="0"/>
          <w:bCs/>
          <w:sz w:val="32"/>
          <w:szCs w:val="32"/>
          <w:shd w:val="clear" w:color="auto" w:fill="FFFFFF"/>
        </w:rPr>
        <w:t>（二）“三公”经费分项支出情况</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lang w:eastAsia="zh-CN"/>
        </w:rPr>
        <w:t>2024年度本单位因公出国（境）费用0.00万元，主要</w:t>
      </w:r>
      <w:r>
        <w:rPr>
          <w:rFonts w:hint="default" w:ascii="Times New Roman" w:hAnsi="Times New Roman" w:eastAsia="方正仿宋_GBK" w:cs="Times New Roman"/>
          <w:sz w:val="32"/>
          <w:szCs w:val="32"/>
          <w:shd w:val="clear" w:color="auto" w:fill="FFFFFF"/>
        </w:rPr>
        <w:t>原因</w:t>
      </w:r>
      <w:r>
        <w:rPr>
          <w:rFonts w:hint="default" w:ascii="Times New Roman" w:hAnsi="Times New Roman" w:eastAsia="方正仿宋_GBK" w:cs="Times New Roman"/>
          <w:sz w:val="32"/>
          <w:szCs w:val="32"/>
          <w:shd w:val="clear" w:color="auto" w:fill="FFFFFF"/>
          <w:lang w:eastAsia="zh-CN"/>
        </w:rPr>
        <w:t>是我单位无因公出国（境）事项。费用支出较年初预算数无增减，主要原因是我单位属于事业单位，财政未保障我单位“三公”经费。较上年支出数无增减，主要原因是本单位</w:t>
      </w:r>
      <w:r>
        <w:rPr>
          <w:rFonts w:hint="default" w:ascii="Times New Roman" w:hAnsi="Times New Roman" w:eastAsia="方正仿宋_GBK" w:cs="Times New Roman"/>
          <w:sz w:val="32"/>
          <w:szCs w:val="32"/>
          <w:shd w:val="clear" w:color="auto" w:fill="FFFFFF"/>
          <w:lang w:val="en-US" w:eastAsia="zh-CN"/>
        </w:rPr>
        <w:t>2023年度和2024年度未发生因公出国（境）支出</w:t>
      </w:r>
      <w:r>
        <w:rPr>
          <w:rFonts w:hint="default" w:ascii="Times New Roman" w:hAnsi="Times New Roman" w:eastAsia="方正仿宋_GBK" w:cs="Times New Roman"/>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eastAsia="zh-CN"/>
        </w:rPr>
        <w:t>公务用车购置费0.00万。费用支出较年初预算数无增减，主要原因是本单位</w:t>
      </w:r>
      <w:r>
        <w:rPr>
          <w:rFonts w:hint="default" w:ascii="Times New Roman" w:hAnsi="Times New Roman" w:eastAsia="方正仿宋_GBK" w:cs="Times New Roman"/>
          <w:sz w:val="32"/>
          <w:szCs w:val="32"/>
          <w:shd w:val="clear" w:color="auto" w:fill="FFFFFF"/>
          <w:lang w:val="en-US" w:eastAsia="zh-CN"/>
        </w:rPr>
        <w:t>2024年未购置公务用车</w:t>
      </w:r>
      <w:r>
        <w:rPr>
          <w:rFonts w:hint="default" w:ascii="Times New Roman" w:hAnsi="Times New Roman" w:eastAsia="方正仿宋_GBK" w:cs="Times New Roman"/>
          <w:sz w:val="32"/>
          <w:szCs w:val="32"/>
          <w:shd w:val="clear" w:color="auto" w:fill="FFFFFF"/>
          <w:lang w:eastAsia="zh-CN"/>
        </w:rPr>
        <w:t>。较上年支出数无增减，主要原因是本单位</w:t>
      </w:r>
      <w:r>
        <w:rPr>
          <w:rFonts w:hint="default" w:ascii="Times New Roman" w:hAnsi="Times New Roman" w:eastAsia="方正仿宋_GBK" w:cs="Times New Roman"/>
          <w:sz w:val="32"/>
          <w:szCs w:val="32"/>
          <w:shd w:val="clear" w:color="auto" w:fill="FFFFFF"/>
          <w:lang w:val="en-US" w:eastAsia="zh-CN"/>
        </w:rPr>
        <w:t>2023年和2024年未购置公务用车。</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eastAsia="zh-CN"/>
        </w:rPr>
        <w:t>公务用车运行维护费0.00万元。费用支出较年初预算数无增减，</w:t>
      </w:r>
      <w:r>
        <w:rPr>
          <w:rFonts w:hint="default" w:ascii="Times New Roman" w:hAnsi="Times New Roman" w:eastAsia="方正仿宋_GBK" w:cs="Times New Roman"/>
          <w:sz w:val="32"/>
          <w:szCs w:val="32"/>
          <w:shd w:val="clear" w:color="auto" w:fill="FFFFFF"/>
          <w:lang w:val="en-US" w:eastAsia="zh-CN"/>
        </w:rPr>
        <w:t>主要原因是本单位年初未预算公务车运行费。较上年支出数无增减，主要原因是本单位2023年度和2024年度未发生公务车运行维护费支出。</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公务接待费0.00万元。费用支出较年初预算数无增减，主要原因是本单位年初未预算公务接待费。较上年支出数无增减，主要原因是本单位本年度未预算公务接待费，公务接待费在机关单位登记。</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13"/>
          <w:rFonts w:hint="default" w:ascii="Times New Roman" w:hAnsi="Times New Roman" w:eastAsia="方正楷体_GBK" w:cs="Times New Roman"/>
          <w:b w:val="0"/>
          <w:bCs/>
          <w:sz w:val="32"/>
          <w:szCs w:val="32"/>
          <w:shd w:val="clear" w:color="auto" w:fill="FFFFFF"/>
        </w:rPr>
      </w:pPr>
      <w:r>
        <w:rPr>
          <w:rStyle w:val="13"/>
          <w:rFonts w:hint="default" w:ascii="Times New Roman" w:hAnsi="Times New Roman" w:eastAsia="方正楷体_GBK" w:cs="Times New Roman"/>
          <w:b w:val="0"/>
          <w:bCs/>
          <w:sz w:val="32"/>
          <w:szCs w:val="32"/>
          <w:shd w:val="clear" w:color="auto" w:fill="FFFFFF"/>
        </w:rPr>
        <w:t>（三）“三公”经费实物量情况</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lang w:eastAsia="zh-CN"/>
        </w:rPr>
        <w:t>2024年度本单位因公出国（境）共计0个团组，0人；公务用车购置0辆，公务车保有量为0辆；国内公务接待0批次0人，其中：国内外事接待0批次，0人；国（境）外公务接待0批次，0人。2024年本单位人均接待费0元，车均购置费0万元，车均维护费0万元。</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13"/>
          <w:rFonts w:hint="default" w:ascii="Times New Roman" w:hAnsi="Times New Roman" w:eastAsia="方正黑体_GBK" w:cs="Times New Roman"/>
          <w:b w:val="0"/>
          <w:bCs/>
          <w:sz w:val="32"/>
          <w:szCs w:val="32"/>
          <w:shd w:val="clear" w:color="auto" w:fill="FFFFFF"/>
        </w:rPr>
      </w:pPr>
      <w:r>
        <w:rPr>
          <w:rStyle w:val="13"/>
          <w:rFonts w:hint="default" w:ascii="Times New Roman" w:hAnsi="Times New Roman" w:eastAsia="方正黑体_GBK" w:cs="Times New Roman"/>
          <w:b w:val="0"/>
          <w:bCs/>
          <w:sz w:val="32"/>
          <w:szCs w:val="32"/>
          <w:shd w:val="clear" w:color="auto" w:fill="FFFFFF"/>
        </w:rPr>
        <w:t>四、其他需要说明的事项</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13"/>
          <w:rFonts w:hint="default" w:ascii="Times New Roman" w:hAnsi="Times New Roman" w:eastAsia="方正楷体_GBK" w:cs="Times New Roman"/>
          <w:b w:val="0"/>
          <w:bCs/>
          <w:sz w:val="32"/>
          <w:szCs w:val="32"/>
          <w:shd w:val="clear" w:color="auto" w:fill="FFFFFF"/>
        </w:rPr>
      </w:pPr>
      <w:r>
        <w:rPr>
          <w:rStyle w:val="13"/>
          <w:rFonts w:hint="default" w:ascii="Times New Roman" w:hAnsi="Times New Roman" w:eastAsia="方正楷体_GBK" w:cs="Times New Roman"/>
          <w:b w:val="0"/>
          <w:bCs/>
          <w:sz w:val="32"/>
          <w:szCs w:val="32"/>
          <w:shd w:val="clear" w:color="auto" w:fill="FFFFFF"/>
        </w:rPr>
        <w:t>（一）财政拨款会议费、培训费和差旅费情况说明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lang w:eastAsia="zh-CN"/>
        </w:rPr>
        <w:t>本年度会议费支出0.00万元，与2023年度相比，无增减，主要原因是</w:t>
      </w:r>
      <w:r>
        <w:rPr>
          <w:rFonts w:hint="default" w:ascii="Times New Roman" w:hAnsi="Times New Roman" w:eastAsia="方正仿宋_GBK" w:cs="Times New Roman"/>
          <w:sz w:val="32"/>
          <w:szCs w:val="32"/>
          <w:shd w:val="clear" w:color="auto" w:fill="FFFFFF"/>
          <w:lang w:val="en-US" w:eastAsia="zh-CN"/>
        </w:rPr>
        <w:t>2023年与2024年本单位均未产生会议费用支出</w:t>
      </w:r>
      <w:r>
        <w:rPr>
          <w:rFonts w:hint="default" w:ascii="Times New Roman" w:hAnsi="Times New Roman" w:eastAsia="方正仿宋_GBK" w:cs="Times New Roman"/>
          <w:sz w:val="32"/>
          <w:szCs w:val="32"/>
          <w:shd w:val="clear" w:color="auto" w:fill="FFFFFF"/>
          <w:lang w:eastAsia="zh-CN"/>
        </w:rPr>
        <w:t>。本年度培训费支出0.17万元，与2023年度相比，增加0.17万元，增长100.0%，主要原因是本年度在职人员继续教育费用登记在本单位。本年度差旅费支出0.60万元，与2023年度相比，减少0.75万元，下降55.6%，主要原因是实际发生差旅费用减少。</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13"/>
          <w:rFonts w:hint="default" w:ascii="Times New Roman" w:hAnsi="Times New Roman" w:eastAsia="方正楷体_GBK" w:cs="Times New Roman"/>
          <w:b w:val="0"/>
          <w:bCs/>
          <w:sz w:val="32"/>
          <w:szCs w:val="32"/>
          <w:shd w:val="clear" w:color="auto" w:fill="FFFFFF"/>
        </w:rPr>
      </w:pPr>
      <w:r>
        <w:rPr>
          <w:rStyle w:val="13"/>
          <w:rFonts w:hint="default" w:ascii="Times New Roman" w:hAnsi="Times New Roman" w:eastAsia="方正楷体_GBK" w:cs="Times New Roman"/>
          <w:b w:val="0"/>
          <w:bCs/>
          <w:sz w:val="32"/>
          <w:szCs w:val="32"/>
          <w:shd w:val="clear" w:color="auto" w:fill="FFFFFF"/>
        </w:rPr>
        <w:t>（二）机关运行经费情况说明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按照部门决算列报口径，我</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不在机关运行经费统计范围之内。</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13"/>
          <w:rFonts w:hint="default" w:ascii="Times New Roman" w:hAnsi="Times New Roman" w:eastAsia="方正楷体_GBK" w:cs="Times New Roman"/>
          <w:b w:val="0"/>
          <w:bCs/>
          <w:sz w:val="32"/>
          <w:szCs w:val="32"/>
          <w:shd w:val="clear" w:color="auto" w:fill="FFFFFF"/>
        </w:rPr>
      </w:pPr>
      <w:r>
        <w:rPr>
          <w:rStyle w:val="13"/>
          <w:rFonts w:hint="default" w:ascii="Times New Roman" w:hAnsi="Times New Roman" w:eastAsia="方正楷体_GBK" w:cs="Times New Roman"/>
          <w:b w:val="0"/>
          <w:bCs/>
          <w:sz w:val="32"/>
          <w:szCs w:val="32"/>
          <w:shd w:val="clear" w:color="auto" w:fill="FFFFFF"/>
        </w:rPr>
        <w:t>（三）国有资产占用情况说明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截至2024年12月31日，本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共有车辆0辆，其中，副部（省）级及以上领导用车0辆、主要负责人用车0辆、机要通信用车0辆、应急保障用车0辆、执法执勤用车0辆，特种专业技术用车0辆，离退休干部用车0辆。单价100万元（含）以上专用设备0台（套）。</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因</w:t>
      </w:r>
      <w:r>
        <w:rPr>
          <w:rFonts w:hint="default" w:ascii="Times New Roman" w:hAnsi="Times New Roman" w:eastAsia="方正仿宋_GBK" w:cs="Times New Roman"/>
          <w:sz w:val="32"/>
          <w:szCs w:val="32"/>
          <w:shd w:val="clear" w:color="auto" w:fill="FFFFFF"/>
          <w:lang w:eastAsia="zh-CN"/>
        </w:rPr>
        <w:t>我单位与机关单位在同一办公地点办公</w:t>
      </w:r>
      <w:r>
        <w:rPr>
          <w:rFonts w:hint="default" w:ascii="Times New Roman" w:hAnsi="Times New Roman" w:eastAsia="方正仿宋_GBK" w:cs="Times New Roman"/>
          <w:sz w:val="32"/>
          <w:szCs w:val="32"/>
          <w:shd w:val="clear" w:color="auto" w:fill="FFFFFF"/>
        </w:rPr>
        <w:t>，我单位资产</w:t>
      </w:r>
      <w:r>
        <w:rPr>
          <w:rFonts w:hint="default" w:ascii="Times New Roman" w:hAnsi="Times New Roman" w:eastAsia="方正仿宋_GBK" w:cs="Times New Roman"/>
          <w:sz w:val="32"/>
          <w:szCs w:val="32"/>
          <w:shd w:val="clear" w:color="auto" w:fill="FFFFFF"/>
          <w:lang w:eastAsia="zh-CN"/>
        </w:rPr>
        <w:t>全部登记在机关单位，我单位</w:t>
      </w:r>
      <w:r>
        <w:rPr>
          <w:rFonts w:hint="default" w:ascii="Times New Roman" w:hAnsi="Times New Roman" w:eastAsia="方正仿宋_GBK" w:cs="Times New Roman"/>
          <w:sz w:val="32"/>
          <w:szCs w:val="32"/>
          <w:shd w:val="clear" w:color="auto" w:fill="FFFFFF"/>
        </w:rPr>
        <w:t>未纳入部门资产决算报表。</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13"/>
          <w:rFonts w:hint="default" w:ascii="Times New Roman" w:hAnsi="Times New Roman" w:eastAsia="方正楷体_GBK" w:cs="Times New Roman"/>
          <w:b w:val="0"/>
          <w:bCs/>
          <w:sz w:val="32"/>
          <w:szCs w:val="32"/>
          <w:shd w:val="clear" w:color="auto" w:fill="FFFFFF"/>
        </w:rPr>
      </w:pPr>
      <w:r>
        <w:rPr>
          <w:rStyle w:val="13"/>
          <w:rFonts w:hint="default" w:ascii="Times New Roman" w:hAnsi="Times New Roman" w:eastAsia="方正楷体_GBK" w:cs="Times New Roman"/>
          <w:b w:val="0"/>
          <w:bCs/>
          <w:sz w:val="32"/>
          <w:szCs w:val="32"/>
          <w:shd w:val="clear" w:color="auto" w:fill="FFFFFF"/>
        </w:rPr>
        <w:t>（四）政府采购支出情况说明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度我</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未发生政府采购事项，无相关经费支出</w:t>
      </w:r>
      <w:r>
        <w:rPr>
          <w:rFonts w:hint="default" w:ascii="Times New Roman" w:hAnsi="Times New Roman" w:eastAsia="方正仿宋_GBK" w:cs="Times New Roman"/>
          <w:sz w:val="32"/>
          <w:szCs w:val="32"/>
          <w:shd w:val="clear" w:color="auto" w:fill="FFFFFF"/>
          <w:lang w:eastAsia="zh-CN"/>
        </w:rPr>
        <w:t>。</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13"/>
          <w:rFonts w:hint="default" w:ascii="Times New Roman" w:hAnsi="Times New Roman" w:eastAsia="方正黑体_GBK" w:cs="Times New Roman"/>
          <w:b w:val="0"/>
          <w:bCs/>
          <w:sz w:val="32"/>
          <w:szCs w:val="32"/>
          <w:shd w:val="clear" w:color="auto" w:fill="FFFFFF"/>
          <w:lang w:val="en-US" w:eastAsia="zh-CN"/>
        </w:rPr>
      </w:pPr>
      <w:r>
        <w:rPr>
          <w:rStyle w:val="13"/>
          <w:rFonts w:hint="default" w:ascii="Times New Roman" w:hAnsi="Times New Roman" w:eastAsia="方正黑体_GBK" w:cs="Times New Roman"/>
          <w:b w:val="0"/>
          <w:bCs/>
          <w:sz w:val="32"/>
          <w:szCs w:val="32"/>
          <w:shd w:val="clear" w:color="auto" w:fill="FFFFFF"/>
          <w:lang w:val="en-US" w:eastAsia="zh-CN"/>
        </w:rPr>
        <w:t>五、2024年度预算绩效管理情况说明</w:t>
      </w:r>
    </w:p>
    <w:p>
      <w:pPr>
        <w:pStyle w:val="15"/>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pPr>
        <w:pStyle w:val="15"/>
        <w:autoSpaceDE w:val="0"/>
        <w:spacing w:before="0" w:beforeAutospacing="0" w:after="0" w:afterAutospacing="0" w:line="596" w:lineRule="exact"/>
        <w:ind w:firstLine="640" w:firstLineChars="200"/>
        <w:rPr>
          <w:rFonts w:hint="default"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我单位无项目支出，未开展绩效自评。</w:t>
      </w:r>
    </w:p>
    <w:p>
      <w:pPr>
        <w:pStyle w:val="15"/>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（二）部门绩效评价情况</w:t>
      </w:r>
    </w:p>
    <w:p>
      <w:pPr>
        <w:pStyle w:val="15"/>
        <w:autoSpaceDE w:val="0"/>
        <w:spacing w:before="0" w:beforeAutospacing="0" w:after="0" w:afterAutospacing="0" w:line="596" w:lineRule="exact"/>
        <w:ind w:firstLine="640" w:firstLineChars="200"/>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我单位未组织开展绩效评价。</w:t>
      </w:r>
    </w:p>
    <w:p>
      <w:pPr>
        <w:pStyle w:val="20"/>
        <w:autoSpaceDE w:val="0"/>
        <w:spacing w:line="596" w:lineRule="exact"/>
        <w:ind w:left="959" w:leftChars="266" w:hanging="321" w:hangingChars="100"/>
        <w:rPr>
          <w:rFonts w:hint="default" w:ascii="方正仿宋_GBK" w:hAnsi="方正仿宋_GBK" w:eastAsia="方正仿宋_GBK" w:cs="方正仿宋_GBK"/>
          <w:sz w:val="32"/>
          <w:szCs w:val="32"/>
          <w:shd w:val="clear" w:color="auto" w:fill="FFFFFF"/>
        </w:rPr>
      </w:pPr>
      <w:r>
        <w:rPr>
          <w:rFonts w:ascii="楷体" w:hAnsi="楷体" w:eastAsia="楷体" w:cs="楷体"/>
          <w:b/>
          <w:bCs/>
          <w:sz w:val="32"/>
          <w:szCs w:val="32"/>
          <w:shd w:val="clear" w:color="auto" w:fill="FFFFFF"/>
          <w:lang w:bidi="ar"/>
        </w:rPr>
        <w:t>（三）财政绩效评价情况</w:t>
      </w:r>
    </w:p>
    <w:p>
      <w:pPr>
        <w:pStyle w:val="15"/>
        <w:autoSpaceDE w:val="0"/>
        <w:spacing w:before="0" w:beforeAutospacing="0" w:after="0" w:afterAutospacing="0" w:line="596" w:lineRule="exact"/>
        <w:ind w:firstLine="640" w:firstLineChars="200"/>
        <w:rPr>
          <w:rFonts w:hint="eastAsia" w:ascii="方正仿宋_GBK" w:hAnsi="方正仿宋_GBK" w:eastAsia="方正仿宋_GBK" w:cs="方正仿宋_GBK"/>
          <w:sz w:val="32"/>
          <w:szCs w:val="32"/>
          <w:shd w:val="clear" w:color="auto" w:fill="FFFFFF"/>
          <w:lang w:val="en-US" w:eastAsia="zh-CN" w:bidi="ar"/>
        </w:rPr>
      </w:pPr>
      <w:r>
        <w:rPr>
          <w:rFonts w:hint="eastAsia" w:ascii="方正仿宋_GBK" w:hAnsi="方正仿宋_GBK" w:eastAsia="方正仿宋_GBK" w:cs="方正仿宋_GBK"/>
          <w:sz w:val="32"/>
          <w:szCs w:val="32"/>
          <w:shd w:val="clear" w:color="auto" w:fill="FFFFFF"/>
          <w:lang w:val="en-US" w:eastAsia="zh-CN" w:bidi="ar-SA"/>
        </w:rPr>
        <w:t>县财政局未委托第三方对我单位开展绩效评价。</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13"/>
          <w:rFonts w:hint="default" w:ascii="Times New Roman" w:hAnsi="Times New Roman" w:eastAsia="方正黑体_GBK" w:cs="Times New Roman"/>
          <w:b w:val="0"/>
          <w:bCs/>
          <w:sz w:val="32"/>
          <w:szCs w:val="32"/>
          <w:shd w:val="clear" w:color="auto" w:fill="FFFFFF"/>
          <w:lang w:val="en-US" w:eastAsia="zh-CN"/>
        </w:rPr>
      </w:pPr>
      <w:r>
        <w:rPr>
          <w:rStyle w:val="13"/>
          <w:rFonts w:hint="default" w:ascii="Times New Roman" w:hAnsi="Times New Roman" w:eastAsia="方正黑体_GBK" w:cs="Times New Roman"/>
          <w:b w:val="0"/>
          <w:bCs/>
          <w:sz w:val="32"/>
          <w:szCs w:val="32"/>
          <w:shd w:val="clear" w:color="auto" w:fill="FFFFFF"/>
          <w:lang w:val="en-US" w:eastAsia="zh-CN"/>
        </w:rPr>
        <w:t>六、专业名词解释</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方正楷体_GBK" w:cs="Times New Roman"/>
          <w:b w:val="0"/>
          <w:bCs/>
          <w:sz w:val="32"/>
          <w:szCs w:val="32"/>
          <w:shd w:val="clear" w:color="auto" w:fill="FFFFFF"/>
          <w:lang w:val="en-US" w:eastAsia="zh-CN" w:bidi="ar-SA"/>
        </w:rPr>
        <w:t>（一）财政拨款收入：</w:t>
      </w:r>
      <w:r>
        <w:rPr>
          <w:rFonts w:hint="default" w:ascii="Times New Roman" w:hAnsi="Times New Roman" w:eastAsia="方正仿宋_GBK" w:cs="Times New Roman"/>
          <w:kern w:val="0"/>
          <w:sz w:val="32"/>
          <w:szCs w:val="32"/>
          <w:shd w:val="clear" w:fill="FFFFFF"/>
        </w:rPr>
        <w:t>指本年度从本级财政部门取得的财政拨款，包括一般公共预算财政拨款和政府性基金预算财政拨款。</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方正楷体_GBK" w:cs="Times New Roman"/>
          <w:b w:val="0"/>
          <w:bCs/>
          <w:sz w:val="32"/>
          <w:szCs w:val="32"/>
          <w:shd w:val="clear" w:color="auto" w:fill="FFFFFF"/>
          <w:lang w:val="en-US" w:eastAsia="zh-CN" w:bidi="ar-SA"/>
        </w:rPr>
        <w:t>（二）事业收入：</w:t>
      </w:r>
      <w:r>
        <w:rPr>
          <w:rFonts w:hint="default" w:ascii="Times New Roman" w:hAnsi="Times New Roman" w:eastAsia="方正仿宋_GBK" w:cs="Times New Roman"/>
          <w:kern w:val="0"/>
          <w:sz w:val="32"/>
          <w:szCs w:val="32"/>
          <w:shd w:val="clear" w:fill="FFFFFF"/>
        </w:rPr>
        <w:t>指事业单位开展专业业务活动及其辅助活动取得的现金流入；事业单位收到的财政专户实际核拨的教育收费等资金在此反映。</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方正楷体_GBK" w:cs="Times New Roman"/>
          <w:b w:val="0"/>
          <w:bCs/>
          <w:sz w:val="32"/>
          <w:szCs w:val="32"/>
          <w:shd w:val="clear" w:color="auto" w:fill="FFFFFF"/>
          <w:lang w:val="en-US" w:eastAsia="zh-CN" w:bidi="ar-SA"/>
        </w:rPr>
        <w:t>（三）经营收入：</w:t>
      </w:r>
      <w:r>
        <w:rPr>
          <w:rFonts w:hint="default" w:ascii="Times New Roman" w:hAnsi="Times New Roman" w:eastAsia="方正仿宋_GBK" w:cs="Times New Roman"/>
          <w:kern w:val="0"/>
          <w:sz w:val="32"/>
          <w:szCs w:val="32"/>
          <w:shd w:val="clear" w:fill="FFFFFF"/>
        </w:rPr>
        <w:t>指事业单位在专业业务活动及其辅助活动之外开展非独立核算经营活动取得的现金流入。</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方正楷体_GBK" w:cs="Times New Roman"/>
          <w:b w:val="0"/>
          <w:bCs/>
          <w:sz w:val="32"/>
          <w:szCs w:val="32"/>
          <w:shd w:val="clear" w:color="auto" w:fill="FFFFFF"/>
          <w:lang w:val="en-US" w:eastAsia="zh-CN" w:bidi="ar-SA"/>
        </w:rPr>
        <w:t>（四）其他收入：</w:t>
      </w:r>
      <w:r>
        <w:rPr>
          <w:rFonts w:hint="default" w:ascii="Times New Roman" w:hAnsi="Times New Roman" w:eastAsia="方正仿宋_GBK" w:cs="Times New Roman"/>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方正楷体_GBK" w:cs="Times New Roman"/>
          <w:b w:val="0"/>
          <w:bCs/>
          <w:sz w:val="32"/>
          <w:szCs w:val="32"/>
          <w:shd w:val="clear" w:color="auto" w:fill="FFFFFF"/>
          <w:lang w:val="en-US" w:eastAsia="zh-CN" w:bidi="ar-SA"/>
        </w:rPr>
        <w:t>（五）使用非财政拨款结余（含专用结余）：</w:t>
      </w:r>
      <w:r>
        <w:rPr>
          <w:rFonts w:hint="default" w:ascii="Times New Roman" w:hAnsi="Times New Roman" w:eastAsia="方正仿宋_GBK" w:cs="Times New Roman"/>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方正楷体_GBK" w:cs="Times New Roman"/>
          <w:b w:val="0"/>
          <w:bCs/>
          <w:sz w:val="32"/>
          <w:szCs w:val="32"/>
          <w:shd w:val="clear" w:color="auto" w:fill="FFFFFF"/>
          <w:lang w:val="en-US" w:eastAsia="zh-CN" w:bidi="ar-SA"/>
        </w:rPr>
        <w:t>（六）年初结转和结余：</w:t>
      </w:r>
      <w:r>
        <w:rPr>
          <w:rFonts w:hint="default" w:ascii="Times New Roman" w:hAnsi="Times New Roman" w:eastAsia="方正仿宋_GBK" w:cs="Times New Roman"/>
          <w:kern w:val="0"/>
          <w:sz w:val="32"/>
          <w:szCs w:val="32"/>
          <w:shd w:val="clear" w:fill="FFFFFF"/>
        </w:rPr>
        <w:t>指单位上年结转本年使用的基本支出结转、项目支出结转和结余、经营结余。</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方正楷体_GBK" w:cs="Times New Roman"/>
          <w:b w:val="0"/>
          <w:bCs/>
          <w:sz w:val="32"/>
          <w:szCs w:val="32"/>
          <w:shd w:val="clear" w:color="auto" w:fill="FFFFFF"/>
          <w:lang w:val="en-US" w:eastAsia="zh-CN" w:bidi="ar-SA"/>
        </w:rPr>
        <w:t>（七）结余分配：</w:t>
      </w:r>
      <w:r>
        <w:rPr>
          <w:rFonts w:hint="default" w:ascii="Times New Roman" w:hAnsi="Times New Roman" w:eastAsia="方正仿宋_GBK" w:cs="Times New Roman"/>
          <w:kern w:val="0"/>
          <w:sz w:val="32"/>
          <w:szCs w:val="32"/>
          <w:shd w:val="clear" w:fill="FFFFFF"/>
        </w:rPr>
        <w:t>指单位按照国家有关规定，缴纳所得税、提取专用基金、转入非财政拨款结余等当年结余的分配情况。</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方正楷体_GBK" w:cs="Times New Roman"/>
          <w:b w:val="0"/>
          <w:bCs/>
          <w:sz w:val="32"/>
          <w:szCs w:val="32"/>
          <w:shd w:val="clear" w:color="auto" w:fill="FFFFFF"/>
          <w:lang w:val="en-US" w:eastAsia="zh-CN" w:bidi="ar-SA"/>
        </w:rPr>
        <w:t>（八）年末结转和结余：</w:t>
      </w:r>
      <w:r>
        <w:rPr>
          <w:rFonts w:hint="default" w:ascii="Times New Roman" w:hAnsi="Times New Roman" w:eastAsia="方正仿宋_GBK" w:cs="Times New Roman"/>
          <w:kern w:val="0"/>
          <w:sz w:val="32"/>
          <w:szCs w:val="32"/>
          <w:shd w:val="clear" w:fill="FFFFFF"/>
        </w:rPr>
        <w:t>指单位结转下年的基本支出结转、项目支出结转和结余、经营结余。</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方正楷体_GBK" w:cs="Times New Roman"/>
          <w:b w:val="0"/>
          <w:bCs/>
          <w:sz w:val="32"/>
          <w:szCs w:val="32"/>
          <w:shd w:val="clear" w:color="auto" w:fill="FFFFFF"/>
          <w:lang w:val="en-US" w:eastAsia="zh-CN" w:bidi="ar-SA"/>
        </w:rPr>
        <w:t>（九）基本支出：</w:t>
      </w:r>
      <w:r>
        <w:rPr>
          <w:rFonts w:hint="default" w:ascii="Times New Roman" w:hAnsi="Times New Roman" w:eastAsia="方正仿宋_GBK" w:cs="Times New Roman"/>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方正楷体_GBK" w:cs="Times New Roman"/>
          <w:b w:val="0"/>
          <w:bCs/>
          <w:sz w:val="32"/>
          <w:szCs w:val="32"/>
          <w:shd w:val="clear" w:color="auto" w:fill="FFFFFF"/>
          <w:lang w:val="en-US" w:eastAsia="zh-CN" w:bidi="ar-SA"/>
        </w:rPr>
        <w:t>（十）项目支出：</w:t>
      </w:r>
      <w:r>
        <w:rPr>
          <w:rFonts w:hint="default" w:ascii="Times New Roman" w:hAnsi="Times New Roman" w:eastAsia="方正仿宋_GBK" w:cs="Times New Roman"/>
          <w:kern w:val="0"/>
          <w:sz w:val="32"/>
          <w:szCs w:val="32"/>
          <w:shd w:val="clear" w:fill="FFFFFF"/>
        </w:rPr>
        <w:t>指在基本支出之外为完成特定行政任务和事业发展目标所发生的支出。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方正楷体_GBK" w:cs="Times New Roman"/>
          <w:b w:val="0"/>
          <w:bCs/>
          <w:sz w:val="32"/>
          <w:szCs w:val="32"/>
          <w:shd w:val="clear" w:color="auto" w:fill="FFFFFF"/>
          <w:lang w:val="en-US" w:eastAsia="zh-CN" w:bidi="ar-SA"/>
        </w:rPr>
        <w:t>（十一）经营支出：</w:t>
      </w:r>
      <w:r>
        <w:rPr>
          <w:rFonts w:hint="default" w:ascii="Times New Roman" w:hAnsi="Times New Roman" w:eastAsia="方正仿宋_GBK" w:cs="Times New Roman"/>
          <w:kern w:val="0"/>
          <w:sz w:val="32"/>
          <w:szCs w:val="32"/>
          <w:shd w:val="clear" w:fill="FFFFFF"/>
        </w:rPr>
        <w:t>指事业单位在专业业务活动及其辅助活动之外开展非独立核算经营活动发生的支出。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方正楷体_GBK" w:cs="Times New Roman"/>
          <w:b w:val="0"/>
          <w:bCs/>
          <w:sz w:val="32"/>
          <w:szCs w:val="32"/>
          <w:shd w:val="clear" w:color="auto" w:fill="FFFFFF"/>
          <w:lang w:val="en-US" w:eastAsia="zh-CN" w:bidi="ar-SA"/>
        </w:rPr>
        <w:t>（十二）“三公”经费：</w:t>
      </w:r>
      <w:r>
        <w:rPr>
          <w:rFonts w:hint="default" w:ascii="Times New Roman" w:hAnsi="Times New Roman" w:eastAsia="方正仿宋_GBK" w:cs="Times New Roman"/>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方正楷体_GBK" w:cs="Times New Roman"/>
          <w:b w:val="0"/>
          <w:bCs/>
          <w:sz w:val="32"/>
          <w:szCs w:val="32"/>
          <w:shd w:val="clear" w:color="auto" w:fill="FFFFFF"/>
          <w:lang w:val="en-US" w:eastAsia="zh-CN" w:bidi="ar-SA"/>
        </w:rPr>
        <w:t>（十三）机关运行经费：</w:t>
      </w:r>
      <w:r>
        <w:rPr>
          <w:rFonts w:hint="default" w:ascii="Times New Roman" w:hAnsi="Times New Roman" w:eastAsia="方正仿宋_GBK" w:cs="Times New Roman"/>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方正楷体_GBK" w:cs="Times New Roman"/>
          <w:b w:val="0"/>
          <w:bCs/>
          <w:sz w:val="32"/>
          <w:szCs w:val="32"/>
          <w:shd w:val="clear" w:color="auto" w:fill="FFFFFF"/>
          <w:lang w:val="en-US" w:eastAsia="zh-CN" w:bidi="ar-SA"/>
        </w:rPr>
        <w:t>（十四）工资福利支出（支出经济分类科目类级）：</w:t>
      </w:r>
      <w:r>
        <w:rPr>
          <w:rFonts w:hint="default" w:ascii="Times New Roman" w:hAnsi="Times New Roman" w:eastAsia="方正仿宋_GBK" w:cs="Times New Roman"/>
          <w:kern w:val="0"/>
          <w:sz w:val="32"/>
          <w:szCs w:val="32"/>
          <w:shd w:val="clear" w:fill="FFFFFF"/>
        </w:rPr>
        <w:t>反映单位开支的在职职工和编制外长期聘用人员的各类劳动报酬，以及为上述人员缴纳的各项社会保险费等。</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方正楷体_GBK" w:cs="Times New Roman"/>
          <w:b w:val="0"/>
          <w:bCs/>
          <w:sz w:val="32"/>
          <w:szCs w:val="32"/>
          <w:shd w:val="clear" w:color="auto" w:fill="FFFFFF"/>
          <w:lang w:val="en-US" w:eastAsia="zh-CN" w:bidi="ar-SA"/>
        </w:rPr>
        <w:t>（十五）商品和服务支出（支出经济分类科目类级）：</w:t>
      </w:r>
      <w:r>
        <w:rPr>
          <w:rFonts w:hint="default" w:ascii="Times New Roman" w:hAnsi="Times New Roman" w:eastAsia="方正仿宋_GBK" w:cs="Times New Roman"/>
          <w:kern w:val="0"/>
          <w:sz w:val="32"/>
          <w:szCs w:val="32"/>
          <w:shd w:val="clear" w:fill="FFFFFF"/>
        </w:rPr>
        <w:t>反映单位购买商品和服务的支出（不包括用于购置固定资产的支出、战略性和应急储备支出）。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方正楷体_GBK" w:cs="Times New Roman"/>
          <w:b w:val="0"/>
          <w:bCs/>
          <w:sz w:val="32"/>
          <w:szCs w:val="32"/>
          <w:shd w:val="clear" w:color="auto" w:fill="FFFFFF"/>
          <w:lang w:val="en-US" w:eastAsia="zh-CN" w:bidi="ar-SA"/>
        </w:rPr>
        <w:t>（十六）对个人和家庭的补助（支出经济分类科目类级）：</w:t>
      </w:r>
      <w:r>
        <w:rPr>
          <w:rFonts w:hint="default" w:ascii="Times New Roman" w:hAnsi="Times New Roman" w:eastAsia="方正仿宋_GBK" w:cs="Times New Roman"/>
          <w:kern w:val="0"/>
          <w:sz w:val="32"/>
          <w:szCs w:val="32"/>
          <w:shd w:val="clear" w:fill="FFFFFF"/>
        </w:rPr>
        <w:t>反映用于对个人和家庭的补助支出。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方正楷体_GBK" w:cs="Times New Roman"/>
          <w:b w:val="0"/>
          <w:bCs/>
          <w:sz w:val="32"/>
          <w:szCs w:val="32"/>
          <w:shd w:val="clear" w:color="auto" w:fill="FFFFFF"/>
          <w:lang w:val="en-US" w:eastAsia="zh-CN" w:bidi="ar-SA"/>
        </w:rPr>
        <w:t>（十七）其他资本性支出（支出经济分类科目类级）：</w:t>
      </w:r>
      <w:r>
        <w:rPr>
          <w:rFonts w:hint="default" w:ascii="Times New Roman" w:hAnsi="Times New Roman" w:eastAsia="方正仿宋_GBK" w:cs="Times New Roman"/>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13"/>
          <w:rFonts w:hint="default" w:ascii="Times New Roman" w:hAnsi="Times New Roman" w:eastAsia="方正黑体_GBK" w:cs="Times New Roman"/>
          <w:b w:val="0"/>
          <w:bCs/>
          <w:sz w:val="32"/>
          <w:szCs w:val="32"/>
          <w:shd w:val="clear" w:color="auto" w:fill="FFFFFF"/>
          <w:lang w:val="en-US" w:eastAsia="zh-CN"/>
        </w:rPr>
      </w:pPr>
      <w:r>
        <w:rPr>
          <w:rStyle w:val="13"/>
          <w:rFonts w:hint="default" w:ascii="Times New Roman" w:hAnsi="Times New Roman" w:eastAsia="方正黑体_GBK" w:cs="Times New Roman"/>
          <w:b w:val="0"/>
          <w:bCs/>
          <w:sz w:val="32"/>
          <w:szCs w:val="32"/>
          <w:shd w:val="clear" w:color="auto" w:fill="FFFFFF"/>
          <w:lang w:val="en-US" w:eastAsia="zh-CN"/>
        </w:rPr>
        <w:t>七、决算公开联系方式及信息反馈渠道</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shd w:val="clear" w:fill="FFFFFF"/>
        </w:rPr>
        <w:t>本单位决算公开信息反馈和联系方式：</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shd w:val="clear" w:fill="FFFFFF"/>
          <w:lang w:val="en-US" w:eastAsia="zh-CN"/>
        </w:rPr>
      </w:pPr>
      <w:r>
        <w:rPr>
          <w:rFonts w:hint="default" w:ascii="Times New Roman" w:hAnsi="Times New Roman" w:eastAsia="方正仿宋_GBK" w:cs="Times New Roman"/>
          <w:kern w:val="0"/>
          <w:sz w:val="32"/>
          <w:szCs w:val="32"/>
          <w:shd w:val="clear" w:fill="FFFFFF"/>
          <w:lang w:eastAsia="zh-CN"/>
        </w:rPr>
        <w:t>联系人：王梅</w:t>
      </w:r>
      <w:r>
        <w:rPr>
          <w:rFonts w:hint="default" w:ascii="Times New Roman" w:hAnsi="Times New Roman" w:eastAsia="方正仿宋_GBK" w:cs="Times New Roman"/>
          <w:kern w:val="0"/>
          <w:sz w:val="32"/>
          <w:szCs w:val="32"/>
          <w:shd w:val="clear" w:fill="FFFFFF"/>
        </w:rPr>
        <w:t xml:space="preserve">  </w:t>
      </w:r>
      <w:r>
        <w:rPr>
          <w:rFonts w:hint="default" w:ascii="Times New Roman" w:hAnsi="Times New Roman" w:eastAsia="方正仿宋_GBK" w:cs="Times New Roman"/>
          <w:kern w:val="0"/>
          <w:sz w:val="32"/>
          <w:szCs w:val="32"/>
          <w:shd w:val="clear" w:fill="FFFFFF"/>
          <w:lang w:val="en-US" w:eastAsia="zh-CN"/>
        </w:rPr>
        <w:t xml:space="preserve"> 联系电话：</w:t>
      </w:r>
      <w:r>
        <w:rPr>
          <w:rFonts w:hint="default" w:ascii="Times New Roman" w:hAnsi="Times New Roman" w:eastAsia="方正仿宋_GBK" w:cs="Times New Roman"/>
          <w:kern w:val="0"/>
          <w:sz w:val="32"/>
          <w:szCs w:val="32"/>
          <w:shd w:val="clear" w:fill="FFFFFF"/>
        </w:rPr>
        <w:t>023-</w:t>
      </w:r>
      <w:r>
        <w:rPr>
          <w:rFonts w:hint="default" w:ascii="Times New Roman" w:hAnsi="Times New Roman" w:eastAsia="方正仿宋_GBK" w:cs="Times New Roman"/>
          <w:kern w:val="0"/>
          <w:sz w:val="32"/>
          <w:szCs w:val="32"/>
          <w:shd w:val="clear" w:fill="FFFFFF"/>
          <w:lang w:val="en-US" w:eastAsia="zh-CN"/>
        </w:rPr>
        <w:t>75532356</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shd w:val="clear" w:fill="FFFFFF"/>
        </w:rPr>
        <w:sectPr>
          <w:footerReference r:id="rId3" w:type="default"/>
          <w:pgSz w:w="11915" w:h="16840"/>
          <w:pgMar w:top="2098" w:right="1474" w:bottom="1984" w:left="1587" w:header="851" w:footer="992" w:gutter="0"/>
          <w:pgNumType w:fmt="numberInDash"/>
          <w:cols w:space="720" w:num="1"/>
          <w:docGrid w:type="lines" w:linePitch="312" w:charSpace="0"/>
        </w:sectPr>
      </w:pPr>
    </w:p>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酉阳土家族苗族自治县城乡建设档案馆</w:t>
            </w: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66.38</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53.95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66.38</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66.38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66.38</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66.38</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5059" w:type="pct"/>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酉阳土家族苗族自治县城乡建设档案馆</w:t>
            </w: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66.38</w:t>
            </w:r>
            <w:r>
              <w:rPr>
                <w:rFonts w:ascii="Times New Roman" w:hAnsi="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66.38</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4.49</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4.49</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2.25</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2.25</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0.63</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0.63</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53.95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53.95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53.95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53.95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机关服务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53.95</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53.95</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2.83</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2.83</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10"/>
        <w:tblW w:w="5000" w:type="pct"/>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酉阳土家族苗族自治县城乡建设档案馆 </w:t>
            </w: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66.38</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66.38</w:t>
            </w:r>
            <w:r>
              <w:rPr>
                <w:rFonts w:ascii="Times New Roman" w:hAnsi="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6.74</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6.74</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4.49</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4.49</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2.25</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2.87</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2.87</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0.63</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0.63</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53.95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53.95</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53.95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53.95</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机关服务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53.95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53.95</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2.83</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2.83</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2.83</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2.83</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10"/>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酉阳土家族苗族自治县城乡建设档案馆</w:t>
            </w: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66.38</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53.95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53.95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66.38</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66.38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66.38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66.38</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66.38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66.38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05"/>
        <w:gridCol w:w="4073"/>
        <w:gridCol w:w="3306"/>
        <w:gridCol w:w="3297"/>
        <w:gridCol w:w="3341"/>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酉阳土家族苗族自治县城乡建设档案馆</w:t>
            </w: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66.38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66.38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4.49</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0.63</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53.95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53.95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53.95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53.95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机关服务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53.95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53.95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2.83</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10"/>
        <w:tblW w:w="4994" w:type="pct"/>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酉阳土家族苗族自治县城乡建设档案馆</w:t>
            </w: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60.18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13.44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29.85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60.18</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6.20</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酉阳土家族苗族自治县城乡建设档案馆</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酉阳土家族苗族自治县城乡建设档案馆</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0"/>
        <w:tblW w:w="4611" w:type="pct"/>
        <w:tblInd w:w="0" w:type="dxa"/>
        <w:tblLayout w:type="fixed"/>
        <w:tblCellMar>
          <w:top w:w="0" w:type="dxa"/>
          <w:left w:w="170" w:type="dxa"/>
          <w:bottom w:w="0" w:type="dxa"/>
          <w:right w:w="170" w:type="dxa"/>
        </w:tblCellMar>
      </w:tblPr>
      <w:tblGrid>
        <w:gridCol w:w="3179"/>
        <w:gridCol w:w="2416"/>
        <w:gridCol w:w="2375"/>
        <w:gridCol w:w="3674"/>
        <w:gridCol w:w="2487"/>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酉阳土家族苗族自治县城乡建设档案馆</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0.17</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0.60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黑体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6"/>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default"/>
      </w:rPr>
    </w:pPr>
    <w:r>
      <w:rPr>
        <w:rFonts w:hint="default"/>
      </w:rPr>
      <w:pict>
        <v:shape id="_x0000_s1032" o:spid="_x0000_s1032"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w:r>
    <w:r>
      <w:rPr>
        <w:rFonts w:hint="default"/>
      </w:rPr>
      <w:pict>
        <v:shape id="_x0000_s1031" o:spid="_x0000_s1031"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6"/>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TNjNWE5MDY2ZDBhMmU4M2UwZDVmZTFjMTQzYzY4OTI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CC6694A"/>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3592042"/>
    <w:rsid w:val="24B92327"/>
    <w:rsid w:val="24C14514"/>
    <w:rsid w:val="2533755C"/>
    <w:rsid w:val="25791755"/>
    <w:rsid w:val="26396DF4"/>
    <w:rsid w:val="266D5080"/>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2A2F70"/>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5450DD"/>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0150C1"/>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5"/>
    <w:qFormat/>
    <w:uiPriority w:val="0"/>
    <w:rPr>
      <w:rFonts w:ascii="宋体" w:hAnsi="宋体"/>
      <w:sz w:val="18"/>
      <w:szCs w:val="18"/>
    </w:rPr>
  </w:style>
  <w:style w:type="paragraph" w:customStyle="1" w:styleId="19">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paragraph" w:customStyle="1" w:styleId="20">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5817</Words>
  <Characters>7041</Characters>
  <Lines>186</Lines>
  <Paragraphs>52</Paragraphs>
  <TotalTime>2</TotalTime>
  <ScaleCrop>false</ScaleCrop>
  <LinksUpToDate>false</LinksUpToDate>
  <CharactersWithSpaces>7309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yyzjw</cp:lastModifiedBy>
  <dcterms:modified xsi:type="dcterms:W3CDTF">2025-10-16T04:00:16Z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BB46EABDBB2749749395447164B066B3_12</vt:lpwstr>
  </property>
  <property fmtid="{D5CDD505-2E9C-101B-9397-08002B2CF9AE}" pid="4" name="KSOTemplateDocerSaveRecord">
    <vt:lpwstr>eyJoZGlkIjoiMDhkMjQ3MGIxYmQ4NmNmOTZkYzg0MWQ4OGM5MjAxOTQiLCJ1c2VySWQiOiIxNjUwMDA0OTUwIn0=</vt:lpwstr>
  </property>
</Properties>
</file>