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重庆市酉阳土家族苗族自治县城镇管线综合管理事务中心</w:t>
      </w:r>
      <w:r>
        <w:rPr>
          <w:rFonts w:hint="default" w:ascii="Times New Roman" w:hAnsi="Times New Roman" w:eastAsia="方正小标宋_GBK" w:cs="Times New Roman"/>
          <w:sz w:val="44"/>
          <w:szCs w:val="44"/>
          <w:shd w:val="clear" w:color="auto" w:fill="FFFFFF"/>
        </w:rPr>
        <w:t>2024年度决算公开说明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一、</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1.</w:t>
      </w:r>
      <w:r>
        <w:rPr>
          <w:rFonts w:hint="default" w:ascii="Times New Roman" w:hAnsi="Times New Roman" w:eastAsia="方正仿宋_GBK" w:cs="Times New Roman"/>
          <w:sz w:val="32"/>
          <w:szCs w:val="32"/>
          <w:shd w:val="clear" w:color="auto" w:fill="FFFFFF"/>
          <w:lang w:val="en-US" w:eastAsia="zh-CN" w:bidi="ar-SA"/>
        </w:rPr>
        <w:t>贯彻执行国家、重庆市颁发的有关管线和排水的法律法规和政策规定，拟订县城规划区内管线、排水和海绵城市规划、计划，并组织实施。</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2.</w:t>
      </w:r>
      <w:r>
        <w:rPr>
          <w:rFonts w:hint="default" w:ascii="Times New Roman" w:hAnsi="Times New Roman" w:eastAsia="方正仿宋_GBK" w:cs="Times New Roman"/>
          <w:sz w:val="32"/>
          <w:szCs w:val="32"/>
          <w:shd w:val="clear" w:color="auto" w:fill="FFFFFF"/>
          <w:lang w:val="en-US" w:eastAsia="zh-CN" w:bidi="ar-SA"/>
        </w:rPr>
        <w:t>承担管线、排水和海绵城市制度改革的有关工作。</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3.</w:t>
      </w:r>
      <w:r>
        <w:rPr>
          <w:rFonts w:hint="default" w:ascii="Times New Roman" w:hAnsi="Times New Roman" w:eastAsia="方正仿宋_GBK" w:cs="Times New Roman"/>
          <w:sz w:val="32"/>
          <w:szCs w:val="32"/>
          <w:shd w:val="clear" w:color="auto" w:fill="FFFFFF"/>
          <w:lang w:val="en-US" w:eastAsia="zh-CN" w:bidi="ar-SA"/>
        </w:rPr>
        <w:t>承担城市管线综合管理工作，拟订县城规划区内管线年度建设计划，安排管线工程建设时序。</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lang w:val="en-US" w:eastAsia="zh-CN" w:bidi="ar-SA"/>
        </w:rPr>
        <w:t>拟订城镇排水与污水处理规划和年度计划并组织实施。协调推进海绵城市建设。</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5.</w:t>
      </w:r>
      <w:r>
        <w:rPr>
          <w:rFonts w:hint="default" w:ascii="Times New Roman" w:hAnsi="Times New Roman" w:eastAsia="方正仿宋_GBK" w:cs="Times New Roman"/>
          <w:sz w:val="32"/>
          <w:szCs w:val="32"/>
          <w:shd w:val="clear" w:color="auto" w:fill="FFFFFF"/>
          <w:lang w:val="en-US" w:eastAsia="zh-CN" w:bidi="ar-SA"/>
        </w:rPr>
        <w:t>承担城市污水处理厂建设运行管理和城市排水（雨水、污水）管网建设维护管理工作。</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6.</w:t>
      </w:r>
      <w:r>
        <w:rPr>
          <w:rFonts w:hint="default" w:ascii="Times New Roman" w:hAnsi="Times New Roman" w:eastAsia="方正仿宋_GBK" w:cs="Times New Roman"/>
          <w:sz w:val="32"/>
          <w:szCs w:val="32"/>
          <w:shd w:val="clear" w:color="auto" w:fill="FFFFFF"/>
          <w:lang w:val="en-US" w:eastAsia="zh-CN" w:bidi="ar-SA"/>
        </w:rPr>
        <w:t>受主管部门委托，负责城镇污水处理费征收管理工作。承担城镇排水监测。承担城市排水防涝工作。指导乡镇污水处理管理工作。</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7.</w:t>
      </w:r>
      <w:r>
        <w:rPr>
          <w:rFonts w:hint="default" w:ascii="Times New Roman" w:hAnsi="Times New Roman" w:eastAsia="方正仿宋_GBK" w:cs="Times New Roman"/>
          <w:sz w:val="32"/>
          <w:szCs w:val="32"/>
          <w:shd w:val="clear" w:color="auto" w:fill="FFFFFF"/>
          <w:lang w:val="en-US" w:eastAsia="zh-CN" w:bidi="ar-SA"/>
        </w:rPr>
        <w:t>完成县住房城乡建委交办的其他工作。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sz w:val="32"/>
          <w:szCs w:val="32"/>
        </w:rPr>
      </w:pPr>
      <w:r>
        <w:rPr>
          <w:rStyle w:val="13"/>
          <w:rFonts w:hint="default" w:ascii="Times New Roman" w:hAnsi="Times New Roman" w:eastAsia="方正楷体_GBK" w:cs="Times New Roman"/>
          <w:b w:val="0"/>
          <w:bCs/>
          <w:sz w:val="32"/>
          <w:szCs w:val="32"/>
          <w:shd w:val="clear" w:color="auto" w:fill="FFFFFF"/>
        </w:rPr>
        <w:t>（二）机构设置</w:t>
      </w:r>
    </w:p>
    <w:p>
      <w:pPr>
        <w:keepNext w:val="0"/>
        <w:keepLines w:val="0"/>
        <w:pageBreakBefore w:val="0"/>
        <w:widowControl/>
        <w:kinsoku/>
        <w:wordWrap/>
        <w:overflowPunct/>
        <w:topLinePunct w:val="0"/>
        <w:autoSpaceDN/>
        <w:bidi w:val="0"/>
        <w:adjustRightIn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酉阳土家族苗族自治县城镇管线综合管理事务中心，为县住房城乡建委管理的公益一类事业单位，机构规格为副科级，属全额拨款的事业单位。我单位核定编制8人，实有在册人数7人。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二、</w:t>
      </w: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决算</w:t>
      </w:r>
      <w:r>
        <w:rPr>
          <w:rStyle w:val="13"/>
          <w:rFonts w:hint="default" w:ascii="Times New Roman" w:hAnsi="Times New Roman" w:eastAsia="方正黑体_GBK" w:cs="Times New Roman"/>
          <w:b w:val="0"/>
          <w:bCs/>
          <w:sz w:val="32"/>
          <w:szCs w:val="32"/>
          <w:shd w:val="clear" w:color="auto" w:fill="FFFFFF"/>
          <w:lang w:eastAsia="zh-CN"/>
        </w:rPr>
        <w:t>收支</w:t>
      </w:r>
      <w:r>
        <w:rPr>
          <w:rStyle w:val="13"/>
          <w:rFonts w:hint="default" w:ascii="Times New Roman" w:hAnsi="Times New Roman" w:eastAsia="方正黑体_GBK" w:cs="Times New Roman"/>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146.84万元。收、支与2023年度相比，增加23.37万元，增长18.9%，主要原因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2024年度收入合计146.84万元，与2023年度相比，增加23.37万元，增长18.9%，主要原因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r>
        <w:rPr>
          <w:rFonts w:hint="default" w:ascii="Times New Roman" w:hAnsi="Times New Roman" w:eastAsia="方正仿宋_GBK" w:cs="Times New Roman"/>
          <w:sz w:val="32"/>
          <w:szCs w:val="32"/>
          <w:shd w:val="clear" w:color="auto" w:fill="FFFFFF"/>
        </w:rPr>
        <w:t>其中：财政拨款收入146.84万元，占100.0%；事业收入0.00万元，占0.0%；经营收入0.00万元，占0.0%；其他收入0.00万元，占0.0%。此外，使用非财政拨款结余（含专用结余）0.00万元，年初结转和结余0.00万元。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2024年度支出合计146.84万元，与2023年度相比，增加23.37万元，增长18.9%，主要原因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r>
        <w:rPr>
          <w:rFonts w:hint="default" w:ascii="Times New Roman" w:hAnsi="Times New Roman" w:eastAsia="方正仿宋_GBK" w:cs="Times New Roman"/>
          <w:sz w:val="32"/>
          <w:szCs w:val="32"/>
          <w:shd w:val="clear" w:color="auto" w:fill="FFFFFF"/>
        </w:rPr>
        <w:t>其中：基本支出146.84万元，占100.0%；项目支出0.00万元，占0.0%；经营支出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Style w:val="13"/>
          <w:rFonts w:hint="default"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w:t>
      </w:r>
      <w:r>
        <w:rPr>
          <w:rFonts w:hint="default" w:ascii="Times New Roman" w:hAnsi="Times New Roman" w:eastAsia="方正仿宋_GBK" w:cs="Times New Roman"/>
          <w:sz w:val="32"/>
          <w:szCs w:val="32"/>
          <w:shd w:val="clear" w:color="auto" w:fill="FFFFFF"/>
          <w:lang w:val="en-US" w:eastAsia="zh-CN" w:bidi="ar-SA"/>
        </w:rPr>
        <w:t>原因是变动为0。</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（二）财政拨款收入支出决算总体情况说明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2024年度财政拨款收、支总计均为146.84万元。与2023年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2024年度一般公共预算财政拨款收入146.84万元，与2023年度相比，增加23.37万元，增长18.9%。主要原因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较年初预算数增加18.59万元，增长14.5%。主要原因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r>
        <w:rPr>
          <w:rFonts w:hint="default" w:ascii="Times New Roman" w:hAnsi="Times New Roman" w:eastAsia="方正仿宋_GBK" w:cs="Times New Roman"/>
          <w:sz w:val="32"/>
          <w:szCs w:val="32"/>
          <w:shd w:val="clear" w:color="auto" w:fill="FFFFFF"/>
        </w:rPr>
        <w:t>此外，年初财政拨款结转和结余0.00万元。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2024年度一般公共预算财政拨款支出146.84万元，与2023年度相比，增加23.37万元，增长18.9%。主要原因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较年初预算数增加18.59万元，增长14.5%。主要原因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就业支出15.08万元，占10.3%，较年初预算数增加2.19万元，增长17.0%，主要原因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w:t>
      </w:r>
      <w:r>
        <w:rPr>
          <w:rFonts w:hint="default" w:ascii="Times New Roman" w:hAnsi="Times New Roman" w:eastAsia="方正仿宋_GBK" w:cs="Times New Roman"/>
          <w:sz w:val="32"/>
          <w:szCs w:val="32"/>
          <w:shd w:val="clear" w:color="auto" w:fill="FFFFFF"/>
          <w:lang w:val="en-US" w:eastAsia="zh-CN" w:bidi="ar-SA"/>
        </w:rPr>
        <w:t>支出6.41万元，占4.4%，较年初预算数无增减，主要原因是变动为0。</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）城乡社区支出120.53万元，占82.1%，较年初预算数增加17.81万元，增长17.3%，主要原因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r>
        <w:rPr>
          <w:rFonts w:hint="default" w:ascii="Times New Roman" w:hAnsi="Times New Roman" w:eastAsia="方正仿宋_GBK" w:cs="Times New Roman"/>
          <w:sz w:val="32"/>
          <w:szCs w:val="32"/>
          <w:shd w:val="clear" w:color="auto" w:fill="FFFFFF"/>
          <w:lang w:val="en-US" w:eastAsia="zh-CN"/>
        </w:rPr>
        <w:t>是人员正常薪资晋级。</w:t>
      </w:r>
    </w:p>
    <w:p>
      <w:pPr>
        <w:keepNext w:val="0"/>
        <w:keepLines w:val="0"/>
        <w:pageBreakBefore w:val="0"/>
        <w:widowControl/>
        <w:kinsoku/>
        <w:wordWrap/>
        <w:overflowPunct/>
        <w:topLinePunct w:val="0"/>
        <w:autoSpaceDN/>
        <w:bidi w:val="0"/>
        <w:adjustRightInd/>
        <w:spacing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4.83万元，</w:t>
      </w:r>
      <w:r>
        <w:rPr>
          <w:rFonts w:hint="default" w:ascii="Times New Roman" w:hAnsi="Times New Roman" w:eastAsia="方正仿宋_GBK" w:cs="Times New Roman"/>
          <w:sz w:val="32"/>
          <w:szCs w:val="32"/>
          <w:shd w:val="clear" w:color="auto" w:fill="FFFFFF"/>
          <w:lang w:val="en-US" w:eastAsia="zh-CN" w:bidi="ar-SA"/>
        </w:rPr>
        <w:t>占3.3%，较年初预算数减少1.41万元，下降22.6%，主要原因是人员变动，新进人员标准比原预算标准低，故导致住房保障支出降低。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变动为</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color w:val="FF0000"/>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2024年度一般公共财政拨款基本支出146.84万元。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人员经费132.48万元，与2023年度相比，增加23.40万元，增长21.5%，主要原因</w:t>
      </w:r>
      <w:r>
        <w:rPr>
          <w:rFonts w:hint="eastAsia"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lang w:val="en-US" w:eastAsia="zh-CN"/>
        </w:rPr>
        <w:t>是年初新进人员1人；</w:t>
      </w:r>
      <w:r>
        <w:rPr>
          <w:rFonts w:hint="eastAsia" w:ascii="Times New Roman" w:hAnsi="Times New Roman" w:eastAsia="方正仿宋_GBK" w:cs="Times New Roman"/>
          <w:sz w:val="32"/>
          <w:szCs w:val="32"/>
          <w:shd w:val="clear" w:color="auto" w:fill="FFFFFF"/>
          <w:lang w:val="en-US" w:eastAsia="zh-CN"/>
        </w:rPr>
        <w:t>二</w:t>
      </w:r>
      <w:bookmarkStart w:id="0" w:name="_GoBack"/>
      <w:bookmarkEnd w:id="0"/>
      <w:r>
        <w:rPr>
          <w:rFonts w:hint="default" w:ascii="Times New Roman" w:hAnsi="Times New Roman" w:eastAsia="方正仿宋_GBK" w:cs="Times New Roman"/>
          <w:sz w:val="32"/>
          <w:szCs w:val="32"/>
          <w:shd w:val="clear" w:color="auto" w:fill="FFFFFF"/>
          <w:lang w:val="en-US" w:eastAsia="zh-CN"/>
        </w:rPr>
        <w:t>是人员正常薪资晋级。</w:t>
      </w: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color w:val="auto"/>
          <w:sz w:val="32"/>
          <w:szCs w:val="32"/>
          <w:shd w:val="clear" w:color="auto" w:fill="FFFFFF"/>
          <w:lang w:eastAsia="zh-CN"/>
        </w:rPr>
        <w:t>为工资福利支出</w:t>
      </w:r>
      <w:r>
        <w:rPr>
          <w:rFonts w:hint="default" w:ascii="Times New Roman" w:hAnsi="Times New Roman" w:eastAsia="方正仿宋_GBK" w:cs="Times New Roman"/>
          <w:color w:val="auto"/>
          <w:sz w:val="32"/>
          <w:szCs w:val="32"/>
          <w:shd w:val="clear" w:color="auto" w:fill="FFFFFF"/>
          <w:lang w:val="en-US" w:eastAsia="zh-CN"/>
        </w:rPr>
        <w:t>132.48万元，</w:t>
      </w:r>
      <w:r>
        <w:rPr>
          <w:rFonts w:hint="default" w:ascii="Times New Roman" w:hAnsi="Times New Roman" w:eastAsia="方正仿宋_GBK" w:cs="Times New Roman"/>
          <w:color w:val="auto"/>
          <w:sz w:val="32"/>
          <w:szCs w:val="32"/>
          <w:shd w:val="clear" w:color="auto" w:fill="FFFFFF"/>
        </w:rPr>
        <w:t>用途主要包括</w:t>
      </w:r>
      <w:r>
        <w:rPr>
          <w:rFonts w:hint="default" w:ascii="Times New Roman" w:hAnsi="Times New Roman" w:eastAsia="方正仿宋_GBK" w:cs="Times New Roman"/>
          <w:color w:val="auto"/>
          <w:kern w:val="0"/>
          <w:sz w:val="32"/>
          <w:szCs w:val="32"/>
          <w:shd w:val="clear" w:fill="FFFFFF"/>
        </w:rPr>
        <w:t>发放单位工作人员工资薪酬和缴纳五险一金</w:t>
      </w:r>
      <w:r>
        <w:rPr>
          <w:rFonts w:hint="default" w:ascii="Times New Roman" w:hAnsi="Times New Roman" w:eastAsia="方正仿宋_GBK" w:cs="Times New Roman"/>
          <w:color w:val="FF0000"/>
          <w:sz w:val="32"/>
          <w:szCs w:val="32"/>
          <w:shd w:val="clear" w:color="auto" w:fill="FFFFFF"/>
        </w:rPr>
        <w:t>。</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Autospacing="0" w:line="600" w:lineRule="exact"/>
        <w:ind w:left="0" w:firstLine="640" w:firstLineChars="200"/>
        <w:jc w:val="left"/>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sz w:val="32"/>
          <w:szCs w:val="32"/>
          <w:shd w:val="clear" w:color="auto" w:fill="FFFFFF"/>
        </w:rPr>
        <w:t>公用经费14.36万元，与2023年度相比，减少0.03万元，下降0.2%，主要原因是</w:t>
      </w:r>
      <w:r>
        <w:rPr>
          <w:rFonts w:hint="default" w:ascii="Times New Roman" w:hAnsi="Times New Roman" w:eastAsia="方正仿宋_GBK" w:cs="Times New Roman"/>
          <w:sz w:val="32"/>
          <w:szCs w:val="32"/>
          <w:shd w:val="clear" w:color="auto" w:fill="FFFFFF"/>
          <w:lang w:eastAsia="zh-CN"/>
        </w:rPr>
        <w:t>按照财政要求，例行节约，压缩办公经费</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kern w:val="0"/>
          <w:sz w:val="32"/>
          <w:szCs w:val="32"/>
          <w:shd w:val="clear" w:fill="FFFFFF"/>
        </w:rPr>
        <w:t>单位的日常运转和工作人员差旅费的报销。</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Autospacing="0" w:line="600" w:lineRule="exact"/>
        <w:ind w:left="0" w:firstLine="640" w:firstLineChars="200"/>
        <w:jc w:val="left"/>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三、</w:t>
      </w:r>
      <w:r>
        <w:rPr>
          <w:rStyle w:val="13"/>
          <w:rFonts w:hint="default" w:ascii="Times New Roman" w:hAnsi="Times New Roman" w:eastAsia="方正黑体_GBK" w:cs="Times New Roman"/>
          <w:b w:val="0"/>
          <w:bCs/>
          <w:sz w:val="32"/>
          <w:szCs w:val="32"/>
          <w:shd w:val="clear" w:color="auto" w:fill="FFFFFF"/>
          <w:lang w:eastAsia="zh-CN"/>
        </w:rPr>
        <w:t>财政拨款</w:t>
      </w:r>
      <w:r>
        <w:rPr>
          <w:rStyle w:val="13"/>
          <w:rFonts w:hint="default" w:ascii="Times New Roman" w:hAnsi="Times New Roman" w:eastAsia="方正黑体_GBK" w:cs="Times New Roman"/>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color w:val="auto"/>
          <w:sz w:val="32"/>
          <w:szCs w:val="32"/>
          <w:shd w:val="clear" w:color="auto" w:fill="FFFFFF"/>
          <w:lang w:eastAsia="zh-CN"/>
        </w:rPr>
        <w:t>单位属于事业单位，财政未保障我单位“三公”经费。</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本单位属于事业单位，财政未保障我单位“三公”经费，变动为</w:t>
      </w:r>
      <w:r>
        <w:rPr>
          <w:rFonts w:hint="default"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费用0.00万元，主要是用于我单位无因公出国（境）事项。费用支出较年初预算数无增减，主要原因是我单位属于事业单位，财政未保障我单位“三公”经费。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2023年度和2024年度未发生因公出国（境）支出</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公务用车购置费0.00万。费用支出较年初预算数无增减，主要原因是本单位</w:t>
      </w:r>
      <w:r>
        <w:rPr>
          <w:rFonts w:hint="default" w:ascii="Times New Roman" w:hAnsi="Times New Roman" w:eastAsia="方正仿宋_GBK" w:cs="Times New Roman"/>
          <w:sz w:val="32"/>
          <w:szCs w:val="32"/>
          <w:shd w:val="clear" w:color="auto" w:fill="FFFFFF"/>
          <w:lang w:val="en-US" w:eastAsia="zh-CN"/>
        </w:rPr>
        <w:t>2024年未购置公务用车</w:t>
      </w:r>
      <w:r>
        <w:rPr>
          <w:rFonts w:hint="default" w:ascii="Times New Roman" w:hAnsi="Times New Roman" w:eastAsia="方正仿宋_GBK" w:cs="Times New Roman"/>
          <w:sz w:val="32"/>
          <w:szCs w:val="32"/>
          <w:shd w:val="clear" w:color="auto" w:fill="FFFFFF"/>
          <w:lang w:eastAsia="zh-CN"/>
        </w:rPr>
        <w:t>。较上年支出数无增减，主要原因是本单位</w:t>
      </w:r>
      <w:r>
        <w:rPr>
          <w:rFonts w:hint="default" w:ascii="Times New Roman" w:hAnsi="Times New Roman" w:eastAsia="方正仿宋_GBK" w:cs="Times New Roman"/>
          <w:sz w:val="32"/>
          <w:szCs w:val="32"/>
          <w:shd w:val="clear" w:color="auto" w:fill="FFFFFF"/>
          <w:lang w:val="en-US" w:eastAsia="zh-CN"/>
        </w:rPr>
        <w:t>2023年和2024年未购置公务用车。</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公务用车运行维护费0.00万元。费用支出较年初预算数无增减，</w:t>
      </w:r>
      <w:r>
        <w:rPr>
          <w:rFonts w:hint="default" w:ascii="Times New Roman" w:hAnsi="Times New Roman" w:eastAsia="方正仿宋_GBK" w:cs="Times New Roman"/>
          <w:sz w:val="32"/>
          <w:szCs w:val="32"/>
          <w:shd w:val="clear" w:color="auto" w:fill="FFFFFF"/>
          <w:lang w:val="en-US" w:eastAsia="zh-CN"/>
        </w:rPr>
        <w:t>主要原因是本单位年初未预算公务车运行费。较上年支出数无增减，主要原因是本单位2023年度和2024年度未发生公务车运行维护费支出。</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公务接待费0.00万元。费用支出较年初预算数无增减，主要原因是本单位年初未预算公务接待费。较上年支出数无增减，主要原因是本单位本年度未预算公务接待费，公务接待费在机关单位登记。</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本年度会议费支出0.00万元，与2023年度相比，无增减，主要原因是</w:t>
      </w:r>
      <w:r>
        <w:rPr>
          <w:rFonts w:hint="default" w:ascii="Times New Roman" w:hAnsi="Times New Roman" w:eastAsia="方正仿宋_GBK" w:cs="Times New Roman"/>
          <w:sz w:val="32"/>
          <w:szCs w:val="32"/>
          <w:shd w:val="clear" w:color="auto" w:fill="FFFFFF"/>
          <w:lang w:val="en-US" w:eastAsia="zh-CN"/>
        </w:rPr>
        <w:t>2023年与2024年均未产生会议费用支出</w:t>
      </w:r>
      <w:r>
        <w:rPr>
          <w:rFonts w:hint="default" w:ascii="Times New Roman" w:hAnsi="Times New Roman" w:eastAsia="方正仿宋_GBK" w:cs="Times New Roman"/>
          <w:sz w:val="32"/>
          <w:szCs w:val="32"/>
          <w:shd w:val="clear" w:color="auto" w:fill="FFFFFF"/>
        </w:rPr>
        <w:t>。本年度培训费支出0.38万元，与2023年度相比，增加0.38万元，增长100.0%，主要原因是</w:t>
      </w:r>
      <w:r>
        <w:rPr>
          <w:rFonts w:hint="default" w:ascii="Times New Roman" w:hAnsi="Times New Roman" w:eastAsia="方正仿宋_GBK" w:cs="Times New Roman"/>
          <w:sz w:val="32"/>
          <w:szCs w:val="32"/>
          <w:shd w:val="clear" w:color="auto" w:fill="FFFFFF"/>
          <w:lang w:eastAsia="zh-CN"/>
        </w:rPr>
        <w:t>本年度本单位人员继续教育培训费用在本单位登记</w:t>
      </w:r>
      <w:r>
        <w:rPr>
          <w:rFonts w:hint="default" w:ascii="Times New Roman" w:hAnsi="Times New Roman" w:eastAsia="方正仿宋_GBK" w:cs="Times New Roman"/>
          <w:sz w:val="32"/>
          <w:szCs w:val="32"/>
          <w:shd w:val="clear" w:color="auto" w:fill="FFFFFF"/>
        </w:rPr>
        <w:t>。本年度差旅费支出1.40万元，与2023年度相比，增加0.40万元，增长40.0%，主要原因是</w:t>
      </w:r>
      <w:r>
        <w:rPr>
          <w:rFonts w:hint="default" w:ascii="Times New Roman" w:hAnsi="Times New Roman" w:eastAsia="方正仿宋_GBK" w:cs="Times New Roman"/>
          <w:sz w:val="32"/>
          <w:szCs w:val="32"/>
          <w:shd w:val="clear" w:color="auto" w:fill="FFFFFF"/>
          <w:lang w:eastAsia="zh-CN"/>
        </w:rPr>
        <w:t>实际发生差旅业务比</w:t>
      </w:r>
      <w:r>
        <w:rPr>
          <w:rFonts w:hint="default" w:ascii="Times New Roman" w:hAnsi="Times New Roman" w:eastAsia="方正仿宋_GBK" w:cs="Times New Roman"/>
          <w:sz w:val="32"/>
          <w:szCs w:val="32"/>
          <w:shd w:val="clear" w:color="auto" w:fill="FFFFFF"/>
          <w:lang w:val="en-US" w:eastAsia="zh-CN"/>
        </w:rPr>
        <w:t>2023年多，导致差旅费用增加。</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因</w:t>
      </w:r>
      <w:r>
        <w:rPr>
          <w:rFonts w:hint="default" w:ascii="Times New Roman" w:hAnsi="Times New Roman" w:eastAsia="方正仿宋_GBK" w:cs="Times New Roman"/>
          <w:sz w:val="32"/>
          <w:szCs w:val="32"/>
          <w:shd w:val="clear" w:color="auto" w:fill="FFFFFF"/>
          <w:lang w:eastAsia="zh-CN"/>
        </w:rPr>
        <w:t>我单位与机关单位在同一办公地点办公</w:t>
      </w:r>
      <w:r>
        <w:rPr>
          <w:rFonts w:hint="default" w:ascii="Times New Roman" w:hAnsi="Times New Roman" w:eastAsia="方正仿宋_GBK" w:cs="Times New Roman"/>
          <w:sz w:val="32"/>
          <w:szCs w:val="32"/>
          <w:shd w:val="clear" w:color="auto" w:fill="FFFFFF"/>
        </w:rPr>
        <w:t>，我单位资产</w:t>
      </w:r>
      <w:r>
        <w:rPr>
          <w:rFonts w:hint="default" w:ascii="Times New Roman" w:hAnsi="Times New Roman" w:eastAsia="方正仿宋_GBK" w:cs="Times New Roman"/>
          <w:sz w:val="32"/>
          <w:szCs w:val="32"/>
          <w:shd w:val="clear" w:color="auto" w:fill="FFFFFF"/>
          <w:lang w:eastAsia="zh-CN"/>
        </w:rPr>
        <w:t>全部登记在机关单位，我单位</w:t>
      </w:r>
      <w:r>
        <w:rPr>
          <w:rFonts w:hint="default" w:ascii="Times New Roman" w:hAnsi="Times New Roman" w:eastAsia="方正仿宋_GBK" w:cs="Times New Roman"/>
          <w:sz w:val="32"/>
          <w:szCs w:val="32"/>
          <w:shd w:val="clear" w:color="auto" w:fill="FFFFFF"/>
        </w:rPr>
        <w:t>未纳入部门资产决算报表</w:t>
      </w:r>
    </w:p>
    <w:p>
      <w:pPr>
        <w:pStyle w:val="14"/>
        <w:keepNext w:val="0"/>
        <w:keepLines w:val="0"/>
        <w:pageBreakBefore w:val="0"/>
        <w:widowControl/>
        <w:kinsoku/>
        <w:wordWrap/>
        <w:overflowPunct/>
        <w:topLinePunct w:val="0"/>
        <w:autoSpaceDE w:val="0"/>
        <w:autoSpaceDN/>
        <w:bidi w:val="0"/>
        <w:adjustRightInd/>
        <w:snapToGrid/>
        <w:spacing w:afterAutospacing="0" w:line="600"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2024年度我单位未发生政府采购事项，无相关经费支出。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我单位无项目支出，未开展绩效自评。</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20"/>
        <w:autoSpaceDE w:val="0"/>
        <w:spacing w:line="596" w:lineRule="exact"/>
        <w:ind w:left="959" w:leftChars="266" w:hanging="321" w:hangingChars="100"/>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5"/>
        <w:autoSpaceDE w:val="0"/>
        <w:spacing w:before="0" w:beforeAutospacing="0" w:after="0" w:afterAutospacing="0" w:line="596" w:lineRule="exact"/>
        <w:ind w:firstLine="640" w:firstLineChars="200"/>
        <w:rPr>
          <w:rFonts w:hint="default" w:ascii="Times New Roman" w:hAnsi="Times New Roman" w:eastAsia="方正仿宋_GBK" w:cs="Times New Roman"/>
          <w:kern w:val="0"/>
          <w:sz w:val="32"/>
          <w:szCs w:val="32"/>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Style w:val="16"/>
          <w:rFonts w:hint="default" w:ascii="Times New Roman" w:hAnsi="Times New Roman" w:eastAsia="方正仿宋_GBK" w:cs="Times New Roman"/>
          <w:b/>
          <w:bCs/>
          <w:sz w:val="32"/>
          <w:szCs w:val="32"/>
          <w:shd w:val="clear" w:fill="FFFFFF"/>
        </w:rPr>
        <w:t xml:space="preserve"> </w:t>
      </w:r>
      <w:r>
        <w:rPr>
          <w:rStyle w:val="16"/>
          <w:rFonts w:hint="default" w:ascii="Times New Roman" w:hAnsi="Times New Roman" w:eastAsia="方正仿宋_GBK" w:cs="Times New Roman"/>
          <w:b/>
          <w:bCs/>
          <w:sz w:val="32"/>
          <w:szCs w:val="32"/>
          <w:shd w:val="clear" w:fill="FFFFFF"/>
          <w:lang w:val="en-US" w:eastAsia="zh-CN"/>
        </w:rPr>
        <w:t xml:space="preserve"> </w:t>
      </w:r>
      <w:r>
        <w:rPr>
          <w:rStyle w:val="16"/>
          <w:rFonts w:hint="default" w:ascii="Times New Roman" w:hAnsi="Times New Roman" w:eastAsia="方正黑体_GBK" w:cs="Times New Roman"/>
          <w:b w:val="0"/>
          <w:bCs/>
          <w:sz w:val="32"/>
          <w:szCs w:val="32"/>
          <w:shd w:val="clear" w:fill="FFFFFF"/>
          <w:lang w:val="en-US" w:eastAsia="zh-CN"/>
        </w:rPr>
        <w:t xml:space="preserve"> </w:t>
      </w:r>
      <w:r>
        <w:rPr>
          <w:rStyle w:val="13"/>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楷体" w:cs="Times New Roman"/>
          <w:sz w:val="32"/>
          <w:szCs w:val="32"/>
          <w:shd w:val="clear" w:color="auto" w:fill="FFFFFF"/>
          <w:lang w:val="en-US" w:eastAsia="zh-CN" w:bidi="ar-SA"/>
        </w:rPr>
        <w:t>（</w:t>
      </w:r>
      <w:r>
        <w:rPr>
          <w:rStyle w:val="13"/>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kern w:val="0"/>
          <w:sz w:val="32"/>
          <w:szCs w:val="32"/>
        </w:rPr>
      </w:pPr>
      <w:r>
        <w:rPr>
          <w:rStyle w:val="13"/>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600" w:lineRule="exact"/>
        <w:ind w:left="0" w:leftChars="0" w:firstLine="0" w:firstLineChars="0"/>
        <w:jc w:val="both"/>
        <w:textAlignment w:val="auto"/>
        <w:rPr>
          <w:rFonts w:hint="default" w:ascii="Times New Roman" w:hAnsi="Times New Roman" w:eastAsia="方正仿宋_GBK" w:cs="Times New Roman"/>
          <w:kern w:val="0"/>
          <w:sz w:val="32"/>
          <w:szCs w:val="32"/>
          <w:shd w:val="clear"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lang w:val="en-US" w:eastAsia="zh-CN" w:bidi="ar-SA"/>
        </w:rPr>
        <w:t>联系人：王梅             联系电话：023-75532356</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酉阳土家族苗族自治县城镇管线综合管理事务中心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酉阳土家族苗族自治县城镇管线综合管理事务中心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酉阳土家族苗族自治县城镇管线综合管理事务中心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酉阳土家族苗族自治县城镇管线综合管理事务中心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酉阳土家族苗族自治县城镇管线综合管理事务中心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酉阳土家族苗族自治县城镇管线综合管理事务中心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132.48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酉阳土家族苗族自治县城镇管线综合管理事务中心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酉阳土家族苗族自治县城镇管线综合管理事务中心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酉阳土家族苗族自治县城镇管线综合管理事务中心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3524C6"/>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F61CA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9D6899"/>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835C8E"/>
    <w:rsid w:val="5AD134D8"/>
    <w:rsid w:val="5BF41F67"/>
    <w:rsid w:val="5C263CE4"/>
    <w:rsid w:val="5C5D2777"/>
    <w:rsid w:val="5CF66BF3"/>
    <w:rsid w:val="5D290C69"/>
    <w:rsid w:val="5DA80C2C"/>
    <w:rsid w:val="5F2D4A41"/>
    <w:rsid w:val="60C74F6C"/>
    <w:rsid w:val="61015958"/>
    <w:rsid w:val="61025A59"/>
    <w:rsid w:val="613D5BBC"/>
    <w:rsid w:val="61536C39"/>
    <w:rsid w:val="62944DD7"/>
    <w:rsid w:val="62AD5BE3"/>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5773</Words>
  <Characters>7052</Characters>
  <Lines>186</Lines>
  <Paragraphs>52</Paragraphs>
  <TotalTime>2</TotalTime>
  <ScaleCrop>false</ScaleCrop>
  <LinksUpToDate>false</LinksUpToDate>
  <CharactersWithSpaces>7323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yyzjw</cp:lastModifiedBy>
  <dcterms:modified xsi:type="dcterms:W3CDTF">2025-10-16T03:55:21Z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BB46EABDBB2749749395447164B066B3_12</vt:lpwstr>
  </property>
  <property fmtid="{D5CDD505-2E9C-101B-9397-08002B2CF9AE}" pid="4" name="KSOTemplateDocerSaveRecord">
    <vt:lpwstr>eyJoZGlkIjoiMDhkMjQ3MGIxYmQ4NmNmOTZkYzg0MWQ4OGM5MjAxOTQiLCJ1c2VySWQiOiIxNjUwMDA0OTUwIn0=</vt:lpwstr>
  </property>
</Properties>
</file>