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0"/>
          <w:szCs w:val="40"/>
          <w:shd w:val="clear" w:color="auto" w:fill="FFFFFF"/>
        </w:rPr>
      </w:pPr>
      <w:r>
        <w:rPr>
          <w:rFonts w:hint="default" w:ascii="Times New Roman" w:hAnsi="Times New Roman" w:eastAsia="方正小标宋_GBK" w:cs="Times New Roman"/>
          <w:w w:val="92"/>
          <w:sz w:val="44"/>
          <w:szCs w:val="44"/>
        </w:rPr>
        <w:t>重庆市酉阳土家族苗族自治县房地产交易事务中心</w:t>
      </w:r>
      <w:r>
        <w:rPr>
          <w:rFonts w:hint="default" w:ascii="Times New Roman" w:hAnsi="Times New Roman" w:eastAsia="方正小标宋_GBK" w:cs="Times New Roman"/>
          <w:sz w:val="44"/>
          <w:szCs w:val="44"/>
        </w:rPr>
        <w:t>2024年度决算公开说明</w:t>
      </w:r>
    </w:p>
    <w:p>
      <w:pPr>
        <w:keepNext w:val="0"/>
        <w:keepLines w:val="0"/>
        <w:pageBreakBefore w:val="0"/>
        <w:widowControl/>
        <w:suppressLineNumbers w:val="0"/>
        <w:kinsoku/>
        <w:wordWrap/>
        <w:overflowPunct/>
        <w:topLinePunct w:val="0"/>
        <w:autoSpaceDE w:val="0"/>
        <w:autoSpaceDN/>
        <w:bidi w:val="0"/>
        <w:adjustRightInd/>
        <w:snapToGrid w:val="0"/>
        <w:spacing w:line="600" w:lineRule="exact"/>
        <w:ind w:left="0" w:firstLine="640" w:firstLineChars="200"/>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一、</w:t>
      </w:r>
      <w:r>
        <w:rPr>
          <w:rFonts w:hint="default" w:ascii="Times New Roman" w:hAnsi="Times New Roman" w:eastAsia="方正黑体_GBK" w:cs="Times New Roman"/>
          <w:color w:val="auto"/>
          <w:kern w:val="0"/>
          <w:sz w:val="32"/>
          <w:szCs w:val="32"/>
          <w:lang w:eastAsia="zh-CN"/>
        </w:rPr>
        <w:t>单位</w:t>
      </w:r>
      <w:r>
        <w:rPr>
          <w:rFonts w:hint="default" w:ascii="Times New Roman" w:hAnsi="Times New Roman" w:eastAsia="方正黑体_GBK" w:cs="Times New Roman"/>
          <w:color w:val="auto"/>
          <w:kern w:val="0"/>
          <w:sz w:val="32"/>
          <w:szCs w:val="32"/>
        </w:rPr>
        <w:t>基本情况</w:t>
      </w:r>
    </w:p>
    <w:p>
      <w:pPr>
        <w:keepNext w:val="0"/>
        <w:keepLines w:val="0"/>
        <w:pageBreakBefore w:val="0"/>
        <w:widowControl/>
        <w:suppressLineNumbers w:val="0"/>
        <w:kinsoku/>
        <w:wordWrap/>
        <w:overflowPunct/>
        <w:topLinePunct w:val="0"/>
        <w:autoSpaceDE w:val="0"/>
        <w:autoSpaceDN/>
        <w:bidi w:val="0"/>
        <w:adjustRightInd/>
        <w:snapToGrid w:val="0"/>
        <w:spacing w:line="600" w:lineRule="exact"/>
        <w:ind w:left="0" w:firstLine="643" w:firstLineChars="200"/>
        <w:textAlignment w:val="auto"/>
        <w:rPr>
          <w:rFonts w:hint="default" w:ascii="Times New Roman" w:hAnsi="Times New Roman" w:eastAsia="方正楷体_GB2312" w:cs="Times New Roman"/>
          <w:b/>
          <w:bCs/>
          <w:color w:val="auto"/>
          <w:kern w:val="0"/>
          <w:sz w:val="32"/>
          <w:szCs w:val="32"/>
        </w:rPr>
      </w:pPr>
      <w:r>
        <w:rPr>
          <w:rFonts w:hint="default" w:ascii="Times New Roman" w:hAnsi="Times New Roman" w:eastAsia="方正楷体_GB2312" w:cs="Times New Roman"/>
          <w:b/>
          <w:bCs/>
          <w:color w:val="auto"/>
          <w:kern w:val="0"/>
          <w:sz w:val="32"/>
          <w:szCs w:val="32"/>
        </w:rPr>
        <w:t>（一）职能职责</w:t>
      </w:r>
    </w:p>
    <w:p>
      <w:pPr>
        <w:keepNext w:val="0"/>
        <w:keepLines w:val="0"/>
        <w:pageBreakBefore w:val="0"/>
        <w:widowControl/>
        <w:suppressLineNumbers w:val="0"/>
        <w:kinsoku/>
        <w:wordWrap/>
        <w:overflowPunct/>
        <w:topLinePunct w:val="0"/>
        <w:autoSpaceDE w:val="0"/>
        <w:autoSpaceDN/>
        <w:bidi w:val="0"/>
        <w:adjustRightInd/>
        <w:snapToGrid w:val="0"/>
        <w:spacing w:line="600" w:lineRule="exact"/>
        <w:ind w:left="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1.为全县房地产市场调控、交易监管提供政策咨询、技术服务和人才支撑。</w:t>
      </w:r>
    </w:p>
    <w:p>
      <w:pPr>
        <w:keepNext w:val="0"/>
        <w:keepLines w:val="0"/>
        <w:pageBreakBefore w:val="0"/>
        <w:widowControl w:val="0"/>
        <w:suppressLineNumbers w:val="0"/>
        <w:kinsoku/>
        <w:wordWrap/>
        <w:overflowPunct/>
        <w:topLinePunct w:val="0"/>
        <w:autoSpaceDE w:val="0"/>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2.承担全县房地产交易市场统计分析，参与房地产有关政策研究。</w:t>
      </w:r>
    </w:p>
    <w:p>
      <w:pPr>
        <w:keepNext w:val="0"/>
        <w:keepLines w:val="0"/>
        <w:pageBreakBefore w:val="0"/>
        <w:widowControl w:val="0"/>
        <w:suppressLineNumbers w:val="0"/>
        <w:kinsoku/>
        <w:wordWrap/>
        <w:overflowPunct/>
        <w:topLinePunct w:val="0"/>
        <w:autoSpaceDE w:val="0"/>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3.承担全县商品房交易服务的具体事务性工作，以及与房地产登记工作的衔接。</w:t>
      </w:r>
    </w:p>
    <w:p>
      <w:pPr>
        <w:keepNext w:val="0"/>
        <w:keepLines w:val="0"/>
        <w:pageBreakBefore w:val="0"/>
        <w:widowControl w:val="0"/>
        <w:suppressLineNumbers w:val="0"/>
        <w:kinsoku/>
        <w:wordWrap/>
        <w:overflowPunct/>
        <w:topLinePunct w:val="0"/>
        <w:autoSpaceDE w:val="0"/>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4.为房地产交易市场监管、房屋面积管理等提供服务。</w:t>
      </w:r>
    </w:p>
    <w:p>
      <w:pPr>
        <w:keepNext w:val="0"/>
        <w:keepLines w:val="0"/>
        <w:pageBreakBefore w:val="0"/>
        <w:widowControl w:val="0"/>
        <w:suppressLineNumbers w:val="0"/>
        <w:kinsoku/>
        <w:wordWrap/>
        <w:overflowPunct/>
        <w:topLinePunct w:val="0"/>
        <w:autoSpaceDE w:val="0"/>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5.完成县住房城乡建委交办的其他事务性工作。</w:t>
      </w:r>
    </w:p>
    <w:p>
      <w:pPr>
        <w:keepNext w:val="0"/>
        <w:keepLines w:val="0"/>
        <w:pageBreakBefore w:val="0"/>
        <w:widowControl/>
        <w:suppressLineNumbers w:val="0"/>
        <w:kinsoku/>
        <w:wordWrap/>
        <w:overflowPunct/>
        <w:topLinePunct w:val="0"/>
        <w:autoSpaceDE w:val="0"/>
        <w:autoSpaceDN/>
        <w:bidi w:val="0"/>
        <w:adjustRightInd/>
        <w:snapToGrid w:val="0"/>
        <w:spacing w:line="600" w:lineRule="exact"/>
        <w:ind w:left="0" w:firstLine="643" w:firstLineChars="200"/>
        <w:textAlignment w:val="auto"/>
        <w:rPr>
          <w:rFonts w:hint="default" w:ascii="Times New Roman" w:hAnsi="Times New Roman" w:eastAsia="方正楷体_GB2312" w:cs="Times New Roman"/>
          <w:b/>
          <w:bCs/>
          <w:color w:val="auto"/>
          <w:kern w:val="0"/>
          <w:sz w:val="32"/>
          <w:szCs w:val="32"/>
          <w:lang w:eastAsia="zh-CN"/>
        </w:rPr>
      </w:pPr>
      <w:r>
        <w:rPr>
          <w:rFonts w:hint="default" w:ascii="Times New Roman" w:hAnsi="Times New Roman" w:eastAsia="方正楷体_GB2312" w:cs="Times New Roman"/>
          <w:b/>
          <w:bCs/>
          <w:color w:val="auto"/>
          <w:kern w:val="0"/>
          <w:sz w:val="32"/>
          <w:szCs w:val="32"/>
          <w:lang w:eastAsia="zh-CN"/>
        </w:rPr>
        <w:t>（二）机构设置</w:t>
      </w:r>
    </w:p>
    <w:p>
      <w:pPr>
        <w:keepNext w:val="0"/>
        <w:keepLines w:val="0"/>
        <w:pageBreakBefore w:val="0"/>
        <w:widowControl/>
        <w:suppressLineNumbers w:val="0"/>
        <w:kinsoku/>
        <w:wordWrap/>
        <w:overflowPunct/>
        <w:topLinePunct w:val="0"/>
        <w:autoSpaceDE w:val="0"/>
        <w:autoSpaceDN/>
        <w:bidi w:val="0"/>
        <w:adjustRightInd/>
        <w:snapToGrid w:val="0"/>
        <w:spacing w:line="600" w:lineRule="exact"/>
        <w:ind w:left="0" w:firstLine="640" w:firstLineChars="200"/>
        <w:textAlignment w:val="auto"/>
        <w:rPr>
          <w:rFonts w:hint="default" w:ascii="Times New Roman" w:hAnsi="Times New Roman" w:eastAsia="方正楷体_GBK" w:cs="Times New Roman"/>
          <w:b/>
          <w:bCs w:val="0"/>
          <w:color w:val="auto"/>
          <w:kern w:val="0"/>
          <w:sz w:val="32"/>
          <w:szCs w:val="32"/>
          <w:shd w:val="clear" w:fill="FFFFFF"/>
        </w:rPr>
      </w:pPr>
      <w:r>
        <w:rPr>
          <w:rFonts w:hint="default" w:ascii="Times New Roman" w:hAnsi="Times New Roman" w:eastAsia="方正仿宋_GBK" w:cs="Times New Roman"/>
          <w:color w:val="auto"/>
          <w:kern w:val="0"/>
          <w:sz w:val="32"/>
          <w:szCs w:val="32"/>
        </w:rPr>
        <w:t>酉阳土家族苗族自治县房地产交易事务中心，为县住房城乡建委管理的公益一类事业单位，机构规格为副科级，属全额拨款的事业单位。我单位核定编制10人，实有在册人数10人。</w:t>
      </w:r>
    </w:p>
    <w:p>
      <w:pPr>
        <w:keepNext w:val="0"/>
        <w:keepLines w:val="0"/>
        <w:pageBreakBefore w:val="0"/>
        <w:widowControl w:val="0"/>
        <w:suppressLineNumbers w:val="0"/>
        <w:kinsoku/>
        <w:wordWrap/>
        <w:overflowPunct/>
        <w:topLinePunct w:val="0"/>
        <w:autoSpaceDE w:val="0"/>
        <w:autoSpaceDN/>
        <w:bidi w:val="0"/>
        <w:adjustRightInd/>
        <w:snapToGrid w:val="0"/>
        <w:spacing w:line="600" w:lineRule="exact"/>
        <w:ind w:left="0" w:leftChars="0" w:firstLine="640" w:firstLineChars="200"/>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二、</w:t>
      </w:r>
      <w:r>
        <w:rPr>
          <w:rFonts w:hint="default" w:ascii="Times New Roman" w:hAnsi="Times New Roman" w:eastAsia="方正黑体_GBK" w:cs="Times New Roman"/>
          <w:color w:val="auto"/>
          <w:kern w:val="0"/>
          <w:sz w:val="32"/>
          <w:szCs w:val="32"/>
          <w:lang w:eastAsia="zh-CN"/>
        </w:rPr>
        <w:t>单位</w:t>
      </w:r>
      <w:r>
        <w:rPr>
          <w:rFonts w:hint="default" w:ascii="Times New Roman" w:hAnsi="Times New Roman" w:eastAsia="方正黑体_GBK" w:cs="Times New Roman"/>
          <w:color w:val="auto"/>
          <w:kern w:val="0"/>
          <w:sz w:val="32"/>
          <w:szCs w:val="32"/>
        </w:rPr>
        <w:t>决算</w:t>
      </w:r>
      <w:r>
        <w:rPr>
          <w:rFonts w:hint="default" w:ascii="Times New Roman" w:hAnsi="Times New Roman" w:eastAsia="方正黑体_GBK" w:cs="Times New Roman"/>
          <w:color w:val="auto"/>
          <w:kern w:val="0"/>
          <w:sz w:val="32"/>
          <w:szCs w:val="32"/>
          <w:lang w:eastAsia="zh-CN"/>
        </w:rPr>
        <w:t>收支</w:t>
      </w:r>
      <w:r>
        <w:rPr>
          <w:rFonts w:hint="default" w:ascii="Times New Roman" w:hAnsi="Times New Roman" w:eastAsia="方正黑体_GBK" w:cs="Times New Roman"/>
          <w:color w:val="auto"/>
          <w:kern w:val="0"/>
          <w:sz w:val="32"/>
          <w:szCs w:val="32"/>
        </w:rPr>
        <w:t>情况说明</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keepNext w:val="0"/>
        <w:keepLines w:val="0"/>
        <w:pageBreakBefore w:val="0"/>
        <w:widowControl w:val="0"/>
        <w:suppressLineNumbers w:val="0"/>
        <w:kinsoku/>
        <w:wordWrap/>
        <w:overflowPunct/>
        <w:topLinePunct w:val="0"/>
        <w:autoSpaceDE w:val="0"/>
        <w:autoSpaceDN/>
        <w:bidi w:val="0"/>
        <w:adjustRightInd/>
        <w:snapToGrid w:val="0"/>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2024年度收</w:t>
      </w:r>
      <w:r>
        <w:rPr>
          <w:rFonts w:hint="default" w:ascii="Times New Roman" w:hAnsi="Times New Roman" w:eastAsia="方正仿宋_GBK" w:cs="Times New Roman"/>
          <w:color w:val="auto"/>
          <w:kern w:val="0"/>
          <w:sz w:val="32"/>
          <w:szCs w:val="32"/>
          <w:lang w:eastAsia="zh-CN"/>
        </w:rPr>
        <w:t>、支</w:t>
      </w:r>
      <w:r>
        <w:rPr>
          <w:rFonts w:hint="default" w:ascii="Times New Roman" w:hAnsi="Times New Roman" w:eastAsia="方正仿宋_GBK" w:cs="Times New Roman"/>
          <w:color w:val="auto"/>
          <w:kern w:val="0"/>
          <w:sz w:val="32"/>
          <w:szCs w:val="32"/>
        </w:rPr>
        <w:t>总计</w:t>
      </w:r>
      <w:r>
        <w:rPr>
          <w:rFonts w:hint="default" w:ascii="Times New Roman" w:hAnsi="Times New Roman" w:eastAsia="方正仿宋_GBK" w:cs="Times New Roman"/>
          <w:color w:val="auto"/>
          <w:kern w:val="0"/>
          <w:sz w:val="32"/>
          <w:szCs w:val="32"/>
          <w:lang w:eastAsia="zh-CN"/>
        </w:rPr>
        <w:t>均为</w:t>
      </w:r>
      <w:r>
        <w:rPr>
          <w:rFonts w:hint="default" w:ascii="Times New Roman" w:hAnsi="Times New Roman" w:eastAsia="方正仿宋_GBK" w:cs="Times New Roman"/>
          <w:color w:val="auto"/>
          <w:kern w:val="0"/>
          <w:sz w:val="32"/>
          <w:szCs w:val="32"/>
        </w:rPr>
        <w:t>208.61万元。收、支与2023年度相比，增加17.27万元，增长9.0%，主要原因</w:t>
      </w:r>
      <w:r>
        <w:rPr>
          <w:rFonts w:hint="eastAsia" w:ascii="Times New Roman" w:hAnsi="Times New Roman" w:eastAsia="方正仿宋_GBK" w:cs="Times New Roman"/>
          <w:color w:val="auto"/>
          <w:kern w:val="0"/>
          <w:sz w:val="32"/>
          <w:szCs w:val="32"/>
          <w:lang w:val="en-US" w:eastAsia="zh-CN"/>
        </w:rPr>
        <w:t>一是</w:t>
      </w:r>
      <w:r>
        <w:rPr>
          <w:rFonts w:hint="default" w:ascii="Times New Roman" w:hAnsi="Times New Roman" w:eastAsia="方正仿宋_GBK" w:cs="Times New Roman"/>
          <w:color w:val="auto"/>
          <w:kern w:val="0"/>
          <w:sz w:val="32"/>
          <w:szCs w:val="32"/>
        </w:rPr>
        <w:t>超额绩效纳入养老保险基数，人员经费增加；</w:t>
      </w:r>
      <w:r>
        <w:rPr>
          <w:rFonts w:hint="eastAsia" w:ascii="Times New Roman" w:hAnsi="Times New Roman" w:eastAsia="方正仿宋_GBK" w:cs="Times New Roman"/>
          <w:color w:val="auto"/>
          <w:kern w:val="0"/>
          <w:sz w:val="32"/>
          <w:szCs w:val="32"/>
          <w:lang w:val="en-US" w:eastAsia="zh-CN"/>
        </w:rPr>
        <w:t>二是</w:t>
      </w:r>
      <w:r>
        <w:rPr>
          <w:rFonts w:hint="default" w:ascii="Times New Roman" w:hAnsi="Times New Roman" w:eastAsia="方正仿宋_GBK" w:cs="Times New Roman"/>
          <w:color w:val="auto"/>
          <w:kern w:val="0"/>
          <w:sz w:val="32"/>
          <w:szCs w:val="32"/>
        </w:rPr>
        <w:t>薪级工资正常增加。</w:t>
      </w:r>
    </w:p>
    <w:p>
      <w:pPr>
        <w:keepNext w:val="0"/>
        <w:keepLines w:val="0"/>
        <w:pageBreakBefore w:val="0"/>
        <w:widowControl w:val="0"/>
        <w:suppressLineNumbers w:val="0"/>
        <w:kinsoku/>
        <w:wordWrap/>
        <w:overflowPunct/>
        <w:topLinePunct w:val="0"/>
        <w:autoSpaceDE w:val="0"/>
        <w:autoSpaceDN/>
        <w:bidi w:val="0"/>
        <w:adjustRightInd/>
        <w:snapToGrid w:val="0"/>
        <w:spacing w:line="600" w:lineRule="exact"/>
        <w:ind w:left="0" w:leftChars="0" w:firstLine="643"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color w:val="auto"/>
          <w:kern w:val="0"/>
          <w:sz w:val="32"/>
          <w:szCs w:val="32"/>
          <w:lang w:val="en-US" w:eastAsia="zh-CN"/>
        </w:rPr>
        <w:t>1</w:t>
      </w:r>
      <w:r>
        <w:rPr>
          <w:rFonts w:hint="default" w:ascii="Times New Roman" w:hAnsi="Times New Roman" w:eastAsia="方正仿宋_GBK" w:cs="Times New Roman"/>
          <w:b/>
          <w:bCs/>
          <w:color w:val="auto"/>
          <w:kern w:val="0"/>
          <w:sz w:val="32"/>
          <w:szCs w:val="32"/>
        </w:rPr>
        <w:t>.收入情况。</w:t>
      </w:r>
      <w:r>
        <w:rPr>
          <w:rFonts w:hint="default" w:ascii="Times New Roman" w:hAnsi="Times New Roman" w:eastAsia="方正仿宋_GBK" w:cs="Times New Roman"/>
          <w:color w:val="auto"/>
          <w:kern w:val="0"/>
          <w:sz w:val="32"/>
          <w:szCs w:val="32"/>
        </w:rPr>
        <w:t>2024年度收入合计208.61万元，与2023年度相比，增加17.27万元，增长9.0%，主要原因</w:t>
      </w:r>
      <w:r>
        <w:rPr>
          <w:rFonts w:hint="eastAsia" w:ascii="Times New Roman" w:hAnsi="Times New Roman" w:eastAsia="方正仿宋_GBK" w:cs="Times New Roman"/>
          <w:color w:val="auto"/>
          <w:kern w:val="0"/>
          <w:sz w:val="32"/>
          <w:szCs w:val="32"/>
          <w:lang w:val="en-US" w:eastAsia="zh-CN"/>
        </w:rPr>
        <w:t>一是</w:t>
      </w:r>
      <w:r>
        <w:rPr>
          <w:rFonts w:hint="default" w:ascii="Times New Roman" w:hAnsi="Times New Roman" w:eastAsia="方正仿宋_GBK" w:cs="Times New Roman"/>
          <w:color w:val="auto"/>
          <w:kern w:val="0"/>
          <w:sz w:val="32"/>
          <w:szCs w:val="32"/>
        </w:rPr>
        <w:t>超额绩效纳入养老保险基数，人员经费增加；</w:t>
      </w:r>
      <w:r>
        <w:rPr>
          <w:rFonts w:hint="eastAsia" w:ascii="Times New Roman" w:hAnsi="Times New Roman" w:eastAsia="方正仿宋_GBK" w:cs="Times New Roman"/>
          <w:color w:val="auto"/>
          <w:kern w:val="0"/>
          <w:sz w:val="32"/>
          <w:szCs w:val="32"/>
          <w:lang w:val="en-US" w:eastAsia="zh-CN"/>
        </w:rPr>
        <w:t>二是</w:t>
      </w:r>
      <w:r>
        <w:rPr>
          <w:rFonts w:hint="default" w:ascii="Times New Roman" w:hAnsi="Times New Roman" w:eastAsia="方正仿宋_GBK" w:cs="Times New Roman"/>
          <w:color w:val="auto"/>
          <w:kern w:val="0"/>
          <w:sz w:val="32"/>
          <w:szCs w:val="32"/>
        </w:rPr>
        <w:t>薪级工资正常增加。其中：财政拨款收入208.61万元，占100.0%；事业收入0.00万元，占0.0%；经营收入0.00万元，占0.0%；其他收入0.00万元，占0.0%。此外，使用非财政拨款结余（含专用结余）0.00万元，年初结转和结余0.00万元。</w:t>
      </w:r>
    </w:p>
    <w:p>
      <w:pPr>
        <w:keepNext w:val="0"/>
        <w:keepLines w:val="0"/>
        <w:pageBreakBefore w:val="0"/>
        <w:widowControl w:val="0"/>
        <w:suppressLineNumbers w:val="0"/>
        <w:kinsoku/>
        <w:wordWrap/>
        <w:overflowPunct/>
        <w:topLinePunct w:val="0"/>
        <w:autoSpaceDE w:val="0"/>
        <w:autoSpaceDN/>
        <w:bidi w:val="0"/>
        <w:adjustRightInd/>
        <w:snapToGrid w:val="0"/>
        <w:spacing w:line="600" w:lineRule="exact"/>
        <w:ind w:left="0" w:leftChars="0" w:firstLine="643"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color w:val="auto"/>
          <w:kern w:val="0"/>
          <w:sz w:val="32"/>
          <w:szCs w:val="32"/>
          <w:lang w:val="en-US" w:eastAsia="zh-CN"/>
        </w:rPr>
        <w:t>2</w:t>
      </w:r>
      <w:r>
        <w:rPr>
          <w:rFonts w:hint="default" w:ascii="Times New Roman" w:hAnsi="Times New Roman" w:eastAsia="方正仿宋_GBK" w:cs="Times New Roman"/>
          <w:b/>
          <w:bCs/>
          <w:color w:val="auto"/>
          <w:kern w:val="0"/>
          <w:sz w:val="32"/>
          <w:szCs w:val="32"/>
        </w:rPr>
        <w:t>.支出情况。</w:t>
      </w:r>
      <w:r>
        <w:rPr>
          <w:rFonts w:hint="default" w:ascii="Times New Roman" w:hAnsi="Times New Roman" w:eastAsia="方正仿宋_GBK" w:cs="Times New Roman"/>
          <w:color w:val="auto"/>
          <w:kern w:val="0"/>
          <w:sz w:val="32"/>
          <w:szCs w:val="32"/>
        </w:rPr>
        <w:t>2024年度支出合计208.61万元，与2023年度相比，增加17.27万元，增长9.0%，主要原因</w:t>
      </w:r>
      <w:r>
        <w:rPr>
          <w:rFonts w:hint="eastAsia" w:ascii="Times New Roman" w:hAnsi="Times New Roman" w:eastAsia="方正仿宋_GBK" w:cs="Times New Roman"/>
          <w:color w:val="auto"/>
          <w:kern w:val="0"/>
          <w:sz w:val="32"/>
          <w:szCs w:val="32"/>
          <w:lang w:val="en-US" w:eastAsia="zh-CN"/>
        </w:rPr>
        <w:t>一是</w:t>
      </w:r>
      <w:r>
        <w:rPr>
          <w:rFonts w:hint="default" w:ascii="Times New Roman" w:hAnsi="Times New Roman" w:eastAsia="方正仿宋_GBK" w:cs="Times New Roman"/>
          <w:color w:val="auto"/>
          <w:kern w:val="0"/>
          <w:sz w:val="32"/>
          <w:szCs w:val="32"/>
        </w:rPr>
        <w:t>超额绩效纳入养老保险基数，人员经费增加；</w:t>
      </w:r>
      <w:r>
        <w:rPr>
          <w:rFonts w:hint="eastAsia" w:ascii="Times New Roman" w:hAnsi="Times New Roman" w:eastAsia="方正仿宋_GBK" w:cs="Times New Roman"/>
          <w:color w:val="auto"/>
          <w:kern w:val="0"/>
          <w:sz w:val="32"/>
          <w:szCs w:val="32"/>
          <w:lang w:val="en-US" w:eastAsia="zh-CN"/>
        </w:rPr>
        <w:t>二是</w:t>
      </w:r>
      <w:r>
        <w:rPr>
          <w:rFonts w:hint="default" w:ascii="Times New Roman" w:hAnsi="Times New Roman" w:eastAsia="方正仿宋_GBK" w:cs="Times New Roman"/>
          <w:color w:val="auto"/>
          <w:kern w:val="0"/>
          <w:sz w:val="32"/>
          <w:szCs w:val="32"/>
        </w:rPr>
        <w:t>薪级工资正常增加。其中：基本支出208.61万元，占100.0%；项目支出0.00万元，占0.0%；经营支出0.00万元，占0.0%。此外，结余分配0.00万元。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2024年度财政拨款收、支总计均为208.61万元。与2023年度相比，财政拨款收、支总计各增加17.27万元，增长9.0%。主要原因</w:t>
      </w:r>
      <w:r>
        <w:rPr>
          <w:rFonts w:hint="eastAsia" w:ascii="Times New Roman" w:hAnsi="Times New Roman" w:eastAsia="方正仿宋_GBK" w:cs="Times New Roman"/>
          <w:sz w:val="32"/>
          <w:szCs w:val="32"/>
          <w:shd w:val="clear" w:color="auto" w:fill="FFFFFF"/>
          <w:lang w:val="en-US" w:eastAsia="zh-CN"/>
        </w:rPr>
        <w:t>一是</w:t>
      </w:r>
      <w:r>
        <w:rPr>
          <w:rFonts w:hint="default" w:ascii="Times New Roman" w:hAnsi="Times New Roman" w:eastAsia="方正仿宋_GBK" w:cs="Times New Roman"/>
          <w:sz w:val="32"/>
          <w:szCs w:val="32"/>
          <w:shd w:val="clear" w:color="auto" w:fill="FFFFFF"/>
          <w:lang w:eastAsia="zh-CN"/>
        </w:rPr>
        <w:t>超额绩效纳入养老保险基数，人员经费增加；</w:t>
      </w:r>
      <w:r>
        <w:rPr>
          <w:rFonts w:hint="eastAsia" w:ascii="Times New Roman" w:hAnsi="Times New Roman" w:eastAsia="方正仿宋_GBK" w:cs="Times New Roman"/>
          <w:sz w:val="32"/>
          <w:szCs w:val="32"/>
          <w:shd w:val="clear" w:color="auto" w:fill="FFFFFF"/>
          <w:lang w:val="en-US" w:eastAsia="zh-CN"/>
        </w:rPr>
        <w:t>二是</w:t>
      </w:r>
      <w:r>
        <w:rPr>
          <w:rFonts w:hint="default" w:ascii="Times New Roman" w:hAnsi="Times New Roman" w:eastAsia="方正仿宋_GBK" w:cs="Times New Roman"/>
          <w:sz w:val="32"/>
          <w:szCs w:val="32"/>
          <w:shd w:val="clear" w:color="auto" w:fill="FFFFFF"/>
          <w:lang w:eastAsia="zh-CN"/>
        </w:rPr>
        <w:t>薪级工资正常增加。</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b/>
          <w:bCs/>
          <w:sz w:val="32"/>
          <w:szCs w:val="32"/>
          <w:shd w:val="clear" w:color="auto" w:fill="FFFFFF"/>
          <w:lang w:eastAsia="zh-CN"/>
        </w:rPr>
        <w:t>1.收入情况。</w:t>
      </w:r>
      <w:r>
        <w:rPr>
          <w:rFonts w:hint="default" w:ascii="Times New Roman" w:hAnsi="Times New Roman" w:eastAsia="方正仿宋_GBK" w:cs="Times New Roman"/>
          <w:sz w:val="32"/>
          <w:szCs w:val="32"/>
          <w:shd w:val="clear" w:color="auto" w:fill="FFFFFF"/>
          <w:lang w:eastAsia="zh-CN"/>
        </w:rPr>
        <w:t>2024年度一般公共预算财政拨款收入208.61万元，与2023年度相比，增加17.27万元，增长9.0%。主要原因</w:t>
      </w:r>
      <w:r>
        <w:rPr>
          <w:rFonts w:hint="eastAsia" w:ascii="Times New Roman" w:hAnsi="Times New Roman" w:eastAsia="方正仿宋_GBK" w:cs="Times New Roman"/>
          <w:sz w:val="32"/>
          <w:szCs w:val="32"/>
          <w:shd w:val="clear" w:color="auto" w:fill="FFFFFF"/>
          <w:lang w:val="en-US" w:eastAsia="zh-CN"/>
        </w:rPr>
        <w:t>一是</w:t>
      </w:r>
      <w:r>
        <w:rPr>
          <w:rFonts w:hint="default" w:ascii="Times New Roman" w:hAnsi="Times New Roman" w:eastAsia="方正仿宋_GBK" w:cs="Times New Roman"/>
          <w:sz w:val="32"/>
          <w:szCs w:val="32"/>
          <w:shd w:val="clear" w:color="auto" w:fill="FFFFFF"/>
          <w:lang w:eastAsia="zh-CN"/>
        </w:rPr>
        <w:t>超额绩效纳入养老保险基数，人员经费增加；</w:t>
      </w:r>
      <w:r>
        <w:rPr>
          <w:rFonts w:hint="eastAsia" w:ascii="Times New Roman" w:hAnsi="Times New Roman" w:eastAsia="方正仿宋_GBK" w:cs="Times New Roman"/>
          <w:sz w:val="32"/>
          <w:szCs w:val="32"/>
          <w:shd w:val="clear" w:color="auto" w:fill="FFFFFF"/>
          <w:lang w:val="en-US" w:eastAsia="zh-CN"/>
        </w:rPr>
        <w:t>二是</w:t>
      </w:r>
      <w:r>
        <w:rPr>
          <w:rFonts w:hint="default" w:ascii="Times New Roman" w:hAnsi="Times New Roman" w:eastAsia="方正仿宋_GBK" w:cs="Times New Roman"/>
          <w:sz w:val="32"/>
          <w:szCs w:val="32"/>
          <w:shd w:val="clear" w:color="auto" w:fill="FFFFFF"/>
          <w:lang w:eastAsia="zh-CN"/>
        </w:rPr>
        <w:t>薪级工资正常增加。较年初预算数增加15.02万元，增长7.8%。主要原因</w:t>
      </w:r>
      <w:r>
        <w:rPr>
          <w:rFonts w:hint="eastAsia" w:ascii="Times New Roman" w:hAnsi="Times New Roman" w:eastAsia="方正仿宋_GBK" w:cs="Times New Roman"/>
          <w:sz w:val="32"/>
          <w:szCs w:val="32"/>
          <w:shd w:val="clear" w:color="auto" w:fill="FFFFFF"/>
          <w:lang w:val="en-US" w:eastAsia="zh-CN"/>
        </w:rPr>
        <w:t>一是</w:t>
      </w:r>
      <w:r>
        <w:rPr>
          <w:rFonts w:hint="default" w:ascii="Times New Roman" w:hAnsi="Times New Roman" w:eastAsia="方正仿宋_GBK" w:cs="Times New Roman"/>
          <w:sz w:val="32"/>
          <w:szCs w:val="32"/>
          <w:shd w:val="clear" w:color="auto" w:fill="FFFFFF"/>
          <w:lang w:eastAsia="zh-CN"/>
        </w:rPr>
        <w:t>超额绩效纳入养老保险基数，人员经费增加；</w:t>
      </w:r>
      <w:r>
        <w:rPr>
          <w:rFonts w:hint="eastAsia" w:ascii="Times New Roman" w:hAnsi="Times New Roman" w:eastAsia="方正仿宋_GBK" w:cs="Times New Roman"/>
          <w:sz w:val="32"/>
          <w:szCs w:val="32"/>
          <w:shd w:val="clear" w:color="auto" w:fill="FFFFFF"/>
          <w:lang w:val="en-US" w:eastAsia="zh-CN"/>
        </w:rPr>
        <w:t>二是</w:t>
      </w:r>
      <w:r>
        <w:rPr>
          <w:rFonts w:hint="default" w:ascii="Times New Roman" w:hAnsi="Times New Roman" w:eastAsia="方正仿宋_GBK" w:cs="Times New Roman"/>
          <w:sz w:val="32"/>
          <w:szCs w:val="32"/>
          <w:shd w:val="clear" w:color="auto" w:fill="FFFFFF"/>
          <w:lang w:eastAsia="zh-CN"/>
        </w:rPr>
        <w:t>薪级工资正常增加。此外，年初财政拨款结转和结余0.00万元。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lang w:eastAsia="zh-CN"/>
        </w:rPr>
        <w:t>2.支出情况。</w:t>
      </w:r>
      <w:r>
        <w:rPr>
          <w:rFonts w:hint="default" w:ascii="Times New Roman" w:hAnsi="Times New Roman" w:eastAsia="方正仿宋_GBK" w:cs="Times New Roman"/>
          <w:sz w:val="32"/>
          <w:szCs w:val="32"/>
          <w:shd w:val="clear" w:color="auto" w:fill="FFFFFF"/>
          <w:lang w:eastAsia="zh-CN"/>
        </w:rPr>
        <w:t>2024年度一般公共预算财政拨款支出208.61万元，与2023年度相比，增加17.27万元，增长9.0%。主要原因</w:t>
      </w:r>
      <w:r>
        <w:rPr>
          <w:rFonts w:hint="eastAsia" w:ascii="Times New Roman" w:hAnsi="Times New Roman" w:eastAsia="方正仿宋_GBK" w:cs="Times New Roman"/>
          <w:sz w:val="32"/>
          <w:szCs w:val="32"/>
          <w:shd w:val="clear" w:color="auto" w:fill="FFFFFF"/>
          <w:lang w:val="en-US" w:eastAsia="zh-CN"/>
        </w:rPr>
        <w:t>一是</w:t>
      </w:r>
      <w:r>
        <w:rPr>
          <w:rFonts w:hint="default" w:ascii="Times New Roman" w:hAnsi="Times New Roman" w:eastAsia="方正仿宋_GBK" w:cs="Times New Roman"/>
          <w:sz w:val="32"/>
          <w:szCs w:val="32"/>
          <w:shd w:val="clear" w:color="auto" w:fill="FFFFFF"/>
          <w:lang w:eastAsia="zh-CN"/>
        </w:rPr>
        <w:t>超额绩效纳入养老保险基数，人员经费增加；</w:t>
      </w:r>
      <w:r>
        <w:rPr>
          <w:rFonts w:hint="eastAsia" w:ascii="Times New Roman" w:hAnsi="Times New Roman" w:eastAsia="方正仿宋_GBK" w:cs="Times New Roman"/>
          <w:sz w:val="32"/>
          <w:szCs w:val="32"/>
          <w:shd w:val="clear" w:color="auto" w:fill="FFFFFF"/>
          <w:lang w:val="en-US" w:eastAsia="zh-CN"/>
        </w:rPr>
        <w:t>二是</w:t>
      </w:r>
      <w:r>
        <w:rPr>
          <w:rFonts w:hint="default" w:ascii="Times New Roman" w:hAnsi="Times New Roman" w:eastAsia="方正仿宋_GBK" w:cs="Times New Roman"/>
          <w:sz w:val="32"/>
          <w:szCs w:val="32"/>
          <w:shd w:val="clear" w:color="auto" w:fill="FFFFFF"/>
          <w:lang w:eastAsia="zh-CN"/>
        </w:rPr>
        <w:t>薪级工资正常增加。较年初预算数增加15.02万元，增长7.8%。主要原因</w:t>
      </w:r>
      <w:r>
        <w:rPr>
          <w:rFonts w:hint="eastAsia" w:ascii="Times New Roman" w:hAnsi="Times New Roman" w:eastAsia="方正仿宋_GBK" w:cs="Times New Roman"/>
          <w:sz w:val="32"/>
          <w:szCs w:val="32"/>
          <w:shd w:val="clear" w:color="auto" w:fill="FFFFFF"/>
          <w:lang w:val="en-US" w:eastAsia="zh-CN"/>
        </w:rPr>
        <w:t>一是</w:t>
      </w:r>
      <w:r>
        <w:rPr>
          <w:rFonts w:hint="default" w:ascii="Times New Roman" w:hAnsi="Times New Roman" w:eastAsia="方正仿宋_GBK" w:cs="Times New Roman"/>
          <w:sz w:val="32"/>
          <w:szCs w:val="32"/>
          <w:shd w:val="clear" w:color="auto" w:fill="FFFFFF"/>
          <w:lang w:eastAsia="zh-CN"/>
        </w:rPr>
        <w:t>超额绩效纳入养老保险基数，人员经费增加；</w:t>
      </w:r>
      <w:r>
        <w:rPr>
          <w:rFonts w:hint="eastAsia" w:ascii="Times New Roman" w:hAnsi="Times New Roman" w:eastAsia="方正仿宋_GBK" w:cs="Times New Roman"/>
          <w:sz w:val="32"/>
          <w:szCs w:val="32"/>
          <w:shd w:val="clear" w:color="auto" w:fill="FFFFFF"/>
          <w:lang w:val="en-US" w:eastAsia="zh-CN"/>
        </w:rPr>
        <w:t>二是</w:t>
      </w:r>
      <w:r>
        <w:rPr>
          <w:rFonts w:hint="default" w:ascii="Times New Roman" w:hAnsi="Times New Roman" w:eastAsia="方正仿宋_GBK" w:cs="Times New Roman"/>
          <w:sz w:val="32"/>
          <w:szCs w:val="32"/>
          <w:shd w:val="clear" w:color="auto" w:fill="FFFFFF"/>
          <w:lang w:eastAsia="zh-CN"/>
        </w:rPr>
        <w:t>薪级工资正常增加。</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一般公共预算财政拨款支出主要用途如下：</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eastAsia="zh-CN"/>
        </w:rPr>
        <w:t>）社会保障和就业支出23.14万元，占11.1%，较年初预算数增加3.02万元，增长15.0%，主要原因</w:t>
      </w:r>
      <w:r>
        <w:rPr>
          <w:rFonts w:hint="eastAsia" w:ascii="Times New Roman" w:hAnsi="Times New Roman" w:eastAsia="方正仿宋_GBK" w:cs="Times New Roman"/>
          <w:sz w:val="32"/>
          <w:szCs w:val="32"/>
          <w:shd w:val="clear" w:color="auto" w:fill="FFFFFF"/>
          <w:lang w:val="en-US" w:eastAsia="zh-CN"/>
        </w:rPr>
        <w:t>一是</w:t>
      </w:r>
      <w:r>
        <w:rPr>
          <w:rFonts w:hint="default" w:ascii="Times New Roman" w:hAnsi="Times New Roman" w:eastAsia="方正仿宋_GBK" w:cs="Times New Roman"/>
          <w:sz w:val="32"/>
          <w:szCs w:val="32"/>
          <w:shd w:val="clear" w:color="auto" w:fill="FFFFFF"/>
          <w:lang w:eastAsia="zh-CN"/>
        </w:rPr>
        <w:t>超额绩效纳入养老保险基数，人员经费增加；</w:t>
      </w:r>
      <w:r>
        <w:rPr>
          <w:rFonts w:hint="eastAsia" w:ascii="Times New Roman" w:hAnsi="Times New Roman" w:eastAsia="方正仿宋_GBK" w:cs="Times New Roman"/>
          <w:sz w:val="32"/>
          <w:szCs w:val="32"/>
          <w:shd w:val="clear" w:color="auto" w:fill="FFFFFF"/>
          <w:lang w:val="en-US" w:eastAsia="zh-CN"/>
        </w:rPr>
        <w:t>二是</w:t>
      </w:r>
      <w:r>
        <w:rPr>
          <w:rFonts w:hint="default" w:ascii="Times New Roman" w:hAnsi="Times New Roman" w:eastAsia="方正仿宋_GBK" w:cs="Times New Roman"/>
          <w:sz w:val="32"/>
          <w:szCs w:val="32"/>
          <w:shd w:val="clear" w:color="auto" w:fill="FFFFFF"/>
          <w:lang w:eastAsia="zh-CN"/>
        </w:rPr>
        <w:t>薪级工资正常增加。</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eastAsia="zh-CN"/>
        </w:rPr>
        <w:t>）卫生健康支出9.81万元，占4.7%，较年初预算数无增减，变动为</w:t>
      </w:r>
      <w:r>
        <w:rPr>
          <w:rFonts w:hint="default" w:ascii="Times New Roman" w:hAnsi="Times New Roman" w:eastAsia="方正仿宋_GBK" w:cs="Times New Roman"/>
          <w:sz w:val="32"/>
          <w:szCs w:val="32"/>
          <w:shd w:val="clear" w:color="auto" w:fill="FFFFFF"/>
          <w:lang w:val="en-US" w:eastAsia="zh-CN"/>
        </w:rPr>
        <w:t>0。</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eastAsia="zh-CN"/>
        </w:rPr>
        <w:t>）城乡社区支出165.93万元，占79.5%，较年初预算数增加12.00万元，增长7.8%，主要原因</w:t>
      </w:r>
      <w:r>
        <w:rPr>
          <w:rFonts w:hint="eastAsia" w:ascii="Times New Roman" w:hAnsi="Times New Roman" w:eastAsia="方正仿宋_GBK" w:cs="Times New Roman"/>
          <w:sz w:val="32"/>
          <w:szCs w:val="32"/>
          <w:shd w:val="clear" w:color="auto" w:fill="FFFFFF"/>
          <w:lang w:val="en-US" w:eastAsia="zh-CN"/>
        </w:rPr>
        <w:t>一是</w:t>
      </w:r>
      <w:r>
        <w:rPr>
          <w:rFonts w:hint="default" w:ascii="Times New Roman" w:hAnsi="Times New Roman" w:eastAsia="方正仿宋_GBK" w:cs="Times New Roman"/>
          <w:sz w:val="32"/>
          <w:szCs w:val="32"/>
          <w:shd w:val="clear" w:color="auto" w:fill="FFFFFF"/>
          <w:lang w:eastAsia="zh-CN"/>
        </w:rPr>
        <w:t>超额绩效纳入养老保险基数，人员经费增加；</w:t>
      </w:r>
      <w:r>
        <w:rPr>
          <w:rFonts w:hint="eastAsia" w:ascii="Times New Roman" w:hAnsi="Times New Roman" w:eastAsia="方正仿宋_GBK" w:cs="Times New Roman"/>
          <w:sz w:val="32"/>
          <w:szCs w:val="32"/>
          <w:shd w:val="clear" w:color="auto" w:fill="FFFFFF"/>
          <w:lang w:val="en-US" w:eastAsia="zh-CN"/>
        </w:rPr>
        <w:t>二是</w:t>
      </w:r>
      <w:r>
        <w:rPr>
          <w:rFonts w:hint="default" w:ascii="Times New Roman" w:hAnsi="Times New Roman" w:eastAsia="方正仿宋_GBK" w:cs="Times New Roman"/>
          <w:sz w:val="32"/>
          <w:szCs w:val="32"/>
          <w:shd w:val="clear" w:color="auto" w:fill="FFFFFF"/>
          <w:lang w:eastAsia="zh-CN"/>
        </w:rPr>
        <w:t>薪级工资正常增加。</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eastAsia="zh-CN"/>
        </w:rPr>
        <w:t>）住房保障支出9.74万元，占4.7%，较年初预算数无增减，主要原因是</w:t>
      </w:r>
      <w:r>
        <w:rPr>
          <w:rFonts w:hint="default" w:ascii="Times New Roman" w:hAnsi="Times New Roman" w:eastAsia="方正仿宋_GBK" w:cs="Times New Roman"/>
          <w:sz w:val="32"/>
          <w:szCs w:val="32"/>
          <w:shd w:val="clear" w:color="auto" w:fill="FFFFFF"/>
          <w:lang w:val="en-US" w:eastAsia="zh-CN"/>
        </w:rPr>
        <w:t>变动为0。</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b/>
          <w:bCs/>
          <w:sz w:val="32"/>
          <w:szCs w:val="32"/>
          <w:shd w:val="clear" w:color="auto" w:fill="FFFFFF"/>
          <w:lang w:eastAsia="zh-CN"/>
        </w:rPr>
        <w:t>3.结转结余情况。</w:t>
      </w:r>
      <w:r>
        <w:rPr>
          <w:rFonts w:hint="default" w:ascii="Times New Roman" w:hAnsi="Times New Roman" w:eastAsia="方正仿宋_GBK" w:cs="Times New Roman"/>
          <w:sz w:val="32"/>
          <w:szCs w:val="32"/>
          <w:shd w:val="clear" w:color="auto" w:fill="FFFFFF"/>
          <w:lang w:eastAsia="zh-CN"/>
        </w:rPr>
        <w:t>2024年度年末一般公共预算财政拨款结转和结余0.00万元，与2023年度相比，无增减，变动为</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楷体_GB2312" w:cs="Times New Roman"/>
          <w:b/>
          <w:bCs/>
          <w:sz w:val="32"/>
          <w:szCs w:val="32"/>
          <w:shd w:val="clear" w:color="auto" w:fill="FFFFFF"/>
          <w:lang w:eastAsia="zh-CN"/>
        </w:rPr>
      </w:pPr>
      <w:r>
        <w:rPr>
          <w:rFonts w:hint="default" w:ascii="Times New Roman" w:hAnsi="Times New Roman" w:eastAsia="方正楷体_GB2312" w:cs="Times New Roman"/>
          <w:b/>
          <w:bCs/>
          <w:sz w:val="32"/>
          <w:szCs w:val="32"/>
          <w:shd w:val="clear" w:color="auto" w:fill="FFFFFF"/>
          <w:lang w:eastAsia="zh-CN"/>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2024年度一般公共财政拨款基本支出208.61万元。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人员经费188.42万元，与2023年度相比，增加20.26万元，增长12.1%，主要原因</w:t>
      </w:r>
      <w:r>
        <w:rPr>
          <w:rFonts w:hint="eastAsia" w:ascii="Times New Roman" w:hAnsi="Times New Roman" w:eastAsia="方正仿宋_GBK" w:cs="Times New Roman"/>
          <w:sz w:val="32"/>
          <w:szCs w:val="32"/>
          <w:shd w:val="clear" w:color="auto" w:fill="FFFFFF"/>
          <w:lang w:val="en-US" w:eastAsia="zh-CN"/>
        </w:rPr>
        <w:t>一是</w:t>
      </w:r>
      <w:r>
        <w:rPr>
          <w:rFonts w:hint="default" w:ascii="Times New Roman" w:hAnsi="Times New Roman" w:eastAsia="方正仿宋_GBK" w:cs="Times New Roman"/>
          <w:sz w:val="32"/>
          <w:szCs w:val="32"/>
          <w:shd w:val="clear" w:color="auto" w:fill="FFFFFF"/>
          <w:lang w:eastAsia="zh-CN"/>
        </w:rPr>
        <w:t>超额绩效纳入养老保险基数，人员经费增加；</w:t>
      </w:r>
      <w:r>
        <w:rPr>
          <w:rFonts w:hint="eastAsia" w:ascii="Times New Roman" w:hAnsi="Times New Roman" w:eastAsia="方正仿宋_GBK" w:cs="Times New Roman"/>
          <w:sz w:val="32"/>
          <w:szCs w:val="32"/>
          <w:shd w:val="clear" w:color="auto" w:fill="FFFFFF"/>
          <w:lang w:val="en-US" w:eastAsia="zh-CN"/>
        </w:rPr>
        <w:t>二是</w:t>
      </w:r>
      <w:bookmarkStart w:id="0" w:name="_GoBack"/>
      <w:bookmarkEnd w:id="0"/>
      <w:r>
        <w:rPr>
          <w:rFonts w:hint="default" w:ascii="Times New Roman" w:hAnsi="Times New Roman" w:eastAsia="方正仿宋_GBK" w:cs="Times New Roman"/>
          <w:sz w:val="32"/>
          <w:szCs w:val="32"/>
          <w:shd w:val="clear" w:color="auto" w:fill="FFFFFF"/>
          <w:lang w:eastAsia="zh-CN"/>
        </w:rPr>
        <w:t>薪级工资正常增加。人员经费用途主要包括工资福利支出</w:t>
      </w:r>
      <w:r>
        <w:rPr>
          <w:rFonts w:hint="default" w:ascii="Times New Roman" w:hAnsi="Times New Roman" w:eastAsia="方正仿宋_GBK" w:cs="Times New Roman"/>
          <w:sz w:val="32"/>
          <w:szCs w:val="32"/>
          <w:shd w:val="clear" w:color="auto" w:fill="FFFFFF"/>
          <w:lang w:val="en-US" w:eastAsia="zh-CN"/>
        </w:rPr>
        <w:t>188.42万元，</w:t>
      </w:r>
      <w:r>
        <w:rPr>
          <w:rFonts w:hint="default" w:ascii="Times New Roman" w:hAnsi="Times New Roman" w:eastAsia="方正仿宋_GBK" w:cs="Times New Roman"/>
          <w:sz w:val="32"/>
          <w:szCs w:val="32"/>
          <w:shd w:val="clear" w:color="auto" w:fill="FFFFFF"/>
          <w:lang w:eastAsia="zh-CN"/>
        </w:rPr>
        <w:t>用途主要包括发放单位工作人员工资薪酬和缴纳五险一金。</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公用经费20.19万元，与2023年度相比，减少2.98万元，下降12.9%，主要原因是按照财政过紧日子的要求，压减公用经费。公用经费用途主要包括单位的日常运转和工作人员差旅费的报销。</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楷体_GB2312" w:cs="Times New Roman"/>
          <w:b/>
          <w:bCs/>
          <w:sz w:val="32"/>
          <w:szCs w:val="32"/>
          <w:shd w:val="clear" w:color="auto" w:fill="FFFFFF"/>
          <w:lang w:eastAsia="zh-CN"/>
        </w:rPr>
      </w:pPr>
      <w:r>
        <w:rPr>
          <w:rFonts w:hint="default" w:ascii="Times New Roman" w:hAnsi="Times New Roman" w:eastAsia="方正楷体_GB2312" w:cs="Times New Roman"/>
          <w:b/>
          <w:bCs/>
          <w:sz w:val="32"/>
          <w:szCs w:val="32"/>
          <w:shd w:val="clear" w:color="auto" w:fill="FFFFFF"/>
          <w:lang w:eastAsia="zh-CN"/>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本单位2024年度无政府性基金预算财政拨款收支。</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楷体_GB2312" w:cs="Times New Roman"/>
          <w:b/>
          <w:bCs/>
          <w:sz w:val="32"/>
          <w:szCs w:val="32"/>
          <w:shd w:val="clear" w:color="auto" w:fill="FFFFFF"/>
          <w:lang w:eastAsia="zh-CN"/>
        </w:rPr>
      </w:pPr>
      <w:r>
        <w:rPr>
          <w:rFonts w:hint="default" w:ascii="Times New Roman" w:hAnsi="Times New Roman" w:eastAsia="方正楷体_GB2312" w:cs="Times New Roman"/>
          <w:b/>
          <w:bCs/>
          <w:sz w:val="32"/>
          <w:szCs w:val="32"/>
          <w:shd w:val="clear" w:color="auto" w:fill="FFFFFF"/>
          <w:lang w:eastAsia="zh-CN"/>
        </w:rPr>
        <w:t>（六）国有资本经营预算财政拨款支出决算情况说明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本单位2024年度无国有资本经营预算财政拨款支出。</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shd w:val="clear" w:color="auto" w:fill="FFFFFF"/>
          <w:lang w:eastAsia="zh-CN"/>
        </w:rPr>
      </w:pPr>
      <w:r>
        <w:rPr>
          <w:rFonts w:hint="default" w:ascii="Times New Roman" w:hAnsi="Times New Roman" w:eastAsia="方正黑体_GBK" w:cs="Times New Roman"/>
          <w:sz w:val="32"/>
          <w:szCs w:val="32"/>
          <w:shd w:val="clear" w:color="auto" w:fill="FFFFFF"/>
          <w:lang w:eastAsia="zh-CN"/>
        </w:rPr>
        <w:t>三、财政拨款“三公”经费情况说明</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color w:val="auto"/>
          <w:sz w:val="32"/>
          <w:szCs w:val="32"/>
          <w:shd w:val="clear" w:color="auto" w:fill="FFFFFF"/>
          <w:lang w:eastAsia="zh-CN"/>
        </w:rPr>
        <w:t>单位属于事业单位，财政未保障我单位“三公”经费。</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本单位属于事业单位，财政未保障我单位“三公”经费，变动为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本单位因公出国（境）费用0.00万元，主要是用于我单位无因公出国（境）事项。费用支出较年初预算数无增减，主要原因是我单位属于事业单位，财政未保障我单位“三公”经费。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2023年度和2024年度未发生因公出国（境）支出</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公务用车购置费0.00万。费用支出较年初预算数无增减，主要原因是本单位</w:t>
      </w:r>
      <w:r>
        <w:rPr>
          <w:rFonts w:hint="default" w:ascii="Times New Roman" w:hAnsi="Times New Roman" w:eastAsia="方正仿宋_GBK" w:cs="Times New Roman"/>
          <w:sz w:val="32"/>
          <w:szCs w:val="32"/>
          <w:shd w:val="clear" w:color="auto" w:fill="FFFFFF"/>
          <w:lang w:val="en-US" w:eastAsia="zh-CN"/>
        </w:rPr>
        <w:t>2024年未购置公务用车</w:t>
      </w:r>
      <w:r>
        <w:rPr>
          <w:rFonts w:hint="default" w:ascii="Times New Roman" w:hAnsi="Times New Roman" w:eastAsia="方正仿宋_GBK" w:cs="Times New Roman"/>
          <w:sz w:val="32"/>
          <w:szCs w:val="32"/>
          <w:shd w:val="clear" w:color="auto" w:fill="FFFFFF"/>
          <w:lang w:eastAsia="zh-CN"/>
        </w:rPr>
        <w:t>。较上年支出数无增减，主要原因是本单位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2023年和2024年未购置公务用车。</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公务用车运行维护费0.00万元。费用支出较年初预算数无增减，</w:t>
      </w:r>
      <w:r>
        <w:rPr>
          <w:rFonts w:hint="default" w:ascii="Times New Roman" w:hAnsi="Times New Roman" w:eastAsia="方正仿宋_GBK" w:cs="Times New Roman"/>
          <w:sz w:val="32"/>
          <w:szCs w:val="32"/>
          <w:shd w:val="clear" w:color="auto" w:fill="FFFFFF"/>
          <w:lang w:val="en-US" w:eastAsia="zh-CN"/>
        </w:rPr>
        <w:t>主要原因是本单位年初未预算公务车运行费。较上年支出数无增减，主要原因是本单位2023年度和2024年度未发生公务车运行维护费支出。</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公务接待费0.00万元。费用支出较年初预算数无增减，主要原因是本单位年初未预算公务接待费。较上年支出数无增减，主要原因是本单位本年度未预算公务接待费，公务接待费在机关单位登记。</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四、其他需要说明的事项</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楷体_GB2312" w:cs="Times New Roman"/>
          <w:b/>
          <w:bCs/>
          <w:sz w:val="32"/>
          <w:szCs w:val="32"/>
          <w:shd w:val="clear" w:color="auto" w:fill="FFFFFF"/>
        </w:rPr>
      </w:pPr>
      <w:r>
        <w:rPr>
          <w:rFonts w:hint="default" w:ascii="Times New Roman" w:hAnsi="Times New Roman" w:eastAsia="方正楷体_GB2312" w:cs="Times New Roman"/>
          <w:b/>
          <w:bCs/>
          <w:sz w:val="32"/>
          <w:szCs w:val="32"/>
          <w:shd w:val="clear" w:color="auto" w:fill="FFFFFF"/>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eastAsia="zh-CN"/>
        </w:rPr>
        <w:t>本年度未发生会议费用支出</w:t>
      </w:r>
      <w:r>
        <w:rPr>
          <w:rFonts w:hint="default" w:ascii="Times New Roman" w:hAnsi="Times New Roman" w:eastAsia="方正仿宋_GBK" w:cs="Times New Roman"/>
          <w:sz w:val="32"/>
          <w:szCs w:val="32"/>
          <w:shd w:val="clear" w:color="auto" w:fill="FFFFFF"/>
        </w:rPr>
        <w:t>。本年度培训费支出0.00万元，与2023年度相比，无变化，主要原因是</w:t>
      </w:r>
      <w:r>
        <w:rPr>
          <w:rFonts w:hint="default" w:ascii="Times New Roman" w:hAnsi="Times New Roman" w:eastAsia="方正仿宋_GBK" w:cs="Times New Roman"/>
          <w:sz w:val="32"/>
          <w:szCs w:val="32"/>
          <w:shd w:val="clear" w:color="auto" w:fill="FFFFFF"/>
          <w:lang w:eastAsia="zh-CN"/>
        </w:rPr>
        <w:t>本年度人员继续教育费用登记在机关单位</w:t>
      </w:r>
      <w:r>
        <w:rPr>
          <w:rFonts w:hint="default" w:ascii="Times New Roman" w:hAnsi="Times New Roman" w:eastAsia="方正仿宋_GBK" w:cs="Times New Roman"/>
          <w:sz w:val="32"/>
          <w:szCs w:val="32"/>
          <w:shd w:val="clear" w:color="auto" w:fill="FFFFFF"/>
        </w:rPr>
        <w:t>。本年度差旅费支出2.00万元，与2023年度相比，减少1.77万元，下降47.0%，</w:t>
      </w:r>
      <w:r>
        <w:rPr>
          <w:rFonts w:hint="default" w:ascii="Times New Roman" w:hAnsi="Times New Roman" w:eastAsia="方正仿宋_GBK" w:cs="Times New Roman"/>
          <w:sz w:val="32"/>
          <w:szCs w:val="32"/>
          <w:shd w:val="clear" w:color="auto" w:fill="FFFFFF"/>
          <w:lang w:val="en-US" w:eastAsia="zh-CN"/>
        </w:rPr>
        <w:t>主要原因是本单位为酉阳土家族苗族自治县住房和城乡建设委员会下属二级单位，公务费由机关单位统一调配，本年度差旅费用登记在本单位的费用减少。</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因</w:t>
      </w:r>
      <w:r>
        <w:rPr>
          <w:rFonts w:hint="default" w:ascii="Times New Roman" w:hAnsi="Times New Roman" w:eastAsia="方正仿宋_GBK" w:cs="Times New Roman"/>
          <w:sz w:val="32"/>
          <w:szCs w:val="32"/>
          <w:shd w:val="clear" w:color="auto" w:fill="FFFFFF"/>
          <w:lang w:eastAsia="zh-CN"/>
        </w:rPr>
        <w:t>我单位与机关单位在同一办公地点办公</w:t>
      </w:r>
      <w:r>
        <w:rPr>
          <w:rFonts w:hint="default" w:ascii="Times New Roman" w:hAnsi="Times New Roman" w:eastAsia="方正仿宋_GBK" w:cs="Times New Roman"/>
          <w:sz w:val="32"/>
          <w:szCs w:val="32"/>
          <w:shd w:val="clear" w:color="auto" w:fill="FFFFFF"/>
        </w:rPr>
        <w:t>，我单位资产</w:t>
      </w:r>
      <w:r>
        <w:rPr>
          <w:rFonts w:hint="default" w:ascii="Times New Roman" w:hAnsi="Times New Roman" w:eastAsia="方正仿宋_GBK" w:cs="Times New Roman"/>
          <w:sz w:val="32"/>
          <w:szCs w:val="32"/>
          <w:shd w:val="clear" w:color="auto" w:fill="FFFFFF"/>
          <w:lang w:eastAsia="zh-CN"/>
        </w:rPr>
        <w:t>全部登记在机关单位，我单位</w:t>
      </w:r>
      <w:r>
        <w:rPr>
          <w:rFonts w:hint="default" w:ascii="Times New Roman" w:hAnsi="Times New Roman" w:eastAsia="方正仿宋_GBK" w:cs="Times New Roman"/>
          <w:sz w:val="32"/>
          <w:szCs w:val="32"/>
          <w:shd w:val="clear" w:color="auto" w:fill="FFFFFF"/>
        </w:rPr>
        <w:t>未纳入部门资产决算报表。</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2024年度我单位未发生政府采购事项，无相关经费支出。</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Style w:val="13"/>
          <w:rFonts w:hint="default" w:ascii="Times New Roman" w:hAnsi="Times New Roman" w:eastAsia="黑体" w:cs="Times New Roman"/>
          <w:sz w:val="32"/>
          <w:szCs w:val="32"/>
          <w:shd w:val="clear" w:color="auto" w:fill="FFFFFF"/>
          <w:lang w:val="en-US" w:eastAsia="zh-CN" w:bidi="ar-SA"/>
        </w:rPr>
      </w:pPr>
      <w:r>
        <w:rPr>
          <w:rStyle w:val="13"/>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我单位无项目支出，未开展绩效自评。</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20"/>
        <w:autoSpaceDE w:val="0"/>
        <w:spacing w:line="596" w:lineRule="exact"/>
        <w:ind w:left="959" w:leftChars="266" w:hanging="321" w:hangingChars="100"/>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5"/>
        <w:autoSpaceDE w:val="0"/>
        <w:spacing w:before="0" w:beforeAutospacing="0" w:after="0" w:afterAutospacing="0" w:line="596" w:lineRule="exact"/>
        <w:ind w:firstLine="640" w:firstLineChars="200"/>
        <w:rPr>
          <w:rFonts w:hint="default" w:ascii="Times New Roman" w:hAnsi="Times New Roman" w:eastAsia="方正仿宋_GBK" w:cs="Times New Roman"/>
          <w:kern w:val="0"/>
          <w:sz w:val="32"/>
          <w:szCs w:val="32"/>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Style w:val="16"/>
          <w:rFonts w:hint="default" w:ascii="Times New Roman" w:hAnsi="Times New Roman" w:eastAsia="方正仿宋_GBK" w:cs="Times New Roman"/>
          <w:b/>
          <w:bCs/>
          <w:sz w:val="32"/>
          <w:szCs w:val="32"/>
          <w:shd w:val="clear" w:fill="FFFFFF"/>
        </w:rPr>
        <w:t xml:space="preserve"> </w:t>
      </w:r>
      <w:r>
        <w:rPr>
          <w:rStyle w:val="16"/>
          <w:rFonts w:hint="default" w:ascii="Times New Roman" w:hAnsi="Times New Roman" w:eastAsia="方正仿宋_GBK" w:cs="Times New Roman"/>
          <w:b/>
          <w:bCs/>
          <w:sz w:val="32"/>
          <w:szCs w:val="32"/>
          <w:shd w:val="clear" w:fill="FFFFFF"/>
          <w:lang w:val="en-US" w:eastAsia="zh-CN"/>
        </w:rPr>
        <w:t xml:space="preserve">  </w:t>
      </w:r>
      <w:r>
        <w:rPr>
          <w:rStyle w:val="13"/>
          <w:rFonts w:hint="default" w:ascii="Times New Roman" w:hAnsi="Times New Roman" w:eastAsia="黑体" w:cs="Times New Roman"/>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w:t>
      </w:r>
      <w:r>
        <w:rPr>
          <w:rFonts w:hint="eastAsia" w:ascii="Times New Roman" w:hAnsi="Times New Roman" w:eastAsia="方正仿宋_GBK" w:cs="Times New Roman"/>
          <w:kern w:val="0"/>
          <w:sz w:val="32"/>
          <w:szCs w:val="32"/>
          <w:shd w:val="clear" w:fill="FFFFFF"/>
          <w:lang w:eastAsia="zh-CN"/>
        </w:rPr>
        <w:t>和</w:t>
      </w:r>
      <w:r>
        <w:rPr>
          <w:rFonts w:hint="default" w:ascii="Times New Roman" w:hAnsi="Times New Roman" w:eastAsia="方正仿宋_GBK" w:cs="Times New Roman"/>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联系人：王梅</w:t>
      </w:r>
      <w:r>
        <w:rPr>
          <w:rFonts w:hint="default" w:ascii="Times New Roman" w:hAnsi="Times New Roman" w:eastAsia="方正仿宋_GBK" w:cs="Times New Roman"/>
          <w:kern w:val="0"/>
          <w:sz w:val="32"/>
          <w:szCs w:val="32"/>
          <w:shd w:val="clear" w:fill="FFFFFF"/>
        </w:rPr>
        <w:t xml:space="preserve">   </w:t>
      </w:r>
      <w:r>
        <w:rPr>
          <w:rFonts w:hint="default" w:ascii="Times New Roman" w:hAnsi="Times New Roman" w:eastAsia="方正仿宋_GBK" w:cs="Times New Roman"/>
          <w:kern w:val="0"/>
          <w:sz w:val="32"/>
          <w:szCs w:val="32"/>
          <w:shd w:val="clear" w:fill="FFFFFF"/>
          <w:lang w:val="en-US" w:eastAsia="zh-CN"/>
        </w:rPr>
        <w:t xml:space="preserve"> 联系电话：</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75532356</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hint="default" w:ascii="Times New Roman" w:hAnsi="Times New Roman" w:eastAsia="方正仿宋_GBK" w:cs="Times New Roman"/>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酉阳土家族苗族自治县房地产交易事务中心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208.61</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165.93</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208.61</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208.61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208.61</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208.61</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酉阳土家族苗族自治县房地产交易事务中心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208.61</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208.61</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23.14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23.14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23.14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23.14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165.93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165.93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165.93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165.93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165.93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165.93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9.74</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酉阳土家族苗族自治县房地产交易事务中心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208.61</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208.61</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23.14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23.14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23.14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23.14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165.93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165.93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165.93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165.93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165.93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165.93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酉阳土家族苗族自治县房地产交易事务中心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208.61</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165.93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165.93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208.61</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208.61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208.61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208.61</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208.61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208.61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酉阳土家族苗族自治县房地产交易事务中心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208.61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208.61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23.14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23.14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23.14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23.14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165.93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165.93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165.93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165.93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165.93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165.93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9.74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9.74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9.74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9.74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酉阳土家族苗族自治县房地产交易事务中心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188.42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49.77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88.87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188.42</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20.19</w:t>
            </w:r>
            <w:r>
              <w:rPr>
                <w:rFonts w:hint="default" w:ascii="Times New Roman" w:hAnsi="Times New Roman" w:cs="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酉阳土家族苗族自治县房地产交易事务中心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酉阳土家族苗族自治县房地产交易事务中心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酉阳土家族苗族自治县房地产交易事务中心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C2F415-38CA-4C27-8805-BCA30604C0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E7A0E103-AC18-4DD4-B9DC-313E48634A68}"/>
  </w:font>
  <w:font w:name="方正黑体_GBK">
    <w:panose1 w:val="03000509000000000000"/>
    <w:charset w:val="86"/>
    <w:family w:val="auto"/>
    <w:pitch w:val="default"/>
    <w:sig w:usb0="00000001" w:usb1="080E0000" w:usb2="00000000" w:usb3="00000000" w:csb0="00040000" w:csb1="00000000"/>
    <w:embedRegular r:id="rId3" w:fontKey="{4755E7B4-A51E-4497-AF31-B806041218F8}"/>
  </w:font>
  <w:font w:name="方正楷体_GB2312">
    <w:altName w:val="宋体"/>
    <w:panose1 w:val="02000000000000000000"/>
    <w:charset w:val="86"/>
    <w:family w:val="auto"/>
    <w:pitch w:val="default"/>
    <w:sig w:usb0="00000000" w:usb1="00000000" w:usb2="00000012" w:usb3="00000000" w:csb0="00040001" w:csb1="00000000"/>
    <w:embedRegular r:id="rId4" w:fontKey="{F3BDF94E-C451-49DB-AFD8-756BB2ACBDF9}"/>
  </w:font>
  <w:font w:name="方正仿宋_GBK">
    <w:panose1 w:val="03000509000000000000"/>
    <w:charset w:val="86"/>
    <w:family w:val="script"/>
    <w:pitch w:val="default"/>
    <w:sig w:usb0="00000001" w:usb1="080E0000" w:usb2="00000000" w:usb3="00000000" w:csb0="00040000" w:csb1="00000000"/>
    <w:embedRegular r:id="rId5" w:fontKey="{D2FC8EF3-452A-4EC0-8132-354F9D0EA4A0}"/>
  </w:font>
  <w:font w:name="方正楷体_GBK">
    <w:panose1 w:val="03000509000000000000"/>
    <w:charset w:val="86"/>
    <w:family w:val="auto"/>
    <w:pitch w:val="default"/>
    <w:sig w:usb0="00000001" w:usb1="080E0000" w:usb2="00000000" w:usb3="00000000" w:csb0="00040000" w:csb1="00000000"/>
    <w:embedRegular r:id="rId6" w:fontKey="{7E146DCC-A29B-473F-9FF6-FC4754C9ACA4}"/>
  </w:font>
  <w:font w:name="楷体">
    <w:panose1 w:val="02010609060101010101"/>
    <w:charset w:val="86"/>
    <w:family w:val="modern"/>
    <w:pitch w:val="default"/>
    <w:sig w:usb0="800002BF" w:usb1="38CF7CFA" w:usb2="00000016" w:usb3="00000000" w:csb0="00040001" w:csb1="00000000"/>
    <w:embedRegular r:id="rId7" w:fontKey="{61F4BD3D-CE45-4EE6-B5B3-2ED0675D5B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8F71C9"/>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9D27343"/>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624403"/>
    <w:rsid w:val="13871C70"/>
    <w:rsid w:val="13A71CB4"/>
    <w:rsid w:val="13AF1D43"/>
    <w:rsid w:val="13CE1647"/>
    <w:rsid w:val="13FD55AB"/>
    <w:rsid w:val="14200702"/>
    <w:rsid w:val="14370EA1"/>
    <w:rsid w:val="163A6CEE"/>
    <w:rsid w:val="173708E3"/>
    <w:rsid w:val="173B5246"/>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2154AC"/>
    <w:rsid w:val="21556F04"/>
    <w:rsid w:val="22403BD3"/>
    <w:rsid w:val="22AD3177"/>
    <w:rsid w:val="22E46198"/>
    <w:rsid w:val="235417B6"/>
    <w:rsid w:val="24B92327"/>
    <w:rsid w:val="24C14514"/>
    <w:rsid w:val="2533755C"/>
    <w:rsid w:val="25791755"/>
    <w:rsid w:val="26396DF4"/>
    <w:rsid w:val="27167136"/>
    <w:rsid w:val="271B442C"/>
    <w:rsid w:val="27B23302"/>
    <w:rsid w:val="27C44DE4"/>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9A26A2"/>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6EE59D9"/>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3B5FD6"/>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8B63B6"/>
    <w:rsid w:val="4DAC4ACA"/>
    <w:rsid w:val="4DBE01D2"/>
    <w:rsid w:val="4EFD467F"/>
    <w:rsid w:val="4F0C6BA3"/>
    <w:rsid w:val="4F186D58"/>
    <w:rsid w:val="4FFE7F08"/>
    <w:rsid w:val="504B6EAA"/>
    <w:rsid w:val="50F06B6E"/>
    <w:rsid w:val="51064DCD"/>
    <w:rsid w:val="51D21804"/>
    <w:rsid w:val="52234D33"/>
    <w:rsid w:val="522F6E0C"/>
    <w:rsid w:val="52463BA1"/>
    <w:rsid w:val="52726D6C"/>
    <w:rsid w:val="52F163D4"/>
    <w:rsid w:val="531A2DB4"/>
    <w:rsid w:val="53C0244D"/>
    <w:rsid w:val="53DD4D4E"/>
    <w:rsid w:val="53E578CE"/>
    <w:rsid w:val="541330F0"/>
    <w:rsid w:val="54272666"/>
    <w:rsid w:val="543B029D"/>
    <w:rsid w:val="54861779"/>
    <w:rsid w:val="54EA03CE"/>
    <w:rsid w:val="55084A4C"/>
    <w:rsid w:val="552256E1"/>
    <w:rsid w:val="554E5773"/>
    <w:rsid w:val="555829E0"/>
    <w:rsid w:val="555A3CBC"/>
    <w:rsid w:val="5582012B"/>
    <w:rsid w:val="558E4E05"/>
    <w:rsid w:val="55BE2E85"/>
    <w:rsid w:val="56530F5D"/>
    <w:rsid w:val="567700D3"/>
    <w:rsid w:val="56955A19"/>
    <w:rsid w:val="56FF7E9E"/>
    <w:rsid w:val="578867FC"/>
    <w:rsid w:val="5842572D"/>
    <w:rsid w:val="586B6A32"/>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CA659DB"/>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5711</Words>
  <Characters>6965</Characters>
  <Lines>186</Lines>
  <Paragraphs>52</Paragraphs>
  <TotalTime>4</TotalTime>
  <ScaleCrop>false</ScaleCrop>
  <LinksUpToDate>false</LinksUpToDate>
  <CharactersWithSpaces>7238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yyzjw</cp:lastModifiedBy>
  <dcterms:modified xsi:type="dcterms:W3CDTF">2025-10-16T03:50:05Z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BB46EABDBB2749749395447164B066B3_12</vt:lpwstr>
  </property>
  <property fmtid="{D5CDD505-2E9C-101B-9397-08002B2CF9AE}" pid="4" name="KSOTemplateDocerSaveRecord">
    <vt:lpwstr>eyJoZGlkIjoiZTg5M2M3ZDdlZDZmM2FlNjBiYjg0NWIwYmE0YWZiZDIiLCJ1c2VySWQiOiIxNjUwMDA0OTU1In0=</vt:lpwstr>
  </property>
</Properties>
</file>