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重庆市酉阳土家族苗族自治县建设工程招标</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投标中心</w:t>
      </w:r>
      <w:r>
        <w:rPr>
          <w:rFonts w:hint="default" w:ascii="Times New Roman" w:hAnsi="Times New Roman" w:eastAsia="方正小标宋_GBK" w:cs="Times New Roman"/>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both"/>
        <w:textAlignment w:val="auto"/>
        <w:rPr>
          <w:rFonts w:hint="default" w:ascii="Times New Roman" w:hAnsi="Times New Roman" w:eastAsia="方正小标宋_GBK" w:cs="Times New Roman"/>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1.</w:t>
      </w:r>
      <w:r>
        <w:rPr>
          <w:rFonts w:hint="default" w:ascii="Times New Roman" w:hAnsi="Times New Roman" w:eastAsia="方正仿宋_GBK" w:cs="Times New Roman"/>
          <w:sz w:val="32"/>
          <w:szCs w:val="32"/>
          <w:highlight w:val="none"/>
          <w:shd w:val="clear" w:color="auto" w:fill="FFFFFF"/>
          <w:lang w:val="en-US" w:eastAsia="zh-CN" w:bidi="ar-SA"/>
        </w:rPr>
        <w:t>宣传贯彻执行建设工程施工招标投标和工程造价相关法律法规、政策规定；制定建设工程招标投标和工程造价管理办法和年度工作计划，经批准后组织实施。</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2.</w:t>
      </w:r>
      <w:r>
        <w:rPr>
          <w:rFonts w:hint="default" w:ascii="Times New Roman" w:hAnsi="Times New Roman" w:eastAsia="方正仿宋_GBK" w:cs="Times New Roman"/>
          <w:sz w:val="32"/>
          <w:szCs w:val="32"/>
          <w:highlight w:val="none"/>
          <w:shd w:val="clear" w:color="auto" w:fill="FFFFFF"/>
          <w:lang w:val="en-US" w:eastAsia="zh-CN" w:bidi="ar-SA"/>
        </w:rPr>
        <w:t>负责建设工程施工承发包活动的监督管理工作。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3.</w:t>
      </w:r>
      <w:r>
        <w:rPr>
          <w:rFonts w:hint="default" w:ascii="Times New Roman" w:hAnsi="Times New Roman" w:eastAsia="方正仿宋_GBK" w:cs="Times New Roman"/>
          <w:sz w:val="32"/>
          <w:szCs w:val="32"/>
          <w:highlight w:val="none"/>
          <w:shd w:val="clear" w:color="auto" w:fill="FFFFFF"/>
          <w:lang w:val="en-US" w:eastAsia="zh-CN" w:bidi="ar-SA"/>
        </w:rPr>
        <w:t>负责备案合同履约情况的跟踪检查，以及备案施工合同履行过程中纠纷的调解。</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4.</w:t>
      </w:r>
      <w:r>
        <w:rPr>
          <w:rFonts w:hint="default" w:ascii="Times New Roman" w:hAnsi="Times New Roman" w:eastAsia="方正仿宋_GBK" w:cs="Times New Roman"/>
          <w:sz w:val="32"/>
          <w:szCs w:val="32"/>
          <w:highlight w:val="none"/>
          <w:shd w:val="clear" w:color="auto" w:fill="FFFFFF"/>
          <w:lang w:val="en-US" w:eastAsia="zh-CN" w:bidi="ar-SA"/>
        </w:rPr>
        <w:t>负责全县建设工程招标投标情况、工程造价情况的统计上报工作。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5.</w:t>
      </w:r>
      <w:r>
        <w:rPr>
          <w:rFonts w:hint="default" w:ascii="Times New Roman" w:hAnsi="Times New Roman" w:eastAsia="方正仿宋_GBK" w:cs="Times New Roman"/>
          <w:sz w:val="32"/>
          <w:szCs w:val="32"/>
          <w:highlight w:val="none"/>
          <w:shd w:val="clear" w:color="auto" w:fill="FFFFFF"/>
          <w:lang w:val="en-US" w:eastAsia="zh-CN" w:bidi="ar-SA"/>
        </w:rPr>
        <w:t>负责全县工程建设项目招标代理机构、工程造价咨询机构的行业监督管理及工程招标代理机构、工程造价咨询机构资格认定的初审工作。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6.</w:t>
      </w:r>
      <w:r>
        <w:rPr>
          <w:rFonts w:hint="default" w:ascii="Times New Roman" w:hAnsi="Times New Roman" w:eastAsia="方正仿宋_GBK" w:cs="Times New Roman"/>
          <w:sz w:val="32"/>
          <w:szCs w:val="32"/>
          <w:highlight w:val="none"/>
          <w:shd w:val="clear" w:color="auto" w:fill="FFFFFF"/>
          <w:lang w:val="en-US" w:eastAsia="zh-CN" w:bidi="ar-SA"/>
        </w:rPr>
        <w:t>按照法律法规授权，负责受理和处理建设工程招标投标活动、工程造价活动的投诉和举报。调解、协调全县建设工程招标投标活动和工程造价中出现的争议和纠纷。</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7.</w:t>
      </w:r>
      <w:r>
        <w:rPr>
          <w:rFonts w:hint="default" w:ascii="Times New Roman" w:hAnsi="Times New Roman" w:eastAsia="方正仿宋_GBK" w:cs="Times New Roman"/>
          <w:sz w:val="32"/>
          <w:szCs w:val="32"/>
          <w:highlight w:val="none"/>
          <w:shd w:val="clear" w:color="auto" w:fill="FFFFFF"/>
          <w:lang w:val="en-US" w:eastAsia="zh-CN" w:bidi="ar-SA"/>
        </w:rPr>
        <w:t>负责采集、发布本县建设工程生产要素价格、指标、指数；负责组织实施重庆市建设工程投资估算指标、概算指标、概算定额、预算定额、计价定额、消耗量定额、劳动定额、工期定额、费用定额等。</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8.</w:t>
      </w:r>
      <w:r>
        <w:rPr>
          <w:rFonts w:hint="default" w:ascii="Times New Roman" w:hAnsi="Times New Roman" w:eastAsia="方正仿宋_GBK" w:cs="Times New Roman"/>
          <w:sz w:val="32"/>
          <w:szCs w:val="32"/>
          <w:highlight w:val="none"/>
          <w:shd w:val="clear" w:color="auto" w:fill="FFFFFF"/>
          <w:lang w:val="en-US" w:eastAsia="zh-CN" w:bidi="ar-SA"/>
        </w:rPr>
        <w:t>负责监督管理全县建设工程项目工程造价，参与政府投资项目工程造价的监督管理。</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9.</w:t>
      </w:r>
      <w:r>
        <w:rPr>
          <w:rFonts w:hint="default" w:ascii="Times New Roman" w:hAnsi="Times New Roman" w:eastAsia="方正仿宋_GBK" w:cs="Times New Roman"/>
          <w:sz w:val="32"/>
          <w:szCs w:val="32"/>
          <w:highlight w:val="none"/>
          <w:shd w:val="clear" w:color="auto" w:fill="FFFFFF"/>
          <w:lang w:val="en-US" w:eastAsia="zh-CN" w:bidi="ar-SA"/>
        </w:rPr>
        <w:t xml:space="preserve">负责工程造价管理系统软件的推广应用，推动工程造价的科学化管理。 </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b/>
          <w:bCs/>
          <w:sz w:val="32"/>
          <w:szCs w:val="32"/>
          <w:highlight w:val="none"/>
          <w:shd w:val="clear" w:color="auto" w:fill="FFFFFF"/>
          <w:lang w:val="en-US" w:eastAsia="zh-CN" w:bidi="ar-SA"/>
        </w:rPr>
        <w:t>10.</w:t>
      </w:r>
      <w:r>
        <w:rPr>
          <w:rFonts w:hint="default" w:ascii="Times New Roman" w:hAnsi="Times New Roman" w:eastAsia="方正仿宋_GBK" w:cs="Times New Roman"/>
          <w:sz w:val="32"/>
          <w:szCs w:val="32"/>
          <w:highlight w:val="none"/>
          <w:shd w:val="clear" w:color="auto" w:fill="FFFFFF"/>
          <w:lang w:val="en-US" w:eastAsia="zh-CN" w:bidi="ar-SA"/>
        </w:rPr>
        <w:t>完成上级交办的其他工作。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酉阳土家族苗族自治县建设工程招标投标中心，为县住房城乡建委管理的公益一类事业单位，机构规格为副科级，属全额拨款的事业单位。我单位核定编制3人，实有在册人数3人。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w:t>
      </w:r>
      <w:r>
        <w:rPr>
          <w:rFonts w:hint="default" w:ascii="Times New Roman" w:hAnsi="Times New Roman" w:eastAsia="方正仿宋_GBK" w:cs="Times New Roman"/>
          <w:sz w:val="32"/>
          <w:szCs w:val="32"/>
          <w:highlight w:val="none"/>
          <w:shd w:val="clear" w:color="auto" w:fill="FFFFFF"/>
          <w:lang w:eastAsia="zh-CN"/>
        </w:rPr>
        <w:t>为</w:t>
      </w:r>
      <w:r>
        <w:rPr>
          <w:rFonts w:hint="default" w:ascii="Times New Roman" w:hAnsi="Times New Roman" w:eastAsia="方正仿宋_GBK" w:cs="Times New Roman"/>
          <w:sz w:val="32"/>
          <w:szCs w:val="32"/>
          <w:highlight w:val="none"/>
          <w:shd w:val="clear" w:color="auto" w:fill="FFFFFF"/>
        </w:rPr>
        <w:t>68.21万元。收、支与2023年度相比，增加11.90万元，增长21.1%，主要原因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2024年度收入合计68.21万元，与2023年度相比，增加11.90万元，增长21.1%，主要原</w:t>
      </w:r>
      <w:r>
        <w:rPr>
          <w:rFonts w:hint="default" w:ascii="Times New Roman" w:hAnsi="Times New Roman" w:eastAsia="方正仿宋_GBK" w:cs="Times New Roman"/>
          <w:sz w:val="32"/>
          <w:szCs w:val="32"/>
          <w:highlight w:val="none"/>
          <w:shd w:val="clear" w:color="auto" w:fill="FFFFFF"/>
        </w:rPr>
        <w:t>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r>
        <w:rPr>
          <w:rFonts w:hint="default" w:ascii="Times New Roman" w:hAnsi="Times New Roman" w:eastAsia="方正仿宋_GBK" w:cs="Times New Roman"/>
          <w:sz w:val="32"/>
          <w:szCs w:val="32"/>
          <w:highlight w:val="none"/>
          <w:shd w:val="clear" w:color="auto" w:fill="FFFFFF"/>
        </w:rPr>
        <w:t>其中：财政拨款收入68.21万元，占100.0%；事业收入0.00万元，占0.0%；经营收入0.00</w:t>
      </w:r>
      <w:r>
        <w:rPr>
          <w:rFonts w:hint="default" w:ascii="Times New Roman" w:hAnsi="Times New Roman" w:eastAsia="方正仿宋_GBK" w:cs="Times New Roman"/>
          <w:sz w:val="32"/>
          <w:szCs w:val="32"/>
          <w:shd w:val="clear" w:color="auto" w:fill="FFFFFF"/>
        </w:rPr>
        <w:t>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2024年度支出合计68.21万元，与2023年度相比，增加11.90万元，增长21.1%，主要原</w:t>
      </w:r>
      <w:r>
        <w:rPr>
          <w:rFonts w:hint="default" w:ascii="Times New Roman" w:hAnsi="Times New Roman" w:eastAsia="方正仿宋_GBK" w:cs="Times New Roman"/>
          <w:sz w:val="32"/>
          <w:szCs w:val="32"/>
          <w:highlight w:val="none"/>
          <w:shd w:val="clear" w:color="auto" w:fill="FFFFFF"/>
        </w:rPr>
        <w:t>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r>
        <w:rPr>
          <w:rFonts w:hint="default" w:ascii="Times New Roman" w:hAnsi="Times New Roman" w:eastAsia="方正仿宋_GBK" w:cs="Times New Roman"/>
          <w:sz w:val="32"/>
          <w:szCs w:val="32"/>
          <w:highlight w:val="none"/>
          <w:shd w:val="clear" w:color="auto" w:fill="FFFFFF"/>
        </w:rPr>
        <w:t>其中：基本支出68.21万元，</w:t>
      </w:r>
      <w:r>
        <w:rPr>
          <w:rFonts w:hint="default" w:ascii="Times New Roman" w:hAnsi="Times New Roman" w:eastAsia="方正仿宋_GBK" w:cs="Times New Roman"/>
          <w:sz w:val="32"/>
          <w:szCs w:val="32"/>
          <w:shd w:val="clear" w:color="auto" w:fill="FFFFFF"/>
        </w:rPr>
        <w:t>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highlight w:val="none"/>
          <w:shd w:val="clear" w:color="auto" w:fill="FFFFFF"/>
        </w:rPr>
        <w:t>024年度财政拨款收、支总计均为68.21万元。与2023年</w:t>
      </w:r>
      <w:r>
        <w:rPr>
          <w:rFonts w:hint="default" w:ascii="Times New Roman" w:hAnsi="Times New Roman" w:eastAsia="方正仿宋_GBK" w:cs="Times New Roman"/>
          <w:sz w:val="32"/>
          <w:szCs w:val="32"/>
          <w:highlight w:val="none"/>
          <w:shd w:val="clear" w:color="auto" w:fill="FFFFFF"/>
          <w:lang w:eastAsia="zh-CN"/>
        </w:rPr>
        <w:t>度</w:t>
      </w:r>
      <w:r>
        <w:rPr>
          <w:rFonts w:hint="default" w:ascii="Times New Roman" w:hAnsi="Times New Roman" w:eastAsia="方正仿宋_GBK" w:cs="Times New Roman"/>
          <w:sz w:val="32"/>
          <w:szCs w:val="32"/>
          <w:highlight w:val="none"/>
          <w:shd w:val="clear" w:color="auto" w:fill="FFFFFF"/>
        </w:rPr>
        <w:t>相比，财政拨款收、支总计各增加11.90万元，增长21.1%。主要原因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highlight w:val="none"/>
          <w:shd w:val="clear" w:color="auto" w:fill="FFFFFF"/>
        </w:rPr>
        <w:t>4年度一般公共预算财政拨款收入68.21万元，与2023年度相比，增加11.90万元，增长21.1%。主要原因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r>
        <w:rPr>
          <w:rFonts w:hint="default" w:ascii="Times New Roman" w:hAnsi="Times New Roman" w:eastAsia="方正仿宋_GBK" w:cs="Times New Roman"/>
          <w:sz w:val="32"/>
          <w:szCs w:val="32"/>
          <w:highlight w:val="none"/>
          <w:shd w:val="clear" w:color="auto" w:fill="FFFFFF"/>
        </w:rPr>
        <w:t>较年初预算数增加9.44万元，增长16.1%。主要原因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r>
        <w:rPr>
          <w:rFonts w:hint="default" w:ascii="Times New Roman" w:hAnsi="Times New Roman" w:eastAsia="方正仿宋_GBK" w:cs="Times New Roman"/>
          <w:sz w:val="32"/>
          <w:szCs w:val="32"/>
          <w:highlight w:val="none"/>
          <w:shd w:val="clear" w:color="auto" w:fill="FFFFFF"/>
        </w:rPr>
        <w:t>此外，年初财政拨款结转和结余0.00万元。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b/>
          <w:bCs/>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rPr>
        <w:t>2024年度一般公共预算财政拨款支出68.21万元，与2023年度相比，增加11.90万元，增长21.1%。主要原因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r>
        <w:rPr>
          <w:rFonts w:hint="default" w:ascii="Times New Roman" w:hAnsi="Times New Roman" w:eastAsia="方正仿宋_GBK" w:cs="Times New Roman"/>
          <w:sz w:val="32"/>
          <w:szCs w:val="32"/>
          <w:highlight w:val="none"/>
          <w:shd w:val="clear" w:color="auto" w:fill="FFFFFF"/>
        </w:rPr>
        <w:t>较年初预算数增加9.44万元，增长16.1%。主要原因</w:t>
      </w:r>
      <w:r>
        <w:rPr>
          <w:rFonts w:hint="eastAsia" w:ascii="Times New Roman" w:hAnsi="Times New Roman" w:eastAsia="方正仿宋_GBK" w:cs="Times New Roman"/>
          <w:sz w:val="32"/>
          <w:szCs w:val="32"/>
          <w:highlight w:val="none"/>
          <w:shd w:val="clear" w:color="auto" w:fill="FFFFFF"/>
          <w:lang w:val="en-US" w:eastAsia="zh-CN"/>
        </w:rPr>
        <w:t>一</w:t>
      </w:r>
      <w:r>
        <w:rPr>
          <w:rFonts w:hint="default" w:ascii="Times New Roman" w:hAnsi="Times New Roman" w:eastAsia="方正仿宋_GBK" w:cs="Times New Roman"/>
          <w:sz w:val="32"/>
          <w:szCs w:val="32"/>
          <w:highlight w:val="none"/>
          <w:shd w:val="clear" w:color="auto" w:fill="FFFFFF"/>
          <w:lang w:val="en-US" w:eastAsia="zh-CN"/>
        </w:rPr>
        <w:t>是人员变动；</w:t>
      </w:r>
      <w:r>
        <w:rPr>
          <w:rFonts w:hint="eastAsia" w:ascii="Times New Roman" w:hAnsi="Times New Roman" w:eastAsia="方正仿宋_GBK" w:cs="Times New Roman"/>
          <w:sz w:val="32"/>
          <w:szCs w:val="32"/>
          <w:highlight w:val="none"/>
          <w:shd w:val="clear" w:color="auto" w:fill="FFFFFF"/>
          <w:lang w:val="en-US" w:eastAsia="zh-CN"/>
        </w:rPr>
        <w:t>二</w:t>
      </w:r>
      <w:r>
        <w:rPr>
          <w:rFonts w:hint="default" w:ascii="Times New Roman" w:hAnsi="Times New Roman" w:eastAsia="方正仿宋_GBK" w:cs="Times New Roman"/>
          <w:sz w:val="32"/>
          <w:szCs w:val="32"/>
          <w:highlight w:val="none"/>
          <w:shd w:val="clear" w:color="auto" w:fill="FFFFFF"/>
          <w:lang w:val="en-US" w:eastAsia="zh-CN"/>
        </w:rPr>
        <w:t>是正常薪资晋级。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bidi="ar-SA"/>
        </w:rPr>
        <w:t>社会保障和就业支出6.97万元，占10.2%，较年初预算数增加0.82万元，增长13.3%，主要原因</w:t>
      </w:r>
      <w:r>
        <w:rPr>
          <w:rFonts w:hint="eastAsia" w:ascii="Times New Roman" w:hAnsi="Times New Roman" w:eastAsia="方正仿宋_GBK" w:cs="Times New Roman"/>
          <w:color w:val="auto"/>
          <w:sz w:val="32"/>
          <w:szCs w:val="32"/>
          <w:shd w:val="clear" w:color="auto" w:fill="FFFFFF"/>
          <w:lang w:val="en-US" w:eastAsia="zh-CN" w:bidi="ar-SA"/>
        </w:rPr>
        <w:t>一</w:t>
      </w:r>
      <w:r>
        <w:rPr>
          <w:rFonts w:hint="default" w:ascii="Times New Roman" w:hAnsi="Times New Roman" w:eastAsia="方正仿宋_GBK" w:cs="Times New Roman"/>
          <w:color w:val="auto"/>
          <w:sz w:val="32"/>
          <w:szCs w:val="32"/>
          <w:shd w:val="clear" w:color="auto" w:fill="FFFFFF"/>
          <w:lang w:val="en-US" w:eastAsia="zh-CN" w:bidi="ar-SA"/>
        </w:rPr>
        <w:t>是人员变动；</w:t>
      </w:r>
      <w:r>
        <w:rPr>
          <w:rFonts w:hint="eastAsia" w:ascii="Times New Roman" w:hAnsi="Times New Roman" w:eastAsia="方正仿宋_GBK" w:cs="Times New Roman"/>
          <w:color w:val="auto"/>
          <w:sz w:val="32"/>
          <w:szCs w:val="32"/>
          <w:shd w:val="clear" w:color="auto" w:fill="FFFFFF"/>
          <w:lang w:val="en-US" w:eastAsia="zh-CN" w:bidi="ar-SA"/>
        </w:rPr>
        <w:t>二</w:t>
      </w:r>
      <w:r>
        <w:rPr>
          <w:rFonts w:hint="default" w:ascii="Times New Roman" w:hAnsi="Times New Roman" w:eastAsia="方正仿宋_GBK" w:cs="Times New Roman"/>
          <w:color w:val="auto"/>
          <w:sz w:val="32"/>
          <w:szCs w:val="32"/>
          <w:shd w:val="clear" w:color="auto" w:fill="FFFFFF"/>
          <w:lang w:val="en-US" w:eastAsia="zh-CN" w:bidi="ar-SA"/>
        </w:rPr>
        <w:t>是正常薪资晋级。</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（2）卫生健康支出2.98万元，占4.4%，较年初预算数无增减，主要原因是变动为0。</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（3）城乡社区支出55.28万元，占81.1%，较年初预算数增加8.62万元，增长18.5%，主要原因</w:t>
      </w:r>
      <w:r>
        <w:rPr>
          <w:rFonts w:hint="eastAsia" w:ascii="Times New Roman" w:hAnsi="Times New Roman" w:eastAsia="方正仿宋_GBK" w:cs="Times New Roman"/>
          <w:color w:val="auto"/>
          <w:sz w:val="32"/>
          <w:szCs w:val="32"/>
          <w:shd w:val="clear" w:color="auto" w:fill="FFFFFF"/>
          <w:lang w:val="en-US" w:eastAsia="zh-CN" w:bidi="ar-SA"/>
        </w:rPr>
        <w:t>一</w:t>
      </w:r>
      <w:r>
        <w:rPr>
          <w:rFonts w:hint="default" w:ascii="Times New Roman" w:hAnsi="Times New Roman" w:eastAsia="方正仿宋_GBK" w:cs="Times New Roman"/>
          <w:color w:val="auto"/>
          <w:sz w:val="32"/>
          <w:szCs w:val="32"/>
          <w:shd w:val="clear" w:color="auto" w:fill="FFFFFF"/>
          <w:lang w:val="en-US" w:eastAsia="zh-CN" w:bidi="ar-SA"/>
        </w:rPr>
        <w:t>是人员变动；</w:t>
      </w:r>
      <w:r>
        <w:rPr>
          <w:rFonts w:hint="eastAsia" w:ascii="Times New Roman" w:hAnsi="Times New Roman" w:eastAsia="方正仿宋_GBK" w:cs="Times New Roman"/>
          <w:color w:val="auto"/>
          <w:sz w:val="32"/>
          <w:szCs w:val="32"/>
          <w:shd w:val="clear" w:color="auto" w:fill="FFFFFF"/>
          <w:lang w:val="en-US" w:eastAsia="zh-CN" w:bidi="ar-SA"/>
        </w:rPr>
        <w:t>二</w:t>
      </w:r>
      <w:r>
        <w:rPr>
          <w:rFonts w:hint="default" w:ascii="Times New Roman" w:hAnsi="Times New Roman" w:eastAsia="方正仿宋_GBK" w:cs="Times New Roman"/>
          <w:color w:val="auto"/>
          <w:sz w:val="32"/>
          <w:szCs w:val="32"/>
          <w:shd w:val="clear" w:color="auto" w:fill="FFFFFF"/>
          <w:lang w:val="en-US" w:eastAsia="zh-CN" w:bidi="ar-SA"/>
        </w:rPr>
        <w:t>是正常薪资晋级。</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（4）住房保障支出2.97万元，占4.4%，较年初预算数无增减，主要原因是变动为0。</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shd w:val="clear" w:color="auto" w:fill="FFFFFF"/>
          <w:lang w:eastAsia="zh-CN"/>
        </w:rPr>
        <w:t>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2024年度一般公共财政拨款基本支出68.21万元。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人员经费62.53万元，与2023年度相比，增加9.57万元，增长18.1%，主要原因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是人员变动；</w:t>
      </w:r>
      <w:r>
        <w:rPr>
          <w:rFonts w:hint="eastAsia" w:ascii="Times New Roman" w:hAnsi="Times New Roman" w:eastAsia="方正仿宋_GBK" w:cs="Times New Roman"/>
          <w:color w:val="auto"/>
          <w:sz w:val="32"/>
          <w:szCs w:val="32"/>
          <w:shd w:val="clear" w:color="auto" w:fill="FFFFFF"/>
          <w:lang w:val="en-US" w:eastAsia="zh-CN"/>
        </w:rPr>
        <w:t>二</w:t>
      </w:r>
      <w:bookmarkStart w:id="0" w:name="_GoBack"/>
      <w:bookmarkEnd w:id="0"/>
      <w:r>
        <w:rPr>
          <w:rFonts w:hint="default" w:ascii="Times New Roman" w:hAnsi="Times New Roman" w:eastAsia="方正仿宋_GBK" w:cs="Times New Roman"/>
          <w:color w:val="auto"/>
          <w:sz w:val="32"/>
          <w:szCs w:val="32"/>
          <w:shd w:val="clear" w:color="auto" w:fill="FFFFFF"/>
          <w:lang w:val="en-US" w:eastAsia="zh-CN"/>
        </w:rPr>
        <w:t>是正常薪资晋级。</w:t>
      </w:r>
      <w:r>
        <w:rPr>
          <w:rFonts w:hint="default" w:ascii="Times New Roman" w:hAnsi="Times New Roman" w:eastAsia="方正仿宋_GBK" w:cs="Times New Roman"/>
          <w:color w:val="auto"/>
          <w:sz w:val="32"/>
          <w:szCs w:val="32"/>
          <w:shd w:val="clear" w:color="auto" w:fill="FFFFFF"/>
        </w:rPr>
        <w:t>人员经费</w:t>
      </w:r>
      <w:r>
        <w:rPr>
          <w:rFonts w:hint="default" w:ascii="Times New Roman" w:hAnsi="Times New Roman" w:eastAsia="方正仿宋_GBK" w:cs="Times New Roman"/>
          <w:color w:val="auto"/>
          <w:sz w:val="32"/>
          <w:szCs w:val="32"/>
          <w:shd w:val="clear" w:color="auto" w:fill="FFFFFF"/>
          <w:lang w:eastAsia="zh-CN"/>
        </w:rPr>
        <w:t>主要为工资福利支出</w:t>
      </w:r>
      <w:r>
        <w:rPr>
          <w:rFonts w:hint="default" w:ascii="Times New Roman" w:hAnsi="Times New Roman" w:eastAsia="方正仿宋_GBK" w:cs="Times New Roman"/>
          <w:color w:val="auto"/>
          <w:sz w:val="32"/>
          <w:szCs w:val="32"/>
          <w:shd w:val="clear" w:color="auto" w:fill="FFFFFF"/>
          <w:lang w:val="en-US" w:eastAsia="zh-CN"/>
        </w:rPr>
        <w:t>62.53万元，</w:t>
      </w:r>
      <w:r>
        <w:rPr>
          <w:rFonts w:hint="default" w:ascii="Times New Roman" w:hAnsi="Times New Roman" w:eastAsia="方正仿宋_GBK" w:cs="Times New Roman"/>
          <w:color w:val="auto"/>
          <w:sz w:val="32"/>
          <w:szCs w:val="32"/>
          <w:shd w:val="clear" w:color="auto" w:fill="FFFFFF"/>
        </w:rPr>
        <w:t>用途主要包括</w:t>
      </w:r>
      <w:r>
        <w:rPr>
          <w:rFonts w:hint="eastAsia" w:ascii="Times New Roman" w:hAnsi="Times New Roman" w:eastAsia="方正仿宋_GBK" w:cs="Times New Roman"/>
          <w:color w:val="auto"/>
          <w:sz w:val="32"/>
          <w:szCs w:val="32"/>
          <w:shd w:val="clear" w:color="auto" w:fill="FFFFFF"/>
          <w:lang w:val="en-US" w:eastAsia="zh-CN"/>
        </w:rPr>
        <w:t>发</w:t>
      </w:r>
      <w:r>
        <w:rPr>
          <w:rFonts w:hint="default" w:ascii="Times New Roman" w:hAnsi="Times New Roman" w:eastAsia="方正仿宋_GBK" w:cs="Times New Roman"/>
          <w:color w:val="auto"/>
          <w:sz w:val="32"/>
          <w:szCs w:val="32"/>
          <w:shd w:val="clear" w:color="auto" w:fill="FFFFFF"/>
        </w:rPr>
        <w:t>放单位工作人员工资薪酬和缴纳五险一金</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公用经费5.68万元，与2023年度相比，增加2.33万元，增长69.6%，主要原因是</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23年财力紧张，部分支出未实现，</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24年实现部门公用经费支出</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单位的日常运转和工作人员差旅费的报销。</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2023年与2024年均未产生会议费用支出</w:t>
      </w:r>
      <w:r>
        <w:rPr>
          <w:rFonts w:hint="default" w:ascii="Times New Roman" w:hAnsi="Times New Roman" w:eastAsia="方正仿宋_GBK" w:cs="Times New Roman"/>
          <w:sz w:val="32"/>
          <w:szCs w:val="32"/>
          <w:shd w:val="clear" w:color="auto" w:fill="FFFFFF"/>
        </w:rPr>
        <w:t>。本年度培训费支出0.19万元，与2023年度相比，增加0.19万元，增长100.0%，主要原因是</w:t>
      </w:r>
      <w:r>
        <w:rPr>
          <w:rFonts w:hint="default" w:ascii="Times New Roman" w:hAnsi="Times New Roman" w:eastAsia="方正仿宋_GBK" w:cs="Times New Roman"/>
          <w:sz w:val="32"/>
          <w:szCs w:val="32"/>
          <w:shd w:val="clear" w:color="auto" w:fill="FFFFFF"/>
          <w:lang w:eastAsia="zh-CN"/>
        </w:rPr>
        <w:t>在职人员继续教育培训费等级在本单位</w:t>
      </w:r>
      <w:r>
        <w:rPr>
          <w:rFonts w:hint="default" w:ascii="Times New Roman" w:hAnsi="Times New Roman" w:eastAsia="方正仿宋_GBK" w:cs="Times New Roman"/>
          <w:sz w:val="32"/>
          <w:szCs w:val="32"/>
          <w:shd w:val="clear" w:color="auto" w:fill="FFFFFF"/>
        </w:rPr>
        <w:t>。本年度差旅费支出0.03万元，与2023年度相比，减少0.27万元，下降90.0%，主要原因</w:t>
      </w:r>
      <w:r>
        <w:rPr>
          <w:rFonts w:hint="default" w:ascii="Times New Roman" w:hAnsi="Times New Roman" w:eastAsia="方正仿宋_GBK" w:cs="Times New Roman"/>
          <w:sz w:val="32"/>
          <w:szCs w:val="32"/>
          <w:shd w:val="clear" w:color="auto" w:fill="FFFFFF"/>
          <w:lang w:eastAsia="zh-CN"/>
        </w:rPr>
        <w:t>是实际发生差旅业务减少，差旅费用减少。</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2024年度我单位未发生政府采购事项，无相关经费支出。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eastAsia="zh-CN"/>
        </w:rPr>
        <w:t>联系人：王梅</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75532356</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酉阳土家族苗族自治县建设工程招标投标中心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酉阳土家族苗族自治县建设工程招标投标中心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酉阳土家族苗族自治县建设工程招标投标中心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酉阳土家族苗族自治县建设工程招标投标中心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酉阳土家族苗族自治县建设工程招标投标中心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酉阳土家族苗族自治县建设工程招标投标中心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62.53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酉阳土家族苗族自治县建设工程招标投标中心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酉阳土家族苗族自治县建设工程招标投标中心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酉阳土家族苗族自治县建设工程招标投标中心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776942"/>
    <w:rsid w:val="488F422B"/>
    <w:rsid w:val="48E36915"/>
    <w:rsid w:val="48EB6572"/>
    <w:rsid w:val="495C4A24"/>
    <w:rsid w:val="497135DF"/>
    <w:rsid w:val="4A263DF2"/>
    <w:rsid w:val="4A2F278B"/>
    <w:rsid w:val="4A6F6675"/>
    <w:rsid w:val="4B135857"/>
    <w:rsid w:val="4B7951CB"/>
    <w:rsid w:val="4B7C315C"/>
    <w:rsid w:val="4D1F53CA"/>
    <w:rsid w:val="4D8E6E9B"/>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0C2566"/>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C71F25"/>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D464F4"/>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5850</Words>
  <Characters>7074</Characters>
  <Lines>186</Lines>
  <Paragraphs>52</Paragraphs>
  <TotalTime>5</TotalTime>
  <ScaleCrop>false</ScaleCrop>
  <LinksUpToDate>false</LinksUpToDate>
  <CharactersWithSpaces>7347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2025-10-16T03:32:13Z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eyJoZGlkIjoiMDhkMjQ3MGIxYmQ4NmNmOTZkYzg0MWQ4OGM5MjAxOTQiLCJ1c2VySWQiOiIxNjUwMDA0OTUwIn0=</vt:lpwstr>
  </property>
</Properties>
</file>