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eastAsia="仿宋_GB2312"/>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heme="minorBidi"/>
          <w:sz w:val="44"/>
          <w:szCs w:val="44"/>
          <w:u w:val="none"/>
        </w:rPr>
      </w:pPr>
      <w:r>
        <w:rPr>
          <w:rFonts w:hint="eastAsia" w:eastAsia="方正小标宋_GBK" w:cstheme="minorBidi"/>
          <w:sz w:val="44"/>
          <w:szCs w:val="44"/>
          <w:u w:val="none"/>
          <w:lang w:val="en-US" w:eastAsia="zh-CN"/>
        </w:rPr>
        <w:t>酉阳土家族苗族自治县</w:t>
      </w:r>
      <w:r>
        <w:rPr>
          <w:rFonts w:hint="eastAsia" w:ascii="Times New Roman" w:hAnsi="Times New Roman" w:eastAsia="方正小标宋_GBK" w:cstheme="minorBidi"/>
          <w:sz w:val="44"/>
          <w:szCs w:val="44"/>
          <w:u w:val="none"/>
        </w:rPr>
        <w:t>医疗保障局</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heme="minorBidi"/>
          <w:sz w:val="44"/>
          <w:szCs w:val="44"/>
          <w:u w:val="none"/>
        </w:rPr>
      </w:pPr>
      <w:r>
        <w:rPr>
          <w:rFonts w:hint="eastAsia" w:eastAsia="方正小标宋_GBK" w:cstheme="minorBidi"/>
          <w:sz w:val="44"/>
          <w:szCs w:val="44"/>
          <w:u w:val="none"/>
          <w:lang w:val="en-US" w:eastAsia="zh-CN"/>
        </w:rPr>
        <w:t>酉阳土家族苗族自治县</w:t>
      </w:r>
      <w:r>
        <w:rPr>
          <w:rFonts w:hint="eastAsia" w:ascii="Times New Roman" w:hAnsi="Times New Roman" w:eastAsia="方正小标宋_GBK" w:cstheme="minorBidi"/>
          <w:sz w:val="44"/>
          <w:szCs w:val="44"/>
          <w:u w:val="none"/>
        </w:rPr>
        <w:t>卫生健康委员会</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sz w:val="44"/>
          <w:szCs w:val="44"/>
          <w:lang w:val="en-US" w:eastAsia="zh-CN"/>
        </w:rPr>
      </w:pPr>
      <w:r>
        <w:rPr>
          <w:rFonts w:hint="eastAsia" w:ascii="Times New Roman" w:hAnsi="Times New Roman" w:eastAsia="方正小标宋_GBK" w:cstheme="minorBidi"/>
          <w:sz w:val="44"/>
          <w:szCs w:val="44"/>
          <w:u w:val="none"/>
        </w:rPr>
        <w:t>关于</w:t>
      </w:r>
      <w:r>
        <w:rPr>
          <w:rFonts w:hint="eastAsia" w:ascii="Times New Roman" w:hAnsi="Times New Roman" w:eastAsia="方正小标宋_GBK" w:cstheme="minorBidi"/>
          <w:sz w:val="44"/>
          <w:szCs w:val="44"/>
          <w:u w:val="none"/>
          <w:lang w:eastAsia="zh-CN"/>
        </w:rPr>
        <w:t>做好</w:t>
      </w:r>
      <w:r>
        <w:rPr>
          <w:rFonts w:hint="eastAsia" w:eastAsia="方正小标宋_GBK" w:cstheme="minorBidi"/>
          <w:sz w:val="44"/>
          <w:szCs w:val="44"/>
          <w:u w:val="none"/>
          <w:lang w:eastAsia="zh-CN"/>
        </w:rPr>
        <w:t>全县</w:t>
      </w:r>
      <w:r>
        <w:rPr>
          <w:rFonts w:hint="eastAsia" w:ascii="Times New Roman" w:hAnsi="Times New Roman" w:eastAsia="方正小标宋_GBK" w:cs="方正小标宋_GBK"/>
          <w:sz w:val="44"/>
          <w:szCs w:val="44"/>
          <w:u w:val="none"/>
        </w:rPr>
        <w:t>城乡居民高血压糖尿病门诊用药保障</w:t>
      </w:r>
      <w:r>
        <w:rPr>
          <w:rFonts w:hint="eastAsia" w:ascii="Times New Roman" w:hAnsi="Times New Roman" w:eastAsia="方正小标宋_GBK" w:cs="方正小标宋_GBK"/>
          <w:sz w:val="44"/>
          <w:szCs w:val="44"/>
          <w:u w:val="none"/>
          <w:lang w:eastAsia="zh-CN"/>
        </w:rPr>
        <w:t>和健康管理</w:t>
      </w:r>
      <w:r>
        <w:rPr>
          <w:rFonts w:hint="eastAsia" w:eastAsia="方正小标宋_GBK" w:cstheme="minorBidi"/>
          <w:sz w:val="44"/>
          <w:szCs w:val="44"/>
          <w:u w:val="none"/>
          <w:lang w:val="en-US" w:eastAsia="zh-CN"/>
        </w:rPr>
        <w:t>工作的通知</w:t>
      </w:r>
    </w:p>
    <w:p>
      <w:pPr>
        <w:ind w:firstLine="640" w:firstLineChars="200"/>
        <w:jc w:val="center"/>
        <w:rPr>
          <w:rFonts w:hint="eastAsia" w:ascii="仿宋_GB2312" w:eastAsia="仿宋_GB2312"/>
          <w:sz w:val="32"/>
          <w:szCs w:val="32"/>
        </w:rPr>
      </w:pPr>
      <w:r>
        <w:rPr>
          <w:rFonts w:hint="eastAsia" w:ascii="方正仿宋_GBK" w:hAnsi="方正仿宋_GBK" w:eastAsia="方正仿宋_GBK" w:cs="方正仿宋_GBK"/>
          <w:sz w:val="32"/>
          <w:szCs w:val="32"/>
        </w:rPr>
        <w:t>酉阳</w:t>
      </w:r>
      <w:r>
        <w:rPr>
          <w:rFonts w:hint="eastAsia" w:ascii="方正仿宋_GBK" w:hAnsi="方正仿宋_GBK" w:eastAsia="方正仿宋_GBK" w:cs="方正仿宋_GBK"/>
          <w:sz w:val="32"/>
          <w:szCs w:val="32"/>
          <w:lang w:eastAsia="zh-CN"/>
        </w:rPr>
        <w:t>医保</w:t>
      </w:r>
      <w:r>
        <w:rPr>
          <w:rFonts w:hint="eastAsia" w:ascii="方正仿宋_GBK" w:hAnsi="方正仿宋_GBK" w:eastAsia="方正仿宋_GBK" w:cs="方正仿宋_GBK"/>
          <w:sz w:val="32"/>
          <w:szCs w:val="32"/>
        </w:rPr>
        <w:t>发〔20</w:t>
      </w:r>
      <w:r>
        <w:rPr>
          <w:rFonts w:hint="eastAsia" w:ascii="方正仿宋_GBK" w:hAnsi="方正仿宋_GBK" w:eastAsia="方正仿宋_GBK" w:cs="方正仿宋_GBK"/>
          <w:sz w:val="32"/>
          <w:szCs w:val="32"/>
          <w:lang w:val="en-US" w:eastAsia="zh-CN"/>
        </w:rPr>
        <w:t>21</w:t>
      </w:r>
      <w:r>
        <w:rPr>
          <w:rFonts w:hint="eastAsia" w:ascii="方正仿宋_GBK" w:hAnsi="方正仿宋_GBK" w:eastAsia="方正仿宋_GBK" w:cs="方正仿宋_GBK"/>
          <w:sz w:val="32"/>
          <w:szCs w:val="32"/>
        </w:rPr>
        <w:t>〕</w:t>
      </w:r>
      <w:r>
        <w:rPr>
          <w:rFonts w:hint="eastAsia" w:ascii="方正仿宋_GBK" w:hAnsi="方正仿宋_GBK" w:cs="方正仿宋_GBK"/>
          <w:sz w:val="32"/>
          <w:szCs w:val="32"/>
          <w:lang w:val="en-US" w:eastAsia="zh-CN"/>
        </w:rPr>
        <w:t>12</w:t>
      </w:r>
      <w:r>
        <w:rPr>
          <w:rFonts w:hint="eastAsia" w:ascii="方正仿宋_GBK" w:hAnsi="方正仿宋_GBK" w:eastAsia="方正仿宋_GBK" w:cs="方正仿宋_GBK"/>
          <w:sz w:val="32"/>
          <w:szCs w:val="32"/>
        </w:rPr>
        <w:t>号</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Times New Roman" w:hAnsi="Times New Roman" w:eastAsia="方正仿宋_GBK"/>
          <w:color w:val="000000"/>
          <w:sz w:val="32"/>
          <w:szCs w:val="32"/>
          <w:u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outlineLvl w:val="9"/>
        <w:rPr>
          <w:rFonts w:hint="eastAsia" w:ascii="Times New Roman" w:hAnsi="Times New Roman" w:eastAsia="方正仿宋_GBK"/>
          <w:color w:val="000000"/>
          <w:sz w:val="32"/>
          <w:szCs w:val="32"/>
          <w:u w:val="none"/>
        </w:rPr>
      </w:pPr>
      <w:r>
        <w:rPr>
          <w:rFonts w:hint="eastAsia" w:ascii="Times New Roman" w:hAnsi="Times New Roman" w:eastAsia="方正仿宋_GBK"/>
          <w:color w:val="000000"/>
          <w:sz w:val="32"/>
          <w:szCs w:val="32"/>
          <w:u w:val="none"/>
        </w:rPr>
        <w:t>各</w:t>
      </w:r>
      <w:r>
        <w:rPr>
          <w:rFonts w:hint="eastAsia" w:eastAsia="方正仿宋_GBK"/>
          <w:color w:val="000000"/>
          <w:sz w:val="32"/>
          <w:szCs w:val="32"/>
          <w:u w:val="none"/>
          <w:lang w:val="en-US" w:eastAsia="zh-CN"/>
        </w:rPr>
        <w:t>乡镇人民政府、街道办事处，各定点医疗机构，有关单位</w:t>
      </w:r>
      <w:r>
        <w:rPr>
          <w:rFonts w:hint="eastAsia" w:ascii="Times New Roman" w:hAnsi="Times New Roman" w:eastAsia="方正仿宋_GBK"/>
          <w:color w:val="000000"/>
          <w:sz w:val="32"/>
          <w:szCs w:val="32"/>
          <w:u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rPr>
      </w:pPr>
      <w:r>
        <w:rPr>
          <w:rFonts w:hint="eastAsia" w:ascii="Times New Roman" w:hAnsi="Times New Roman" w:eastAsia="方正仿宋_GBK"/>
          <w:color w:val="000000"/>
          <w:sz w:val="32"/>
          <w:szCs w:val="32"/>
          <w:u w:val="none"/>
        </w:rPr>
        <w:t>为</w:t>
      </w:r>
      <w:r>
        <w:rPr>
          <w:rFonts w:hint="eastAsia" w:ascii="Times New Roman" w:hAnsi="Times New Roman" w:eastAsia="方正仿宋_GBK"/>
          <w:color w:val="000000"/>
          <w:sz w:val="32"/>
          <w:szCs w:val="32"/>
          <w:u w:val="none"/>
          <w:lang w:eastAsia="zh-CN"/>
        </w:rPr>
        <w:t>加快推进</w:t>
      </w:r>
      <w:r>
        <w:rPr>
          <w:rFonts w:hint="eastAsia" w:ascii="Times New Roman" w:hAnsi="Times New Roman" w:eastAsia="方正仿宋_GBK"/>
          <w:color w:val="000000"/>
          <w:sz w:val="32"/>
          <w:szCs w:val="32"/>
          <w:u w:val="none"/>
        </w:rPr>
        <w:t>城乡居民高血压、糖尿病</w:t>
      </w:r>
      <w:r>
        <w:rPr>
          <w:rFonts w:hint="eastAsia" w:ascii="Times New Roman" w:hAnsi="Times New Roman" w:eastAsia="方正仿宋_GBK"/>
          <w:color w:val="000000"/>
          <w:sz w:val="32"/>
          <w:szCs w:val="32"/>
          <w:u w:val="none"/>
          <w:lang w:eastAsia="zh-CN"/>
        </w:rPr>
        <w:t>（以下简称“两病”）</w:t>
      </w:r>
      <w:r>
        <w:rPr>
          <w:rFonts w:hint="eastAsia" w:ascii="Times New Roman" w:hAnsi="Times New Roman" w:eastAsia="方正仿宋_GBK"/>
          <w:color w:val="000000"/>
          <w:sz w:val="32"/>
          <w:szCs w:val="32"/>
          <w:u w:val="none"/>
        </w:rPr>
        <w:t>患者</w:t>
      </w:r>
      <w:r>
        <w:rPr>
          <w:rFonts w:hint="eastAsia" w:ascii="Times New Roman" w:hAnsi="Times New Roman" w:eastAsia="方正仿宋_GBK"/>
          <w:color w:val="000000"/>
          <w:sz w:val="32"/>
          <w:szCs w:val="32"/>
          <w:u w:val="none"/>
          <w:lang w:eastAsia="zh-CN"/>
        </w:rPr>
        <w:t>门诊用药保障全覆盖，</w:t>
      </w:r>
      <w:r>
        <w:rPr>
          <w:rFonts w:hint="eastAsia" w:ascii="Times New Roman" w:hAnsi="Times New Roman" w:eastAsia="方正仿宋_GBK"/>
          <w:color w:val="000000"/>
          <w:sz w:val="32"/>
          <w:szCs w:val="32"/>
          <w:u w:val="none"/>
        </w:rPr>
        <w:t>进一步减轻</w:t>
      </w:r>
      <w:r>
        <w:rPr>
          <w:rFonts w:hint="eastAsia" w:ascii="Times New Roman" w:hAnsi="Times New Roman" w:eastAsia="方正仿宋_GBK"/>
          <w:color w:val="000000"/>
          <w:sz w:val="32"/>
          <w:szCs w:val="32"/>
          <w:u w:val="none"/>
          <w:lang w:eastAsia="zh-CN"/>
        </w:rPr>
        <w:t>“两病”患者</w:t>
      </w:r>
      <w:r>
        <w:rPr>
          <w:rFonts w:hint="eastAsia" w:ascii="Times New Roman" w:hAnsi="Times New Roman" w:eastAsia="方正仿宋_GBK"/>
          <w:color w:val="000000"/>
          <w:sz w:val="32"/>
          <w:szCs w:val="32"/>
          <w:u w:val="none"/>
        </w:rPr>
        <w:t>医疗费用负担，</w:t>
      </w:r>
      <w:r>
        <w:rPr>
          <w:rFonts w:hint="eastAsia" w:ascii="Times New Roman" w:hAnsi="Times New Roman" w:eastAsia="方正仿宋_GBK"/>
          <w:color w:val="000000"/>
          <w:sz w:val="32"/>
          <w:szCs w:val="32"/>
          <w:u w:val="none"/>
          <w:lang w:eastAsia="zh-CN"/>
        </w:rPr>
        <w:t>根据</w:t>
      </w:r>
      <w:r>
        <w:rPr>
          <w:rFonts w:hint="eastAsia" w:eastAsia="方正仿宋_GBK"/>
          <w:color w:val="000000"/>
          <w:sz w:val="32"/>
          <w:szCs w:val="32"/>
          <w:u w:val="none"/>
          <w:lang w:val="en-US" w:eastAsia="zh-CN"/>
        </w:rPr>
        <w:t>市</w:t>
      </w:r>
      <w:r>
        <w:rPr>
          <w:rFonts w:hint="eastAsia" w:ascii="Times New Roman" w:hAnsi="Times New Roman" w:eastAsia="方正仿宋_GBK"/>
          <w:color w:val="000000"/>
          <w:sz w:val="32"/>
          <w:szCs w:val="32"/>
          <w:u w:val="none"/>
          <w:lang w:val="en-US" w:eastAsia="zh-CN"/>
        </w:rPr>
        <w:t>医疗保障局</w:t>
      </w:r>
      <w:r>
        <w:rPr>
          <w:rFonts w:hint="eastAsia" w:eastAsia="方正仿宋_GBK"/>
          <w:color w:val="000000"/>
          <w:sz w:val="32"/>
          <w:szCs w:val="32"/>
          <w:u w:val="none"/>
          <w:lang w:val="en-US" w:eastAsia="zh-CN"/>
        </w:rPr>
        <w:t>和市</w:t>
      </w:r>
      <w:r>
        <w:rPr>
          <w:rFonts w:hint="eastAsia" w:ascii="Times New Roman" w:hAnsi="Times New Roman" w:eastAsia="方正仿宋_GBK"/>
          <w:color w:val="000000"/>
          <w:sz w:val="32"/>
          <w:szCs w:val="32"/>
          <w:u w:val="none"/>
          <w:lang w:val="en-US" w:eastAsia="zh-CN"/>
        </w:rPr>
        <w:t>卫生健康委《关于做好城乡居民高血压糖尿病门诊用药保障和健康管理的通知》（</w:t>
      </w:r>
      <w:r>
        <w:rPr>
          <w:rFonts w:hint="default" w:ascii="Times New Roman" w:hAnsi="Times New Roman" w:eastAsia="方正仿宋_GBK" w:cs="Times New Roman"/>
        </w:rPr>
        <w:t>渝</w:t>
      </w:r>
      <w:r>
        <w:rPr>
          <w:rFonts w:hint="default" w:ascii="Times New Roman" w:hAnsi="Times New Roman" w:eastAsia="方正仿宋_GBK" w:cs="Times New Roman"/>
          <w:lang w:eastAsia="zh-CN"/>
        </w:rPr>
        <w:t>医保</w:t>
      </w:r>
      <w:r>
        <w:rPr>
          <w:rFonts w:hint="default" w:ascii="Times New Roman" w:hAnsi="Times New Roman" w:eastAsia="方正仿宋_GBK" w:cs="Times New Roman"/>
        </w:rPr>
        <w:t>发〔20</w:t>
      </w:r>
      <w:r>
        <w:rPr>
          <w:rFonts w:hint="eastAsia" w:ascii="Times New Roman" w:hAnsi="Times New Roman" w:eastAsia="方正仿宋_GBK" w:cs="Times New Roman"/>
          <w:lang w:val="en-US" w:eastAsia="zh-CN"/>
        </w:rPr>
        <w:t>2</w:t>
      </w:r>
      <w:r>
        <w:rPr>
          <w:rFonts w:hint="eastAsia" w:eastAsia="方正仿宋_GBK" w:cs="Times New Roman"/>
          <w:lang w:val="en-US" w:eastAsia="zh-CN"/>
        </w:rPr>
        <w:t>1</w:t>
      </w:r>
      <w:r>
        <w:rPr>
          <w:rFonts w:hint="default" w:ascii="Times New Roman" w:hAnsi="Times New Roman" w:eastAsia="方正仿宋_GBK" w:cs="Times New Roman"/>
        </w:rPr>
        <w:t>〕</w:t>
      </w:r>
      <w:r>
        <w:rPr>
          <w:rFonts w:hint="eastAsia" w:eastAsia="方正仿宋_GBK" w:cs="Times New Roman"/>
          <w:lang w:val="en-US" w:eastAsia="zh-CN"/>
        </w:rPr>
        <w:t>16</w:t>
      </w:r>
      <w:r>
        <w:rPr>
          <w:rFonts w:hint="default" w:ascii="Times New Roman" w:hAnsi="Times New Roman" w:eastAsia="方正仿宋_GBK" w:cs="Times New Roman"/>
        </w:rPr>
        <w:t>号</w:t>
      </w:r>
      <w:r>
        <w:rPr>
          <w:rFonts w:hint="eastAsia" w:ascii="Times New Roman" w:hAnsi="Times New Roman" w:eastAsia="方正仿宋_GBK"/>
          <w:color w:val="000000"/>
          <w:sz w:val="32"/>
          <w:szCs w:val="32"/>
          <w:u w:val="none"/>
          <w:lang w:val="en-US" w:eastAsia="zh-CN"/>
        </w:rPr>
        <w:t>）</w:t>
      </w:r>
      <w:r>
        <w:rPr>
          <w:rFonts w:hint="eastAsia" w:eastAsia="方正仿宋_GBK"/>
          <w:color w:val="000000"/>
          <w:sz w:val="32"/>
          <w:szCs w:val="32"/>
          <w:u w:val="none"/>
          <w:lang w:val="en-US" w:eastAsia="zh-CN"/>
        </w:rPr>
        <w:t>及</w:t>
      </w:r>
      <w:r>
        <w:rPr>
          <w:rFonts w:hint="eastAsia" w:eastAsia="方正仿宋_GBK"/>
          <w:color w:val="000000"/>
          <w:sz w:val="32"/>
          <w:szCs w:val="32"/>
          <w:u w:val="none"/>
          <w:lang w:eastAsia="zh-CN"/>
        </w:rPr>
        <w:t>《</w:t>
      </w:r>
      <w:r>
        <w:rPr>
          <w:rFonts w:hint="eastAsia" w:eastAsia="方正仿宋_GBK"/>
          <w:color w:val="000000"/>
          <w:sz w:val="32"/>
          <w:szCs w:val="32"/>
          <w:u w:val="none"/>
          <w:lang w:val="en-US" w:eastAsia="zh-CN"/>
        </w:rPr>
        <w:t>转发</w:t>
      </w:r>
      <w:r>
        <w:rPr>
          <w:rFonts w:hint="eastAsia" w:ascii="Times New Roman" w:hAnsi="Times New Roman" w:eastAsia="方正仿宋_GBK"/>
          <w:color w:val="000000"/>
          <w:sz w:val="32"/>
          <w:szCs w:val="32"/>
          <w:u w:val="none"/>
          <w:lang w:val="en-US" w:eastAsia="zh-CN"/>
        </w:rPr>
        <w:t>国家医疗保障局国家卫生健康委关于印发</w:t>
      </w:r>
      <w:r>
        <w:rPr>
          <w:rFonts w:hint="eastAsia" w:eastAsia="方正仿宋_GBK"/>
          <w:color w:val="000000"/>
          <w:sz w:val="32"/>
          <w:szCs w:val="32"/>
          <w:u w:val="none"/>
          <w:lang w:val="en-US" w:eastAsia="zh-CN"/>
        </w:rPr>
        <w:t>&lt;</w:t>
      </w:r>
      <w:r>
        <w:rPr>
          <w:rFonts w:hint="eastAsia" w:ascii="Times New Roman" w:hAnsi="Times New Roman" w:eastAsia="方正仿宋_GBK"/>
          <w:color w:val="000000"/>
          <w:sz w:val="32"/>
          <w:szCs w:val="32"/>
          <w:u w:val="none"/>
          <w:lang w:val="en-US" w:eastAsia="zh-CN"/>
        </w:rPr>
        <w:t>深化城乡居民高血压、糖尿病门诊用药保障和健康管理专项行动方案</w:t>
      </w:r>
      <w:r>
        <w:rPr>
          <w:rFonts w:hint="eastAsia" w:eastAsia="方正仿宋_GBK"/>
          <w:color w:val="000000"/>
          <w:sz w:val="32"/>
          <w:szCs w:val="32"/>
          <w:u w:val="none"/>
          <w:lang w:val="en-US" w:eastAsia="zh-CN"/>
        </w:rPr>
        <w:t>&gt;</w:t>
      </w:r>
      <w:r>
        <w:rPr>
          <w:rFonts w:hint="eastAsia" w:ascii="Times New Roman" w:hAnsi="Times New Roman" w:eastAsia="方正仿宋_GBK"/>
          <w:color w:val="000000"/>
          <w:sz w:val="32"/>
          <w:szCs w:val="32"/>
          <w:u w:val="none"/>
          <w:lang w:val="en-US" w:eastAsia="zh-CN"/>
        </w:rPr>
        <w:t>的通知</w:t>
      </w:r>
      <w:r>
        <w:rPr>
          <w:rFonts w:hint="eastAsia" w:eastAsia="方正仿宋_GBK"/>
          <w:color w:val="000000"/>
          <w:sz w:val="32"/>
          <w:szCs w:val="32"/>
          <w:u w:val="none"/>
          <w:lang w:eastAsia="zh-CN"/>
        </w:rPr>
        <w:t>》</w:t>
      </w:r>
      <w:r>
        <w:rPr>
          <w:rFonts w:hint="eastAsia" w:ascii="Times New Roman" w:hAnsi="Times New Roman" w:eastAsia="方正仿宋_GBK"/>
          <w:color w:val="000000"/>
          <w:sz w:val="32"/>
          <w:szCs w:val="32"/>
          <w:u w:val="none"/>
          <w:lang w:val="en-US" w:eastAsia="zh-CN"/>
        </w:rPr>
        <w:t>（</w:t>
      </w:r>
      <w:r>
        <w:rPr>
          <w:rFonts w:hint="default" w:ascii="Times New Roman" w:hAnsi="Times New Roman" w:eastAsia="方正仿宋_GBK" w:cs="Times New Roman"/>
        </w:rPr>
        <w:t>渝</w:t>
      </w:r>
      <w:r>
        <w:rPr>
          <w:rFonts w:hint="default" w:ascii="Times New Roman" w:hAnsi="Times New Roman" w:eastAsia="方正仿宋_GBK" w:cs="Times New Roman"/>
          <w:lang w:eastAsia="zh-CN"/>
        </w:rPr>
        <w:t>医保</w:t>
      </w:r>
      <w:r>
        <w:rPr>
          <w:rFonts w:hint="default" w:ascii="Times New Roman" w:hAnsi="Times New Roman" w:eastAsia="方正仿宋_GBK" w:cs="Times New Roman"/>
        </w:rPr>
        <w:t>发〔20</w:t>
      </w:r>
      <w:r>
        <w:rPr>
          <w:rFonts w:hint="eastAsia" w:ascii="Times New Roman" w:hAnsi="Times New Roman" w:eastAsia="方正仿宋_GBK" w:cs="Times New Roman"/>
          <w:lang w:val="en-US" w:eastAsia="zh-CN"/>
        </w:rPr>
        <w:t>2</w:t>
      </w:r>
      <w:r>
        <w:rPr>
          <w:rFonts w:hint="eastAsia" w:eastAsia="方正仿宋_GBK" w:cs="Times New Roman"/>
          <w:lang w:val="en-US" w:eastAsia="zh-CN"/>
        </w:rPr>
        <w:t>1</w:t>
      </w:r>
      <w:r>
        <w:rPr>
          <w:rFonts w:hint="default" w:ascii="Times New Roman" w:hAnsi="Times New Roman" w:eastAsia="方正仿宋_GBK" w:cs="Times New Roman"/>
        </w:rPr>
        <w:t>〕</w:t>
      </w:r>
      <w:r>
        <w:rPr>
          <w:rFonts w:hint="eastAsia" w:eastAsia="方正仿宋_GBK" w:cs="Times New Roman"/>
          <w:lang w:val="en-US" w:eastAsia="zh-CN"/>
        </w:rPr>
        <w:t>17</w:t>
      </w:r>
      <w:r>
        <w:rPr>
          <w:rFonts w:hint="default" w:ascii="Times New Roman" w:hAnsi="Times New Roman" w:eastAsia="方正仿宋_GBK" w:cs="Times New Roman"/>
        </w:rPr>
        <w:t>号</w:t>
      </w:r>
      <w:r>
        <w:rPr>
          <w:rFonts w:hint="eastAsia" w:ascii="Times New Roman" w:hAnsi="Times New Roman" w:eastAsia="方正仿宋_GBK"/>
          <w:color w:val="000000"/>
          <w:sz w:val="32"/>
          <w:szCs w:val="32"/>
          <w:u w:val="none"/>
          <w:lang w:val="en-US" w:eastAsia="zh-CN"/>
        </w:rPr>
        <w:t>）</w:t>
      </w:r>
      <w:r>
        <w:rPr>
          <w:rFonts w:hint="eastAsia" w:eastAsia="方正仿宋_GBK"/>
          <w:color w:val="000000"/>
          <w:sz w:val="32"/>
          <w:szCs w:val="32"/>
          <w:u w:val="none"/>
          <w:lang w:val="en-US" w:eastAsia="zh-CN"/>
        </w:rPr>
        <w:t>文件要求，特将相关事项通知如下：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w:t>
      </w:r>
      <w:r>
        <w:rPr>
          <w:rFonts w:hint="eastAsia" w:ascii="方正黑体_GBK" w:hAnsi="方正黑体_GBK" w:eastAsia="方正黑体_GBK" w:cs="方正黑体_GBK"/>
          <w:b w:val="0"/>
          <w:bCs w:val="0"/>
          <w:sz w:val="32"/>
          <w:szCs w:val="32"/>
          <w:lang w:val="en-US" w:eastAsia="zh-CN"/>
        </w:rPr>
        <w:t>指导思想</w:t>
      </w:r>
      <w:r>
        <w:rPr>
          <w:rFonts w:hint="eastAsia" w:ascii="方正黑体_GBK" w:hAnsi="方正黑体_GBK" w:eastAsia="方正黑体_GBK" w:cs="方正黑体_GBK"/>
          <w:b w:val="0"/>
          <w:bCs w:val="0"/>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sz w:val="32"/>
          <w:szCs w:val="32"/>
          <w:u w:val="none"/>
        </w:rPr>
      </w:pPr>
      <w:r>
        <w:rPr>
          <w:rFonts w:hint="eastAsia" w:ascii="Times New Roman" w:hAnsi="Times New Roman" w:eastAsia="方正仿宋_GBK" w:cs="方正仿宋_GBK"/>
          <w:sz w:val="32"/>
          <w:szCs w:val="32"/>
          <w:u w:val="none"/>
        </w:rPr>
        <w:t>充分认识做好“两病”门诊用药保障和健康管理工作的重要意义</w:t>
      </w:r>
      <w:r>
        <w:rPr>
          <w:rFonts w:hint="eastAsia" w:eastAsia="方正仿宋_GBK" w:cs="方正仿宋_GBK"/>
          <w:sz w:val="32"/>
          <w:szCs w:val="32"/>
          <w:u w:val="none"/>
          <w:lang w:eastAsia="zh-CN"/>
        </w:rPr>
        <w:t>，</w:t>
      </w:r>
      <w:r>
        <w:rPr>
          <w:rFonts w:hint="eastAsia" w:ascii="Times New Roman" w:hAnsi="Times New Roman" w:eastAsia="方正仿宋_GBK" w:cs="方正仿宋_GBK"/>
          <w:sz w:val="32"/>
          <w:szCs w:val="32"/>
          <w:u w:val="none"/>
        </w:rPr>
        <w:t>站在</w:t>
      </w:r>
      <w:r>
        <w:rPr>
          <w:rFonts w:hint="eastAsia" w:eastAsia="方正仿宋_GBK" w:cs="方正仿宋_GBK"/>
          <w:sz w:val="32"/>
          <w:szCs w:val="32"/>
          <w:u w:val="none"/>
          <w:lang w:eastAsia="zh-CN"/>
        </w:rPr>
        <w:t>讲</w:t>
      </w:r>
      <w:r>
        <w:rPr>
          <w:rFonts w:hint="eastAsia" w:ascii="Times New Roman" w:hAnsi="Times New Roman" w:eastAsia="方正仿宋_GBK" w:cs="方正仿宋_GBK"/>
          <w:sz w:val="32"/>
          <w:szCs w:val="32"/>
          <w:u w:val="none"/>
        </w:rPr>
        <w:t>政治和提高党性认识的高度，坚决落实党中央、国务院决策部署和习近平总书记有关“推进疾病治疗向健康管理转变”重要指示精神，加大“两病”门诊用药保障推进力度，牢固树立健康管理意识，把落实“两病”门诊用药保障和健康管理作为一项重要的政治任务来抓。</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30"/>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eastAsia="zh-CN"/>
        </w:rPr>
        <w:t>二、</w:t>
      </w:r>
      <w:r>
        <w:rPr>
          <w:rFonts w:hint="eastAsia" w:ascii="方正黑体_GBK" w:hAnsi="方正黑体_GBK" w:eastAsia="方正黑体_GBK" w:cs="方正黑体_GBK"/>
          <w:b w:val="0"/>
          <w:bCs w:val="0"/>
          <w:sz w:val="32"/>
          <w:szCs w:val="32"/>
        </w:rPr>
        <w:t xml:space="preserve">组织机构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sz w:val="32"/>
          <w:szCs w:val="32"/>
          <w:u w:val="none"/>
          <w:lang w:eastAsia="zh-CN"/>
        </w:rPr>
      </w:pPr>
      <w:r>
        <w:rPr>
          <w:rFonts w:hint="eastAsia" w:ascii="Times New Roman" w:hAnsi="Times New Roman" w:eastAsia="方正仿宋_GBK" w:cs="方正仿宋_GBK"/>
          <w:sz w:val="32"/>
          <w:szCs w:val="32"/>
          <w:u w:val="none"/>
          <w:lang w:val="en-US" w:eastAsia="zh-CN"/>
        </w:rPr>
        <w:t>为</w:t>
      </w:r>
      <w:r>
        <w:rPr>
          <w:rFonts w:hint="eastAsia" w:ascii="Times New Roman" w:hAnsi="Times New Roman" w:eastAsia="方正仿宋_GBK" w:cs="方正仿宋_GBK"/>
          <w:sz w:val="32"/>
          <w:szCs w:val="32"/>
          <w:u w:val="none"/>
        </w:rPr>
        <w:t>加强对“两病”门诊用药保障和健康管理</w:t>
      </w:r>
      <w:r>
        <w:rPr>
          <w:rFonts w:hint="eastAsia" w:eastAsia="方正仿宋_GBK" w:cs="方正仿宋_GBK"/>
          <w:sz w:val="32"/>
          <w:szCs w:val="32"/>
          <w:u w:val="none"/>
          <w:lang w:eastAsia="zh-CN"/>
        </w:rPr>
        <w:t>工作</w:t>
      </w:r>
      <w:r>
        <w:rPr>
          <w:rFonts w:hint="eastAsia" w:ascii="Times New Roman" w:hAnsi="Times New Roman" w:eastAsia="方正仿宋_GBK" w:cs="方正仿宋_GBK"/>
          <w:sz w:val="32"/>
          <w:szCs w:val="32"/>
          <w:u w:val="none"/>
        </w:rPr>
        <w:t>的组织领导</w:t>
      </w:r>
      <w:r>
        <w:rPr>
          <w:rFonts w:hint="eastAsia" w:ascii="Times New Roman" w:hAnsi="Times New Roman" w:eastAsia="方正仿宋_GBK" w:cs="方正仿宋_GBK"/>
          <w:sz w:val="32"/>
          <w:szCs w:val="32"/>
          <w:u w:val="none"/>
          <w:lang w:eastAsia="zh-CN"/>
        </w:rPr>
        <w:t>，</w:t>
      </w:r>
      <w:r>
        <w:rPr>
          <w:rFonts w:hint="eastAsia" w:ascii="Times New Roman" w:hAnsi="Times New Roman" w:eastAsia="方正仿宋_GBK" w:cs="方正仿宋_GBK"/>
          <w:sz w:val="32"/>
          <w:szCs w:val="32"/>
          <w:u w:val="none"/>
          <w:lang w:val="en-US" w:eastAsia="zh-CN"/>
        </w:rPr>
        <w:t>县医疗保障局</w:t>
      </w:r>
      <w:r>
        <w:rPr>
          <w:rFonts w:hint="eastAsia" w:ascii="Times New Roman" w:hAnsi="Times New Roman" w:eastAsia="方正仿宋_GBK" w:cs="方正仿宋_GBK"/>
          <w:sz w:val="32"/>
          <w:szCs w:val="32"/>
          <w:u w:val="none"/>
          <w:lang w:eastAsia="zh-CN"/>
        </w:rPr>
        <w:t>、</w:t>
      </w:r>
      <w:r>
        <w:rPr>
          <w:rFonts w:hint="eastAsia" w:ascii="Times New Roman" w:hAnsi="Times New Roman" w:eastAsia="方正仿宋_GBK" w:cs="方正仿宋_GBK"/>
          <w:sz w:val="32"/>
          <w:szCs w:val="32"/>
          <w:u w:val="none"/>
          <w:lang w:val="en-US" w:eastAsia="zh-CN"/>
        </w:rPr>
        <w:t>县卫生健康委联合</w:t>
      </w:r>
      <w:r>
        <w:rPr>
          <w:rFonts w:hint="eastAsia" w:ascii="Times New Roman" w:hAnsi="Times New Roman" w:eastAsia="方正仿宋_GBK" w:cs="方正仿宋_GBK"/>
          <w:sz w:val="32"/>
          <w:szCs w:val="32"/>
          <w:u w:val="none"/>
        </w:rPr>
        <w:t>成立</w:t>
      </w:r>
      <w:r>
        <w:rPr>
          <w:rFonts w:hint="eastAsia" w:ascii="Times New Roman" w:hAnsi="Times New Roman" w:eastAsia="方正仿宋_GBK" w:cs="方正仿宋_GBK"/>
          <w:sz w:val="32"/>
          <w:szCs w:val="32"/>
          <w:u w:val="none"/>
          <w:lang w:val="en-US" w:eastAsia="zh-CN"/>
        </w:rPr>
        <w:t>专项</w:t>
      </w:r>
      <w:r>
        <w:rPr>
          <w:rFonts w:hint="eastAsia" w:ascii="Times New Roman" w:hAnsi="Times New Roman" w:eastAsia="方正仿宋_GBK" w:cs="方正仿宋_GBK"/>
          <w:sz w:val="32"/>
          <w:szCs w:val="32"/>
          <w:u w:val="none"/>
        </w:rPr>
        <w:t>工作领导小组</w:t>
      </w:r>
      <w:r>
        <w:rPr>
          <w:rFonts w:hint="eastAsia" w:ascii="Times New Roman" w:hAnsi="Times New Roman" w:eastAsia="方正仿宋_GBK" w:cs="方正仿宋_GBK"/>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组  长：向勇  县医疗保障局党组书记、局长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 xml:space="preserve">        熊伟  县卫生健康委党委书记、主任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副组长：黄旺  县医疗保障局党组成员、副局长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default"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邓鸿  县卫生健康委党委委员、副主任</w:t>
      </w:r>
    </w:p>
    <w:p>
      <w:pPr>
        <w:keepNext w:val="0"/>
        <w:keepLines w:val="0"/>
        <w:pageBreakBefore w:val="0"/>
        <w:widowControl w:val="0"/>
        <w:kinsoku/>
        <w:wordWrap/>
        <w:overflowPunct/>
        <w:topLinePunct w:val="0"/>
        <w:autoSpaceDE/>
        <w:autoSpaceDN/>
        <w:bidi w:val="0"/>
        <w:adjustRightInd/>
        <w:snapToGrid/>
        <w:spacing w:line="560" w:lineRule="exact"/>
        <w:ind w:left="1280" w:leftChars="200" w:hanging="640" w:hangingChars="200"/>
        <w:textAlignment w:val="auto"/>
        <w:rPr>
          <w:rFonts w:hint="eastAsia"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成  员：林跃、杨宏、田勇、李阳、倪海琴、李杨、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textAlignment w:val="auto"/>
        <w:rPr>
          <w:rFonts w:hint="eastAsia" w:ascii="方正仿宋_GBK" w:hAnsi="方正仿宋_GBK" w:eastAsia="方正仿宋_GBK" w:cs="方正仿宋_GBK"/>
          <w:sz w:val="32"/>
          <w:szCs w:val="32"/>
          <w:lang w:val="en-US" w:eastAsia="zh-CN" w:bidi="ar"/>
        </w:rPr>
      </w:pPr>
      <w:r>
        <w:rPr>
          <w:rFonts w:hint="eastAsia" w:ascii="方正仿宋_GBK" w:hAnsi="方正仿宋_GBK" w:eastAsia="方正仿宋_GBK" w:cs="方正仿宋_GBK"/>
          <w:sz w:val="32"/>
          <w:szCs w:val="32"/>
          <w:lang w:val="en-US" w:eastAsia="zh-CN" w:bidi="ar"/>
        </w:rPr>
        <w:t>吴林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rPr>
      </w:pPr>
      <w:r>
        <w:rPr>
          <w:rFonts w:hint="eastAsia" w:ascii="方正仿宋_GBK" w:hAnsi="方正仿宋_GBK" w:eastAsia="方正仿宋_GBK" w:cs="方正仿宋_GBK"/>
          <w:sz w:val="32"/>
          <w:szCs w:val="32"/>
          <w:lang w:val="en-US" w:eastAsia="zh-CN" w:bidi="ar"/>
        </w:rPr>
        <w:t>领导小组在县医疗保障局综合科设办公室，由汪吕任办公室主任，负责统筹协调“两病”门诊用药保障和健康管理各项事务。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黑体_GBK" w:cs="方正仿宋_GBK"/>
          <w:b w:val="0"/>
          <w:bCs w:val="0"/>
          <w:sz w:val="32"/>
          <w:szCs w:val="32"/>
          <w:u w:val="none"/>
          <w:lang w:val="en-US" w:eastAsia="zh-CN"/>
        </w:rPr>
      </w:pPr>
      <w:r>
        <w:rPr>
          <w:rFonts w:hint="eastAsia" w:eastAsia="方正黑体_GBK" w:cs="方正黑体_GBK"/>
          <w:b w:val="0"/>
          <w:bCs w:val="0"/>
          <w:sz w:val="32"/>
          <w:szCs w:val="32"/>
          <w:u w:val="none"/>
          <w:lang w:val="en-US" w:eastAsia="zh-CN"/>
        </w:rPr>
        <w:t>三</w:t>
      </w:r>
      <w:r>
        <w:rPr>
          <w:rFonts w:hint="eastAsia" w:ascii="Times New Roman" w:hAnsi="Times New Roman" w:eastAsia="方正黑体_GBK" w:cs="方正黑体_GBK"/>
          <w:b w:val="0"/>
          <w:bCs w:val="0"/>
          <w:sz w:val="32"/>
          <w:szCs w:val="32"/>
          <w:u w:val="none"/>
        </w:rPr>
        <w:t>、</w:t>
      </w:r>
      <w:r>
        <w:rPr>
          <w:rFonts w:hint="eastAsia" w:eastAsia="方正黑体_GBK" w:cs="方正黑体_GBK"/>
          <w:b w:val="0"/>
          <w:bCs w:val="0"/>
          <w:sz w:val="32"/>
          <w:szCs w:val="32"/>
          <w:u w:val="none"/>
          <w:lang w:val="en-US" w:eastAsia="zh-CN"/>
        </w:rPr>
        <w:t>工作措施</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黑体_GBK" w:cs="方正黑体_GBK"/>
          <w:b w:val="0"/>
          <w:bCs w:val="0"/>
          <w:sz w:val="32"/>
          <w:szCs w:val="32"/>
          <w:u w:val="none"/>
          <w:lang w:eastAsia="zh-CN"/>
        </w:rPr>
      </w:pPr>
      <w:r>
        <w:rPr>
          <w:rFonts w:hint="eastAsia" w:ascii="方正楷体_GBK" w:hAnsi="方正楷体_GBK" w:eastAsia="方正楷体_GBK" w:cs="方正楷体_GBK"/>
          <w:b w:val="0"/>
          <w:bCs w:val="0"/>
          <w:sz w:val="32"/>
          <w:szCs w:val="32"/>
          <w:u w:val="none"/>
          <w:lang w:eastAsia="zh-CN"/>
        </w:rPr>
        <w:t>（一）</w:t>
      </w:r>
      <w:r>
        <w:rPr>
          <w:rFonts w:hint="eastAsia" w:ascii="方正楷体_GBK" w:hAnsi="方正楷体_GBK" w:eastAsia="方正楷体_GBK" w:cs="方正楷体_GBK"/>
          <w:b w:val="0"/>
          <w:bCs w:val="0"/>
          <w:sz w:val="32"/>
          <w:szCs w:val="32"/>
          <w:u w:val="none"/>
        </w:rPr>
        <w:t>诊断</w:t>
      </w:r>
      <w:r>
        <w:rPr>
          <w:rFonts w:hint="eastAsia" w:ascii="方正楷体_GBK" w:hAnsi="方正楷体_GBK" w:eastAsia="方正楷体_GBK" w:cs="方正楷体_GBK"/>
          <w:b w:val="0"/>
          <w:bCs w:val="0"/>
          <w:sz w:val="32"/>
          <w:szCs w:val="32"/>
          <w:u w:val="none"/>
          <w:lang w:eastAsia="zh-CN"/>
        </w:rPr>
        <w:t>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lang w:eastAsia="zh-CN"/>
        </w:rPr>
      </w:pPr>
      <w:r>
        <w:rPr>
          <w:rFonts w:hint="eastAsia" w:ascii="方正仿宋_GBK" w:hAnsi="方正仿宋_GBK" w:eastAsia="方正仿宋_GBK" w:cs="方正仿宋_GBK"/>
          <w:sz w:val="32"/>
          <w:szCs w:val="32"/>
          <w:u w:val="none"/>
          <w:lang w:val="en-US" w:eastAsia="zh-CN"/>
        </w:rPr>
        <w:t>1.</w:t>
      </w:r>
      <w:r>
        <w:rPr>
          <w:rFonts w:hint="eastAsia" w:ascii="方正仿宋_GBK" w:hAnsi="方正仿宋_GBK" w:eastAsia="方正仿宋_GBK" w:cs="方正仿宋_GBK"/>
          <w:sz w:val="32"/>
          <w:szCs w:val="32"/>
          <w:u w:val="none"/>
          <w:lang w:eastAsia="zh-CN"/>
        </w:rPr>
        <w:t>诊断机构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lang w:eastAsia="zh-CN"/>
        </w:rPr>
        <w:t>诊断机构扩大到我</w:t>
      </w:r>
      <w:r>
        <w:rPr>
          <w:rFonts w:hint="eastAsia" w:ascii="方正仿宋_GBK" w:hAnsi="方正仿宋_GBK" w:eastAsia="方正仿宋_GBK" w:cs="方正仿宋_GBK"/>
          <w:sz w:val="32"/>
          <w:szCs w:val="32"/>
          <w:u w:val="none"/>
          <w:lang w:val="en-US" w:eastAsia="zh-CN"/>
        </w:rPr>
        <w:t>县</w:t>
      </w:r>
      <w:r>
        <w:rPr>
          <w:rFonts w:hint="eastAsia" w:ascii="方正仿宋_GBK" w:hAnsi="方正仿宋_GBK" w:eastAsia="方正仿宋_GBK" w:cs="方正仿宋_GBK"/>
          <w:sz w:val="32"/>
          <w:szCs w:val="32"/>
          <w:u w:val="none"/>
          <w:lang w:eastAsia="zh-CN"/>
        </w:rPr>
        <w:t>所有医保定点医疗机构</w:t>
      </w:r>
      <w:r>
        <w:rPr>
          <w:rFonts w:hint="eastAsia" w:ascii="方正仿宋_GBK" w:hAnsi="方正仿宋_GBK" w:eastAsia="方正仿宋_GBK" w:cs="方正仿宋_GBK"/>
          <w:sz w:val="32"/>
          <w:szCs w:val="32"/>
          <w:u w:val="none"/>
        </w:rPr>
        <w:t>，取得执业医师资格的医生作为诊断医师。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val="en-US" w:eastAsia="zh-CN"/>
        </w:rPr>
        <w:t>2.</w:t>
      </w:r>
      <w:r>
        <w:rPr>
          <w:rFonts w:hint="eastAsia" w:ascii="方正仿宋_GBK" w:hAnsi="方正仿宋_GBK" w:eastAsia="方正仿宋_GBK" w:cs="方正仿宋_GBK"/>
          <w:b w:val="0"/>
          <w:bCs/>
          <w:sz w:val="32"/>
          <w:szCs w:val="32"/>
        </w:rPr>
        <w:t>适用人群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rPr>
      </w:pPr>
      <w:r>
        <w:rPr>
          <w:rFonts w:hint="eastAsia" w:ascii="方正仿宋_GBK" w:hAnsi="方正仿宋_GBK" w:eastAsia="方正仿宋_GBK" w:cs="方正仿宋_GBK"/>
          <w:b w:val="0"/>
          <w:bCs/>
          <w:sz w:val="32"/>
          <w:szCs w:val="32"/>
        </w:rPr>
        <w:t>符合中国高血压、糖尿病防治指南标准，需长期门诊</w:t>
      </w:r>
      <w:r>
        <w:rPr>
          <w:rFonts w:hint="eastAsia" w:ascii="方正仿宋_GBK" w:hAnsi="方正仿宋_GBK" w:eastAsia="方正仿宋_GBK" w:cs="方正仿宋_GBK"/>
          <w:b w:val="0"/>
          <w:bCs/>
          <w:sz w:val="32"/>
          <w:szCs w:val="32"/>
          <w:lang w:eastAsia="zh-CN"/>
        </w:rPr>
        <w:t>用药</w:t>
      </w:r>
      <w:r>
        <w:rPr>
          <w:rFonts w:hint="eastAsia" w:ascii="方正仿宋_GBK" w:hAnsi="方正仿宋_GBK" w:eastAsia="方正仿宋_GBK" w:cs="方正仿宋_GBK"/>
          <w:b w:val="0"/>
          <w:bCs/>
          <w:sz w:val="32"/>
          <w:szCs w:val="32"/>
        </w:rPr>
        <w:t>的</w:t>
      </w:r>
      <w:r>
        <w:rPr>
          <w:rFonts w:hint="eastAsia" w:ascii="方正仿宋_GBK" w:hAnsi="方正仿宋_GBK" w:eastAsia="方正仿宋_GBK" w:cs="方正仿宋_GBK"/>
          <w:b w:val="0"/>
          <w:bCs/>
          <w:sz w:val="32"/>
          <w:szCs w:val="32"/>
          <w:lang w:eastAsia="zh-CN"/>
        </w:rPr>
        <w:t>参加</w:t>
      </w:r>
      <w:r>
        <w:rPr>
          <w:rFonts w:hint="eastAsia" w:ascii="方正仿宋_GBK" w:hAnsi="方正仿宋_GBK" w:eastAsia="方正仿宋_GBK" w:cs="方正仿宋_GBK"/>
          <w:b w:val="0"/>
          <w:bCs/>
          <w:sz w:val="32"/>
          <w:szCs w:val="32"/>
        </w:rPr>
        <w:t>城乡居民</w:t>
      </w:r>
      <w:r>
        <w:rPr>
          <w:rFonts w:hint="eastAsia" w:ascii="方正仿宋_GBK" w:hAnsi="方正仿宋_GBK" w:eastAsia="方正仿宋_GBK" w:cs="方正仿宋_GBK"/>
          <w:b w:val="0"/>
          <w:bCs/>
          <w:sz w:val="32"/>
          <w:szCs w:val="32"/>
          <w:lang w:eastAsia="zh-CN"/>
        </w:rPr>
        <w:t>基本</w:t>
      </w:r>
      <w:r>
        <w:rPr>
          <w:rFonts w:hint="eastAsia" w:ascii="方正仿宋_GBK" w:hAnsi="方正仿宋_GBK" w:eastAsia="方正仿宋_GBK" w:cs="方正仿宋_GBK"/>
          <w:b w:val="0"/>
          <w:bCs/>
          <w:sz w:val="32"/>
          <w:szCs w:val="32"/>
        </w:rPr>
        <w:t>医疗保险（以下简称居民医保）</w:t>
      </w:r>
      <w:r>
        <w:rPr>
          <w:rFonts w:hint="eastAsia" w:ascii="方正仿宋_GBK" w:hAnsi="方正仿宋_GBK" w:eastAsia="方正仿宋_GBK" w:cs="方正仿宋_GBK"/>
          <w:b w:val="0"/>
          <w:bCs/>
          <w:sz w:val="32"/>
          <w:szCs w:val="32"/>
          <w:lang w:eastAsia="zh-CN"/>
        </w:rPr>
        <w:t>的“两病”患者</w:t>
      </w:r>
      <w:r>
        <w:rPr>
          <w:rFonts w:hint="eastAsia" w:ascii="方正仿宋_GBK" w:hAnsi="方正仿宋_GBK" w:eastAsia="方正仿宋_GBK" w:cs="方正仿宋_GBK"/>
          <w:b w:val="0"/>
          <w:bCs/>
          <w:sz w:val="32"/>
          <w:szCs w:val="32"/>
        </w:rPr>
        <w:t>。</w:t>
      </w:r>
      <w:r>
        <w:rPr>
          <w:rFonts w:hint="eastAsia" w:ascii="方正仿宋_GBK" w:hAnsi="方正仿宋_GBK" w:eastAsia="方正仿宋_GBK" w:cs="方正仿宋_GBK"/>
          <w:b w:val="0"/>
          <w:bCs/>
          <w:sz w:val="32"/>
          <w:szCs w:val="32"/>
          <w:lang w:eastAsia="zh-CN"/>
        </w:rPr>
        <w:t>包括：</w:t>
      </w:r>
      <w:r>
        <w:rPr>
          <w:rFonts w:hint="eastAsia" w:ascii="方正仿宋_GBK" w:hAnsi="方正仿宋_GBK" w:eastAsia="方正仿宋_GBK" w:cs="方正仿宋_GBK"/>
          <w:b w:val="0"/>
          <w:bCs/>
          <w:sz w:val="32"/>
          <w:szCs w:val="32"/>
        </w:rPr>
        <w:t>纳入</w:t>
      </w:r>
      <w:r>
        <w:rPr>
          <w:rFonts w:hint="eastAsia" w:ascii="方正仿宋_GBK" w:hAnsi="方正仿宋_GBK" w:eastAsia="方正仿宋_GBK" w:cs="方正仿宋_GBK"/>
          <w:b w:val="0"/>
          <w:bCs/>
          <w:sz w:val="32"/>
          <w:szCs w:val="32"/>
          <w:lang w:eastAsia="zh-CN"/>
        </w:rPr>
        <w:t>“两病”</w:t>
      </w:r>
      <w:r>
        <w:rPr>
          <w:rFonts w:hint="eastAsia" w:ascii="方正仿宋_GBK" w:hAnsi="方正仿宋_GBK" w:eastAsia="方正仿宋_GBK" w:cs="方正仿宋_GBK"/>
          <w:b w:val="0"/>
          <w:bCs/>
          <w:sz w:val="32"/>
          <w:szCs w:val="32"/>
        </w:rPr>
        <w:t>门诊用药保障一类管理</w:t>
      </w:r>
      <w:r>
        <w:rPr>
          <w:rFonts w:hint="eastAsia" w:ascii="方正仿宋_GBK" w:hAnsi="方正仿宋_GBK" w:eastAsia="方正仿宋_GBK" w:cs="方正仿宋_GBK"/>
          <w:b w:val="0"/>
          <w:bCs/>
          <w:sz w:val="32"/>
          <w:szCs w:val="32"/>
          <w:lang w:eastAsia="zh-CN"/>
        </w:rPr>
        <w:t>的</w:t>
      </w:r>
      <w:r>
        <w:rPr>
          <w:rFonts w:hint="eastAsia" w:ascii="方正仿宋_GBK" w:hAnsi="方正仿宋_GBK" w:eastAsia="方正仿宋_GBK" w:cs="方正仿宋_GBK"/>
          <w:b w:val="0"/>
          <w:bCs/>
          <w:sz w:val="32"/>
          <w:szCs w:val="32"/>
        </w:rPr>
        <w:t>一级高血压低危组及继发性高血压患者</w:t>
      </w:r>
      <w:r>
        <w:rPr>
          <w:rFonts w:hint="eastAsia" w:ascii="方正仿宋_GBK" w:hAnsi="方正仿宋_GBK" w:eastAsia="方正仿宋_GBK" w:cs="方正仿宋_GBK"/>
          <w:b w:val="0"/>
          <w:bCs/>
          <w:sz w:val="32"/>
          <w:szCs w:val="32"/>
          <w:lang w:eastAsia="zh-CN"/>
        </w:rPr>
        <w:t>（以下简称</w:t>
      </w:r>
      <w:r>
        <w:rPr>
          <w:rFonts w:hint="eastAsia" w:ascii="方正仿宋_GBK" w:hAnsi="方正仿宋_GBK" w:eastAsia="方正仿宋_GBK" w:cs="方正仿宋_GBK"/>
          <w:b w:val="0"/>
          <w:bCs/>
          <w:sz w:val="32"/>
          <w:szCs w:val="32"/>
        </w:rPr>
        <w:t>一类管理对象</w:t>
      </w: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；纳入</w:t>
      </w:r>
      <w:r>
        <w:rPr>
          <w:rFonts w:hint="eastAsia" w:ascii="方正仿宋_GBK" w:hAnsi="方正仿宋_GBK" w:eastAsia="方正仿宋_GBK" w:cs="方正仿宋_GBK"/>
          <w:b w:val="0"/>
          <w:bCs/>
          <w:sz w:val="32"/>
          <w:szCs w:val="32"/>
          <w:lang w:eastAsia="zh-CN"/>
        </w:rPr>
        <w:t>“两病”</w:t>
      </w:r>
      <w:r>
        <w:rPr>
          <w:rFonts w:hint="eastAsia" w:ascii="方正仿宋_GBK" w:hAnsi="方正仿宋_GBK" w:eastAsia="方正仿宋_GBK" w:cs="方正仿宋_GBK"/>
          <w:b w:val="0"/>
          <w:bCs/>
          <w:sz w:val="32"/>
          <w:szCs w:val="32"/>
        </w:rPr>
        <w:t>门诊用药保障二类管理</w:t>
      </w:r>
      <w:r>
        <w:rPr>
          <w:rFonts w:hint="eastAsia" w:ascii="方正仿宋_GBK" w:hAnsi="方正仿宋_GBK" w:eastAsia="方正仿宋_GBK" w:cs="方正仿宋_GBK"/>
          <w:b w:val="0"/>
          <w:bCs/>
          <w:sz w:val="32"/>
          <w:szCs w:val="32"/>
          <w:lang w:eastAsia="zh-CN"/>
        </w:rPr>
        <w:t>的</w:t>
      </w:r>
      <w:r>
        <w:rPr>
          <w:rFonts w:hint="eastAsia" w:ascii="方正仿宋_GBK" w:hAnsi="方正仿宋_GBK" w:eastAsia="方正仿宋_GBK" w:cs="方正仿宋_GBK"/>
          <w:b w:val="0"/>
          <w:bCs/>
          <w:sz w:val="32"/>
          <w:szCs w:val="32"/>
        </w:rPr>
        <w:t>一级高血压中危组及以上高血压患者</w:t>
      </w: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糖尿病患者</w:t>
      </w:r>
      <w:r>
        <w:rPr>
          <w:rFonts w:hint="eastAsia" w:ascii="方正仿宋_GBK" w:hAnsi="方正仿宋_GBK" w:eastAsia="方正仿宋_GBK" w:cs="方正仿宋_GBK"/>
          <w:b w:val="0"/>
          <w:bCs/>
          <w:sz w:val="32"/>
          <w:szCs w:val="32"/>
          <w:lang w:eastAsia="zh-CN"/>
        </w:rPr>
        <w:t>（以下简称二</w:t>
      </w:r>
      <w:r>
        <w:rPr>
          <w:rFonts w:hint="eastAsia" w:ascii="方正仿宋_GBK" w:hAnsi="方正仿宋_GBK" w:eastAsia="方正仿宋_GBK" w:cs="方正仿宋_GBK"/>
          <w:b w:val="0"/>
          <w:bCs/>
          <w:sz w:val="32"/>
          <w:szCs w:val="32"/>
        </w:rPr>
        <w:t>类管理对象</w:t>
      </w: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lang w:val="en-US" w:eastAsia="zh-CN"/>
        </w:rPr>
      </w:pPr>
      <w:r>
        <w:rPr>
          <w:rFonts w:hint="eastAsia" w:ascii="方正仿宋_GBK" w:hAnsi="方正仿宋_GBK" w:eastAsia="方正仿宋_GBK" w:cs="方正仿宋_GBK"/>
          <w:sz w:val="32"/>
          <w:szCs w:val="32"/>
          <w:u w:val="none"/>
          <w:lang w:val="en-US" w:eastAsia="zh-CN"/>
        </w:rPr>
        <w:t>3.诊断确定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lang w:eastAsia="zh-CN"/>
        </w:rPr>
      </w:pPr>
      <w:r>
        <w:rPr>
          <w:rFonts w:hint="eastAsia" w:ascii="方正仿宋_GBK" w:hAnsi="方正仿宋_GBK" w:eastAsia="方正仿宋_GBK" w:cs="方正仿宋_GBK"/>
          <w:sz w:val="32"/>
          <w:szCs w:val="32"/>
          <w:u w:val="none"/>
          <w:lang w:val="en-US" w:eastAsia="zh-CN"/>
        </w:rPr>
        <w:t>（1）参保人在定点医疗机构申报或在就医过程中符合“两病”诊断标准的，由就诊医疗机构</w:t>
      </w:r>
      <w:r>
        <w:rPr>
          <w:rFonts w:hint="eastAsia" w:ascii="方正仿宋_GBK" w:hAnsi="方正仿宋_GBK" w:eastAsia="方正仿宋_GBK" w:cs="方正仿宋_GBK"/>
          <w:sz w:val="32"/>
          <w:szCs w:val="32"/>
          <w:u w:val="none"/>
          <w:lang w:eastAsia="zh-CN"/>
        </w:rPr>
        <w:t>在</w:t>
      </w:r>
      <w:r>
        <w:rPr>
          <w:rFonts w:hint="eastAsia" w:ascii="方正仿宋_GBK" w:hAnsi="方正仿宋_GBK" w:eastAsia="方正仿宋_GBK" w:cs="方正仿宋_GBK"/>
          <w:sz w:val="32"/>
          <w:szCs w:val="32"/>
          <w:u w:val="none"/>
        </w:rPr>
        <w:t>医保信息系统为</w:t>
      </w:r>
      <w:r>
        <w:rPr>
          <w:rFonts w:hint="eastAsia" w:ascii="方正仿宋_GBK" w:hAnsi="方正仿宋_GBK" w:eastAsia="方正仿宋_GBK" w:cs="方正仿宋_GBK"/>
          <w:sz w:val="32"/>
          <w:szCs w:val="32"/>
          <w:u w:val="none"/>
          <w:lang w:eastAsia="zh-CN"/>
        </w:rPr>
        <w:t>其</w:t>
      </w:r>
      <w:r>
        <w:rPr>
          <w:rFonts w:hint="eastAsia" w:ascii="方正仿宋_GBK" w:hAnsi="方正仿宋_GBK" w:eastAsia="方正仿宋_GBK" w:cs="方正仿宋_GBK"/>
          <w:sz w:val="32"/>
          <w:szCs w:val="32"/>
          <w:u w:val="none"/>
        </w:rPr>
        <w:t>建立</w:t>
      </w:r>
      <w:r>
        <w:rPr>
          <w:rFonts w:hint="eastAsia" w:ascii="方正仿宋_GBK" w:hAnsi="方正仿宋_GBK" w:eastAsia="方正仿宋_GBK" w:cs="方正仿宋_GBK"/>
          <w:sz w:val="32"/>
          <w:szCs w:val="32"/>
          <w:u w:val="none"/>
          <w:lang w:eastAsia="zh-CN"/>
        </w:rPr>
        <w:t>“两病”</w:t>
      </w:r>
      <w:r>
        <w:rPr>
          <w:rFonts w:hint="eastAsia" w:ascii="方正仿宋_GBK" w:hAnsi="方正仿宋_GBK" w:eastAsia="方正仿宋_GBK" w:cs="方正仿宋_GBK"/>
          <w:sz w:val="32"/>
          <w:szCs w:val="32"/>
          <w:u w:val="none"/>
        </w:rPr>
        <w:t>患者初始电子档案</w:t>
      </w:r>
      <w:r>
        <w:rPr>
          <w:rFonts w:hint="eastAsia" w:ascii="方正仿宋_GBK" w:hAnsi="方正仿宋_GBK" w:eastAsia="方正仿宋_GBK" w:cs="方正仿宋_GBK"/>
          <w:sz w:val="32"/>
          <w:szCs w:val="32"/>
          <w:u w:val="none"/>
          <w:lang w:eastAsia="zh-CN"/>
        </w:rPr>
        <w:t>，并将</w:t>
      </w:r>
      <w:r>
        <w:rPr>
          <w:rFonts w:hint="eastAsia" w:ascii="方正仿宋_GBK" w:hAnsi="方正仿宋_GBK" w:eastAsia="方正仿宋_GBK" w:cs="方正仿宋_GBK"/>
          <w:sz w:val="32"/>
          <w:szCs w:val="32"/>
          <w:u w:val="none"/>
        </w:rPr>
        <w:t>相关信息推送到</w:t>
      </w:r>
      <w:r>
        <w:rPr>
          <w:rFonts w:hint="eastAsia" w:ascii="方正仿宋_GBK" w:hAnsi="方正仿宋_GBK" w:eastAsia="方正仿宋_GBK" w:cs="方正仿宋_GBK"/>
          <w:sz w:val="32"/>
          <w:szCs w:val="32"/>
          <w:u w:val="none"/>
          <w:lang w:eastAsia="zh-CN"/>
        </w:rPr>
        <w:t>医保“两病”管理平台</w:t>
      </w:r>
      <w:r>
        <w:rPr>
          <w:rFonts w:hint="eastAsia" w:ascii="方正仿宋_GBK" w:hAnsi="方正仿宋_GBK" w:eastAsia="方正仿宋_GBK" w:cs="方正仿宋_GBK"/>
          <w:sz w:val="32"/>
          <w:szCs w:val="32"/>
          <w:u w:val="none"/>
          <w:lang w:val="en-US" w:eastAsia="zh-CN"/>
        </w:rPr>
        <w:t>,“两病”患者在医保系统中即获得门诊用药资格</w:t>
      </w:r>
      <w:r>
        <w:rPr>
          <w:rFonts w:hint="eastAsia" w:ascii="方正仿宋_GBK" w:hAnsi="方正仿宋_GBK" w:eastAsia="方正仿宋_GBK" w:cs="方正仿宋_GBK"/>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_GBK" w:hAnsi="方正仿宋_GBK" w:eastAsia="方正仿宋_GBK" w:cs="方正仿宋_GBK"/>
          <w:sz w:val="32"/>
          <w:szCs w:val="32"/>
          <w:u w:val="none"/>
          <w:lang w:eastAsia="zh-CN"/>
        </w:rPr>
      </w:pPr>
      <w:r>
        <w:rPr>
          <w:rFonts w:hint="eastAsia" w:ascii="方正仿宋_GBK" w:hAnsi="方正仿宋_GBK" w:eastAsia="方正仿宋_GBK" w:cs="方正仿宋_GBK"/>
          <w:sz w:val="32"/>
          <w:szCs w:val="32"/>
          <w:u w:val="none"/>
          <w:lang w:eastAsia="zh-CN"/>
        </w:rPr>
        <w:t>“两病”患者原则上</w:t>
      </w:r>
      <w:r>
        <w:rPr>
          <w:rFonts w:hint="eastAsia" w:ascii="方正仿宋_GBK" w:hAnsi="方正仿宋_GBK" w:eastAsia="方正仿宋_GBK" w:cs="方正仿宋_GBK"/>
          <w:sz w:val="32"/>
          <w:u w:val="none"/>
        </w:rPr>
        <w:t>不</w:t>
      </w:r>
      <w:r>
        <w:rPr>
          <w:rFonts w:hint="eastAsia" w:ascii="方正仿宋_GBK" w:hAnsi="方正仿宋_GBK" w:eastAsia="方正仿宋_GBK" w:cs="方正仿宋_GBK"/>
          <w:sz w:val="32"/>
          <w:u w:val="none"/>
          <w:lang w:eastAsia="zh-CN"/>
        </w:rPr>
        <w:t>单独</w:t>
      </w:r>
      <w:r>
        <w:rPr>
          <w:rFonts w:hint="eastAsia" w:ascii="方正仿宋_GBK" w:hAnsi="方正仿宋_GBK" w:eastAsia="方正仿宋_GBK" w:cs="方正仿宋_GBK"/>
          <w:sz w:val="32"/>
          <w:u w:val="none"/>
        </w:rPr>
        <w:t>办理“两病”就医</w:t>
      </w:r>
      <w:r>
        <w:rPr>
          <w:rFonts w:hint="eastAsia" w:ascii="方正仿宋_GBK" w:hAnsi="方正仿宋_GBK" w:eastAsia="方正仿宋_GBK" w:cs="方正仿宋_GBK"/>
          <w:sz w:val="32"/>
          <w:u w:val="none"/>
          <w:lang w:val="en-US"/>
        </w:rPr>
        <w:t>凭</w:t>
      </w:r>
      <w:r>
        <w:rPr>
          <w:rFonts w:hint="eastAsia" w:ascii="方正仿宋_GBK" w:hAnsi="方正仿宋_GBK" w:eastAsia="方正仿宋_GBK" w:cs="方正仿宋_GBK"/>
          <w:sz w:val="32"/>
          <w:u w:val="none"/>
        </w:rPr>
        <w:t>证，</w:t>
      </w:r>
      <w:r>
        <w:rPr>
          <w:rFonts w:hint="eastAsia" w:ascii="方正仿宋_GBK" w:hAnsi="方正仿宋_GBK" w:eastAsia="方正仿宋_GBK" w:cs="方正仿宋_GBK"/>
          <w:sz w:val="32"/>
          <w:szCs w:val="32"/>
          <w:u w:val="none"/>
          <w:lang w:eastAsia="zh-CN"/>
        </w:rPr>
        <w:t>直接</w:t>
      </w:r>
      <w:r>
        <w:rPr>
          <w:rFonts w:hint="eastAsia" w:ascii="方正仿宋_GBK" w:hAnsi="方正仿宋_GBK" w:eastAsia="方正仿宋_GBK" w:cs="方正仿宋_GBK"/>
          <w:sz w:val="32"/>
          <w:szCs w:val="32"/>
          <w:u w:val="none"/>
        </w:rPr>
        <w:t>凭社会</w:t>
      </w:r>
      <w:r>
        <w:rPr>
          <w:rFonts w:hint="eastAsia" w:ascii="方正仿宋_GBK" w:hAnsi="方正仿宋_GBK" w:eastAsia="方正仿宋_GBK" w:cs="方正仿宋_GBK"/>
          <w:sz w:val="32"/>
          <w:szCs w:val="32"/>
          <w:u w:val="none"/>
          <w:lang w:eastAsia="zh-CN"/>
        </w:rPr>
        <w:t>保障</w:t>
      </w:r>
      <w:r>
        <w:rPr>
          <w:rFonts w:hint="eastAsia" w:ascii="方正仿宋_GBK" w:hAnsi="方正仿宋_GBK" w:eastAsia="方正仿宋_GBK" w:cs="方正仿宋_GBK"/>
          <w:sz w:val="32"/>
          <w:szCs w:val="32"/>
          <w:u w:val="none"/>
        </w:rPr>
        <w:t>卡</w:t>
      </w:r>
      <w:r>
        <w:rPr>
          <w:rFonts w:hint="eastAsia" w:ascii="方正仿宋_GBK" w:hAnsi="方正仿宋_GBK" w:eastAsia="方正仿宋_GBK" w:cs="方正仿宋_GBK"/>
          <w:sz w:val="32"/>
          <w:szCs w:val="32"/>
          <w:u w:val="none"/>
          <w:lang w:eastAsia="zh-CN"/>
        </w:rPr>
        <w:t>或电子医保凭证</w:t>
      </w:r>
      <w:r>
        <w:rPr>
          <w:rFonts w:hint="eastAsia" w:ascii="方正仿宋_GBK" w:hAnsi="方正仿宋_GBK" w:eastAsia="方正仿宋_GBK" w:cs="方正仿宋_GBK"/>
          <w:sz w:val="32"/>
          <w:szCs w:val="32"/>
          <w:u w:val="none"/>
        </w:rPr>
        <w:t>就医。</w:t>
      </w:r>
      <w:r>
        <w:rPr>
          <w:rFonts w:hint="eastAsia" w:ascii="方正仿宋_GBK" w:hAnsi="方正仿宋_GBK" w:eastAsia="方正仿宋_GBK" w:cs="方正仿宋_GBK"/>
          <w:sz w:val="32"/>
          <w:szCs w:val="32"/>
          <w:u w:val="none"/>
          <w:lang w:eastAsia="zh-CN"/>
        </w:rPr>
        <w:t>对确有必要办理</w:t>
      </w:r>
      <w:r>
        <w:rPr>
          <w:rFonts w:hint="eastAsia" w:ascii="方正仿宋_GBK" w:hAnsi="方正仿宋_GBK" w:eastAsia="方正仿宋_GBK" w:cs="方正仿宋_GBK"/>
          <w:sz w:val="32"/>
          <w:szCs w:val="32"/>
          <w:u w:val="none"/>
        </w:rPr>
        <w:t>“两病”就医</w:t>
      </w:r>
      <w:r>
        <w:rPr>
          <w:rFonts w:hint="eastAsia" w:ascii="方正仿宋_GBK" w:hAnsi="方正仿宋_GBK" w:eastAsia="方正仿宋_GBK" w:cs="方正仿宋_GBK"/>
          <w:sz w:val="32"/>
          <w:szCs w:val="32"/>
          <w:u w:val="none"/>
          <w:lang w:val="en-US"/>
        </w:rPr>
        <w:t>凭</w:t>
      </w:r>
      <w:r>
        <w:rPr>
          <w:rFonts w:hint="eastAsia" w:ascii="方正仿宋_GBK" w:hAnsi="方正仿宋_GBK" w:eastAsia="方正仿宋_GBK" w:cs="方正仿宋_GBK"/>
          <w:sz w:val="32"/>
          <w:szCs w:val="32"/>
          <w:u w:val="none"/>
        </w:rPr>
        <w:t>证</w:t>
      </w:r>
      <w:r>
        <w:rPr>
          <w:rFonts w:hint="eastAsia" w:ascii="方正仿宋_GBK" w:hAnsi="方正仿宋_GBK" w:eastAsia="方正仿宋_GBK" w:cs="方正仿宋_GBK"/>
          <w:sz w:val="32"/>
          <w:szCs w:val="32"/>
          <w:u w:val="none"/>
          <w:lang w:eastAsia="zh-CN"/>
        </w:rPr>
        <w:t>的，也可由诊断机构为其办理“两病”就医凭证。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lang w:val="en-US" w:eastAsia="zh-CN"/>
        </w:rPr>
        <w:t>2</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rPr>
        <w:t>已经获得原城乡居民</w:t>
      </w:r>
      <w:r>
        <w:rPr>
          <w:rFonts w:hint="eastAsia" w:ascii="方正仿宋_GBK" w:hAnsi="方正仿宋_GBK" w:eastAsia="方正仿宋_GBK" w:cs="方正仿宋_GBK"/>
          <w:sz w:val="32"/>
          <w:szCs w:val="32"/>
          <w:u w:val="none"/>
          <w:lang w:eastAsia="zh-CN"/>
        </w:rPr>
        <w:t>“两病”</w:t>
      </w:r>
      <w:r>
        <w:rPr>
          <w:rFonts w:hint="eastAsia" w:ascii="方正仿宋_GBK" w:hAnsi="方正仿宋_GBK" w:eastAsia="方正仿宋_GBK" w:cs="方正仿宋_GBK"/>
          <w:sz w:val="32"/>
          <w:szCs w:val="32"/>
          <w:u w:val="none"/>
        </w:rPr>
        <w:t>门诊用药保障资格或居民医保高血压、糖尿病特病资格的患者自动成为</w:t>
      </w:r>
      <w:r>
        <w:rPr>
          <w:rFonts w:hint="eastAsia" w:ascii="方正仿宋_GBK" w:hAnsi="方正仿宋_GBK" w:eastAsia="方正仿宋_GBK" w:cs="方正仿宋_GBK"/>
          <w:sz w:val="32"/>
          <w:szCs w:val="32"/>
          <w:u w:val="none"/>
          <w:lang w:eastAsia="zh-CN"/>
        </w:rPr>
        <w:t>“两病”</w:t>
      </w:r>
      <w:r>
        <w:rPr>
          <w:rFonts w:hint="eastAsia" w:ascii="方正仿宋_GBK" w:hAnsi="方正仿宋_GBK" w:eastAsia="方正仿宋_GBK" w:cs="方正仿宋_GBK"/>
          <w:sz w:val="32"/>
          <w:szCs w:val="32"/>
          <w:u w:val="none"/>
        </w:rPr>
        <w:t>用药保障对象。</w:t>
      </w: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_GBK" w:hAnsi="方正仿宋_GBK" w:eastAsia="方正仿宋_GBK" w:cs="方正仿宋_GBK"/>
          <w:b w:val="0"/>
          <w:color w:val="auto"/>
          <w:kern w:val="2"/>
          <w:sz w:val="32"/>
          <w:szCs w:val="32"/>
          <w:u w:val="none"/>
          <w:lang w:val="en-US" w:eastAsia="zh-CN" w:bidi="ar-SA"/>
        </w:rPr>
      </w:pPr>
      <w:r>
        <w:rPr>
          <w:rFonts w:hint="eastAsia" w:ascii="方正仿宋_GBK" w:hAnsi="方正仿宋_GBK" w:eastAsia="方正仿宋_GBK" w:cs="方正仿宋_GBK"/>
          <w:b w:val="0"/>
          <w:color w:val="auto"/>
          <w:kern w:val="2"/>
          <w:sz w:val="32"/>
          <w:szCs w:val="32"/>
          <w:u w:val="none"/>
          <w:lang w:val="en-US" w:eastAsia="zh-CN" w:bidi="ar-SA"/>
        </w:rPr>
        <w:t>（3）已经在卫生健康部门实行规范化管理的城乡居民“两病”参保人自动成为“两病”用药保障对象。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楷体_GBK" w:hAnsi="方正楷体_GBK" w:eastAsia="方正楷体_GBK" w:cs="方正楷体_GBK"/>
          <w:sz w:val="32"/>
          <w:szCs w:val="32"/>
          <w:u w:val="none"/>
        </w:rPr>
      </w:pPr>
      <w:r>
        <w:rPr>
          <w:rFonts w:hint="eastAsia" w:ascii="方正楷体_GBK" w:hAnsi="方正楷体_GBK" w:eastAsia="方正楷体_GBK" w:cs="方正楷体_GBK"/>
          <w:sz w:val="32"/>
          <w:szCs w:val="32"/>
          <w:u w:val="none"/>
          <w:lang w:val="en-US" w:eastAsia="zh-CN"/>
        </w:rPr>
        <w:t>（二）</w:t>
      </w:r>
      <w:r>
        <w:rPr>
          <w:rFonts w:hint="eastAsia" w:ascii="方正楷体_GBK" w:hAnsi="方正楷体_GBK" w:eastAsia="方正楷体_GBK" w:cs="方正楷体_GBK"/>
          <w:sz w:val="32"/>
          <w:szCs w:val="32"/>
          <w:u w:val="none"/>
        </w:rPr>
        <w:t>待遇保障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rPr>
        <w:t>一类管理对象</w:t>
      </w:r>
      <w:r>
        <w:rPr>
          <w:rFonts w:hint="eastAsia" w:ascii="方正仿宋_GBK" w:hAnsi="方正仿宋_GBK" w:eastAsia="方正仿宋_GBK" w:cs="方正仿宋_GBK"/>
          <w:sz w:val="32"/>
          <w:szCs w:val="32"/>
          <w:u w:val="none"/>
          <w:lang w:eastAsia="zh-CN"/>
        </w:rPr>
        <w:t>门诊治疗范围为药品目录中降血压、降血糖药物，二</w:t>
      </w:r>
      <w:r>
        <w:rPr>
          <w:rFonts w:hint="eastAsia" w:ascii="方正仿宋_GBK" w:hAnsi="方正仿宋_GBK" w:eastAsia="方正仿宋_GBK" w:cs="方正仿宋_GBK"/>
          <w:sz w:val="32"/>
          <w:szCs w:val="32"/>
          <w:u w:val="none"/>
        </w:rPr>
        <w:t>类管理对象</w:t>
      </w:r>
      <w:r>
        <w:rPr>
          <w:rFonts w:hint="eastAsia" w:ascii="方正仿宋_GBK" w:hAnsi="方正仿宋_GBK" w:eastAsia="方正仿宋_GBK" w:cs="方正仿宋_GBK"/>
          <w:sz w:val="32"/>
          <w:szCs w:val="32"/>
          <w:u w:val="none"/>
          <w:lang w:eastAsia="zh-CN"/>
        </w:rPr>
        <w:t>门诊治疗范围按照居民医保慢特病政策执行；优先选用集中带量采购药品（见附件），今后国家和我市集中带量采购药品变化的按变化后的执行</w:t>
      </w:r>
      <w:r>
        <w:rPr>
          <w:rFonts w:hint="eastAsia" w:ascii="方正仿宋_GBK" w:hAnsi="方正仿宋_GBK" w:eastAsia="方正仿宋_GBK" w:cs="方正仿宋_GBK"/>
          <w:sz w:val="32"/>
          <w:szCs w:val="32"/>
          <w:u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rPr>
      </w:pPr>
      <w:r>
        <w:rPr>
          <w:rFonts w:hint="eastAsia" w:ascii="方正仿宋_GBK" w:hAnsi="方正仿宋_GBK" w:eastAsia="方正仿宋_GBK" w:cs="方正仿宋_GBK"/>
          <w:sz w:val="32"/>
          <w:szCs w:val="32"/>
          <w:u w:val="none"/>
          <w:lang w:eastAsia="zh-CN"/>
        </w:rPr>
        <w:t>“两病”患者门诊用药通过按项目付费和按人头付费两种方式予以保障</w:t>
      </w:r>
      <w:r>
        <w:rPr>
          <w:rFonts w:hint="eastAsia" w:ascii="方正仿宋_GBK" w:hAnsi="方正仿宋_GBK" w:eastAsia="方正仿宋_GBK" w:cs="方正仿宋_GBK"/>
          <w:sz w:val="32"/>
          <w:szCs w:val="32"/>
          <w:u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lang w:eastAsia="zh-CN"/>
        </w:rPr>
      </w:pPr>
      <w:r>
        <w:rPr>
          <w:rFonts w:hint="eastAsia" w:ascii="方正仿宋_GBK" w:hAnsi="方正仿宋_GBK" w:eastAsia="方正仿宋_GBK" w:cs="方正仿宋_GBK"/>
          <w:sz w:val="32"/>
          <w:szCs w:val="32"/>
          <w:u w:val="none"/>
          <w:lang w:val="en-US" w:eastAsia="zh-CN"/>
        </w:rPr>
        <w:t>1.</w:t>
      </w:r>
      <w:r>
        <w:rPr>
          <w:rFonts w:hint="eastAsia" w:ascii="方正仿宋_GBK" w:hAnsi="方正仿宋_GBK" w:eastAsia="方正仿宋_GBK" w:cs="方正仿宋_GBK"/>
          <w:sz w:val="32"/>
          <w:szCs w:val="32"/>
          <w:u w:val="none"/>
          <w:lang w:eastAsia="zh-CN"/>
        </w:rPr>
        <w:t>按项目付费。“两病”患者在我</w:t>
      </w:r>
      <w:r>
        <w:rPr>
          <w:rFonts w:hint="eastAsia" w:ascii="方正仿宋_GBK" w:hAnsi="方正仿宋_GBK" w:eastAsia="方正仿宋_GBK" w:cs="方正仿宋_GBK"/>
          <w:sz w:val="32"/>
          <w:szCs w:val="32"/>
          <w:u w:val="none"/>
          <w:lang w:val="en-US" w:eastAsia="zh-CN"/>
        </w:rPr>
        <w:t>县</w:t>
      </w:r>
      <w:r>
        <w:rPr>
          <w:rFonts w:hint="eastAsia" w:ascii="方正仿宋_GBK" w:hAnsi="方正仿宋_GBK" w:eastAsia="方正仿宋_GBK" w:cs="方正仿宋_GBK"/>
          <w:sz w:val="32"/>
          <w:szCs w:val="32"/>
          <w:u w:val="none"/>
          <w:lang w:eastAsia="zh-CN"/>
        </w:rPr>
        <w:t>所有医保定点医疗机构（含村卫生室或社区卫生服务站）发生的符合保障范围规定的药品和检验检查费用，不设起付线，按规定的报销比例、限额报销后，剩余费用由本人承担。医保经办机构根据医疗机构实际发生的医保范围内的报销费用按月拨付。按项目付费的具体支付标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highlight w:val="none"/>
          <w:u w:val="none"/>
          <w:lang w:eastAsia="zh-CN"/>
        </w:rPr>
      </w:pPr>
      <w:r>
        <w:rPr>
          <w:rFonts w:hint="eastAsia" w:ascii="方正仿宋_GBK" w:hAnsi="方正仿宋_GBK" w:eastAsia="方正仿宋_GBK" w:cs="方正仿宋_GBK"/>
          <w:sz w:val="32"/>
          <w:szCs w:val="32"/>
          <w:u w:val="none"/>
          <w:lang w:val="en-US" w:eastAsia="zh-CN"/>
        </w:rPr>
        <w:t>（1）报销比例：</w:t>
      </w:r>
      <w:r>
        <w:rPr>
          <w:rFonts w:hint="eastAsia" w:ascii="方正仿宋_GBK" w:hAnsi="方正仿宋_GBK" w:eastAsia="方正仿宋_GBK" w:cs="方正仿宋_GBK"/>
          <w:sz w:val="32"/>
          <w:szCs w:val="32"/>
          <w:u w:val="none"/>
        </w:rPr>
        <w:t>使用</w:t>
      </w:r>
      <w:r>
        <w:rPr>
          <w:rFonts w:hint="eastAsia" w:ascii="方正仿宋_GBK" w:hAnsi="方正仿宋_GBK" w:eastAsia="方正仿宋_GBK" w:cs="方正仿宋_GBK"/>
          <w:sz w:val="32"/>
          <w:szCs w:val="32"/>
          <w:u w:val="none"/>
          <w:lang w:eastAsia="zh-CN"/>
        </w:rPr>
        <w:t>集中带量采购</w:t>
      </w:r>
      <w:r>
        <w:rPr>
          <w:rFonts w:hint="eastAsia" w:ascii="方正仿宋_GBK" w:hAnsi="方正仿宋_GBK" w:eastAsia="方正仿宋_GBK" w:cs="方正仿宋_GBK"/>
          <w:sz w:val="32"/>
          <w:szCs w:val="32"/>
          <w:u w:val="none"/>
        </w:rPr>
        <w:t>药品</w:t>
      </w:r>
      <w:r>
        <w:rPr>
          <w:rFonts w:hint="eastAsia" w:ascii="方正仿宋_GBK" w:hAnsi="方正仿宋_GBK" w:eastAsia="方正仿宋_GBK" w:cs="方正仿宋_GBK"/>
          <w:sz w:val="32"/>
          <w:szCs w:val="32"/>
          <w:u w:val="none"/>
          <w:lang w:eastAsia="zh-CN"/>
        </w:rPr>
        <w:t>的（限</w:t>
      </w:r>
      <w:r>
        <w:rPr>
          <w:rFonts w:hint="eastAsia" w:ascii="方正仿宋_GBK" w:hAnsi="方正仿宋_GBK" w:eastAsia="方正仿宋_GBK" w:cs="方正仿宋_GBK"/>
          <w:sz w:val="32"/>
          <w:szCs w:val="32"/>
          <w:u w:val="none"/>
        </w:rPr>
        <w:t>二级及以下医疗机构</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rPr>
        <w:t>，</w:t>
      </w:r>
      <w:r>
        <w:rPr>
          <w:rFonts w:hint="eastAsia" w:ascii="方正仿宋_GBK" w:hAnsi="方正仿宋_GBK" w:eastAsia="方正仿宋_GBK" w:cs="方正仿宋_GBK"/>
          <w:sz w:val="32"/>
          <w:szCs w:val="32"/>
          <w:u w:val="none"/>
          <w:lang w:val="en-US" w:eastAsia="zh-CN"/>
        </w:rPr>
        <w:t>一、二类管理“两病”患者</w:t>
      </w:r>
      <w:r>
        <w:rPr>
          <w:rFonts w:hint="eastAsia" w:ascii="方正仿宋_GBK" w:hAnsi="方正仿宋_GBK" w:eastAsia="方正仿宋_GBK" w:cs="方正仿宋_GBK"/>
          <w:sz w:val="32"/>
          <w:szCs w:val="32"/>
          <w:u w:val="none"/>
        </w:rPr>
        <w:t>报销比例</w:t>
      </w:r>
      <w:r>
        <w:rPr>
          <w:rFonts w:hint="eastAsia" w:ascii="方正仿宋_GBK" w:hAnsi="方正仿宋_GBK" w:eastAsia="方正仿宋_GBK" w:cs="方正仿宋_GBK"/>
          <w:sz w:val="32"/>
          <w:szCs w:val="32"/>
          <w:u w:val="none"/>
          <w:lang w:eastAsia="zh-CN"/>
        </w:rPr>
        <w:t>为</w:t>
      </w:r>
      <w:r>
        <w:rPr>
          <w:rFonts w:hint="eastAsia" w:ascii="方正仿宋_GBK" w:hAnsi="方正仿宋_GBK" w:eastAsia="方正仿宋_GBK" w:cs="方正仿宋_GBK"/>
          <w:sz w:val="32"/>
          <w:szCs w:val="32"/>
          <w:u w:val="none"/>
        </w:rPr>
        <w:t>100%</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rPr>
        <w:t>使用非集中</w:t>
      </w:r>
      <w:r>
        <w:rPr>
          <w:rFonts w:hint="eastAsia" w:ascii="方正仿宋_GBK" w:hAnsi="方正仿宋_GBK" w:eastAsia="方正仿宋_GBK" w:cs="方正仿宋_GBK"/>
          <w:sz w:val="32"/>
          <w:szCs w:val="32"/>
          <w:u w:val="none"/>
          <w:lang w:eastAsia="zh-CN"/>
        </w:rPr>
        <w:t>带量</w:t>
      </w:r>
      <w:r>
        <w:rPr>
          <w:rFonts w:hint="eastAsia" w:ascii="方正仿宋_GBK" w:hAnsi="方正仿宋_GBK" w:eastAsia="方正仿宋_GBK" w:cs="方正仿宋_GBK"/>
          <w:sz w:val="32"/>
          <w:szCs w:val="32"/>
          <w:u w:val="none"/>
        </w:rPr>
        <w:t>采购药品的，一类管理患者</w:t>
      </w:r>
      <w:r>
        <w:rPr>
          <w:rFonts w:hint="eastAsia" w:ascii="方正仿宋_GBK" w:hAnsi="方正仿宋_GBK" w:eastAsia="方正仿宋_GBK" w:cs="方正仿宋_GBK"/>
          <w:sz w:val="32"/>
          <w:szCs w:val="32"/>
          <w:u w:val="none"/>
          <w:lang w:eastAsia="zh-CN"/>
        </w:rPr>
        <w:t>（限</w:t>
      </w:r>
      <w:r>
        <w:rPr>
          <w:rFonts w:hint="eastAsia" w:ascii="方正仿宋_GBK" w:hAnsi="方正仿宋_GBK" w:eastAsia="方正仿宋_GBK" w:cs="方正仿宋_GBK"/>
          <w:sz w:val="32"/>
          <w:szCs w:val="32"/>
          <w:u w:val="none"/>
        </w:rPr>
        <w:t>二级及以下医疗机构</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rPr>
        <w:t>报销比例为60%</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u w:val="none"/>
        </w:rPr>
        <w:t>二类管理患者报销比例</w:t>
      </w:r>
      <w:r>
        <w:rPr>
          <w:rFonts w:hint="eastAsia" w:ascii="方正仿宋_GBK" w:hAnsi="方正仿宋_GBK" w:eastAsia="方正仿宋_GBK" w:cs="方正仿宋_GBK"/>
          <w:sz w:val="32"/>
          <w:szCs w:val="32"/>
          <w:u w:val="none"/>
          <w:lang w:eastAsia="zh-CN"/>
        </w:rPr>
        <w:t>为</w:t>
      </w:r>
      <w:r>
        <w:rPr>
          <w:rFonts w:hint="eastAsia" w:ascii="方正仿宋_GBK" w:hAnsi="方正仿宋_GBK" w:eastAsia="方正仿宋_GBK" w:cs="方正仿宋_GBK"/>
          <w:sz w:val="32"/>
          <w:szCs w:val="32"/>
          <w:u w:val="none"/>
        </w:rPr>
        <w:t>一级医疗机构80%、二</w:t>
      </w:r>
      <w:r>
        <w:rPr>
          <w:rFonts w:hint="eastAsia" w:ascii="方正仿宋_GBK" w:hAnsi="方正仿宋_GBK" w:eastAsia="方正仿宋_GBK" w:cs="方正仿宋_GBK"/>
          <w:sz w:val="32"/>
          <w:szCs w:val="32"/>
          <w:u w:val="none"/>
          <w:lang w:eastAsia="zh-CN"/>
        </w:rPr>
        <w:t>级医疗机构</w:t>
      </w:r>
      <w:r>
        <w:rPr>
          <w:rFonts w:hint="eastAsia" w:ascii="方正仿宋_GBK" w:hAnsi="方正仿宋_GBK" w:eastAsia="方正仿宋_GBK" w:cs="方正仿宋_GBK"/>
          <w:sz w:val="32"/>
          <w:szCs w:val="32"/>
          <w:u w:val="none"/>
        </w:rPr>
        <w:t>60%、三</w:t>
      </w:r>
      <w:r>
        <w:rPr>
          <w:rFonts w:hint="eastAsia" w:ascii="方正仿宋_GBK" w:hAnsi="方正仿宋_GBK" w:eastAsia="方正仿宋_GBK" w:cs="方正仿宋_GBK"/>
          <w:sz w:val="32"/>
          <w:szCs w:val="32"/>
          <w:u w:val="none"/>
          <w:lang w:eastAsia="zh-CN"/>
        </w:rPr>
        <w:t>级医疗机构</w:t>
      </w:r>
      <w:r>
        <w:rPr>
          <w:rFonts w:hint="eastAsia" w:ascii="方正仿宋_GBK" w:hAnsi="方正仿宋_GBK" w:eastAsia="方正仿宋_GBK" w:cs="方正仿宋_GBK"/>
          <w:sz w:val="32"/>
          <w:szCs w:val="32"/>
          <w:u w:val="none"/>
        </w:rPr>
        <w:t>40%</w:t>
      </w:r>
      <w:r>
        <w:rPr>
          <w:rFonts w:hint="eastAsia" w:ascii="方正仿宋_GBK" w:hAnsi="方正仿宋_GBK" w:eastAsia="方正仿宋_GBK" w:cs="方正仿宋_GBK"/>
          <w:sz w:val="32"/>
          <w:szCs w:val="32"/>
          <w:u w:val="none"/>
          <w:lang w:eastAsia="zh-CN"/>
        </w:rPr>
        <w:t>；</w:t>
      </w:r>
      <w:r>
        <w:rPr>
          <w:rFonts w:hint="eastAsia" w:ascii="方正仿宋_GBK" w:hAnsi="方正仿宋_GBK" w:eastAsia="方正仿宋_GBK" w:cs="方正仿宋_GBK"/>
          <w:sz w:val="32"/>
          <w:szCs w:val="32"/>
          <w:highlight w:val="none"/>
          <w:u w:val="none"/>
          <w:lang w:eastAsia="zh-CN"/>
        </w:rPr>
        <w:t>“两病”</w:t>
      </w:r>
      <w:r>
        <w:rPr>
          <w:rFonts w:hint="eastAsia" w:ascii="方正仿宋_GBK" w:hAnsi="方正仿宋_GBK" w:eastAsia="方正仿宋_GBK" w:cs="方正仿宋_GBK"/>
          <w:sz w:val="32"/>
          <w:szCs w:val="32"/>
          <w:highlight w:val="none"/>
          <w:u w:val="none"/>
        </w:rPr>
        <w:t>门诊检查</w:t>
      </w:r>
      <w:r>
        <w:rPr>
          <w:rFonts w:hint="eastAsia" w:ascii="方正仿宋_GBK" w:hAnsi="方正仿宋_GBK" w:eastAsia="方正仿宋_GBK" w:cs="方正仿宋_GBK"/>
          <w:sz w:val="32"/>
          <w:szCs w:val="32"/>
          <w:highlight w:val="none"/>
          <w:u w:val="none"/>
          <w:lang w:eastAsia="zh-CN"/>
        </w:rPr>
        <w:t>检验</w:t>
      </w:r>
      <w:r>
        <w:rPr>
          <w:rFonts w:hint="eastAsia" w:ascii="方正仿宋_GBK" w:hAnsi="方正仿宋_GBK" w:eastAsia="方正仿宋_GBK" w:cs="方正仿宋_GBK"/>
          <w:sz w:val="32"/>
          <w:szCs w:val="32"/>
          <w:highlight w:val="none"/>
          <w:u w:val="none"/>
        </w:rPr>
        <w:t>项目</w:t>
      </w:r>
      <w:r>
        <w:rPr>
          <w:rFonts w:hint="eastAsia" w:ascii="方正仿宋_GBK" w:hAnsi="方正仿宋_GBK" w:eastAsia="方正仿宋_GBK" w:cs="方正仿宋_GBK"/>
          <w:sz w:val="32"/>
          <w:szCs w:val="32"/>
          <w:highlight w:val="none"/>
          <w:u w:val="none"/>
          <w:lang w:eastAsia="zh-CN"/>
        </w:rPr>
        <w:t>（限</w:t>
      </w:r>
      <w:r>
        <w:rPr>
          <w:rFonts w:hint="eastAsia" w:ascii="方正仿宋_GBK" w:hAnsi="方正仿宋_GBK" w:eastAsia="方正仿宋_GBK" w:cs="方正仿宋_GBK"/>
          <w:sz w:val="32"/>
          <w:szCs w:val="32"/>
          <w:highlight w:val="none"/>
          <w:u w:val="none"/>
        </w:rPr>
        <w:t>二类管理患者</w:t>
      </w:r>
      <w:r>
        <w:rPr>
          <w:rFonts w:hint="eastAsia" w:ascii="方正仿宋_GBK" w:hAnsi="方正仿宋_GBK" w:eastAsia="方正仿宋_GBK" w:cs="方正仿宋_GBK"/>
          <w:sz w:val="32"/>
          <w:szCs w:val="32"/>
          <w:highlight w:val="none"/>
          <w:u w:val="none"/>
          <w:lang w:eastAsia="zh-CN"/>
        </w:rPr>
        <w:t>）报销比例为</w:t>
      </w:r>
      <w:r>
        <w:rPr>
          <w:rFonts w:hint="eastAsia" w:ascii="方正仿宋_GBK" w:hAnsi="方正仿宋_GBK" w:eastAsia="方正仿宋_GBK" w:cs="方正仿宋_GBK"/>
          <w:sz w:val="32"/>
          <w:szCs w:val="32"/>
          <w:u w:val="none"/>
        </w:rPr>
        <w:t>一级医疗机构80%、二</w:t>
      </w:r>
      <w:r>
        <w:rPr>
          <w:rFonts w:hint="eastAsia" w:ascii="方正仿宋_GBK" w:hAnsi="方正仿宋_GBK" w:eastAsia="方正仿宋_GBK" w:cs="方正仿宋_GBK"/>
          <w:sz w:val="32"/>
          <w:szCs w:val="32"/>
          <w:u w:val="none"/>
          <w:lang w:eastAsia="zh-CN"/>
        </w:rPr>
        <w:t>级医疗机构</w:t>
      </w:r>
      <w:r>
        <w:rPr>
          <w:rFonts w:hint="eastAsia" w:ascii="方正仿宋_GBK" w:hAnsi="方正仿宋_GBK" w:eastAsia="方正仿宋_GBK" w:cs="方正仿宋_GBK"/>
          <w:sz w:val="32"/>
          <w:szCs w:val="32"/>
          <w:u w:val="none"/>
        </w:rPr>
        <w:t>60%、三</w:t>
      </w:r>
      <w:r>
        <w:rPr>
          <w:rFonts w:hint="eastAsia" w:ascii="方正仿宋_GBK" w:hAnsi="方正仿宋_GBK" w:eastAsia="方正仿宋_GBK" w:cs="方正仿宋_GBK"/>
          <w:sz w:val="32"/>
          <w:szCs w:val="32"/>
          <w:u w:val="none"/>
          <w:lang w:eastAsia="zh-CN"/>
        </w:rPr>
        <w:t>级医疗机构</w:t>
      </w:r>
      <w:r>
        <w:rPr>
          <w:rFonts w:hint="eastAsia" w:ascii="方正仿宋_GBK" w:hAnsi="方正仿宋_GBK" w:eastAsia="方正仿宋_GBK" w:cs="方正仿宋_GBK"/>
          <w:sz w:val="32"/>
          <w:szCs w:val="32"/>
          <w:u w:val="none"/>
        </w:rPr>
        <w:t>40%</w:t>
      </w:r>
      <w:r>
        <w:rPr>
          <w:rFonts w:hint="eastAsia" w:ascii="方正仿宋_GBK" w:hAnsi="方正仿宋_GBK" w:eastAsia="方正仿宋_GBK" w:cs="方正仿宋_GBK"/>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b w:val="0"/>
          <w:bCs w:val="0"/>
          <w:sz w:val="32"/>
          <w:szCs w:val="32"/>
          <w:u w:val="none"/>
          <w:lang w:eastAsia="zh-CN"/>
        </w:rPr>
      </w:pPr>
      <w:r>
        <w:rPr>
          <w:rFonts w:hint="eastAsia" w:ascii="方正仿宋_GBK" w:hAnsi="方正仿宋_GBK" w:eastAsia="方正仿宋_GBK" w:cs="方正仿宋_GBK"/>
          <w:sz w:val="32"/>
          <w:szCs w:val="32"/>
          <w:u w:val="none"/>
          <w:lang w:val="en-US" w:eastAsia="zh-CN"/>
        </w:rPr>
        <w:t>（2）报销限额：</w:t>
      </w:r>
      <w:r>
        <w:rPr>
          <w:rFonts w:hint="eastAsia" w:ascii="方正仿宋_GBK" w:hAnsi="方正仿宋_GBK" w:eastAsia="方正仿宋_GBK" w:cs="方正仿宋_GBK"/>
          <w:sz w:val="32"/>
          <w:szCs w:val="32"/>
          <w:u w:val="none"/>
        </w:rPr>
        <w:t>一类管理对象的</w:t>
      </w:r>
      <w:r>
        <w:rPr>
          <w:rFonts w:hint="eastAsia" w:ascii="方正仿宋_GBK" w:hAnsi="方正仿宋_GBK" w:eastAsia="方正仿宋_GBK" w:cs="方正仿宋_GBK"/>
          <w:sz w:val="32"/>
          <w:szCs w:val="32"/>
          <w:u w:val="none"/>
          <w:lang w:val="en-US" w:eastAsia="zh-CN"/>
        </w:rPr>
        <w:t>“两病”</w:t>
      </w:r>
      <w:r>
        <w:rPr>
          <w:rFonts w:hint="eastAsia" w:ascii="方正仿宋_GBK" w:hAnsi="方正仿宋_GBK" w:eastAsia="方正仿宋_GBK" w:cs="方正仿宋_GBK"/>
          <w:sz w:val="32"/>
          <w:szCs w:val="32"/>
          <w:u w:val="none"/>
          <w:lang w:eastAsia="zh-CN"/>
        </w:rPr>
        <w:t>年</w:t>
      </w:r>
      <w:r>
        <w:rPr>
          <w:rFonts w:hint="eastAsia" w:ascii="方正仿宋_GBK" w:hAnsi="方正仿宋_GBK" w:eastAsia="方正仿宋_GBK" w:cs="方正仿宋_GBK"/>
          <w:sz w:val="32"/>
          <w:szCs w:val="32"/>
          <w:u w:val="none"/>
        </w:rPr>
        <w:t>报销限额为500元/人·年。二类管理对象的</w:t>
      </w:r>
      <w:r>
        <w:rPr>
          <w:rFonts w:hint="eastAsia" w:ascii="方正仿宋_GBK" w:hAnsi="方正仿宋_GBK" w:eastAsia="方正仿宋_GBK" w:cs="方正仿宋_GBK"/>
          <w:sz w:val="32"/>
          <w:szCs w:val="32"/>
          <w:u w:val="none"/>
          <w:lang w:val="en-US" w:eastAsia="zh-CN"/>
        </w:rPr>
        <w:t>“两病”</w:t>
      </w:r>
      <w:r>
        <w:rPr>
          <w:rFonts w:hint="eastAsia" w:ascii="方正仿宋_GBK" w:hAnsi="方正仿宋_GBK" w:eastAsia="方正仿宋_GBK" w:cs="方正仿宋_GBK"/>
          <w:sz w:val="32"/>
          <w:szCs w:val="32"/>
          <w:u w:val="none"/>
          <w:lang w:eastAsia="zh-CN"/>
        </w:rPr>
        <w:t>年</w:t>
      </w:r>
      <w:r>
        <w:rPr>
          <w:rFonts w:hint="eastAsia" w:ascii="方正仿宋_GBK" w:hAnsi="方正仿宋_GBK" w:eastAsia="方正仿宋_GBK" w:cs="方正仿宋_GBK"/>
          <w:sz w:val="32"/>
          <w:szCs w:val="32"/>
          <w:u w:val="none"/>
        </w:rPr>
        <w:t>报销限额为1000元/人·年。同时患有</w:t>
      </w:r>
      <w:r>
        <w:rPr>
          <w:rFonts w:hint="eastAsia" w:ascii="方正仿宋_GBK" w:hAnsi="方正仿宋_GBK" w:eastAsia="方正仿宋_GBK" w:cs="方正仿宋_GBK"/>
          <w:sz w:val="32"/>
          <w:szCs w:val="32"/>
          <w:u w:val="none"/>
          <w:lang w:eastAsia="zh-CN"/>
        </w:rPr>
        <w:t>高血压和糖尿病的</w:t>
      </w:r>
      <w:r>
        <w:rPr>
          <w:rFonts w:hint="eastAsia" w:ascii="方正仿宋_GBK" w:hAnsi="方正仿宋_GBK" w:eastAsia="方正仿宋_GBK" w:cs="方正仿宋_GBK"/>
          <w:sz w:val="32"/>
          <w:szCs w:val="32"/>
          <w:u w:val="none"/>
        </w:rPr>
        <w:t>报销限额为1500元/人·年</w:t>
      </w:r>
      <w:r>
        <w:rPr>
          <w:rFonts w:hint="eastAsia" w:ascii="方正仿宋_GBK" w:hAnsi="方正仿宋_GBK" w:eastAsia="方正仿宋_GBK" w:cs="方正仿宋_GBK"/>
          <w:sz w:val="32"/>
          <w:szCs w:val="32"/>
          <w:u w:val="none"/>
          <w:lang w:eastAsia="zh-CN"/>
        </w:rPr>
        <w:t>、患有高血压或糖尿病及其他一种慢性病的</w:t>
      </w:r>
      <w:r>
        <w:rPr>
          <w:rFonts w:hint="eastAsia" w:ascii="方正仿宋_GBK" w:hAnsi="方正仿宋_GBK" w:eastAsia="方正仿宋_GBK" w:cs="方正仿宋_GBK"/>
          <w:sz w:val="32"/>
          <w:szCs w:val="32"/>
          <w:u w:val="none"/>
        </w:rPr>
        <w:t>报销限额为1500元/人·年</w:t>
      </w:r>
      <w:r>
        <w:rPr>
          <w:rFonts w:hint="eastAsia" w:ascii="方正仿宋_GBK" w:hAnsi="方正仿宋_GBK" w:eastAsia="方正仿宋_GBK" w:cs="方正仿宋_GBK"/>
          <w:sz w:val="32"/>
          <w:szCs w:val="32"/>
          <w:u w:val="none"/>
          <w:lang w:eastAsia="zh-CN"/>
        </w:rPr>
        <w:t>，在此基础上每增加一个慢性病病种，报销限额增加</w:t>
      </w:r>
      <w:r>
        <w:rPr>
          <w:rFonts w:hint="eastAsia" w:ascii="方正仿宋_GBK" w:hAnsi="方正仿宋_GBK" w:eastAsia="方正仿宋_GBK" w:cs="方正仿宋_GBK"/>
          <w:sz w:val="32"/>
          <w:szCs w:val="32"/>
          <w:u w:val="none"/>
          <w:lang w:val="en-US" w:eastAsia="zh-CN"/>
        </w:rPr>
        <w:t>200元</w:t>
      </w:r>
      <w:r>
        <w:rPr>
          <w:rFonts w:hint="eastAsia" w:ascii="方正仿宋_GBK" w:hAnsi="方正仿宋_GBK" w:eastAsia="方正仿宋_GBK" w:cs="方正仿宋_GBK"/>
          <w:sz w:val="32"/>
          <w:szCs w:val="32"/>
          <w:u w:val="none"/>
        </w:rPr>
        <w:t>。</w:t>
      </w:r>
      <w:r>
        <w:rPr>
          <w:rFonts w:hint="eastAsia" w:ascii="方正仿宋_GBK" w:hAnsi="方正仿宋_GBK" w:eastAsia="方正仿宋_GBK" w:cs="方正仿宋_GBK"/>
          <w:b w:val="0"/>
          <w:bCs w:val="0"/>
          <w:sz w:val="32"/>
          <w:szCs w:val="32"/>
          <w:u w:val="none"/>
          <w:lang w:eastAsia="zh-CN"/>
        </w:rPr>
        <w:t>“两病”门诊用药保障报销限额与居民医保门诊慢性病报销限额共用。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sz w:val="32"/>
          <w:szCs w:val="32"/>
          <w:u w:val="none"/>
          <w:lang w:eastAsia="zh-CN"/>
        </w:rPr>
      </w:pPr>
      <w:r>
        <w:rPr>
          <w:rFonts w:hint="eastAsia" w:ascii="方正仿宋_GBK" w:hAnsi="方正仿宋_GBK" w:eastAsia="方正仿宋_GBK" w:cs="方正仿宋_GBK"/>
          <w:sz w:val="32"/>
          <w:szCs w:val="32"/>
          <w:u w:val="none"/>
          <w:lang w:val="en-US" w:eastAsia="zh-CN"/>
        </w:rPr>
        <w:t>2.按人头付费。</w:t>
      </w:r>
      <w:r>
        <w:rPr>
          <w:rFonts w:hint="eastAsia" w:ascii="方正仿宋_GBK" w:hAnsi="方正仿宋_GBK" w:eastAsia="方正仿宋_GBK" w:cs="方正仿宋_GBK"/>
          <w:sz w:val="32"/>
          <w:szCs w:val="32"/>
          <w:u w:val="none"/>
          <w:lang w:eastAsia="zh-CN"/>
        </w:rPr>
        <w:t>居住地或工作地相对固定的“两病”参保患者，可选择按人头付费的保障方式。“两病”参保患者自愿选择居住地或工作地一个乡镇卫生院或一个社区卫生服务中心作为本人“两病”门诊定点治疗机构。定点治疗机构负责患者的门诊治疗服务（包括复诊、检查、供药），并按规定满足患者门诊治疗服务需求。费用由医保经办机构与定点治疗机构分别按高血压30元/人·月、糖尿病70元/人·月的人头标准按月结算、年终考核清算（当年中途选择的按实际月份计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楷体_GBK" w:hAnsi="方正楷体_GBK" w:eastAsia="方正楷体_GBK" w:cs="方正楷体_GBK"/>
          <w:sz w:val="32"/>
          <w:szCs w:val="32"/>
          <w:u w:val="none"/>
          <w:lang w:eastAsia="zh-CN"/>
        </w:rPr>
      </w:pPr>
      <w:r>
        <w:rPr>
          <w:rFonts w:hint="eastAsia" w:ascii="方正楷体_GBK" w:hAnsi="方正楷体_GBK" w:eastAsia="方正楷体_GBK" w:cs="方正楷体_GBK"/>
          <w:sz w:val="32"/>
          <w:szCs w:val="32"/>
          <w:u w:val="none"/>
          <w:lang w:val="en-US" w:eastAsia="zh-CN"/>
        </w:rPr>
        <w:t>（三）</w:t>
      </w:r>
      <w:r>
        <w:rPr>
          <w:rFonts w:hint="eastAsia" w:ascii="方正楷体_GBK" w:hAnsi="方正楷体_GBK" w:eastAsia="方正楷体_GBK" w:cs="方正楷体_GBK"/>
          <w:sz w:val="32"/>
          <w:szCs w:val="32"/>
          <w:u w:val="none"/>
          <w:lang w:eastAsia="zh-CN"/>
        </w:rPr>
        <w:t>就医管理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sz w:val="32"/>
          <w:szCs w:val="32"/>
          <w:u w:val="none"/>
          <w:lang w:eastAsia="zh-CN"/>
        </w:rPr>
      </w:pPr>
      <w:r>
        <w:rPr>
          <w:rFonts w:hint="eastAsia" w:ascii="Times New Roman" w:hAnsi="Times New Roman" w:eastAsia="方正仿宋_GBK" w:cs="方正仿宋_GBK"/>
          <w:sz w:val="32"/>
          <w:szCs w:val="32"/>
          <w:u w:val="none"/>
          <w:lang w:eastAsia="zh-CN"/>
        </w:rPr>
        <w:t>对选择按项目付费的患者，将“两病”</w:t>
      </w:r>
      <w:r>
        <w:rPr>
          <w:rFonts w:hint="eastAsia" w:ascii="Times New Roman" w:hAnsi="Times New Roman" w:eastAsia="方正仿宋_GBK" w:cs="方正仿宋_GBK"/>
          <w:sz w:val="32"/>
          <w:szCs w:val="32"/>
          <w:u w:val="none"/>
        </w:rPr>
        <w:t>用药保障的治疗机构扩大到我</w:t>
      </w:r>
      <w:r>
        <w:rPr>
          <w:rFonts w:hint="eastAsia" w:eastAsia="方正仿宋_GBK" w:cs="方正仿宋_GBK"/>
          <w:sz w:val="32"/>
          <w:szCs w:val="32"/>
          <w:u w:val="none"/>
          <w:lang w:val="en-US" w:eastAsia="zh-CN"/>
        </w:rPr>
        <w:t>县</w:t>
      </w:r>
      <w:r>
        <w:rPr>
          <w:rFonts w:hint="eastAsia" w:ascii="Times New Roman" w:hAnsi="Times New Roman" w:eastAsia="方正仿宋_GBK" w:cs="方正仿宋_GBK"/>
          <w:sz w:val="32"/>
          <w:szCs w:val="32"/>
          <w:u w:val="none"/>
        </w:rPr>
        <w:t>所有医保定点医疗机构（含村卫生室或社区卫生服务站）</w:t>
      </w:r>
      <w:r>
        <w:rPr>
          <w:rFonts w:hint="eastAsia" w:ascii="Times New Roman" w:hAnsi="Times New Roman" w:eastAsia="方正仿宋_GBK" w:cs="方正仿宋_GBK"/>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sz w:val="32"/>
          <w:szCs w:val="32"/>
          <w:u w:val="none"/>
          <w:lang w:eastAsia="zh-CN"/>
        </w:rPr>
      </w:pPr>
      <w:r>
        <w:rPr>
          <w:rFonts w:hint="eastAsia" w:ascii="Times New Roman" w:hAnsi="Times New Roman" w:eastAsia="方正仿宋_GBK" w:cs="方正仿宋_GBK"/>
          <w:sz w:val="32"/>
          <w:szCs w:val="32"/>
          <w:u w:val="none"/>
          <w:lang w:eastAsia="zh-CN"/>
        </w:rPr>
        <w:t>对选择按人头付费的患者，其按人头付费定点治疗机构原则上一个自然年度内不做变更，确因居住地或工作地变化等客观原因需要调整的，也可变更其按人头付费定点机构，确保“两病”门诊保障的有效衔接。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方正仿宋_GBK"/>
          <w:sz w:val="32"/>
          <w:szCs w:val="32"/>
          <w:u w:val="none"/>
          <w:lang w:val="en-US" w:eastAsia="zh-CN"/>
        </w:rPr>
      </w:pPr>
      <w:r>
        <w:rPr>
          <w:rFonts w:hint="eastAsia" w:ascii="Times New Roman" w:hAnsi="Times New Roman" w:eastAsia="方正仿宋_GBK" w:cs="方正仿宋_GBK"/>
          <w:sz w:val="32"/>
          <w:szCs w:val="32"/>
          <w:u w:val="none"/>
          <w:lang w:eastAsia="zh-CN"/>
        </w:rPr>
        <w:t>办理了跨省异地就医备案的</w:t>
      </w:r>
      <w:r>
        <w:rPr>
          <w:rFonts w:hint="eastAsia" w:ascii="Times New Roman" w:hAnsi="Times New Roman" w:eastAsia="方正仿宋_GBK" w:cs="方正仿宋_GBK"/>
          <w:sz w:val="32"/>
          <w:szCs w:val="32"/>
          <w:u w:val="none"/>
        </w:rPr>
        <w:t>市外</w:t>
      </w:r>
      <w:r>
        <w:rPr>
          <w:rFonts w:hint="eastAsia" w:ascii="Times New Roman" w:hAnsi="Times New Roman" w:eastAsia="方正仿宋_GBK" w:cs="方正仿宋_GBK"/>
          <w:sz w:val="32"/>
          <w:szCs w:val="32"/>
          <w:u w:val="none"/>
          <w:lang w:eastAsia="zh-CN"/>
        </w:rPr>
        <w:t>“两病”患者，在市外异地直接联网结算的医保定点医疗机构就医的</w:t>
      </w:r>
      <w:r>
        <w:rPr>
          <w:rFonts w:hint="eastAsia" w:ascii="Times New Roman" w:hAnsi="Times New Roman" w:eastAsia="方正仿宋_GBK" w:cs="方正仿宋_GBK"/>
          <w:sz w:val="32"/>
          <w:szCs w:val="32"/>
          <w:u w:val="none"/>
        </w:rPr>
        <w:t>，按异地就医规定执行</w:t>
      </w:r>
      <w:r>
        <w:rPr>
          <w:rFonts w:hint="eastAsia" w:ascii="Times New Roman" w:hAnsi="Times New Roman" w:eastAsia="方正仿宋_GBK" w:cs="方正仿宋_GBK"/>
          <w:sz w:val="32"/>
          <w:szCs w:val="32"/>
          <w:u w:val="none"/>
          <w:lang w:eastAsia="zh-CN"/>
        </w:rPr>
        <w:t>；在市外异地非直接联网结算的医保定点医疗机构就医，由参保人员先行垫付相关费用，再到参保地医保经办机构按本办法的规定报销。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_GBK" w:cs="方正仿宋_GBK"/>
          <w:sz w:val="32"/>
          <w:szCs w:val="32"/>
          <w:u w:val="none"/>
          <w:lang w:val="en-US" w:eastAsia="zh-CN"/>
        </w:rPr>
      </w:pPr>
      <w:r>
        <w:rPr>
          <w:rFonts w:hint="eastAsia" w:ascii="Times New Roman" w:hAnsi="Times New Roman" w:eastAsia="方正仿宋_GBK" w:cs="方正仿宋_GBK"/>
          <w:sz w:val="32"/>
          <w:szCs w:val="32"/>
          <w:u w:val="none"/>
          <w:lang w:eastAsia="zh-CN"/>
        </w:rPr>
        <w:t>“两病”复诊的，经诊治医师处方，可一次性开具不超过</w:t>
      </w:r>
      <w:r>
        <w:rPr>
          <w:rFonts w:hint="eastAsia" w:ascii="Times New Roman" w:hAnsi="Times New Roman" w:eastAsia="方正仿宋_GBK" w:cs="方正仿宋_GBK"/>
          <w:sz w:val="32"/>
          <w:szCs w:val="32"/>
          <w:u w:val="none"/>
          <w:lang w:val="en-US" w:eastAsia="zh-CN"/>
        </w:rPr>
        <w:t>12周的用药量。</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楷体_GBK" w:hAnsi="方正楷体_GBK" w:eastAsia="方正楷体_GBK" w:cs="方正楷体_GBK"/>
          <w:sz w:val="32"/>
          <w:szCs w:val="32"/>
          <w:u w:val="none"/>
        </w:rPr>
      </w:pPr>
      <w:r>
        <w:rPr>
          <w:rFonts w:hint="eastAsia" w:ascii="方正楷体_GBK" w:hAnsi="方正楷体_GBK" w:eastAsia="方正楷体_GBK" w:cs="方正楷体_GBK"/>
          <w:sz w:val="32"/>
          <w:szCs w:val="32"/>
          <w:u w:val="none"/>
          <w:lang w:val="en-US" w:eastAsia="zh-CN"/>
        </w:rPr>
        <w:t>（四）</w:t>
      </w:r>
      <w:r>
        <w:rPr>
          <w:rFonts w:hint="eastAsia" w:ascii="方正楷体_GBK" w:hAnsi="方正楷体_GBK" w:eastAsia="方正楷体_GBK" w:cs="方正楷体_GBK"/>
          <w:sz w:val="32"/>
          <w:szCs w:val="32"/>
          <w:u w:val="none"/>
        </w:rPr>
        <w:t>健康管理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Times New Roman" w:hAnsi="Times New Roman" w:eastAsia="方正仿宋_GBK" w:cs="方正仿宋_GBK"/>
          <w:sz w:val="32"/>
          <w:szCs w:val="32"/>
          <w:u w:val="none"/>
          <w:lang w:eastAsia="zh-CN"/>
        </w:rPr>
        <w:t>基层定点医疗卫生机构</w:t>
      </w:r>
      <w:r>
        <w:rPr>
          <w:rFonts w:hint="eastAsia" w:eastAsia="方正仿宋_GBK" w:cs="方正仿宋_GBK"/>
          <w:sz w:val="32"/>
          <w:szCs w:val="32"/>
          <w:u w:val="none"/>
          <w:lang w:eastAsia="zh-CN"/>
        </w:rPr>
        <w:t>要</w:t>
      </w:r>
      <w:r>
        <w:rPr>
          <w:rFonts w:hint="eastAsia" w:ascii="Times New Roman" w:hAnsi="Times New Roman" w:eastAsia="方正仿宋_GBK" w:cs="方正仿宋_GBK"/>
          <w:sz w:val="32"/>
          <w:szCs w:val="32"/>
          <w:u w:val="none"/>
          <w:lang w:eastAsia="zh-CN"/>
        </w:rPr>
        <w:t>落实国家基本公共卫生服务项目中“两病”管理责任，按照项目管理规范，建立电子健康档案，开展随访和重点指标监测，做好用药指导和健康促进工作。医保部门和卫生健康行政部门要加强“两病”患者信息交换，定期推送</w:t>
      </w:r>
      <w:r>
        <w:rPr>
          <w:rFonts w:hint="eastAsia" w:ascii="Times New Roman" w:hAnsi="Times New Roman" w:eastAsia="方正仿宋_GBK" w:cs="方正仿宋_GBK"/>
          <w:kern w:val="2"/>
          <w:sz w:val="32"/>
          <w:szCs w:val="32"/>
          <w:u w:val="none"/>
          <w:lang w:val="en-US" w:eastAsia="zh-CN" w:bidi="ar-SA"/>
        </w:rPr>
        <w:t>“两病”用药保障对象和国家基本公共卫生服务项目“两病”管理患者信息。承担基本公共卫生服务项目的基层医疗卫生机构要将医保部门“两病”用药保障对象纳入基本公共卫生服务项目管理，并将其作为家庭医生签约服务重点对象，提高签约率，努力做到应签尽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b w:val="0"/>
          <w:bCs w:val="0"/>
        </w:rPr>
      </w:pPr>
      <w:r>
        <w:rPr>
          <w:rFonts w:hint="eastAsia" w:eastAsia="方正黑体_GBK" w:cs="方正黑体_GBK"/>
          <w:b w:val="0"/>
          <w:bCs w:val="0"/>
          <w:sz w:val="32"/>
          <w:szCs w:val="32"/>
          <w:u w:val="none"/>
          <w:lang w:eastAsia="zh-CN"/>
        </w:rPr>
        <w:t>四、</w:t>
      </w:r>
      <w:r>
        <w:rPr>
          <w:rFonts w:hint="eastAsia" w:ascii="Times New Roman" w:hAnsi="Times New Roman" w:eastAsia="方正黑体_GBK" w:cs="方正黑体_GBK"/>
          <w:b w:val="0"/>
          <w:bCs w:val="0"/>
          <w:sz w:val="32"/>
          <w:szCs w:val="32"/>
          <w:u w:val="none"/>
        </w:rPr>
        <w:t>工作要求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方正楷体_GBK" w:hAnsi="方正楷体_GBK" w:eastAsia="方正楷体_GBK" w:cs="方正楷体_GBK"/>
          <w:b w:val="0"/>
          <w:bCs w:val="0"/>
          <w:kern w:val="2"/>
          <w:sz w:val="32"/>
          <w:szCs w:val="32"/>
          <w:u w:val="none"/>
          <w:lang w:val="en-US" w:eastAsia="zh-CN" w:bidi="ar-SA"/>
        </w:rPr>
        <w:t>（一）精心组织，强化宣传</w:t>
      </w:r>
      <w:r>
        <w:rPr>
          <w:rFonts w:hint="eastAsia" w:ascii="Times New Roman" w:hAnsi="Times New Roman" w:eastAsia="方正仿宋_GBK" w:cs="方正仿宋_GBK"/>
          <w:b w:val="0"/>
          <w:bCs w:val="0"/>
          <w:kern w:val="2"/>
          <w:sz w:val="32"/>
          <w:szCs w:val="32"/>
          <w:u w:val="none"/>
          <w:lang w:val="en-US" w:eastAsia="zh-CN" w:bidi="ar-SA"/>
        </w:rPr>
        <w:t>。</w:t>
      </w:r>
      <w:r>
        <w:rPr>
          <w:rFonts w:hint="eastAsia" w:ascii="Times New Roman" w:hAnsi="Times New Roman" w:eastAsia="方正仿宋_GBK" w:cs="方正仿宋_GBK"/>
          <w:kern w:val="2"/>
          <w:sz w:val="32"/>
          <w:szCs w:val="32"/>
          <w:u w:val="none"/>
          <w:lang w:val="en-US" w:eastAsia="zh-CN" w:bidi="ar-SA"/>
        </w:rPr>
        <w:t>各部门、定点</w:t>
      </w:r>
      <w:r>
        <w:rPr>
          <w:rFonts w:hint="eastAsia" w:eastAsia="方正仿宋_GBK" w:cs="方正仿宋_GBK"/>
          <w:kern w:val="2"/>
          <w:sz w:val="32"/>
          <w:szCs w:val="32"/>
          <w:u w:val="none"/>
          <w:lang w:val="en-US" w:eastAsia="zh-CN" w:bidi="ar-SA"/>
        </w:rPr>
        <w:t>医疗</w:t>
      </w:r>
      <w:r>
        <w:rPr>
          <w:rFonts w:hint="eastAsia" w:ascii="Times New Roman" w:hAnsi="Times New Roman" w:eastAsia="方正仿宋_GBK" w:cs="方正仿宋_GBK"/>
          <w:kern w:val="2"/>
          <w:sz w:val="32"/>
          <w:szCs w:val="32"/>
          <w:u w:val="none"/>
          <w:lang w:val="en-US" w:eastAsia="zh-CN" w:bidi="ar-SA"/>
        </w:rPr>
        <w:t>机构要明确保障对象、保障范围、部门职责和完成时限，确保责任到人，落实到位，切实为“两病”患者提供优质高效便捷的医疗保障服务。同时，注重针对性和广泛性，采取多种方式对保障政策进行宣传。以符合纳入“两病”管理的参保群众为重点，确保群众政策知晓率、理解率和掌握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方正楷体_GBK" w:hAnsi="方正楷体_GBK" w:eastAsia="方正楷体_GBK" w:cs="方正楷体_GBK"/>
          <w:kern w:val="2"/>
          <w:sz w:val="32"/>
          <w:szCs w:val="32"/>
          <w:u w:val="none"/>
          <w:lang w:val="en-US" w:eastAsia="zh-CN" w:bidi="ar-SA"/>
        </w:rPr>
        <w:t>（二）加强监测、评估和监管。</w:t>
      </w:r>
      <w:r>
        <w:rPr>
          <w:rFonts w:hint="eastAsia" w:eastAsia="方正仿宋_GBK" w:cs="方正仿宋_GBK"/>
          <w:kern w:val="2"/>
          <w:sz w:val="32"/>
          <w:szCs w:val="32"/>
          <w:u w:val="none"/>
          <w:lang w:val="en-US" w:eastAsia="zh-CN" w:bidi="ar-SA"/>
        </w:rPr>
        <w:t>县</w:t>
      </w:r>
      <w:r>
        <w:rPr>
          <w:rFonts w:hint="eastAsia" w:ascii="Times New Roman" w:hAnsi="Times New Roman" w:eastAsia="方正仿宋_GBK" w:cs="方正仿宋_GBK"/>
          <w:kern w:val="2"/>
          <w:sz w:val="32"/>
          <w:szCs w:val="32"/>
          <w:u w:val="none"/>
          <w:lang w:val="en-US" w:eastAsia="zh-CN" w:bidi="ar-SA"/>
        </w:rPr>
        <w:t>医保局各部门要做好监测、评估和监管工作。要结合门诊统筹政策的实施，及时准确调研，对早期工作中发现的新情况，要及时协调、及时解决，要及时纠正得不到保障和过度保障的问题。</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方正楷体_GBK" w:hAnsi="方正楷体_GBK" w:eastAsia="方正楷体_GBK" w:cs="方正楷体_GBK"/>
          <w:kern w:val="2"/>
          <w:sz w:val="32"/>
          <w:szCs w:val="32"/>
          <w:u w:val="none"/>
          <w:lang w:val="en-US" w:eastAsia="zh-CN" w:bidi="ar-SA"/>
        </w:rPr>
        <w:t>（三）加大“两病”药品集中带量采购和供应保障。</w:t>
      </w:r>
      <w:r>
        <w:rPr>
          <w:rFonts w:hint="eastAsia" w:eastAsia="方正仿宋_GBK" w:cs="方正仿宋_GBK"/>
          <w:kern w:val="2"/>
          <w:sz w:val="32"/>
          <w:szCs w:val="32"/>
          <w:u w:val="none"/>
          <w:lang w:val="en-US" w:eastAsia="zh-CN" w:bidi="ar-SA"/>
        </w:rPr>
        <w:t>县</w:t>
      </w:r>
      <w:r>
        <w:rPr>
          <w:rFonts w:hint="eastAsia" w:ascii="Times New Roman" w:hAnsi="Times New Roman" w:eastAsia="方正仿宋_GBK" w:cs="方正仿宋_GBK"/>
          <w:kern w:val="2"/>
          <w:sz w:val="32"/>
          <w:szCs w:val="32"/>
          <w:u w:val="none"/>
          <w:lang w:val="en-US" w:eastAsia="zh-CN" w:bidi="ar-SA"/>
        </w:rPr>
        <w:t>医保局要及时统计本县“两病”药品需求信息，加大“两病”药品带量采购和使用执行力度。优先采购、使用国家和我市组织集中带量采购中选药品，确保采购“两病”药品配得齐、开得出、用得上。相关定点医疗机构要备齐集中带量采购药品，</w:t>
      </w:r>
      <w:r>
        <w:rPr>
          <w:rFonts w:hint="eastAsia" w:eastAsia="方正仿宋_GBK" w:cs="方正仿宋_GBK"/>
          <w:kern w:val="2"/>
          <w:sz w:val="32"/>
          <w:szCs w:val="32"/>
          <w:u w:val="none"/>
          <w:lang w:val="en-US" w:eastAsia="zh-CN" w:bidi="ar-SA"/>
        </w:rPr>
        <w:t>县</w:t>
      </w:r>
      <w:r>
        <w:rPr>
          <w:rFonts w:hint="eastAsia" w:ascii="Times New Roman" w:hAnsi="Times New Roman" w:eastAsia="方正仿宋_GBK" w:cs="方正仿宋_GBK"/>
          <w:kern w:val="2"/>
          <w:sz w:val="32"/>
          <w:szCs w:val="32"/>
          <w:u w:val="none"/>
          <w:lang w:val="en-US" w:eastAsia="zh-CN" w:bidi="ar-SA"/>
        </w:rPr>
        <w:t>医保局要加强指导和协调。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方正楷体_GBK" w:hAnsi="方正楷体_GBK" w:eastAsia="方正楷体_GBK" w:cs="方正楷体_GBK"/>
          <w:kern w:val="2"/>
          <w:sz w:val="32"/>
          <w:szCs w:val="32"/>
          <w:u w:val="none"/>
          <w:lang w:val="en-US" w:eastAsia="zh-CN" w:bidi="ar-SA"/>
        </w:rPr>
        <w:t>（四）加强部门配合。</w:t>
      </w:r>
      <w:r>
        <w:rPr>
          <w:rFonts w:hint="eastAsia" w:eastAsia="方正仿宋_GBK" w:cs="方正仿宋_GBK"/>
          <w:kern w:val="2"/>
          <w:sz w:val="32"/>
          <w:szCs w:val="32"/>
          <w:u w:val="none"/>
          <w:lang w:val="en-US" w:eastAsia="zh-CN" w:bidi="ar-SA"/>
        </w:rPr>
        <w:t>县</w:t>
      </w:r>
      <w:r>
        <w:rPr>
          <w:rFonts w:hint="eastAsia" w:ascii="Times New Roman" w:hAnsi="Times New Roman" w:eastAsia="方正仿宋_GBK" w:cs="方正仿宋_GBK"/>
          <w:kern w:val="2"/>
          <w:sz w:val="32"/>
          <w:szCs w:val="32"/>
          <w:u w:val="none"/>
          <w:lang w:val="en-US" w:eastAsia="zh-CN" w:bidi="ar-SA"/>
        </w:rPr>
        <w:t>医保局要牵头深入调研，了解“两病”患者实际保障需求，积极完善医保待遇政策，切实提高“两病”患者保障水平，提高基金保障绩效。</w:t>
      </w:r>
      <w:r>
        <w:rPr>
          <w:rFonts w:hint="eastAsia" w:eastAsia="方正仿宋_GBK" w:cs="方正仿宋_GBK"/>
          <w:kern w:val="2"/>
          <w:sz w:val="32"/>
          <w:szCs w:val="32"/>
          <w:u w:val="none"/>
          <w:lang w:val="en-US" w:eastAsia="zh-CN" w:bidi="ar-SA"/>
        </w:rPr>
        <w:t>县</w:t>
      </w:r>
      <w:r>
        <w:rPr>
          <w:rFonts w:hint="eastAsia" w:ascii="Times New Roman" w:hAnsi="Times New Roman" w:eastAsia="方正仿宋_GBK" w:cs="方正仿宋_GBK"/>
          <w:kern w:val="2"/>
          <w:sz w:val="32"/>
          <w:szCs w:val="32"/>
          <w:u w:val="none"/>
          <w:lang w:val="en-US" w:eastAsia="zh-CN" w:bidi="ar-SA"/>
        </w:rPr>
        <w:t>卫生健康委要督促和指导基层医疗卫生机构做好“两病”患者的基本医疗服务和健康管理工作，加强“两病”用药保障患者健康管理绩效评价。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r>
        <w:rPr>
          <w:rFonts w:hint="eastAsia" w:ascii="Times New Roman" w:hAnsi="Times New Roman" w:eastAsia="方正仿宋_GBK" w:cs="方正仿宋_GBK"/>
          <w:kern w:val="2"/>
          <w:sz w:val="32"/>
          <w:szCs w:val="32"/>
          <w:u w:val="none"/>
          <w:lang w:val="en-US" w:eastAsia="zh-CN" w:bidi="ar-SA"/>
        </w:rPr>
        <w:t>本通知从发文之日起执行。过去有关政策与本通知规定不一致的，按本通知规定执行。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方正仿宋_GBK"/>
          <w:kern w:val="2"/>
          <w:sz w:val="32"/>
          <w:szCs w:val="32"/>
          <w:u w:val="none"/>
          <w:lang w:val="en-US" w:eastAsia="zh-CN" w:bidi="ar-SA"/>
        </w:rPr>
      </w:pPr>
    </w:p>
    <w:p>
      <w:pPr>
        <w:ind w:left="1920" w:leftChars="200" w:hanging="1280" w:hangingChars="400"/>
        <w:rPr>
          <w:rFonts w:hint="eastAsia" w:ascii="Times New Roman" w:hAnsi="Times New Roman" w:eastAsia="方正仿宋_GBK" w:cs="方正仿宋_GBK"/>
          <w:sz w:val="32"/>
          <w:szCs w:val="32"/>
          <w:u w:val="none"/>
          <w:lang w:val="en-US" w:eastAsia="zh-CN"/>
        </w:rPr>
      </w:pPr>
      <w:r>
        <w:rPr>
          <w:rFonts w:hint="eastAsia" w:ascii="Times New Roman" w:hAnsi="Times New Roman" w:eastAsia="方正仿宋_GBK" w:cs="Times New Roman"/>
          <w:sz w:val="32"/>
          <w:szCs w:val="32"/>
          <w:u w:val="none"/>
          <w:lang w:eastAsia="zh-CN"/>
        </w:rPr>
        <w:t>附件：</w:t>
      </w:r>
      <w:r>
        <w:rPr>
          <w:rFonts w:hint="eastAsia" w:ascii="Times New Roman" w:hAnsi="Times New Roman" w:eastAsia="方正仿宋_GBK" w:cs="方正仿宋_GBK"/>
          <w:sz w:val="32"/>
          <w:szCs w:val="32"/>
          <w:u w:val="none"/>
          <w:lang w:val="en-US" w:eastAsia="zh-CN"/>
        </w:rPr>
        <w:t>国家组织药品集中采购和使用中选“两病”药品</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Times New Roman" w:hAnsi="Times New Roman" w:eastAsia="方正仿宋_GBK" w:cs="Times New Roman"/>
          <w:sz w:val="32"/>
          <w:szCs w:val="32"/>
          <w:u w:val="none"/>
          <w:lang w:eastAsia="zh-CN"/>
        </w:rPr>
      </w:pPr>
      <w:r>
        <w:rPr>
          <w:rFonts w:hint="eastAsia" w:eastAsia="方正仿宋_GBK" w:cs="Times New Roman"/>
          <w:sz w:val="32"/>
          <w:szCs w:val="32"/>
          <w:u w:val="none"/>
          <w:lang w:val="en-US" w:eastAsia="zh-CN"/>
        </w:rPr>
        <w:t>酉阳自治县</w:t>
      </w:r>
      <w:r>
        <w:rPr>
          <w:rFonts w:hint="eastAsia" w:ascii="Times New Roman" w:hAnsi="Times New Roman" w:eastAsia="方正仿宋_GBK" w:cs="Times New Roman"/>
          <w:sz w:val="32"/>
          <w:szCs w:val="32"/>
          <w:u w:val="none"/>
        </w:rPr>
        <w:t>医疗保障局</w:t>
      </w:r>
      <w:r>
        <w:rPr>
          <w:rFonts w:hint="eastAsia" w:ascii="Times New Roman" w:hAnsi="Times New Roman" w:eastAsia="方正仿宋_GBK" w:cs="Times New Roman"/>
          <w:sz w:val="32"/>
          <w:szCs w:val="32"/>
          <w:u w:val="none"/>
          <w:lang w:val="en-US" w:eastAsia="zh-CN"/>
        </w:rPr>
        <w:t xml:space="preserve">   </w:t>
      </w:r>
      <w:r>
        <w:rPr>
          <w:rFonts w:hint="eastAsia" w:eastAsia="方正仿宋_GBK" w:cs="Times New Roman"/>
          <w:sz w:val="32"/>
          <w:szCs w:val="32"/>
          <w:u w:val="none"/>
          <w:lang w:val="en-US" w:eastAsia="zh-CN"/>
        </w:rPr>
        <w:t>酉阳自治县</w:t>
      </w:r>
      <w:r>
        <w:rPr>
          <w:rFonts w:hint="eastAsia" w:ascii="Times New Roman" w:hAnsi="Times New Roman" w:eastAsia="方正仿宋_GBK" w:cs="Times New Roman"/>
          <w:sz w:val="32"/>
          <w:szCs w:val="32"/>
          <w:u w:val="none"/>
        </w:rPr>
        <w:t>卫生健康委员会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1"/>
        <w:jc w:val="center"/>
        <w:textAlignment w:val="auto"/>
        <w:outlineLvl w:val="9"/>
        <w:rPr>
          <w:rFonts w:hint="eastAsia"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1"/>
        <w:jc w:val="center"/>
        <w:textAlignment w:val="auto"/>
        <w:outlineLvl w:val="9"/>
        <w:rPr>
          <w:rFonts w:hint="eastAsia" w:ascii="方正仿宋_GBK" w:hAnsi="方正仿宋_GBK" w:eastAsia="方正仿宋_GBK" w:cs="方正仿宋_GBK"/>
          <w:sz w:val="32"/>
          <w:szCs w:val="32"/>
          <w:u w:val="none"/>
          <w:lang w:val="en-US" w:eastAsia="zh-CN"/>
        </w:rPr>
      </w:pPr>
      <w:r>
        <w:rPr>
          <w:rFonts w:hint="eastAsia" w:eastAsia="方正仿宋_GBK" w:cs="Times New Roman"/>
          <w:sz w:val="32"/>
          <w:szCs w:val="32"/>
          <w:u w:val="none"/>
          <w:lang w:val="en-US" w:eastAsia="zh-CN"/>
        </w:rPr>
        <w:t xml:space="preserve">                  </w:t>
      </w:r>
      <w:r>
        <w:rPr>
          <w:rFonts w:hint="eastAsia" w:ascii="Times New Roman" w:hAnsi="Times New Roman" w:eastAsia="方正仿宋_GBK" w:cs="Times New Roman"/>
          <w:sz w:val="32"/>
          <w:szCs w:val="32"/>
          <w:u w:val="none"/>
          <w:lang w:val="en-US" w:eastAsia="zh-CN"/>
        </w:rPr>
        <w:t>　</w:t>
      </w:r>
      <w:r>
        <w:rPr>
          <w:rFonts w:hint="eastAsia" w:ascii="Times New Roman" w:hAnsi="Times New Roman" w:eastAsia="方正仿宋_GBK" w:cs="方正仿宋_GBK"/>
          <w:sz w:val="32"/>
          <w:szCs w:val="32"/>
          <w:u w:val="none"/>
          <w:lang w:val="en-US" w:eastAsia="zh-CN"/>
        </w:rPr>
        <w:t xml:space="preserve"> </w:t>
      </w:r>
      <w:r>
        <w:rPr>
          <w:rFonts w:hint="eastAsia" w:ascii="方正仿宋_GBK" w:hAnsi="方正仿宋_GBK" w:eastAsia="方正仿宋_GBK" w:cs="方正仿宋_GBK"/>
          <w:sz w:val="32"/>
          <w:szCs w:val="32"/>
          <w:u w:val="none"/>
          <w:lang w:val="en-US" w:eastAsia="zh-CN"/>
        </w:rPr>
        <w:t>2021年3月24日</w:t>
      </w: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方正黑体_GBK" w:cs="方正黑体_GBK"/>
          <w:sz w:val="3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Times New Roman" w:hAnsi="Times New Roman"/>
          <w:lang w:val="en-US" w:eastAsia="zh-CN"/>
        </w:rPr>
      </w:pPr>
      <w:bookmarkStart w:id="0" w:name="_GoBack"/>
      <w:bookmarkEnd w:id="0"/>
      <w:r>
        <w:rPr>
          <w:rFonts w:hint="eastAsia" w:ascii="Times New Roman" w:hAnsi="Times New Roman" w:eastAsia="方正黑体_GBK" w:cs="方正黑体_GBK"/>
          <w:sz w:val="32"/>
          <w:lang w:eastAsia="zh-CN"/>
        </w:rPr>
        <w:t>附件</w:t>
      </w:r>
      <w:r>
        <w:rPr>
          <w:rFonts w:hint="eastAsia" w:eastAsia="方正黑体_GBK" w:cs="方正黑体_GBK"/>
          <w:sz w:val="32"/>
          <w:lang w:val="en-US" w:eastAsia="zh-CN"/>
        </w:rPr>
        <w:t>:</w:t>
      </w:r>
    </w:p>
    <w:tbl>
      <w:tblPr>
        <w:tblStyle w:val="7"/>
        <w:tblW w:w="9629" w:type="dxa"/>
        <w:jc w:val="center"/>
        <w:tblLayout w:type="fixed"/>
        <w:tblCellMar>
          <w:top w:w="0" w:type="dxa"/>
          <w:left w:w="108" w:type="dxa"/>
          <w:bottom w:w="0" w:type="dxa"/>
          <w:right w:w="108" w:type="dxa"/>
        </w:tblCellMar>
      </w:tblPr>
      <w:tblGrid>
        <w:gridCol w:w="920"/>
        <w:gridCol w:w="1839"/>
        <w:gridCol w:w="927"/>
        <w:gridCol w:w="2320"/>
        <w:gridCol w:w="715"/>
        <w:gridCol w:w="2908"/>
      </w:tblGrid>
      <w:tr>
        <w:tblPrEx>
          <w:tblCellMar>
            <w:top w:w="0" w:type="dxa"/>
            <w:left w:w="108" w:type="dxa"/>
            <w:bottom w:w="0" w:type="dxa"/>
            <w:right w:w="108" w:type="dxa"/>
          </w:tblCellMar>
        </w:tblPrEx>
        <w:trPr>
          <w:trHeight w:val="1248" w:hRule="atLeast"/>
          <w:jc w:val="center"/>
        </w:trPr>
        <w:tc>
          <w:tcPr>
            <w:tcW w:w="9629" w:type="dxa"/>
            <w:gridSpan w:val="6"/>
            <w:tcBorders>
              <w:top w:val="nil"/>
              <w:left w:val="nil"/>
              <w:bottom w:val="single" w:color="auto" w:sz="8" w:space="0"/>
              <w:right w:val="nil"/>
            </w:tcBorders>
            <w:shd w:val="clear" w:color="auto" w:fill="auto"/>
            <w:vAlign w:val="center"/>
          </w:tcPr>
          <w:p>
            <w:pPr>
              <w:adjustRightInd/>
              <w:snapToGrid/>
              <w:spacing w:after="0"/>
              <w:jc w:val="center"/>
              <w:rPr>
                <w:rFonts w:ascii="Times New Roman" w:hAnsi="Times New Roman" w:eastAsia="方正黑体_GBK" w:cs="Times New Roman"/>
                <w:b/>
                <w:bCs/>
                <w:color w:val="000000"/>
                <w:sz w:val="40"/>
                <w:szCs w:val="40"/>
              </w:rPr>
            </w:pPr>
            <w:r>
              <w:rPr>
                <w:rFonts w:hint="eastAsia" w:ascii="方正小标宋_GBK" w:hAnsi="方正小标宋_GBK" w:eastAsia="方正小标宋_GBK" w:cs="方正小标宋_GBK"/>
                <w:b w:val="0"/>
                <w:bCs w:val="0"/>
                <w:color w:val="000000"/>
                <w:sz w:val="44"/>
                <w:szCs w:val="44"/>
              </w:rPr>
              <w:t>国家组织药品集中采购和使用中选“两病”药品</w:t>
            </w:r>
          </w:p>
        </w:tc>
      </w:tr>
      <w:tr>
        <w:tblPrEx>
          <w:tblCellMar>
            <w:top w:w="0" w:type="dxa"/>
            <w:left w:w="108" w:type="dxa"/>
            <w:bottom w:w="0" w:type="dxa"/>
            <w:right w:w="108" w:type="dxa"/>
          </w:tblCellMar>
        </w:tblPrEx>
        <w:trPr>
          <w:trHeight w:val="594" w:hRule="atLeast"/>
          <w:jc w:val="center"/>
        </w:trPr>
        <w:tc>
          <w:tcPr>
            <w:tcW w:w="920" w:type="dxa"/>
            <w:tcBorders>
              <w:top w:val="nil"/>
              <w:left w:val="single" w:color="auto" w:sz="8" w:space="0"/>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序号</w:t>
            </w:r>
          </w:p>
        </w:tc>
        <w:tc>
          <w:tcPr>
            <w:tcW w:w="1839" w:type="dxa"/>
            <w:tcBorders>
              <w:top w:val="nil"/>
              <w:left w:val="nil"/>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药品通用名</w:t>
            </w:r>
          </w:p>
        </w:tc>
        <w:tc>
          <w:tcPr>
            <w:tcW w:w="927" w:type="dxa"/>
            <w:tcBorders>
              <w:top w:val="nil"/>
              <w:left w:val="nil"/>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剂型</w:t>
            </w:r>
          </w:p>
        </w:tc>
        <w:tc>
          <w:tcPr>
            <w:tcW w:w="2320" w:type="dxa"/>
            <w:tcBorders>
              <w:top w:val="nil"/>
              <w:left w:val="nil"/>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规格包装</w:t>
            </w:r>
          </w:p>
        </w:tc>
        <w:tc>
          <w:tcPr>
            <w:tcW w:w="715" w:type="dxa"/>
            <w:tcBorders>
              <w:top w:val="nil"/>
              <w:left w:val="nil"/>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计价单位</w:t>
            </w:r>
          </w:p>
        </w:tc>
        <w:tc>
          <w:tcPr>
            <w:tcW w:w="2908" w:type="dxa"/>
            <w:tcBorders>
              <w:top w:val="nil"/>
              <w:left w:val="nil"/>
              <w:bottom w:val="single" w:color="auto" w:sz="8" w:space="0"/>
              <w:right w:val="single" w:color="auto" w:sz="8" w:space="0"/>
            </w:tcBorders>
            <w:shd w:val="clear" w:color="000000" w:fill="BFBFBF"/>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方正黑体_GBK" w:cs="Times New Roman"/>
                <w:b w:val="0"/>
                <w:bCs w:val="0"/>
                <w:color w:val="000000"/>
                <w:sz w:val="20"/>
                <w:szCs w:val="20"/>
              </w:rPr>
            </w:pPr>
            <w:r>
              <w:rPr>
                <w:rFonts w:ascii="Times New Roman" w:hAnsi="Times New Roman" w:eastAsia="方正黑体_GBK" w:cs="Times New Roman"/>
                <w:b w:val="0"/>
                <w:bCs w:val="0"/>
                <w:color w:val="000000"/>
                <w:sz w:val="20"/>
                <w:szCs w:val="20"/>
              </w:rPr>
              <w:t>生产企业</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75mg*28</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75mg*60</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7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75mg*28</w:t>
            </w:r>
            <w:r>
              <w:rPr>
                <w:rFonts w:ascii="Times New Roman" w:hAnsi="Times New Roman" w:eastAsia="宋体" w:cs="Times New Roman"/>
                <w:color w:val="000000"/>
                <w:sz w:val="18"/>
                <w:szCs w:val="18"/>
              </w:rPr>
              <w:t>片，塑瓶包装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7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75mg*42</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苯磺酸氨氯地平片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5mg*28</w:t>
            </w:r>
            <w:r>
              <w:rPr>
                <w:rFonts w:ascii="Times New Roman" w:hAnsi="Times New Roman" w:eastAsia="宋体" w:cs="Times New Roman"/>
                <w:color w:val="000000"/>
                <w:sz w:val="18"/>
                <w:szCs w:val="18"/>
              </w:rPr>
              <w:t>片，聚氯乙烯固体药用硬片和药用铝箔</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浙江京新药业股份有限公司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福辛普利钠片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10mg*14</w:t>
            </w:r>
            <w:r>
              <w:rPr>
                <w:rFonts w:ascii="Times New Roman" w:hAnsi="Times New Roman" w:eastAsia="宋体" w:cs="Times New Roman"/>
                <w:color w:val="000000"/>
                <w:sz w:val="18"/>
                <w:szCs w:val="18"/>
              </w:rPr>
              <w:t>片，铝箔包装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中美上海施贵宝制药有限公司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w:t>
            </w:r>
            <w:r>
              <w:rPr>
                <w:rFonts w:ascii="Times New Roman" w:hAnsi="Times New Roman" w:eastAsia="宋体" w:cs="Times New Roman"/>
                <w:color w:val="000000"/>
                <w:sz w:val="18"/>
                <w:szCs w:val="18"/>
              </w:rPr>
              <w:t>150mg/12</w:t>
            </w:r>
            <w:r>
              <w:rPr>
                <w:rFonts w:hint="eastAsia" w:ascii="Times New Roman" w:hAnsi="Times New Roman" w:eastAsia="宋体" w:cs="Times New Roman"/>
                <w:color w:val="000000"/>
                <w:sz w:val="18"/>
                <w:szCs w:val="18"/>
                <w:lang w:eastAsia="zh-CN"/>
              </w:rPr>
              <w:t>.</w:t>
            </w:r>
            <w:r>
              <w:rPr>
                <w:rFonts w:ascii="Times New Roman" w:hAnsi="Times New Roman" w:eastAsia="宋体" w:cs="Times New Roman"/>
                <w:color w:val="000000"/>
                <w:sz w:val="18"/>
                <w:szCs w:val="18"/>
              </w:rPr>
              <w:t>5mg）*14片，双铝箔包装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w:t>
            </w:r>
            <w:r>
              <w:rPr>
                <w:rFonts w:ascii="Times New Roman" w:hAnsi="Times New Roman" w:eastAsia="宋体" w:cs="Times New Roman"/>
                <w:color w:val="000000"/>
                <w:sz w:val="18"/>
                <w:szCs w:val="18"/>
              </w:rPr>
              <w:t>150mg/12</w:t>
            </w:r>
            <w:r>
              <w:rPr>
                <w:rFonts w:hint="eastAsia" w:ascii="Times New Roman" w:hAnsi="Times New Roman" w:eastAsia="宋体" w:cs="Times New Roman"/>
                <w:color w:val="000000"/>
                <w:sz w:val="18"/>
                <w:szCs w:val="18"/>
                <w:lang w:eastAsia="zh-CN"/>
              </w:rPr>
              <w:t>.</w:t>
            </w:r>
            <w:r>
              <w:rPr>
                <w:rFonts w:ascii="Times New Roman" w:hAnsi="Times New Roman" w:eastAsia="宋体" w:cs="Times New Roman"/>
                <w:color w:val="000000"/>
                <w:sz w:val="18"/>
                <w:szCs w:val="18"/>
              </w:rPr>
              <w:t>5mg）*14片，塑瓶包装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厄贝沙坦氢氯噻嗪片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w:t>
            </w:r>
            <w:r>
              <w:rPr>
                <w:rFonts w:ascii="Times New Roman" w:hAnsi="Times New Roman" w:eastAsia="宋体" w:cs="Times New Roman"/>
                <w:color w:val="000000"/>
                <w:sz w:val="18"/>
                <w:szCs w:val="18"/>
              </w:rPr>
              <w:t>150mg/12</w:t>
            </w:r>
            <w:r>
              <w:rPr>
                <w:rFonts w:hint="eastAsia" w:ascii="Times New Roman" w:hAnsi="Times New Roman" w:eastAsia="宋体" w:cs="Times New Roman"/>
                <w:color w:val="000000"/>
                <w:sz w:val="18"/>
                <w:szCs w:val="18"/>
                <w:lang w:eastAsia="zh-CN"/>
              </w:rPr>
              <w:t>.</w:t>
            </w:r>
            <w:r>
              <w:rPr>
                <w:rFonts w:ascii="Times New Roman" w:hAnsi="Times New Roman" w:eastAsia="宋体" w:cs="Times New Roman"/>
                <w:color w:val="000000"/>
                <w:sz w:val="18"/>
                <w:szCs w:val="18"/>
              </w:rPr>
              <w:t>5mg）*28片，双铝箔包装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赖诺普利片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10mg*28</w:t>
            </w:r>
            <w:r>
              <w:rPr>
                <w:rFonts w:ascii="Times New Roman" w:hAnsi="Times New Roman" w:eastAsia="宋体" w:cs="Times New Roman"/>
                <w:color w:val="000000"/>
                <w:sz w:val="18"/>
                <w:szCs w:val="18"/>
              </w:rPr>
              <w:t>片，塑瓶包装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氯沙坦钾片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50mg*28</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氯沙坦钾片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50mg*14</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氯沙坦钾片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100mg*7</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氯沙坦钾片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100mg*14</w:t>
            </w:r>
            <w:r>
              <w:rPr>
                <w:rFonts w:ascii="Times New Roman" w:hAnsi="Times New Roman" w:eastAsia="宋体" w:cs="Times New Roman"/>
                <w:color w:val="000000"/>
                <w:sz w:val="18"/>
                <w:szCs w:val="18"/>
              </w:rPr>
              <w:t>片，双铝箔包装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马来酸依那普利片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10mg*16</w:t>
            </w:r>
            <w:r>
              <w:rPr>
                <w:rFonts w:ascii="Times New Roman" w:hAnsi="Times New Roman" w:eastAsia="宋体" w:cs="Times New Roman"/>
                <w:color w:val="000000"/>
                <w:sz w:val="18"/>
                <w:szCs w:val="18"/>
              </w:rPr>
              <w:t>片，复合膜包装</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扬子江药业集团江苏制药股份</w:t>
            </w:r>
          </w:p>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有限公司</w:t>
            </w:r>
          </w:p>
        </w:tc>
      </w:tr>
      <w:tr>
        <w:tblPrEx>
          <w:tblCellMar>
            <w:top w:w="0" w:type="dxa"/>
            <w:left w:w="108" w:type="dxa"/>
            <w:bottom w:w="0" w:type="dxa"/>
            <w:right w:w="108" w:type="dxa"/>
          </w:tblCellMar>
        </w:tblPrEx>
        <w:trPr>
          <w:trHeight w:val="495"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16</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马来酸依那普利片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5mg*16</w:t>
            </w:r>
            <w:r>
              <w:rPr>
                <w:rFonts w:ascii="Times New Roman" w:hAnsi="Times New Roman" w:eastAsia="宋体" w:cs="Times New Roman"/>
                <w:color w:val="000000"/>
                <w:sz w:val="18"/>
                <w:szCs w:val="18"/>
              </w:rPr>
              <w:t>片，复合膜包装</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4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扬子江药业集团江苏制药股份有限公司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17</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阿卡波糖胶囊</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50mg*15</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四川绿叶制药股份有限公司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1</w:t>
            </w:r>
            <w:r>
              <w:rPr>
                <w:rFonts w:ascii="Times New Roman" w:hAnsi="Times New Roman" w:eastAsia="等线" w:cs="Times New Roman"/>
                <w:color w:val="333333"/>
                <w:sz w:val="18"/>
                <w:szCs w:val="18"/>
              </w:rPr>
              <w:t>8</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阿卡波糖片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拜耳医药保健有限公司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1</w:t>
            </w:r>
            <w:r>
              <w:rPr>
                <w:rFonts w:ascii="Times New Roman" w:hAnsi="Times New Roman" w:eastAsia="等线" w:cs="Times New Roman"/>
                <w:color w:val="333333"/>
                <w:sz w:val="18"/>
                <w:szCs w:val="18"/>
              </w:rPr>
              <w:t>9</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阿卡波糖片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拜耳医药保健有限公司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阿卡波糖片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100mg*15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拜耳医药保健有限公司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20mg*14</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深圳信立泰药业股份有限公司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20mg*28</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东莞市阳之康医药有限责任公司（广东东阳光药业有限公司</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受委托生产）</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南京正大天晴制药有限公司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南京正大天晴制药有限公司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20mg*7</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20mg*10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奥美沙坦酯片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2</w:t>
            </w:r>
            <w:r>
              <w:rPr>
                <w:rFonts w:ascii="Times New Roman" w:hAnsi="Times New Roman" w:eastAsia="等线" w:cs="Times New Roman"/>
                <w:color w:val="333333"/>
                <w:sz w:val="18"/>
                <w:szCs w:val="18"/>
              </w:rPr>
              <w:t>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富马酸比索洛尔片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5mg*18</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成都苑东生物制药股份有限公司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2</w:t>
            </w:r>
            <w:r>
              <w:rPr>
                <w:rFonts w:ascii="Times New Roman" w:hAnsi="Times New Roman" w:eastAsia="等线" w:cs="Times New Roman"/>
                <w:color w:val="000000"/>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富马酸比索洛尔片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5mg*18</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成都苑东生物制药股份有限公司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富马酸比索洛尔片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北京华素制药股份有限公司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富马酸比索洛尔片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5mg*10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北京华素制药股份有限公司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3</w:t>
            </w:r>
            <w:r>
              <w:rPr>
                <w:rFonts w:ascii="Times New Roman" w:hAnsi="Times New Roman" w:eastAsia="等线"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1mg*10</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2mg*10</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2mg*30</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重庆康刻尔制药有限公司</w:t>
            </w:r>
          </w:p>
        </w:tc>
      </w:tr>
      <w:tr>
        <w:tblPrEx>
          <w:tblCellMar>
            <w:top w:w="0" w:type="dxa"/>
            <w:left w:w="108" w:type="dxa"/>
            <w:bottom w:w="0" w:type="dxa"/>
            <w:right w:w="108" w:type="dxa"/>
          </w:tblCellMar>
        </w:tblPrEx>
        <w:trPr>
          <w:trHeight w:val="468"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8</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贵州圣济堂制药有限公司</w:t>
            </w:r>
          </w:p>
        </w:tc>
      </w:tr>
      <w:tr>
        <w:tblPrEx>
          <w:tblCellMar>
            <w:top w:w="0" w:type="dxa"/>
            <w:left w:w="108" w:type="dxa"/>
            <w:bottom w:w="0" w:type="dxa"/>
            <w:right w:w="108" w:type="dxa"/>
          </w:tblCellMar>
        </w:tblPrEx>
        <w:trPr>
          <w:trHeight w:val="816"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3</w:t>
            </w:r>
            <w:r>
              <w:rPr>
                <w:rFonts w:ascii="Times New Roman" w:hAnsi="Times New Roman" w:eastAsia="等线" w:cs="Times New Roman"/>
                <w:color w:val="000000"/>
                <w:sz w:val="18"/>
                <w:szCs w:val="18"/>
              </w:rPr>
              <w:t>9</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2mg*20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四川海汇药业有限公司</w:t>
            </w:r>
            <w:r>
              <w:rPr>
                <w:rFonts w:ascii="Times New Roman" w:hAnsi="Times New Roman" w:eastAsia="宋体" w:cs="Times New Roman"/>
                <w:color w:val="333333"/>
                <w:sz w:val="18"/>
                <w:szCs w:val="18"/>
              </w:rPr>
              <w:br w:type="textWrapping"/>
            </w:r>
            <w:r>
              <w:rPr>
                <w:rFonts w:ascii="Times New Roman" w:hAnsi="Times New Roman" w:eastAsia="宋体" w:cs="Times New Roman"/>
                <w:color w:val="333333"/>
                <w:sz w:val="18"/>
                <w:szCs w:val="18"/>
              </w:rPr>
              <w:t>（扬子江药业集团广州海瑞药业有限公司受委托生产）</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0</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山东新华制药股份有限公司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1</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山东新华制药股份有限公司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2</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北京北陆药业股份有限公司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3</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格列美脲片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北京北陆药业股份有限公司</w:t>
            </w:r>
          </w:p>
        </w:tc>
      </w:tr>
      <w:tr>
        <w:tblPrEx>
          <w:tblCellMar>
            <w:top w:w="0" w:type="dxa"/>
            <w:left w:w="108" w:type="dxa"/>
            <w:bottom w:w="0" w:type="dxa"/>
            <w:right w:w="108" w:type="dxa"/>
          </w:tblCellMar>
        </w:tblPrEx>
        <w:trPr>
          <w:trHeight w:val="501"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44</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坎地沙坦酯片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8mg*14</w:t>
            </w:r>
            <w:r>
              <w:rPr>
                <w:rFonts w:ascii="Times New Roman" w:hAnsi="Times New Roman" w:eastAsia="宋体" w:cs="Times New Roman"/>
                <w:color w:val="000000"/>
                <w:sz w:val="18"/>
                <w:szCs w:val="18"/>
              </w:rPr>
              <w:t>片</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浙江永宁药业股份有限公司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坎地沙坦酯片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8mg*28</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浙江永宁药业股份有限公司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坎地沙坦酯片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天地恒一制药股份有限公司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4</w:t>
            </w:r>
            <w:r>
              <w:rPr>
                <w:rFonts w:ascii="Times New Roman" w:hAnsi="Times New Roman" w:eastAsia="等线"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盐酸特拉唑嗪胶囊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2mg*6</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*8</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扬子江药业集团江苏制药股份</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盐酸特拉唑嗪胶囊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1mg*6</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*8</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扬子江药业集团江苏制药股份</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000000"/>
                <w:sz w:val="18"/>
                <w:szCs w:val="18"/>
              </w:rPr>
            </w:pPr>
            <w:r>
              <w:rPr>
                <w:rFonts w:hint="eastAsia" w:ascii="Times New Roman" w:hAnsi="Times New Roman" w:eastAsia="等线" w:cs="Times New Roman"/>
                <w:color w:val="000000"/>
                <w:sz w:val="18"/>
                <w:szCs w:val="18"/>
              </w:rPr>
              <w:t>4</w:t>
            </w:r>
            <w:r>
              <w:rPr>
                <w:rFonts w:ascii="Times New Roman" w:hAnsi="Times New Roman" w:eastAsia="等线" w:cs="Times New Roman"/>
                <w:color w:val="000000"/>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盐酸特拉唑嗪片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2mg*14</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5mg*20</w:t>
            </w:r>
            <w:r>
              <w:rPr>
                <w:rFonts w:ascii="Times New Roman" w:hAnsi="Times New Roman" w:eastAsia="宋体" w:cs="Times New Roman"/>
                <w:color w:val="000000"/>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国药集团工业有限公司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5mg*30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烟台巨先药业有限公司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濮阳市汇元药业有限公司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濮阳市汇元药业有限公司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濮阳市汇元药业有限公司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重庆药友制药有限责任公司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重庆药友制药有限责任公司</w:t>
            </w:r>
          </w:p>
        </w:tc>
      </w:tr>
      <w:tr>
        <w:tblPrEx>
          <w:tblCellMar>
            <w:top w:w="0" w:type="dxa"/>
            <w:left w:w="108" w:type="dxa"/>
            <w:bottom w:w="0" w:type="dxa"/>
            <w:right w:w="108" w:type="dxa"/>
          </w:tblCellMar>
        </w:tblPrEx>
        <w:trPr>
          <w:trHeight w:val="501"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hint="eastAsia" w:ascii="Times New Roman" w:hAnsi="Times New Roman" w:eastAsia="等线" w:cs="Times New Roman"/>
                <w:color w:val="333333"/>
                <w:sz w:val="18"/>
                <w:szCs w:val="18"/>
              </w:rPr>
              <w:t>5</w:t>
            </w:r>
            <w:r>
              <w:rPr>
                <w:rFonts w:ascii="Times New Roman" w:hAnsi="Times New Roman" w:eastAsia="等线"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吲达帕胺片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5mg*30</w:t>
            </w:r>
            <w:r>
              <w:rPr>
                <w:rFonts w:ascii="Times New Roman" w:hAnsi="Times New Roman" w:eastAsia="宋体" w:cs="Times New Roman"/>
                <w:color w:val="333333"/>
                <w:sz w:val="18"/>
                <w:szCs w:val="18"/>
              </w:rPr>
              <w:t>片</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天津天士力（辽宁）制药</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5</w:t>
            </w:r>
            <w:r>
              <w:rPr>
                <w:rFonts w:ascii="Times New Roman" w:hAnsi="Times New Roman" w:eastAsia="宋体" w:cs="Times New Roman"/>
                <w:color w:val="333333"/>
                <w:sz w:val="18"/>
                <w:szCs w:val="18"/>
              </w:rPr>
              <w:t>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江苏德源药业股份有限公司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5</w:t>
            </w:r>
            <w:r>
              <w:rPr>
                <w:rFonts w:ascii="Times New Roman" w:hAnsi="Times New Roman" w:eastAsia="宋体" w:cs="Times New Roman"/>
                <w:color w:val="333333"/>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*8</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天方药业有限公司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0</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北京万辉双鹤药业有限责任公司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1</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北京万辉双鹤药业有限责任公司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2</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5g*60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石药集团欧意药业有限公司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3</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石家庄市华新药业有限责任公司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4</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南京亿华药业有限公司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5g*60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广东赛康制药厂有限公司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缓释片</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5g*60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悦康药业集团股份有限公司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7</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25g*21</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小盒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重庆科瑞制药（集团）有限公司</w:t>
            </w:r>
          </w:p>
        </w:tc>
      </w:tr>
      <w:tr>
        <w:tblPrEx>
          <w:tblCellMar>
            <w:top w:w="0" w:type="dxa"/>
            <w:left w:w="108" w:type="dxa"/>
            <w:bottom w:w="0" w:type="dxa"/>
            <w:right w:w="108" w:type="dxa"/>
          </w:tblCellMar>
        </w:tblPrEx>
        <w:trPr>
          <w:trHeight w:val="454" w:hRule="atLeast"/>
          <w:jc w:val="center"/>
        </w:trPr>
        <w:tc>
          <w:tcPr>
            <w:tcW w:w="92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8</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北京京丰制药集团有限公司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6</w:t>
            </w:r>
            <w:r>
              <w:rPr>
                <w:rFonts w:ascii="Times New Roman" w:hAnsi="Times New Roman" w:eastAsia="宋体" w:cs="Times New Roman"/>
                <w:color w:val="333333"/>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25g*60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上海信谊天平药业有限公司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0</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5g*6*10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石药集团欧意药业有限公司</w:t>
            </w:r>
          </w:p>
        </w:tc>
      </w:tr>
      <w:tr>
        <w:tblPrEx>
          <w:tblCellMar>
            <w:top w:w="0" w:type="dxa"/>
            <w:left w:w="108" w:type="dxa"/>
            <w:bottom w:w="0" w:type="dxa"/>
            <w:right w:w="108" w:type="dxa"/>
          </w:tblCellMar>
        </w:tblPrEx>
        <w:trPr>
          <w:trHeight w:val="45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1</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*10</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蓬莱诺康药业有限公司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石家庄以岭药业股份有限公司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*5</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河北天成药业股份有限公司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河北天成药业股份有限公司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25g*12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*10</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河北天成药业股份有限公司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盐酸二甲双胍片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华北制药股份有限公司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25mg*21</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重庆科瑞制药（集团）有限公司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华中药业股份有限公司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7</w:t>
            </w:r>
            <w:r>
              <w:rPr>
                <w:rFonts w:ascii="Times New Roman" w:hAnsi="Times New Roman" w:eastAsia="宋体" w:cs="Times New Roman"/>
                <w:color w:val="333333"/>
                <w:sz w:val="18"/>
                <w:szCs w:val="18"/>
              </w:rPr>
              <w:t>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25mg*20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*5</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上海旭东海普药业有限公司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山西振东安特生物制药有限公司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石家庄以岭药业股份有限公司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石药集团欧意药业有限公司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瓶</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山东新华制药股份有限公司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常州制药厂有限公司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卡托普利片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25mg*100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常州制药厂有限公司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6</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50mg*28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齐鲁制药有限公司</w:t>
            </w:r>
          </w:p>
        </w:tc>
      </w:tr>
      <w:tr>
        <w:tblPrEx>
          <w:tblCellMar>
            <w:top w:w="0" w:type="dxa"/>
            <w:left w:w="108" w:type="dxa"/>
            <w:bottom w:w="0" w:type="dxa"/>
            <w:right w:w="108" w:type="dxa"/>
          </w:tblCellMar>
        </w:tblPrEx>
        <w:trPr>
          <w:trHeight w:val="454" w:hRule="atLeast"/>
          <w:jc w:val="center"/>
        </w:trPr>
        <w:tc>
          <w:tcPr>
            <w:tcW w:w="92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7</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50mg*14</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袋</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江苏豪森药业集团有限公司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8</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50mg*14</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袋</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江苏豪森药业集团有限公司</w:t>
            </w:r>
          </w:p>
        </w:tc>
      </w:tr>
      <w:tr>
        <w:tblPrEx>
          <w:tblCellMar>
            <w:top w:w="0" w:type="dxa"/>
            <w:left w:w="108" w:type="dxa"/>
            <w:bottom w:w="0" w:type="dxa"/>
            <w:right w:w="108" w:type="dxa"/>
          </w:tblCellMar>
        </w:tblPrEx>
        <w:trPr>
          <w:trHeight w:val="454" w:hRule="atLeast"/>
          <w:jc w:val="center"/>
        </w:trPr>
        <w:tc>
          <w:tcPr>
            <w:tcW w:w="92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8</w:t>
            </w:r>
            <w:r>
              <w:rPr>
                <w:rFonts w:ascii="Times New Roman" w:hAnsi="Times New Roman" w:eastAsia="宋体" w:cs="Times New Roman"/>
                <w:color w:val="333333"/>
                <w:sz w:val="18"/>
                <w:szCs w:val="18"/>
              </w:rPr>
              <w:t>9</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50mg*14</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南京圣和药业股份有限公司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0</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45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1</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扬子江药业集团四川海蓉药业有限公司</w:t>
            </w:r>
          </w:p>
        </w:tc>
      </w:tr>
      <w:tr>
        <w:tblPrEx>
          <w:tblCellMar>
            <w:top w:w="0" w:type="dxa"/>
            <w:left w:w="108" w:type="dxa"/>
            <w:bottom w:w="0" w:type="dxa"/>
            <w:right w:w="108" w:type="dxa"/>
          </w:tblCellMar>
        </w:tblPrEx>
        <w:trPr>
          <w:trHeight w:val="45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维格列汀片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50mg*10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南京优科制药有限公司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80mg*28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5</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40mg*28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6</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80mg*14</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160mg*14</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浙江华海药业股份有限公司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8</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常州四药制药有限公司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9</w:t>
            </w:r>
            <w:r>
              <w:rPr>
                <w:rFonts w:ascii="Times New Roman" w:hAnsi="Times New Roman" w:eastAsia="宋体" w:cs="Times New Roman"/>
                <w:color w:val="333333"/>
                <w:sz w:val="18"/>
                <w:szCs w:val="18"/>
              </w:rPr>
              <w:t>9</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80mg*30</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常州四药制药有限公司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00</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80mg*7</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天大药业(珠海)有限公司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01</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80mg*7</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天大药业(珠海)有限公司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80mg*7</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天大药业(珠海)有限公司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03</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80mg*12</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04</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80mg*12</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缬沙坦胶囊</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胶囊剂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80mg*36</w:t>
            </w:r>
            <w:r>
              <w:rPr>
                <w:rFonts w:ascii="Times New Roman" w:hAnsi="Times New Roman" w:eastAsia="宋体" w:cs="Times New Roman"/>
                <w:color w:val="333333"/>
                <w:sz w:val="18"/>
                <w:szCs w:val="18"/>
              </w:rPr>
              <w:t>粒</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湖南千金湘江药业股份有限公司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格列齐特缓释片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30mg*10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宜昌人福药业有限责任公司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格列齐特缓释片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30mg*15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天津君安生物制药有限公司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格列齐特缓释片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30mg*30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09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那格列奈片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60mg*12</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x2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珠海同益制药有限公司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10</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那格列奈片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120mg*10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江苏德源药业股份有限公司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11</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那格列奈片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120mg*60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瓶</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江苏德源药业股份有限公司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12</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瑞格列奈片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13</w:t>
            </w:r>
          </w:p>
        </w:tc>
        <w:tc>
          <w:tcPr>
            <w:tcW w:w="1839"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瑞格列奈片</w:t>
            </w:r>
          </w:p>
        </w:tc>
        <w:tc>
          <w:tcPr>
            <w:tcW w:w="927"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0</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5mg*15</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14</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瑞格列奈片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江苏豪森药业集团有限公司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瑞格列奈片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1mg*30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江苏豪森药业集团有限公司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江苏亚邦爱普森药业有限公司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18</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80mg*7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北京福元医药股份有限公司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19</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40mg*28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上海信谊天平药业有限公司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20</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x4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宜昌东阳光长江药业股份</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21</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替米沙坦片</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40mg*8</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4</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江苏万邦生化医药集团</w:t>
            </w:r>
          </w:p>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4"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22</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缬沙坦氨氯地平片(Ⅰ)</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宋体" w:cs="Times New Roman"/>
                <w:color w:val="333333"/>
                <w:sz w:val="18"/>
                <w:szCs w:val="18"/>
              </w:rPr>
              <w:t>（缬沙坦</w:t>
            </w:r>
            <w:r>
              <w:rPr>
                <w:rFonts w:ascii="Times New Roman" w:hAnsi="Times New Roman" w:eastAsia="等线" w:cs="Times New Roman"/>
                <w:color w:val="333333"/>
                <w:sz w:val="18"/>
                <w:szCs w:val="18"/>
              </w:rPr>
              <w:t>80mg+</w:t>
            </w:r>
            <w:r>
              <w:rPr>
                <w:rFonts w:ascii="Times New Roman" w:hAnsi="Times New Roman" w:eastAsia="宋体" w:cs="Times New Roman"/>
                <w:color w:val="333333"/>
                <w:sz w:val="18"/>
                <w:szCs w:val="18"/>
              </w:rPr>
              <w:t>氨氯地平</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×3</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花园药业股份有限公司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23</w:t>
            </w:r>
          </w:p>
        </w:tc>
        <w:tc>
          <w:tcPr>
            <w:tcW w:w="1839"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缬沙坦氨氯地平片(Ⅰ)</w:t>
            </w:r>
          </w:p>
        </w:tc>
        <w:tc>
          <w:tcPr>
            <w:tcW w:w="927"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宋体" w:cs="Times New Roman"/>
                <w:color w:val="333333"/>
                <w:sz w:val="18"/>
                <w:szCs w:val="18"/>
              </w:rPr>
              <w:t>（缬沙坦</w:t>
            </w:r>
            <w:r>
              <w:rPr>
                <w:rFonts w:ascii="Times New Roman" w:hAnsi="Times New Roman" w:eastAsia="等线" w:cs="Times New Roman"/>
                <w:color w:val="333333"/>
                <w:sz w:val="18"/>
                <w:szCs w:val="18"/>
              </w:rPr>
              <w:t>80mg+</w:t>
            </w:r>
            <w:r>
              <w:rPr>
                <w:rFonts w:ascii="Times New Roman" w:hAnsi="Times New Roman" w:eastAsia="宋体" w:cs="Times New Roman"/>
                <w:color w:val="333333"/>
                <w:sz w:val="18"/>
                <w:szCs w:val="18"/>
              </w:rPr>
              <w:t>氨氯地平</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*10</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4"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花园药业股份有限公司</w:t>
            </w:r>
          </w:p>
        </w:tc>
      </w:tr>
      <w:tr>
        <w:tblPrEx>
          <w:tblCellMar>
            <w:top w:w="0" w:type="dxa"/>
            <w:left w:w="108" w:type="dxa"/>
            <w:bottom w:w="0" w:type="dxa"/>
            <w:right w:w="108" w:type="dxa"/>
          </w:tblCellMar>
        </w:tblPrEx>
        <w:trPr>
          <w:trHeight w:val="504" w:hRule="atLeast"/>
          <w:jc w:val="center"/>
        </w:trPr>
        <w:tc>
          <w:tcPr>
            <w:tcW w:w="920" w:type="dxa"/>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24</w:t>
            </w:r>
          </w:p>
        </w:tc>
        <w:tc>
          <w:tcPr>
            <w:tcW w:w="1839"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缬沙坦氨氯地平片(Ⅰ)</w:t>
            </w:r>
          </w:p>
        </w:tc>
        <w:tc>
          <w:tcPr>
            <w:tcW w:w="927"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宋体" w:cs="Times New Roman"/>
                <w:color w:val="333333"/>
                <w:sz w:val="18"/>
                <w:szCs w:val="18"/>
              </w:rPr>
              <w:t>（缬沙坦</w:t>
            </w:r>
            <w:r>
              <w:rPr>
                <w:rFonts w:ascii="Times New Roman" w:hAnsi="Times New Roman" w:eastAsia="等线" w:cs="Times New Roman"/>
                <w:color w:val="333333"/>
                <w:sz w:val="18"/>
                <w:szCs w:val="18"/>
              </w:rPr>
              <w:t>80mg+</w:t>
            </w:r>
            <w:r>
              <w:rPr>
                <w:rFonts w:ascii="Times New Roman" w:hAnsi="Times New Roman" w:eastAsia="宋体" w:cs="Times New Roman"/>
                <w:color w:val="333333"/>
                <w:sz w:val="18"/>
                <w:szCs w:val="18"/>
              </w:rPr>
              <w:t>氨氯地平</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single" w:color="auto" w:sz="4" w:space="0"/>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江苏恒瑞医药股份有限公司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25</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（缬沙坦80mg+氢氯噻嗪12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每板</w:t>
            </w:r>
            <w:r>
              <w:rPr>
                <w:rFonts w:ascii="Times New Roman" w:hAnsi="Times New Roman" w:eastAsia="等线" w:cs="Times New Roman"/>
                <w:color w:val="333333"/>
                <w:sz w:val="18"/>
                <w:szCs w:val="18"/>
              </w:rPr>
              <w:t>14</w:t>
            </w:r>
            <w:r>
              <w:rPr>
                <w:rFonts w:ascii="Times New Roman" w:hAnsi="Times New Roman" w:eastAsia="宋体" w:cs="Times New Roman"/>
                <w:color w:val="333333"/>
                <w:sz w:val="18"/>
                <w:szCs w:val="18"/>
              </w:rPr>
              <w:t>片，每盒</w:t>
            </w:r>
            <w:r>
              <w:rPr>
                <w:rFonts w:ascii="Times New Roman" w:hAnsi="Times New Roman" w:eastAsia="等线" w:cs="Times New Roman"/>
                <w:color w:val="333333"/>
                <w:sz w:val="18"/>
                <w:szCs w:val="18"/>
              </w:rPr>
              <w:t>1</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26</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（缬沙坦80mg+氢氯噻嗪12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每板</w:t>
            </w:r>
            <w:r>
              <w:rPr>
                <w:rFonts w:ascii="Times New Roman" w:hAnsi="Times New Roman" w:eastAsia="等线" w:cs="Times New Roman"/>
                <w:color w:val="333333"/>
                <w:sz w:val="18"/>
                <w:szCs w:val="18"/>
              </w:rPr>
              <w:t>14</w:t>
            </w:r>
            <w:r>
              <w:rPr>
                <w:rFonts w:ascii="Times New Roman" w:hAnsi="Times New Roman" w:eastAsia="宋体" w:cs="Times New Roman"/>
                <w:color w:val="333333"/>
                <w:sz w:val="18"/>
                <w:szCs w:val="18"/>
              </w:rPr>
              <w:t>片，每盒</w:t>
            </w:r>
            <w:r>
              <w:rPr>
                <w:rFonts w:ascii="Times New Roman" w:hAnsi="Times New Roman" w:eastAsia="等线" w:cs="Times New Roman"/>
                <w:color w:val="333333"/>
                <w:sz w:val="18"/>
                <w:szCs w:val="18"/>
              </w:rPr>
              <w:t>2</w:t>
            </w:r>
            <w:r>
              <w:rPr>
                <w:rFonts w:ascii="Times New Roman" w:hAnsi="Times New Roman" w:eastAsia="宋体" w:cs="Times New Roman"/>
                <w:color w:val="333333"/>
                <w:sz w:val="18"/>
                <w:szCs w:val="18"/>
              </w:rPr>
              <w:t>板</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华润赛科药业有限责任公司</w:t>
            </w:r>
          </w:p>
        </w:tc>
      </w:tr>
      <w:tr>
        <w:tblPrEx>
          <w:tblCellMar>
            <w:top w:w="0" w:type="dxa"/>
            <w:left w:w="108" w:type="dxa"/>
            <w:bottom w:w="0" w:type="dxa"/>
            <w:right w:w="108" w:type="dxa"/>
          </w:tblCellMar>
        </w:tblPrEx>
        <w:trPr>
          <w:trHeight w:val="504" w:hRule="atLeast"/>
          <w:jc w:val="center"/>
        </w:trPr>
        <w:tc>
          <w:tcPr>
            <w:tcW w:w="920" w:type="dxa"/>
            <w:tcBorders>
              <w:top w:val="nil"/>
              <w:left w:val="single" w:color="auto" w:sz="8" w:space="0"/>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hint="eastAsia" w:ascii="Times New Roman" w:hAnsi="Times New Roman" w:eastAsia="宋体" w:cs="Times New Roman"/>
                <w:color w:val="333333"/>
                <w:sz w:val="18"/>
                <w:szCs w:val="18"/>
              </w:rPr>
              <w:t>1</w:t>
            </w:r>
            <w:r>
              <w:rPr>
                <w:rFonts w:ascii="Times New Roman" w:hAnsi="Times New Roman" w:eastAsia="宋体" w:cs="Times New Roman"/>
                <w:color w:val="333333"/>
                <w:sz w:val="18"/>
                <w:szCs w:val="18"/>
              </w:rPr>
              <w:t>27</w:t>
            </w:r>
          </w:p>
        </w:tc>
        <w:tc>
          <w:tcPr>
            <w:tcW w:w="1839"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缬沙坦氢氯噻嗪片</w:t>
            </w:r>
          </w:p>
        </w:tc>
        <w:tc>
          <w:tcPr>
            <w:tcW w:w="927"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片剂</w:t>
            </w:r>
          </w:p>
        </w:tc>
        <w:tc>
          <w:tcPr>
            <w:tcW w:w="2320"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等线" w:cs="Times New Roman"/>
                <w:color w:val="333333"/>
                <w:sz w:val="18"/>
                <w:szCs w:val="18"/>
              </w:rPr>
            </w:pPr>
            <w:r>
              <w:rPr>
                <w:rFonts w:ascii="Times New Roman" w:hAnsi="Times New Roman" w:eastAsia="等线" w:cs="Times New Roman"/>
                <w:color w:val="333333"/>
                <w:sz w:val="18"/>
                <w:szCs w:val="18"/>
              </w:rPr>
              <w:t>（缬沙坦80mg+氢氯噻嗪12</w:t>
            </w:r>
            <w:r>
              <w:rPr>
                <w:rFonts w:hint="eastAsia" w:ascii="Times New Roman" w:hAnsi="Times New Roman" w:eastAsia="等线" w:cs="Times New Roman"/>
                <w:color w:val="333333"/>
                <w:sz w:val="18"/>
                <w:szCs w:val="18"/>
                <w:lang w:eastAsia="zh-CN"/>
              </w:rPr>
              <w:t>.</w:t>
            </w:r>
            <w:r>
              <w:rPr>
                <w:rFonts w:ascii="Times New Roman" w:hAnsi="Times New Roman" w:eastAsia="等线" w:cs="Times New Roman"/>
                <w:color w:val="333333"/>
                <w:sz w:val="18"/>
                <w:szCs w:val="18"/>
              </w:rPr>
              <w:t>5mg</w:t>
            </w:r>
            <w:r>
              <w:rPr>
                <w:rFonts w:ascii="Times New Roman" w:hAnsi="Times New Roman" w:eastAsia="宋体" w:cs="Times New Roman"/>
                <w:color w:val="333333"/>
                <w:sz w:val="18"/>
                <w:szCs w:val="18"/>
              </w:rPr>
              <w:t>）</w:t>
            </w:r>
            <w:r>
              <w:rPr>
                <w:rFonts w:ascii="Times New Roman" w:hAnsi="Times New Roman" w:eastAsia="等线" w:cs="Times New Roman"/>
                <w:color w:val="333333"/>
                <w:sz w:val="18"/>
                <w:szCs w:val="18"/>
              </w:rPr>
              <w:t>*7</w:t>
            </w:r>
            <w:r>
              <w:rPr>
                <w:rFonts w:ascii="Times New Roman" w:hAnsi="Times New Roman" w:eastAsia="宋体" w:cs="Times New Roman"/>
                <w:color w:val="333333"/>
                <w:sz w:val="18"/>
                <w:szCs w:val="18"/>
              </w:rPr>
              <w:t>片</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x2</w:t>
            </w:r>
            <w:r>
              <w:rPr>
                <w:rFonts w:ascii="Times New Roman" w:hAnsi="Times New Roman" w:eastAsia="宋体" w:cs="Times New Roman"/>
                <w:color w:val="333333"/>
                <w:sz w:val="18"/>
                <w:szCs w:val="18"/>
              </w:rPr>
              <w:t>板</w:t>
            </w:r>
            <w:r>
              <w:rPr>
                <w:rFonts w:ascii="Times New Roman" w:hAnsi="Times New Roman" w:eastAsia="等线" w:cs="Times New Roman"/>
                <w:color w:val="333333"/>
                <w:sz w:val="18"/>
                <w:szCs w:val="18"/>
              </w:rPr>
              <w:t>/</w:t>
            </w:r>
            <w:r>
              <w:rPr>
                <w:rFonts w:ascii="Times New Roman" w:hAnsi="Times New Roman" w:eastAsia="宋体" w:cs="Times New Roman"/>
                <w:color w:val="333333"/>
                <w:sz w:val="18"/>
                <w:szCs w:val="18"/>
              </w:rPr>
              <w:t>盒</w:t>
            </w:r>
          </w:p>
        </w:tc>
        <w:tc>
          <w:tcPr>
            <w:tcW w:w="715"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盒</w:t>
            </w:r>
          </w:p>
        </w:tc>
        <w:tc>
          <w:tcPr>
            <w:tcW w:w="2908" w:type="dxa"/>
            <w:tcBorders>
              <w:top w:val="nil"/>
              <w:left w:val="nil"/>
              <w:bottom w:val="single" w:color="auto" w:sz="8" w:space="0"/>
              <w:right w:val="single" w:color="auto" w:sz="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ascii="Times New Roman" w:hAnsi="Times New Roman" w:eastAsia="宋体" w:cs="Times New Roman"/>
                <w:color w:val="333333"/>
                <w:sz w:val="18"/>
                <w:szCs w:val="18"/>
              </w:rPr>
            </w:pPr>
            <w:r>
              <w:rPr>
                <w:rFonts w:ascii="Times New Roman" w:hAnsi="Times New Roman" w:eastAsia="宋体" w:cs="Times New Roman"/>
                <w:color w:val="333333"/>
                <w:sz w:val="18"/>
                <w:szCs w:val="18"/>
              </w:rPr>
              <w:t>北京百奥药业有限责任公司</w:t>
            </w:r>
          </w:p>
        </w:tc>
      </w:tr>
    </w:tbl>
    <w:tbl>
      <w:tblPr>
        <w:tblStyle w:val="7"/>
        <w:tblpPr w:leftFromText="180" w:rightFromText="180" w:vertAnchor="page" w:horzAnchor="page" w:tblpX="1471" w:tblpY="14488"/>
        <w:tblW w:w="9039" w:type="dxa"/>
        <w:tblInd w:w="0"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5710"/>
        <w:gridCol w:w="332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710" w:type="dxa"/>
            <w:tcBorders>
              <w:top w:val="single" w:color="auto" w:sz="4" w:space="0"/>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firstLine="140" w:firstLineChars="50"/>
              <w:textAlignment w:val="auto"/>
              <w:outlineLvl w:val="9"/>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color w:val="000000"/>
                <w:sz w:val="28"/>
                <w:szCs w:val="28"/>
              </w:rPr>
              <w:t>酉阳土家族苗族自治县</w:t>
            </w:r>
            <w:r>
              <w:rPr>
                <w:rFonts w:hint="eastAsia" w:ascii="方正仿宋_GBK" w:hAnsi="方正仿宋_GBK" w:eastAsia="方正仿宋_GBK" w:cs="方正仿宋_GBK"/>
                <w:sz w:val="28"/>
                <w:szCs w:val="28"/>
                <w:lang w:eastAsia="zh-CN"/>
              </w:rPr>
              <w:t>医疗保障</w:t>
            </w:r>
            <w:r>
              <w:rPr>
                <w:rFonts w:hint="eastAsia" w:ascii="方正仿宋_GBK" w:hAnsi="方正仿宋_GBK" w:eastAsia="方正仿宋_GBK" w:cs="方正仿宋_GBK"/>
                <w:sz w:val="28"/>
                <w:szCs w:val="28"/>
              </w:rPr>
              <w:t>局</w:t>
            </w:r>
            <w:r>
              <w:rPr>
                <w:rFonts w:hint="eastAsia" w:ascii="方正仿宋_GBK" w:hAnsi="方正仿宋_GBK" w:eastAsia="方正仿宋_GBK" w:cs="方正仿宋_GBK"/>
                <w:sz w:val="28"/>
                <w:szCs w:val="28"/>
                <w:lang w:eastAsia="zh-CN"/>
              </w:rPr>
              <w:t>办公室</w:t>
            </w:r>
          </w:p>
        </w:tc>
        <w:tc>
          <w:tcPr>
            <w:tcW w:w="3329" w:type="dxa"/>
            <w:tcBorders>
              <w:top w:val="single" w:color="auto" w:sz="4" w:space="0"/>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_GBK" w:hAnsi="方正仿宋_GBK" w:eastAsia="方正仿宋_GBK" w:cs="方正仿宋_GBK"/>
                <w:kern w:val="2"/>
                <w:sz w:val="28"/>
                <w:szCs w:val="28"/>
                <w:lang w:val="en-US" w:eastAsia="zh-CN" w:bidi="ar-SA"/>
              </w:rPr>
            </w:pPr>
            <w:r>
              <w:rPr>
                <w:rFonts w:hint="eastAsia" w:ascii="方正仿宋_GBK" w:hAnsi="方正仿宋_GBK" w:eastAsia="方正仿宋_GBK" w:cs="方正仿宋_GBK"/>
                <w:sz w:val="28"/>
                <w:szCs w:val="28"/>
              </w:rPr>
              <w:t xml:space="preserve"> 20</w:t>
            </w:r>
            <w:r>
              <w:rPr>
                <w:rFonts w:hint="eastAsia" w:ascii="方正仿宋_GBK" w:hAnsi="方正仿宋_GBK" w:eastAsia="方正仿宋_GBK" w:cs="方正仿宋_GBK"/>
                <w:sz w:val="28"/>
                <w:szCs w:val="28"/>
                <w:lang w:val="en-US" w:eastAsia="zh-CN"/>
              </w:rPr>
              <w:t>21</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月</w:t>
            </w:r>
            <w:r>
              <w:rPr>
                <w:rFonts w:hint="eastAsia" w:ascii="方正仿宋_GBK" w:hAnsi="方正仿宋_GBK" w:cs="方正仿宋_GBK"/>
                <w:sz w:val="28"/>
                <w:szCs w:val="28"/>
                <w:lang w:val="en-US" w:eastAsia="zh-CN"/>
              </w:rPr>
              <w:t>24</w:t>
            </w:r>
            <w:r>
              <w:rPr>
                <w:rFonts w:hint="eastAsia" w:ascii="方正仿宋_GBK" w:hAnsi="方正仿宋_GBK" w:eastAsia="方正仿宋_GBK" w:cs="方正仿宋_GBK"/>
                <w:sz w:val="28"/>
                <w:szCs w:val="28"/>
              </w:rPr>
              <w:t>日印</w:t>
            </w:r>
            <w:r>
              <w:rPr>
                <w:rFonts w:hint="eastAsia" w:ascii="方正仿宋_GBK" w:hAnsi="方正仿宋_GBK" w:eastAsia="方正仿宋_GBK" w:cs="方正仿宋_GBK"/>
                <w:sz w:val="28"/>
                <w:szCs w:val="28"/>
                <w:lang w:eastAsia="zh-CN"/>
              </w:rPr>
              <w:t>发</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0DB14E-45F0-4FE8-A4D9-DBDE2C20B3CE}"/>
  </w:font>
  <w:font w:name="Arial">
    <w:panose1 w:val="020B0604020202020204"/>
    <w:charset w:val="01"/>
    <w:family w:val="swiss"/>
    <w:pitch w:val="default"/>
    <w:sig w:usb0="E0002EFF" w:usb1="C000785B" w:usb2="00000009" w:usb3="00000000" w:csb0="400001FF" w:csb1="FFFF0000"/>
    <w:embedRegular r:id="rId2" w:fontKey="{401AC69F-D584-445F-AF4D-8464CD1DE4C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AA1E6F8-0EFF-4DBD-9842-1C532D051C56}"/>
  </w:font>
  <w:font w:name="Symbol">
    <w:panose1 w:val="05050102010706020507"/>
    <w:charset w:val="02"/>
    <w:family w:val="roman"/>
    <w:pitch w:val="default"/>
    <w:sig w:usb0="00000000" w:usb1="00000000" w:usb2="00000000" w:usb3="00000000" w:csb0="80000000" w:csb1="00000000"/>
    <w:embedRegular r:id="rId4" w:fontKey="{AE836AB4-2E06-4722-A8E2-4D1E54DA884B}"/>
  </w:font>
  <w:font w:name="Calibri">
    <w:panose1 w:val="020F0502020204030204"/>
    <w:charset w:val="00"/>
    <w:family w:val="swiss"/>
    <w:pitch w:val="default"/>
    <w:sig w:usb0="E4002EFF" w:usb1="C000247B" w:usb2="00000009" w:usb3="00000000" w:csb0="200001FF" w:csb1="00000000"/>
    <w:embedRegular r:id="rId5" w:fontKey="{F4606887-F985-45FC-A8BE-AA2FD080CED2}"/>
  </w:font>
  <w:font w:name="仿宋_GB2312">
    <w:panose1 w:val="02010609030101010101"/>
    <w:charset w:val="86"/>
    <w:family w:val="modern"/>
    <w:pitch w:val="default"/>
    <w:sig w:usb0="00000001" w:usb1="080E0000" w:usb2="00000000" w:usb3="00000000" w:csb0="00040000" w:csb1="00000000"/>
    <w:embedRegular r:id="rId6" w:fontKey="{7C3705C9-F51C-44FE-AF8D-C9B12A83D43A}"/>
  </w:font>
  <w:font w:name="方正仿宋_GBK">
    <w:panose1 w:val="03000509000000000000"/>
    <w:charset w:val="86"/>
    <w:family w:val="script"/>
    <w:pitch w:val="default"/>
    <w:sig w:usb0="00000001" w:usb1="080E0000" w:usb2="00000000" w:usb3="00000000" w:csb0="00040000" w:csb1="00000000"/>
    <w:embedRegular r:id="rId7" w:fontKey="{5DD50F54-01A5-4AA1-9F97-47B76A39D8E5}"/>
  </w:font>
  <w:font w:name="方正小标宋_GBK">
    <w:panose1 w:val="03000509000000000000"/>
    <w:charset w:val="86"/>
    <w:family w:val="script"/>
    <w:pitch w:val="default"/>
    <w:sig w:usb0="00000001" w:usb1="080E0000" w:usb2="00000000" w:usb3="00000000" w:csb0="00040000" w:csb1="00000000"/>
    <w:embedRegular r:id="rId8" w:fontKey="{DA3C431C-4099-4BDC-80DA-21E0F9A1093E}"/>
  </w:font>
  <w:font w:name="方正小标宋简体">
    <w:panose1 w:val="02010601030101010101"/>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9" w:fontKey="{D64DE593-FD07-4F1E-B2E3-7009D9B01E1B}"/>
  </w:font>
  <w:font w:name="方正楷体_GBK">
    <w:panose1 w:val="03000509000000000000"/>
    <w:charset w:val="86"/>
    <w:family w:val="script"/>
    <w:pitch w:val="default"/>
    <w:sig w:usb0="00000001" w:usb1="080E0000" w:usb2="00000000" w:usb3="00000000" w:csb0="00040000" w:csb1="00000000"/>
    <w:embedRegular r:id="rId10" w:fontKey="{1B2F0FAE-6C76-43FE-BABE-F38B449AB190}"/>
  </w:font>
  <w:font w:name="等线">
    <w:panose1 w:val="02010600030101010101"/>
    <w:charset w:val="86"/>
    <w:family w:val="auto"/>
    <w:pitch w:val="default"/>
    <w:sig w:usb0="A00002BF" w:usb1="38CF7CFA" w:usb2="00000016" w:usb3="00000000" w:csb0="0004000F" w:csb1="00000000"/>
    <w:embedRegular r:id="rId11" w:fontKey="{A8949BCF-0B16-4F7A-91AC-E35835380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1</w:t>
                          </w:r>
                          <w:r>
                            <w:rPr>
                              <w:rFonts w:hint="eastAsia" w:ascii="方正仿宋_GBK" w:hAnsi="方正仿宋_GBK" w:eastAsia="方正仿宋_GBK" w:cs="方正仿宋_GBK"/>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1</w:t>
                    </w:r>
                    <w:r>
                      <w:rPr>
                        <w:rFonts w:hint="eastAsia" w:ascii="方正仿宋_GBK" w:hAnsi="方正仿宋_GBK" w:eastAsia="方正仿宋_GBK" w:cs="方正仿宋_GBK"/>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NDVkNDc4ZDJkYzE4YWIyMzJmNzdkZTQ2NDAwMjYifQ=="/>
  </w:docVars>
  <w:rsids>
    <w:rsidRoot w:val="00000000"/>
    <w:rsid w:val="026276A7"/>
    <w:rsid w:val="06057317"/>
    <w:rsid w:val="0B022976"/>
    <w:rsid w:val="0D2F4DCA"/>
    <w:rsid w:val="110E3702"/>
    <w:rsid w:val="11FE3E97"/>
    <w:rsid w:val="16287735"/>
    <w:rsid w:val="18B00F6D"/>
    <w:rsid w:val="1AF57B82"/>
    <w:rsid w:val="1BAA7F40"/>
    <w:rsid w:val="1D100F23"/>
    <w:rsid w:val="1D9A1B25"/>
    <w:rsid w:val="1F8A4FBC"/>
    <w:rsid w:val="213A47C0"/>
    <w:rsid w:val="219063BA"/>
    <w:rsid w:val="220D3C83"/>
    <w:rsid w:val="24997A50"/>
    <w:rsid w:val="2A1C442B"/>
    <w:rsid w:val="2BA7469C"/>
    <w:rsid w:val="2BB67139"/>
    <w:rsid w:val="2EEF5148"/>
    <w:rsid w:val="35224D26"/>
    <w:rsid w:val="3A5F2429"/>
    <w:rsid w:val="3A79092C"/>
    <w:rsid w:val="41586871"/>
    <w:rsid w:val="48CB3DCC"/>
    <w:rsid w:val="4B0868AF"/>
    <w:rsid w:val="4E197388"/>
    <w:rsid w:val="4F5C6B8D"/>
    <w:rsid w:val="51E1640E"/>
    <w:rsid w:val="52407755"/>
    <w:rsid w:val="53901E9A"/>
    <w:rsid w:val="5AC63D21"/>
    <w:rsid w:val="60483AFC"/>
    <w:rsid w:val="611C2FBF"/>
    <w:rsid w:val="633C363E"/>
    <w:rsid w:val="6CBA7B30"/>
    <w:rsid w:val="6E9E14B7"/>
    <w:rsid w:val="7662726E"/>
    <w:rsid w:val="78856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b/>
      <w:color w:val="FF0000"/>
      <w:sz w:val="4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6998</Words>
  <Characters>8070</Characters>
  <Lines>0</Lines>
  <Paragraphs>0</Paragraphs>
  <TotalTime>2</TotalTime>
  <ScaleCrop>false</ScaleCrop>
  <LinksUpToDate>false</LinksUpToDate>
  <CharactersWithSpaces>8143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2021-03-22T08:09:00Z</dcterms:created>
  <dc:creator>b'g's</dc:creator>
  <cp:lastModifiedBy>回眸一笑鸡飞狗跳</cp:lastModifiedBy>
  <cp:lastPrinted>2021-03-23T09:25:00Z</cp:lastPrinted>
  <dcterms:modified xsi:type="dcterms:W3CDTF">2022-12-06T03:36:01Z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0_embed</vt:lpwstr>
  </property>
  <property fmtid="{D5CDD505-2E9C-101B-9397-08002B2CF9AE}" pid="4" name="ICV">
    <vt:lpwstr>DD11A7C52A794AF7BADBEF32E4CCC8DE</vt:lpwstr>
  </property>
</Properties>
</file>