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233C9">
      <w:pPr>
        <w:pStyle w:val="6"/>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重庆市酉阳土家族苗族自治县退役军人服务中心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年度决算公开说明</w:t>
      </w:r>
    </w:p>
    <w:p w14:paraId="7346E939">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Fonts w:hint="default" w:ascii="Times New Roman" w:hAnsi="Times New Roman" w:eastAsia="黑体" w:cs="Times New Roman"/>
          <w:sz w:val="32"/>
          <w:szCs w:val="32"/>
        </w:rPr>
      </w:pPr>
      <w:r>
        <w:rPr>
          <w:rStyle w:val="9"/>
          <w:rFonts w:hint="default" w:ascii="Times New Roman" w:hAnsi="Times New Roman" w:eastAsia="黑体" w:cs="Times New Roman"/>
          <w:sz w:val="32"/>
          <w:szCs w:val="32"/>
          <w:shd w:val="clear" w:color="auto" w:fill="FFFFFF"/>
        </w:rPr>
        <w:t>一、单位基本情况</w:t>
      </w:r>
    </w:p>
    <w:p w14:paraId="2C500B5E">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textAlignment w:val="auto"/>
        <w:rPr>
          <w:rStyle w:val="13"/>
          <w:rFonts w:hint="default" w:ascii="Times New Roman" w:hAnsi="Times New Roman" w:eastAsia="方正楷体_GBK" w:cs="Times New Roman"/>
          <w:b w:val="0"/>
          <w:sz w:val="32"/>
          <w:szCs w:val="32"/>
          <w:shd w:val="clear" w:color="auto" w:fill="FFFFFF"/>
        </w:rPr>
      </w:pPr>
      <w:r>
        <w:rPr>
          <w:rStyle w:val="13"/>
          <w:rFonts w:hint="default" w:ascii="Times New Roman" w:hAnsi="Times New Roman" w:eastAsia="方正楷体_GBK" w:cs="Times New Roman"/>
          <w:b w:val="0"/>
          <w:sz w:val="32"/>
          <w:szCs w:val="32"/>
          <w:shd w:val="clear" w:color="auto" w:fill="FFFFFF"/>
        </w:rPr>
        <w:t>（一）职能职责</w:t>
      </w:r>
    </w:p>
    <w:p w14:paraId="32395B29">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协助做好退役军人行政关系、组织关系、供给关系转接和档案移交，推动将退役军人流动党员纳入党的基层组织，配合组织部门做好教育管理。协助做好退役军人来信来访、接待办理、心理疏导、权益咨询、政策解答、法律服务以及涉退役军人舆情的收集、引导等工作。协助做好军属、烈属、伤病残军人、带病返乡退役军人服务等事务性工作。协助开展退役军人和其他优抚对象信息采集、资料管理、汇总分析等工作。负责提供就业创业服务和政策咨询，协助开展职业教育和技能培训，承办自主就业退役军人招聘会、推介会、就业论坛等，搭建就业创业、困难退役军人军属帮扶援助平台。切实做好退役军人个性化服务工作。</w:t>
      </w:r>
    </w:p>
    <w:p w14:paraId="64CE21E9">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楷体_GBK" w:cs="Times New Roman"/>
          <w:sz w:val="32"/>
          <w:szCs w:val="32"/>
          <w:shd w:val="clear" w:color="auto" w:fill="FFFFFF"/>
        </w:rPr>
      </w:pPr>
      <w:r>
        <w:rPr>
          <w:rStyle w:val="13"/>
          <w:rFonts w:hint="default" w:ascii="Times New Roman" w:hAnsi="Times New Roman" w:eastAsia="方正楷体_GBK" w:cs="Times New Roman"/>
          <w:b w:val="0"/>
          <w:sz w:val="32"/>
          <w:szCs w:val="32"/>
          <w:shd w:val="clear" w:color="auto" w:fill="FFFFFF"/>
        </w:rPr>
        <w:t>（二）机构设置</w:t>
      </w:r>
    </w:p>
    <w:p w14:paraId="249D25D7">
      <w:pPr>
        <w:pStyle w:val="11"/>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contextualSpacing/>
        <w:textAlignment w:val="auto"/>
        <w:rPr>
          <w:rStyle w:val="13"/>
          <w:rFonts w:hint="default" w:ascii="Times New Roman" w:hAnsi="Times New Roman" w:eastAsia="方正楷体_GBK" w:cs="Times New Roman"/>
          <w:b w:val="0"/>
          <w:sz w:val="32"/>
          <w:szCs w:val="32"/>
          <w:shd w:val="clear" w:color="auto" w:fill="FFFFFF"/>
        </w:rPr>
      </w:pPr>
      <w:r>
        <w:rPr>
          <w:rFonts w:hint="default" w:ascii="Times New Roman" w:hAnsi="Times New Roman" w:eastAsia="方正仿宋_GBK" w:cs="Times New Roman"/>
          <w:sz w:val="32"/>
          <w:szCs w:val="32"/>
        </w:rPr>
        <w:t>县退役军人服务中心设下列内设机构：</w:t>
      </w:r>
    </w:p>
    <w:p w14:paraId="039820D4">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综合科。负责协助做好退役军人行政关系、组织关系、供给关系转接和档案移交，以及推动将退役军人流动党员纳入党的基层组织，配合组织部门做好教育管理等相关工作。承担协助开展退役军人和其他优抚对象信息采集、资料管理、汇总分析等工作。 </w:t>
      </w:r>
    </w:p>
    <w:p w14:paraId="51BF19CF">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权益维护科。负责协助做好退役军人来信来访、接待办理、心理疏导、权益咨询、政策解答、法律服务以及涉退役军人舆情的收集、引导等工作。承担协助做好军属、烈属、伤病残军人、带病返乡退役军人服务等事务性工作，以及做好退役军人个性化服务工作。</w:t>
      </w:r>
    </w:p>
    <w:p w14:paraId="259126CB">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就业创业指导科。负责提供就业创业服务和政策咨询，协助开展职业教育和技能培训，承办自主就业退役军人招聘会、推介会、就业论坛等，搭建就业创业、困难退役军人军属帮扶援助平台。</w:t>
      </w:r>
    </w:p>
    <w:p w14:paraId="33E49D63">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黑体" w:cs="Times New Roman"/>
          <w:sz w:val="32"/>
          <w:szCs w:val="32"/>
          <w:shd w:val="clear" w:color="auto" w:fill="FFFFFF"/>
        </w:rPr>
        <w:t>二、单位决算</w:t>
      </w:r>
      <w:r>
        <w:rPr>
          <w:rStyle w:val="9"/>
          <w:rFonts w:hint="default" w:ascii="Times New Roman" w:hAnsi="Times New Roman" w:eastAsia="黑体" w:cs="Times New Roman"/>
          <w:sz w:val="32"/>
          <w:szCs w:val="32"/>
          <w:shd w:val="clear" w:color="auto" w:fill="FFFFFF"/>
          <w:lang w:eastAsia="zh-CN"/>
        </w:rPr>
        <w:t>收支</w:t>
      </w:r>
      <w:r>
        <w:rPr>
          <w:rStyle w:val="9"/>
          <w:rFonts w:hint="default" w:ascii="Times New Roman" w:hAnsi="Times New Roman" w:eastAsia="黑体" w:cs="Times New Roman"/>
          <w:sz w:val="32"/>
          <w:szCs w:val="32"/>
          <w:shd w:val="clear" w:color="auto" w:fill="FFFFFF"/>
        </w:rPr>
        <w:t>情况说明</w:t>
      </w:r>
    </w:p>
    <w:p w14:paraId="216999F3">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3EBE17F1">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250.00万元。收、支与2023年度相比，增加56.43万元，增长29.2%，主要原因是本年</w:t>
      </w:r>
      <w:r>
        <w:rPr>
          <w:rFonts w:hint="default" w:ascii="Times New Roman" w:hAnsi="Times New Roman" w:eastAsia="方正仿宋_GBK" w:cs="Times New Roman"/>
          <w:sz w:val="32"/>
          <w:szCs w:val="32"/>
          <w:shd w:val="clear" w:color="auto" w:fill="FFFFFF"/>
          <w:lang w:val="en-US" w:eastAsia="zh-CN"/>
        </w:rPr>
        <w:t>人员增加1名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事业人员养老保险和职业年金补缴等人员经费收支增加</w:t>
      </w:r>
      <w:r>
        <w:rPr>
          <w:rFonts w:hint="default" w:ascii="Times New Roman" w:hAnsi="Times New Roman" w:eastAsia="方正仿宋_GBK" w:cs="Times New Roman"/>
          <w:sz w:val="32"/>
          <w:szCs w:val="32"/>
          <w:shd w:val="clear" w:color="auto" w:fill="FFFFFF"/>
          <w:lang w:eastAsia="zh-CN"/>
        </w:rPr>
        <w:t>。</w:t>
      </w:r>
    </w:p>
    <w:p w14:paraId="533110A9">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1</w:t>
      </w:r>
      <w:r>
        <w:rPr>
          <w:rStyle w:val="9"/>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2024年度收入合计250.00万元，与2023年度相比，增加56.43万元，增长29.2%，主要原因是本年</w:t>
      </w:r>
      <w:r>
        <w:rPr>
          <w:rFonts w:hint="default" w:ascii="Times New Roman" w:hAnsi="Times New Roman" w:eastAsia="方正仿宋_GBK" w:cs="Times New Roman"/>
          <w:sz w:val="32"/>
          <w:szCs w:val="32"/>
          <w:shd w:val="clear" w:color="auto" w:fill="FFFFFF"/>
          <w:lang w:val="en-US" w:eastAsia="zh-CN"/>
        </w:rPr>
        <w:t>人员增加1名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事业人员养老保险和职业年金补缴预算收入增加。</w:t>
      </w:r>
      <w:r>
        <w:rPr>
          <w:rFonts w:hint="default" w:ascii="Times New Roman" w:hAnsi="Times New Roman" w:eastAsia="方正仿宋_GBK" w:cs="Times New Roman"/>
          <w:sz w:val="32"/>
          <w:szCs w:val="32"/>
          <w:shd w:val="clear" w:color="auto" w:fill="FFFFFF"/>
        </w:rPr>
        <w:t>其中：财政拨款收入250.00万元，占100.0%；事业收入0.00万元，占0.0%；经营收入0.00万元，占0.0%；其他收入0.00万元，占0.0%。此外，使用非财政拨款结余（含专用结余）0.00万元，年初结转和结余0.00万元。</w:t>
      </w:r>
    </w:p>
    <w:p w14:paraId="2E053ED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2</w:t>
      </w:r>
      <w:r>
        <w:rPr>
          <w:rStyle w:val="9"/>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2024年度支出合计250.00万元，与2023年度相比，增加56.43万元，增长29.2%，主要原因是</w:t>
      </w:r>
      <w:r>
        <w:rPr>
          <w:rFonts w:hint="default" w:ascii="Times New Roman" w:hAnsi="Times New Roman" w:eastAsia="方正仿宋_GBK" w:cs="Times New Roman"/>
          <w:sz w:val="32"/>
          <w:szCs w:val="32"/>
          <w:shd w:val="clear" w:color="auto" w:fill="FFFFFF"/>
          <w:lang w:val="en-US" w:eastAsia="zh-CN"/>
        </w:rPr>
        <w:t>人员增加1名，事业人员养老保险和职业年金补缴支出增加。</w:t>
      </w:r>
      <w:r>
        <w:rPr>
          <w:rFonts w:hint="default" w:ascii="Times New Roman" w:hAnsi="Times New Roman" w:eastAsia="方正仿宋_GBK" w:cs="Times New Roman"/>
          <w:sz w:val="32"/>
          <w:szCs w:val="32"/>
          <w:shd w:val="clear" w:color="auto" w:fill="FFFFFF"/>
        </w:rPr>
        <w:t>其中：基本支出250.00万元，占100.0%；项目支出0.00万元，占0.0%；经营支出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2778B495">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lang w:val="en-US" w:eastAsia="zh-CN"/>
        </w:rPr>
        <w:t>3</w:t>
      </w:r>
      <w:r>
        <w:rPr>
          <w:rStyle w:val="9"/>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2024年度年末结转和结余0.00万元，与2023年度相比，无增减，主要原因是上年和本年度均无结转结余。</w:t>
      </w:r>
    </w:p>
    <w:p w14:paraId="54C47867">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68EAD44C">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2024年度财政拨款收、支总计均为250.00万元。与2023年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相比，财政拨款收、支总计各增加56.43万元，增长29.2%。主要原因是本年</w:t>
      </w:r>
      <w:r>
        <w:rPr>
          <w:rFonts w:hint="default" w:ascii="Times New Roman" w:hAnsi="Times New Roman" w:eastAsia="方正仿宋_GBK" w:cs="Times New Roman"/>
          <w:sz w:val="32"/>
          <w:szCs w:val="32"/>
          <w:shd w:val="clear" w:color="auto" w:fill="FFFFFF"/>
          <w:lang w:val="en-US" w:eastAsia="zh-CN"/>
        </w:rPr>
        <w:t>人员增加1名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事业人员养老保险和职业年金补缴等人员经费收支增加</w:t>
      </w:r>
      <w:r>
        <w:rPr>
          <w:rFonts w:hint="default" w:ascii="Times New Roman" w:hAnsi="Times New Roman" w:eastAsia="方正仿宋_GBK" w:cs="Times New Roman"/>
          <w:sz w:val="32"/>
          <w:szCs w:val="32"/>
          <w:shd w:val="clear" w:color="auto" w:fill="FFFFFF"/>
          <w:lang w:eastAsia="zh-CN"/>
        </w:rPr>
        <w:t>。</w:t>
      </w:r>
    </w:p>
    <w:p w14:paraId="646B89B4">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207C87E2">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2024年度一般公共预算财政拨款收入250.00万元，与2023年度相比，增加56.43万元，增长29.2%。主要原因是</w:t>
      </w:r>
      <w:r>
        <w:rPr>
          <w:rFonts w:hint="default" w:ascii="Times New Roman" w:hAnsi="Times New Roman" w:eastAsia="方正仿宋_GBK" w:cs="Times New Roman"/>
          <w:sz w:val="32"/>
          <w:szCs w:val="32"/>
          <w:shd w:val="clear" w:color="auto" w:fill="FFFFFF"/>
          <w:lang w:val="en-US" w:eastAsia="zh-CN"/>
        </w:rPr>
        <w:t>人员增加1名、事业人员养老保险和职业年金补缴收入增加。</w:t>
      </w:r>
      <w:r>
        <w:rPr>
          <w:rFonts w:hint="default" w:ascii="Times New Roman" w:hAnsi="Times New Roman" w:eastAsia="方正仿宋_GBK" w:cs="Times New Roman"/>
          <w:sz w:val="32"/>
          <w:szCs w:val="32"/>
          <w:shd w:val="clear" w:color="auto" w:fill="FFFFFF"/>
        </w:rPr>
        <w:t>较年初预算数增加30.31万元，增长13.8%。主要原因是</w:t>
      </w:r>
      <w:r>
        <w:rPr>
          <w:rFonts w:hint="default" w:ascii="Times New Roman" w:hAnsi="Times New Roman" w:eastAsia="方正仿宋_GBK" w:cs="Times New Roman"/>
          <w:sz w:val="32"/>
          <w:szCs w:val="32"/>
          <w:shd w:val="clear" w:color="auto" w:fill="FFFFFF"/>
          <w:lang w:val="en-US" w:eastAsia="zh-CN"/>
        </w:rPr>
        <w:t>人员增加1名、事业人员养老保险和职业年金补缴收入增加。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3CF64DF">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2024年度一般公共预算财政拨款支出250.00万元，与2023年度相比，增加56.43万元，增长29.2%。主要原因是</w:t>
      </w:r>
      <w:r>
        <w:rPr>
          <w:rFonts w:hint="default" w:ascii="Times New Roman" w:hAnsi="Times New Roman" w:eastAsia="方正仿宋_GBK" w:cs="Times New Roman"/>
          <w:sz w:val="32"/>
          <w:szCs w:val="32"/>
          <w:shd w:val="clear" w:color="auto" w:fill="FFFFFF"/>
          <w:lang w:val="en-US" w:eastAsia="zh-CN"/>
        </w:rPr>
        <w:t>人员增加1名、事业人员养老保险和职业年金补缴支出增加。</w:t>
      </w:r>
      <w:r>
        <w:rPr>
          <w:rFonts w:hint="default" w:ascii="Times New Roman" w:hAnsi="Times New Roman" w:eastAsia="方正仿宋_GBK" w:cs="Times New Roman"/>
          <w:sz w:val="32"/>
          <w:szCs w:val="32"/>
          <w:shd w:val="clear" w:color="auto" w:fill="FFFFFF"/>
        </w:rPr>
        <w:t>较年初预算数</w:t>
      </w:r>
      <w:r>
        <w:rPr>
          <w:rFonts w:hint="default" w:ascii="Times New Roman" w:hAnsi="Times New Roman" w:eastAsia="方正仿宋_GBK" w:cs="Times New Roman"/>
          <w:sz w:val="32"/>
          <w:szCs w:val="32"/>
          <w:shd w:val="clear" w:color="auto" w:fill="FFFFFF"/>
          <w:lang w:val="en-US" w:eastAsia="zh-CN"/>
        </w:rPr>
        <w:t>增加30.31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增加13.80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人员增加、事业人员养老保险和职业年金补缴支出增加。</w:t>
      </w:r>
    </w:p>
    <w:p w14:paraId="016D445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62FECF55">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就业支出227.07万元，占90.8%，较年初预算数增加29.66万元，增长15.0%，主要原因是</w:t>
      </w:r>
      <w:r>
        <w:rPr>
          <w:rFonts w:hint="default" w:ascii="Times New Roman" w:hAnsi="Times New Roman" w:eastAsia="方正仿宋_GBK" w:cs="Times New Roman"/>
          <w:sz w:val="32"/>
          <w:szCs w:val="32"/>
          <w:shd w:val="clear" w:color="auto" w:fill="FFFFFF"/>
          <w:lang w:val="en-US" w:eastAsia="zh-CN"/>
        </w:rPr>
        <w:t>人员增加1名、事业人员养老保险和职业年金补缴支出增加。</w:t>
      </w:r>
    </w:p>
    <w:p w14:paraId="1A87444E">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（2）卫生健康支出10.83万元，占4.3%，较年初预算数减少0.44万元，下降3.9%，主要原因是</w:t>
      </w:r>
      <w:r>
        <w:rPr>
          <w:rFonts w:hint="default" w:ascii="Times New Roman" w:hAnsi="Times New Roman" w:eastAsia="方正仿宋_GBK" w:cs="Times New Roman"/>
          <w:sz w:val="32"/>
          <w:szCs w:val="32"/>
          <w:shd w:val="clear" w:color="auto" w:fill="FFFFFF"/>
          <w:lang w:val="en-US" w:eastAsia="zh-CN"/>
        </w:rPr>
        <w:t>职工体检费未支出。</w:t>
      </w:r>
    </w:p>
    <w:p w14:paraId="768D2107">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12.09万元，占4.8%，较年初预算数增加1.08万元，增长9.8%，主要原因是</w:t>
      </w:r>
      <w:r>
        <w:rPr>
          <w:rFonts w:hint="default" w:ascii="Times New Roman" w:hAnsi="Times New Roman" w:eastAsia="方正仿宋_GBK" w:cs="Times New Roman"/>
          <w:sz w:val="32"/>
          <w:szCs w:val="32"/>
          <w:shd w:val="clear" w:color="auto" w:fill="FFFFFF"/>
          <w:lang w:val="en-US" w:eastAsia="zh-CN"/>
        </w:rPr>
        <w:t>人员增加1名</w:t>
      </w:r>
      <w:r>
        <w:rPr>
          <w:rFonts w:hint="default" w:ascii="Times New Roman" w:hAnsi="Times New Roman" w:eastAsia="方正仿宋_GBK" w:cs="Times New Roman"/>
          <w:sz w:val="32"/>
          <w:szCs w:val="32"/>
          <w:shd w:val="clear" w:color="auto" w:fill="FFFFFF"/>
        </w:rPr>
        <w:t>，住房公积金缴费支出增加。</w:t>
      </w:r>
    </w:p>
    <w:p w14:paraId="1BC930BB">
      <w:pPr>
        <w:keepNext w:val="0"/>
        <w:keepLines w:val="0"/>
        <w:pageBreakBefore w:val="0"/>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本年和上年均无结转和结余</w:t>
      </w:r>
      <w:r>
        <w:rPr>
          <w:rFonts w:hint="default" w:ascii="Times New Roman" w:hAnsi="Times New Roman" w:eastAsia="方正仿宋_GBK" w:cs="Times New Roman"/>
          <w:sz w:val="32"/>
          <w:szCs w:val="32"/>
          <w:shd w:val="clear" w:color="auto" w:fill="FFFFFF"/>
        </w:rPr>
        <w:t>。</w:t>
      </w:r>
    </w:p>
    <w:p w14:paraId="6FEB7FEA">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6FCE29B2">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lang w:val="en-US" w:eastAsia="zh-CN"/>
        </w:rPr>
        <w:t>250.00</w:t>
      </w:r>
      <w:r>
        <w:rPr>
          <w:rFonts w:hint="default" w:ascii="Times New Roman" w:hAnsi="Times New Roman" w:eastAsia="方正仿宋_GBK" w:cs="Times New Roman"/>
          <w:sz w:val="32"/>
          <w:szCs w:val="32"/>
          <w:shd w:val="clear" w:color="auto" w:fill="FFFFFF"/>
        </w:rPr>
        <w:t>万元。其中：</w:t>
      </w:r>
    </w:p>
    <w:p w14:paraId="4B60F13A">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人员经费230.80万元，与2023年度相比，增加49.03万元，增长27.0%，主要原因是相比上年人员增加</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名，</w:t>
      </w:r>
      <w:r>
        <w:rPr>
          <w:rFonts w:hint="default" w:ascii="Times New Roman" w:hAnsi="Times New Roman" w:eastAsia="方正仿宋_GBK" w:cs="Times New Roman"/>
          <w:sz w:val="32"/>
          <w:szCs w:val="32"/>
          <w:shd w:val="clear" w:color="auto" w:fill="FFFFFF"/>
          <w:lang w:val="en-US" w:eastAsia="zh-CN"/>
        </w:rPr>
        <w:t>事业人员养老保险和职业年金补缴等</w:t>
      </w:r>
      <w:r>
        <w:rPr>
          <w:rFonts w:hint="default" w:ascii="Times New Roman" w:hAnsi="Times New Roman" w:eastAsia="方正仿宋_GBK" w:cs="Times New Roman"/>
          <w:sz w:val="32"/>
          <w:szCs w:val="32"/>
          <w:shd w:val="clear" w:color="auto" w:fill="FFFFFF"/>
        </w:rPr>
        <w:t>工资和福利支出增加。人员经费用途主要</w:t>
      </w:r>
      <w:r>
        <w:rPr>
          <w:rFonts w:hint="default" w:ascii="Times New Roman" w:hAnsi="Times New Roman" w:eastAsia="方正仿宋_GBK" w:cs="Times New Roman"/>
          <w:sz w:val="32"/>
        </w:rPr>
        <w:t>用于包括保障在职人员工资福利及社会保险缴费，离休人员离休费，退休人员补助等</w:t>
      </w:r>
      <w:r>
        <w:rPr>
          <w:rFonts w:hint="default" w:ascii="Times New Roman" w:hAnsi="Times New Roman" w:eastAsia="方正仿宋_GBK" w:cs="Times New Roman"/>
          <w:sz w:val="32"/>
          <w:szCs w:val="32"/>
          <w:shd w:val="clear" w:color="auto" w:fill="FFFFFF"/>
        </w:rPr>
        <w:t>。</w:t>
      </w:r>
    </w:p>
    <w:p w14:paraId="5938FBE0">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公用经费19.20万元，与2023年度相比，增加7.39万元，增长62.6%，主要原因是</w:t>
      </w:r>
      <w:r>
        <w:rPr>
          <w:rFonts w:hint="default" w:ascii="Times New Roman" w:hAnsi="Times New Roman" w:eastAsia="方正仿宋_GBK" w:cs="Times New Roman"/>
          <w:sz w:val="32"/>
          <w:szCs w:val="32"/>
          <w:shd w:val="clear" w:color="auto" w:fill="FFFFFF"/>
          <w:lang w:val="en-US" w:eastAsia="zh-CN"/>
        </w:rPr>
        <w:t>上年度部分公用经费在本年支付。</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办公费、印刷费、咨询费、手续费、水电费、物业管理费、维修费、差旅费等</w:t>
      </w:r>
      <w:r>
        <w:rPr>
          <w:rFonts w:hint="default" w:ascii="Times New Roman" w:hAnsi="Times New Roman" w:eastAsia="方正仿宋_GBK" w:cs="Times New Roman"/>
          <w:sz w:val="32"/>
        </w:rPr>
        <w:t>保障单位正常运转的各项商品服务支出。</w:t>
      </w:r>
    </w:p>
    <w:p w14:paraId="304F6162">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4D2DF5ED">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年度无政府性基金预算财政拨款收支。</w:t>
      </w:r>
    </w:p>
    <w:p w14:paraId="2036BCB6">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37BB5D0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本单位202</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年度无国有资本经营预算财政拨款支出</w:t>
      </w:r>
    </w:p>
    <w:p w14:paraId="37128E33">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w:t>
      </w:r>
      <w:r>
        <w:rPr>
          <w:rStyle w:val="9"/>
          <w:rFonts w:hint="default" w:ascii="Times New Roman" w:hAnsi="Times New Roman" w:eastAsia="黑体" w:cs="Times New Roman"/>
          <w:sz w:val="32"/>
          <w:szCs w:val="32"/>
          <w:shd w:val="clear" w:color="auto" w:fill="FFFFFF"/>
          <w:lang w:eastAsia="zh-CN"/>
        </w:rPr>
        <w:t>财政拨款</w:t>
      </w:r>
      <w:r>
        <w:rPr>
          <w:rStyle w:val="9"/>
          <w:rFonts w:hint="eastAsia" w:ascii="Times New Roman" w:hAnsi="Times New Roman" w:eastAsia="黑体" w:cs="Times New Roman"/>
          <w:sz w:val="32"/>
          <w:szCs w:val="32"/>
          <w:shd w:val="clear" w:color="auto" w:fill="FFFFFF"/>
          <w:lang w:eastAsia="zh-CN"/>
        </w:rPr>
        <w:t>“</w:t>
      </w:r>
      <w:r>
        <w:rPr>
          <w:rStyle w:val="9"/>
          <w:rFonts w:hint="default" w:ascii="Times New Roman" w:hAnsi="Times New Roman" w:eastAsia="黑体" w:cs="Times New Roman"/>
          <w:sz w:val="32"/>
          <w:szCs w:val="32"/>
          <w:shd w:val="clear" w:color="auto" w:fill="FFFFFF"/>
        </w:rPr>
        <w:t>三公</w:t>
      </w:r>
      <w:r>
        <w:rPr>
          <w:rStyle w:val="9"/>
          <w:rFonts w:hint="eastAsia" w:ascii="Times New Roman" w:hAnsi="Times New Roman" w:eastAsia="黑体" w:cs="Times New Roman"/>
          <w:sz w:val="32"/>
          <w:szCs w:val="32"/>
          <w:shd w:val="clear" w:color="auto" w:fill="FFFFFF"/>
          <w:lang w:eastAsia="zh-CN"/>
        </w:rPr>
        <w:t>”</w:t>
      </w:r>
      <w:r>
        <w:rPr>
          <w:rStyle w:val="9"/>
          <w:rFonts w:hint="default" w:ascii="Times New Roman" w:hAnsi="Times New Roman" w:eastAsia="黑体" w:cs="Times New Roman"/>
          <w:sz w:val="32"/>
          <w:szCs w:val="32"/>
          <w:shd w:val="clear" w:color="auto" w:fill="FFFFFF"/>
        </w:rPr>
        <w:t>经费情况说明</w:t>
      </w:r>
    </w:p>
    <w:p w14:paraId="0903B700">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14:paraId="32E703D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经费支出共计0.29万元，较年初预算数减少0.01万元，下降3.3%，主要原因是</w:t>
      </w:r>
      <w:r>
        <w:rPr>
          <w:rFonts w:hint="default" w:ascii="Times New Roman" w:hAnsi="Times New Roman" w:eastAsia="方正仿宋_GBK" w:cs="Times New Roman"/>
          <w:kern w:val="0"/>
          <w:sz w:val="32"/>
          <w:szCs w:val="32"/>
          <w:shd w:val="clear" w:color="auto" w:fill="FFFFFF"/>
        </w:rPr>
        <w:t>落实过紧日子要求，严格执行公务接待餐饮等经费标准</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控制接待费支出总额。</w:t>
      </w:r>
      <w:r>
        <w:rPr>
          <w:rFonts w:hint="default" w:ascii="Times New Roman" w:hAnsi="Times New Roman" w:eastAsia="方正仿宋_GBK" w:cs="Times New Roman"/>
          <w:sz w:val="32"/>
          <w:szCs w:val="32"/>
          <w:shd w:val="clear" w:color="auto" w:fill="FFFFFF"/>
        </w:rPr>
        <w:t>较上年支出数增加0.05万元，增长20.8%，主要原因是</w:t>
      </w:r>
      <w:r>
        <w:rPr>
          <w:rFonts w:hint="default" w:ascii="Times New Roman" w:hAnsi="Times New Roman" w:eastAsia="方正仿宋_GBK" w:cs="Times New Roman"/>
          <w:kern w:val="0"/>
          <w:sz w:val="32"/>
          <w:szCs w:val="32"/>
          <w:shd w:val="clear" w:color="auto" w:fill="FFFFFF"/>
        </w:rPr>
        <w:t>疫情限制因素解除，公务接待小幅度上升。</w:t>
      </w:r>
    </w:p>
    <w:p w14:paraId="5CFC3BF8">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14:paraId="5ACD95E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年初预计本年无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活动发生。</w:t>
      </w:r>
      <w:r>
        <w:rPr>
          <w:rFonts w:hint="default" w:ascii="Times New Roman" w:hAnsi="Times New Roman" w:eastAsia="方正仿宋_GBK" w:cs="Times New Roman"/>
          <w:sz w:val="32"/>
          <w:szCs w:val="32"/>
          <w:shd w:val="clear" w:color="auto" w:fill="FFFFFF"/>
        </w:rPr>
        <w:t>较上年支出数无增减，主要原因是上年与本年</w:t>
      </w:r>
      <w:r>
        <w:rPr>
          <w:rFonts w:hint="default" w:ascii="Times New Roman" w:hAnsi="Times New Roman" w:eastAsia="方正仿宋_GBK" w:cs="Times New Roman"/>
          <w:sz w:val="32"/>
          <w:szCs w:val="32"/>
          <w:shd w:val="clear" w:color="auto" w:fill="FFFFFF"/>
          <w:lang w:val="en-US" w:eastAsia="zh-CN"/>
        </w:rPr>
        <w:t>均未发生</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活动。</w:t>
      </w:r>
    </w:p>
    <w:p w14:paraId="1D9B5AD2">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kern w:val="0"/>
          <w:sz w:val="32"/>
          <w:szCs w:val="32"/>
          <w:shd w:val="clear" w:color="auto" w:fill="FFFFFF"/>
        </w:rPr>
        <w:t>未发生公务车购置支出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kern w:val="0"/>
          <w:sz w:val="32"/>
          <w:szCs w:val="32"/>
          <w:shd w:val="clear" w:color="auto" w:fill="FFFFFF"/>
        </w:rPr>
        <w:t>未发生公务车购置支出</w:t>
      </w:r>
      <w:r>
        <w:rPr>
          <w:rFonts w:hint="default" w:ascii="Times New Roman" w:hAnsi="Times New Roman" w:eastAsia="方正仿宋_GBK" w:cs="Times New Roman"/>
          <w:sz w:val="32"/>
          <w:szCs w:val="32"/>
          <w:shd w:val="clear" w:color="auto" w:fill="FFFFFF"/>
        </w:rPr>
        <w:t>。 </w:t>
      </w:r>
    </w:p>
    <w:p w14:paraId="1FBE6A7D">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万元，费用支出较年初预算数无增减，主要原因是单位无公务车。较上年支出数无增减，主要原因是单位无公务车。 </w:t>
      </w:r>
    </w:p>
    <w:p w14:paraId="08396BF1">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公务接待费0.29万元，主要用于接待市退役军人服务中心、市内其他区县退役军人事务局相关部门的业务检查与交流工作人员。费用支出较年初预算数减少0.01万元，下降3.3%，主要原因是</w:t>
      </w:r>
      <w:r>
        <w:rPr>
          <w:rFonts w:hint="default" w:ascii="Times New Roman" w:hAnsi="Times New Roman" w:eastAsia="方正仿宋_GBK" w:cs="Times New Roman"/>
          <w:kern w:val="0"/>
          <w:sz w:val="32"/>
          <w:szCs w:val="32"/>
          <w:shd w:val="clear" w:color="auto" w:fill="FFFFFF"/>
        </w:rPr>
        <w:t>落实过紧日子要求，严格执行公务接待餐饮等经费标准</w:t>
      </w:r>
      <w:r>
        <w:rPr>
          <w:rFonts w:hint="default" w:ascii="Times New Roman" w:hAnsi="Times New Roman" w:eastAsia="方正仿宋_GBK" w:cs="Times New Roman"/>
          <w:kern w:val="0"/>
          <w:sz w:val="32"/>
          <w:szCs w:val="32"/>
          <w:shd w:val="clear" w:color="auto" w:fill="FFFFFF"/>
          <w:lang w:eastAsia="zh-CN"/>
        </w:rPr>
        <w:t>，</w:t>
      </w:r>
      <w:r>
        <w:rPr>
          <w:rFonts w:hint="default" w:ascii="Times New Roman" w:hAnsi="Times New Roman" w:eastAsia="方正仿宋_GBK" w:cs="Times New Roman"/>
          <w:kern w:val="0"/>
          <w:sz w:val="32"/>
          <w:szCs w:val="32"/>
          <w:shd w:val="clear" w:color="auto" w:fill="FFFFFF"/>
        </w:rPr>
        <w:t>控制接待费支出总额。</w:t>
      </w:r>
      <w:r>
        <w:rPr>
          <w:rFonts w:hint="default" w:ascii="Times New Roman" w:hAnsi="Times New Roman" w:eastAsia="方正仿宋_GBK" w:cs="Times New Roman"/>
          <w:sz w:val="32"/>
          <w:szCs w:val="32"/>
          <w:shd w:val="clear" w:color="auto" w:fill="FFFFFF"/>
        </w:rPr>
        <w:t>较上年支出数</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0.05万元，增长20.8%，主要原因</w:t>
      </w:r>
      <w:r>
        <w:rPr>
          <w:rFonts w:hint="default" w:ascii="Times New Roman" w:hAnsi="Times New Roman" w:eastAsia="方正仿宋_GBK" w:cs="Times New Roman"/>
          <w:kern w:val="0"/>
          <w:sz w:val="32"/>
          <w:szCs w:val="32"/>
          <w:shd w:val="clear" w:color="auto" w:fill="FFFFFF"/>
          <w:lang w:val="en-US" w:eastAsia="zh-CN"/>
        </w:rPr>
        <w:t>本年度周边区县来我局交流考察人次增加</w:t>
      </w:r>
      <w:r>
        <w:rPr>
          <w:rFonts w:hint="eastAsia" w:ascii="Times New Roman" w:hAnsi="Times New Roman" w:eastAsia="方正仿宋_GBK" w:cs="Times New Roman"/>
          <w:kern w:val="0"/>
          <w:sz w:val="32"/>
          <w:szCs w:val="32"/>
          <w:shd w:val="clear" w:color="auto" w:fill="FFFFFF"/>
          <w:lang w:val="en-US" w:eastAsia="zh-CN"/>
        </w:rPr>
        <w:t>。</w:t>
      </w:r>
      <w:bookmarkStart w:id="0" w:name="_GoBack"/>
      <w:bookmarkEnd w:id="0"/>
    </w:p>
    <w:p w14:paraId="529B544F">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eastAsia"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14:paraId="25475889">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部门因公出国（境）共计0个团组，0人；公务用车购置0辆，公务车保有量为0辆；国内公务接待6批次40人，其中：国内外事接待0批次，0人；国（境）外公务接待0批次，0人。2024年本部门人均接待费73.15元，车均购置费0万元，车均维护费0万元。</w:t>
      </w:r>
    </w:p>
    <w:p w14:paraId="029D8C8B">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ind w:firstLine="643" w:firstLineChars="200"/>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14:paraId="658B03B2">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（一）财政拨款会议费、培训费和差旅费情况说明</w:t>
      </w:r>
    </w:p>
    <w:p w14:paraId="401DFAE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rPr>
        <w:t>  本年度会议费支出0.50万元，与2023年度相比，减少0.02万元，下降3.9%，主要原因是</w:t>
      </w:r>
      <w:r>
        <w:rPr>
          <w:rFonts w:hint="default" w:ascii="Times New Roman" w:hAnsi="Times New Roman" w:eastAsia="方正仿宋_GBK" w:cs="Times New Roman"/>
          <w:sz w:val="32"/>
          <w:szCs w:val="32"/>
          <w:shd w:val="clear" w:color="auto" w:fill="FFFFFF"/>
          <w:lang w:val="en-US" w:eastAsia="zh-CN"/>
        </w:rPr>
        <w:t>根据过紧日子要求，压减会议支出。</w:t>
      </w:r>
      <w:r>
        <w:rPr>
          <w:rFonts w:hint="default" w:ascii="Times New Roman" w:hAnsi="Times New Roman" w:eastAsia="方正仿宋_GBK" w:cs="Times New Roman"/>
          <w:sz w:val="32"/>
          <w:szCs w:val="32"/>
          <w:shd w:val="clear" w:color="auto" w:fill="FFFFFF"/>
        </w:rPr>
        <w:t>本年度培训费支出0.00万元，与2023年度相比，无变化，主要原因是今年无培训需求。本年度差旅费支出2.56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与2023年度相比，增加0.63万元，增长32.6%，主要原因是</w:t>
      </w:r>
      <w:r>
        <w:rPr>
          <w:rFonts w:hint="default" w:ascii="Times New Roman" w:hAnsi="Times New Roman" w:eastAsia="方正仿宋_GBK" w:cs="Times New Roman"/>
          <w:sz w:val="32"/>
          <w:szCs w:val="32"/>
          <w:shd w:val="clear" w:color="auto" w:fill="FFFFFF"/>
          <w:lang w:val="en-US" w:eastAsia="zh-CN"/>
        </w:rPr>
        <w:t>市局汇报工作和业务培训差旅活动增加。</w:t>
      </w:r>
    </w:p>
    <w:p w14:paraId="19626EF9">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501A0D6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18B57274">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06576DAC">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3E9F7DB">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98596E4">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14:paraId="6F14E565">
      <w:pPr>
        <w:pStyle w:val="6"/>
        <w:keepNext w:val="0"/>
        <w:keepLines w:val="0"/>
        <w:pageBreakBefore w:val="0"/>
        <w:numPr>
          <w:ilvl w:val="0"/>
          <w:numId w:val="1"/>
        </w:numPr>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lang w:val="en-US" w:eastAsia="zh-CN"/>
        </w:rPr>
        <w:t>2024年</w:t>
      </w:r>
      <w:r>
        <w:rPr>
          <w:rStyle w:val="9"/>
          <w:rFonts w:hint="default" w:ascii="Times New Roman" w:hAnsi="Times New Roman" w:eastAsia="黑体" w:cs="Times New Roman"/>
          <w:sz w:val="32"/>
          <w:szCs w:val="32"/>
          <w:shd w:val="clear" w:color="auto" w:fill="FFFFFF"/>
        </w:rPr>
        <w:t>预算绩效管理情况说明</w:t>
      </w:r>
    </w:p>
    <w:p w14:paraId="7DEE2FDD">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09C47B3A">
      <w:pPr>
        <w:pStyle w:val="6"/>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年度我单位无项目支出。</w:t>
      </w:r>
    </w:p>
    <w:p w14:paraId="5454DEDD">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22953FDD">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59A3CBC1">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451DB100">
      <w:pPr>
        <w:pStyle w:val="10"/>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县</w:t>
      </w:r>
      <w:r>
        <w:rPr>
          <w:rFonts w:hint="default" w:ascii="Times New Roman" w:hAnsi="Times New Roman" w:eastAsia="方正仿宋_GBK" w:cs="Times New Roman"/>
          <w:sz w:val="32"/>
          <w:szCs w:val="32"/>
          <w:shd w:val="clear" w:color="auto" w:fill="FFFFFF"/>
        </w:rPr>
        <w:t>财政局未委托第三方对我单位开展绩效评价。</w:t>
      </w:r>
    </w:p>
    <w:p w14:paraId="3BB6BC4A">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方正仿宋_GBK" w:cs="Times New Roman"/>
          <w:sz w:val="32"/>
          <w:szCs w:val="32"/>
          <w:shd w:val="clear" w:color="auto" w:fill="FFFFFF"/>
          <w:lang w:val="en-US" w:eastAsia="zh-CN"/>
        </w:rPr>
        <w:t xml:space="preserve">  </w:t>
      </w:r>
      <w:r>
        <w:rPr>
          <w:rStyle w:val="9"/>
          <w:rFonts w:hint="default" w:ascii="Times New Roman" w:hAnsi="Times New Roman" w:eastAsia="黑体" w:cs="Times New Roman"/>
          <w:sz w:val="32"/>
          <w:szCs w:val="32"/>
          <w:shd w:val="clear" w:color="auto" w:fill="FFFFFF"/>
        </w:rPr>
        <w:t>六、专业名词解释</w:t>
      </w:r>
    </w:p>
    <w:p w14:paraId="21C944E3">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rPr>
        <w:t> </w:t>
      </w:r>
      <w:r>
        <w:rPr>
          <w:rFonts w:hint="default" w:ascii="Times New Roman" w:hAnsi="Times New Roman" w:eastAsia="楷体" w:cs="Times New Roman"/>
          <w:b/>
          <w:bCs/>
          <w:kern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C897A6F">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29D9DF74">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6082ADE">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eastAsia"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r>
        <w:rPr>
          <w:rFonts w:hint="eastAsia" w:ascii="Times New Roman" w:hAnsi="Times New Roman" w:eastAsia="方正仿宋_GBK" w:cs="Times New Roman"/>
          <w:sz w:val="32"/>
          <w:szCs w:val="32"/>
          <w:shd w:val="clear" w:color="auto" w:fill="FFFFFF"/>
          <w:lang w:eastAsia="zh-CN"/>
        </w:rPr>
        <w:t>“”</w:t>
      </w:r>
    </w:p>
    <w:p w14:paraId="164D4E8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184D1749">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18D1E3B">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35FC2EA1">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1E1610E5">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2B12AFD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6E4687F">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B92B131">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（十二）</w:t>
      </w:r>
      <w:r>
        <w:rPr>
          <w:rStyle w:val="9"/>
          <w:rFonts w:hint="eastAsia" w:ascii="Times New Roman" w:hAnsi="Times New Roman" w:eastAsia="楷体" w:cs="Times New Roman"/>
          <w:sz w:val="32"/>
          <w:szCs w:val="32"/>
          <w:shd w:val="clear" w:color="auto" w:fill="FFFFFF"/>
          <w:lang w:eastAsia="zh-CN"/>
        </w:rPr>
        <w:t>“</w:t>
      </w:r>
      <w:r>
        <w:rPr>
          <w:rStyle w:val="9"/>
          <w:rFonts w:hint="default" w:ascii="Times New Roman" w:hAnsi="Times New Roman" w:eastAsia="楷体" w:cs="Times New Roman"/>
          <w:sz w:val="32"/>
          <w:szCs w:val="32"/>
          <w:shd w:val="clear" w:color="auto" w:fill="FFFFFF"/>
        </w:rPr>
        <w:t>三公</w:t>
      </w:r>
      <w:r>
        <w:rPr>
          <w:rStyle w:val="9"/>
          <w:rFonts w:hint="eastAsia" w:ascii="Times New Roman" w:hAnsi="Times New Roman" w:eastAsia="楷体" w:cs="Times New Roman"/>
          <w:sz w:val="32"/>
          <w:szCs w:val="32"/>
          <w:shd w:val="clear" w:color="auto" w:fill="FFFFFF"/>
          <w:lang w:eastAsia="zh-CN"/>
        </w:rPr>
        <w:t>”</w:t>
      </w:r>
      <w:r>
        <w:rPr>
          <w:rStyle w:val="9"/>
          <w:rFonts w:hint="default" w:ascii="Times New Roman" w:hAnsi="Times New Roman" w:eastAsia="楷体" w:cs="Times New Roman"/>
          <w:sz w:val="32"/>
          <w:szCs w:val="32"/>
          <w:shd w:val="clear" w:color="auto" w:fill="FFFFFF"/>
        </w:rPr>
        <w:t>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88112E">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EA43A0">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197A5BE">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A6A73B6">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7BB75868">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w:t>
      </w:r>
      <w:r>
        <w:rPr>
          <w:rStyle w:val="9"/>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02E7A13">
      <w:pPr>
        <w:pStyle w:val="6"/>
        <w:keepNext w:val="0"/>
        <w:keepLines w:val="0"/>
        <w:pageBreakBefore w:val="0"/>
        <w:shd w:val="clear" w:color="auto" w:fill="FFFFFF"/>
        <w:kinsoku/>
        <w:wordWrap/>
        <w:overflowPunct/>
        <w:topLinePunct w:val="0"/>
        <w:autoSpaceDN/>
        <w:bidi w:val="0"/>
        <w:adjustRightInd/>
        <w:spacing w:beforeAutospacing="0" w:after="0" w:afterAutospacing="0" w:line="560" w:lineRule="exact"/>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七、决算公开联系方式及信息反馈渠道</w:t>
      </w:r>
    </w:p>
    <w:p w14:paraId="40E02AFD">
      <w:pPr>
        <w:keepNext w:val="0"/>
        <w:keepLines w:val="0"/>
        <w:pageBreakBefore w:val="0"/>
        <w:kinsoku/>
        <w:wordWrap/>
        <w:overflowPunct/>
        <w:topLinePunct w:val="0"/>
        <w:autoSpaceDN/>
        <w:bidi w:val="0"/>
        <w:adjustRightInd/>
        <w:spacing w:beforeAutospacing="0" w:afterAutospacing="0" w:line="560" w:lineRule="exac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14:paraId="017B03B0">
      <w:pPr>
        <w:keepNext w:val="0"/>
        <w:keepLines w:val="0"/>
        <w:pageBreakBefore w:val="0"/>
        <w:kinsoku/>
        <w:wordWrap/>
        <w:overflowPunct/>
        <w:topLinePunct w:val="0"/>
        <w:autoSpaceDN/>
        <w:bidi w:val="0"/>
        <w:adjustRightInd/>
        <w:spacing w:beforeAutospacing="0" w:afterAutospacing="0" w:line="560" w:lineRule="exact"/>
        <w:ind w:firstLine="960" w:firstLineChars="3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 xml:space="preserve">孙德丽     </w:t>
      </w:r>
      <w:r>
        <w:rPr>
          <w:rFonts w:hint="default" w:ascii="Times New Roman" w:hAnsi="Times New Roman" w:eastAsia="方正仿宋_GBK" w:cs="Times New Roman"/>
          <w:sz w:val="32"/>
          <w:szCs w:val="32"/>
          <w:shd w:val="clear" w:color="auto" w:fill="FFFFFF"/>
        </w:rPr>
        <w:t>023-75</w:t>
      </w:r>
      <w:r>
        <w:rPr>
          <w:rFonts w:hint="default" w:ascii="Times New Roman" w:hAnsi="Times New Roman" w:eastAsia="方正仿宋_GBK" w:cs="Times New Roman"/>
          <w:sz w:val="32"/>
          <w:szCs w:val="32"/>
          <w:shd w:val="clear" w:color="auto" w:fill="FFFFFF"/>
          <w:lang w:val="en-US" w:eastAsia="zh-CN"/>
        </w:rPr>
        <w:t>676655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1NWFmOGVmYTE5YzFkNTgxMjFkOTE2MzJkYzc4ZDQifQ=="/>
  </w:docVars>
  <w:rsids>
    <w:rsidRoot w:val="00E3042E"/>
    <w:rsid w:val="00584FB7"/>
    <w:rsid w:val="007E4CA5"/>
    <w:rsid w:val="009358B3"/>
    <w:rsid w:val="009F61A0"/>
    <w:rsid w:val="00A7027C"/>
    <w:rsid w:val="00A96BA0"/>
    <w:rsid w:val="00BC57CD"/>
    <w:rsid w:val="00BD0286"/>
    <w:rsid w:val="00E0770D"/>
    <w:rsid w:val="00E3042E"/>
    <w:rsid w:val="01AC5842"/>
    <w:rsid w:val="01CF1530"/>
    <w:rsid w:val="01FA5486"/>
    <w:rsid w:val="01FE4D7F"/>
    <w:rsid w:val="02532161"/>
    <w:rsid w:val="02753E85"/>
    <w:rsid w:val="029702A0"/>
    <w:rsid w:val="02B56978"/>
    <w:rsid w:val="03E2379C"/>
    <w:rsid w:val="03E80368"/>
    <w:rsid w:val="04406715"/>
    <w:rsid w:val="04B36EE7"/>
    <w:rsid w:val="04C25116"/>
    <w:rsid w:val="04E43544"/>
    <w:rsid w:val="04E5321D"/>
    <w:rsid w:val="05C56ED2"/>
    <w:rsid w:val="05EA4B8A"/>
    <w:rsid w:val="064D2FF2"/>
    <w:rsid w:val="073F2CB4"/>
    <w:rsid w:val="0764271A"/>
    <w:rsid w:val="076745CB"/>
    <w:rsid w:val="07F910B5"/>
    <w:rsid w:val="07FC5D50"/>
    <w:rsid w:val="0847753D"/>
    <w:rsid w:val="084C38DA"/>
    <w:rsid w:val="09086B6E"/>
    <w:rsid w:val="0A3E373D"/>
    <w:rsid w:val="0AB21F41"/>
    <w:rsid w:val="0B082A4D"/>
    <w:rsid w:val="0B3B060A"/>
    <w:rsid w:val="0B3D39AE"/>
    <w:rsid w:val="0C5745FC"/>
    <w:rsid w:val="0D2070E4"/>
    <w:rsid w:val="0DD04666"/>
    <w:rsid w:val="0DE819AF"/>
    <w:rsid w:val="0E691DE3"/>
    <w:rsid w:val="0EC341CA"/>
    <w:rsid w:val="0ED9579C"/>
    <w:rsid w:val="0F753717"/>
    <w:rsid w:val="0FF665BB"/>
    <w:rsid w:val="102E5BA3"/>
    <w:rsid w:val="10362B27"/>
    <w:rsid w:val="10A818CA"/>
    <w:rsid w:val="10FA215B"/>
    <w:rsid w:val="117A14B8"/>
    <w:rsid w:val="11804A64"/>
    <w:rsid w:val="1356560D"/>
    <w:rsid w:val="13B66651"/>
    <w:rsid w:val="1405166A"/>
    <w:rsid w:val="14261483"/>
    <w:rsid w:val="14375228"/>
    <w:rsid w:val="14885C9A"/>
    <w:rsid w:val="149F4D92"/>
    <w:rsid w:val="14D233B9"/>
    <w:rsid w:val="151C7951"/>
    <w:rsid w:val="155344FA"/>
    <w:rsid w:val="158F4E06"/>
    <w:rsid w:val="15981F0D"/>
    <w:rsid w:val="15B71890"/>
    <w:rsid w:val="15BB3E4D"/>
    <w:rsid w:val="16702E8A"/>
    <w:rsid w:val="16ED0036"/>
    <w:rsid w:val="16F7322A"/>
    <w:rsid w:val="176C3A26"/>
    <w:rsid w:val="18510A99"/>
    <w:rsid w:val="186270E4"/>
    <w:rsid w:val="188744BB"/>
    <w:rsid w:val="18BF244C"/>
    <w:rsid w:val="18DC5762"/>
    <w:rsid w:val="18ED2570"/>
    <w:rsid w:val="19CD19CF"/>
    <w:rsid w:val="1AE9320B"/>
    <w:rsid w:val="1B063DBD"/>
    <w:rsid w:val="1C9A47BD"/>
    <w:rsid w:val="1D1D719C"/>
    <w:rsid w:val="1D2B18B9"/>
    <w:rsid w:val="1D352737"/>
    <w:rsid w:val="1DC67833"/>
    <w:rsid w:val="1E322697"/>
    <w:rsid w:val="1E4C0981"/>
    <w:rsid w:val="1EAE1C1A"/>
    <w:rsid w:val="1F721A21"/>
    <w:rsid w:val="1FF02946"/>
    <w:rsid w:val="208A54F8"/>
    <w:rsid w:val="211A5ECC"/>
    <w:rsid w:val="21445E15"/>
    <w:rsid w:val="21674D4B"/>
    <w:rsid w:val="21CB18BC"/>
    <w:rsid w:val="223631D9"/>
    <w:rsid w:val="227710FC"/>
    <w:rsid w:val="22795622"/>
    <w:rsid w:val="22AE0FC2"/>
    <w:rsid w:val="23283CBE"/>
    <w:rsid w:val="239F6B5C"/>
    <w:rsid w:val="23AB3BDD"/>
    <w:rsid w:val="23BC14BC"/>
    <w:rsid w:val="23C91E2B"/>
    <w:rsid w:val="242B52FC"/>
    <w:rsid w:val="242D25B0"/>
    <w:rsid w:val="246E3AC2"/>
    <w:rsid w:val="248D27F1"/>
    <w:rsid w:val="25873C6B"/>
    <w:rsid w:val="26CA499B"/>
    <w:rsid w:val="27AE55C0"/>
    <w:rsid w:val="2816386E"/>
    <w:rsid w:val="28342DFD"/>
    <w:rsid w:val="285C14C0"/>
    <w:rsid w:val="289522DC"/>
    <w:rsid w:val="296E4FFC"/>
    <w:rsid w:val="29712D49"/>
    <w:rsid w:val="298C17A6"/>
    <w:rsid w:val="29C560F4"/>
    <w:rsid w:val="29FC3C6E"/>
    <w:rsid w:val="2A021BF3"/>
    <w:rsid w:val="2A135BAE"/>
    <w:rsid w:val="2A506E02"/>
    <w:rsid w:val="2A544E00"/>
    <w:rsid w:val="2A637BB6"/>
    <w:rsid w:val="2A685EFA"/>
    <w:rsid w:val="2A834AE2"/>
    <w:rsid w:val="2AF13A87"/>
    <w:rsid w:val="2B08186C"/>
    <w:rsid w:val="2B6F73AF"/>
    <w:rsid w:val="2BB16143"/>
    <w:rsid w:val="2BDB094E"/>
    <w:rsid w:val="2C0025FA"/>
    <w:rsid w:val="2C4466F9"/>
    <w:rsid w:val="2C6426F1"/>
    <w:rsid w:val="2D8D7A26"/>
    <w:rsid w:val="2DA07759"/>
    <w:rsid w:val="2DAC5BF8"/>
    <w:rsid w:val="2E4E3659"/>
    <w:rsid w:val="2E4F0549"/>
    <w:rsid w:val="2E755089"/>
    <w:rsid w:val="2E884DBD"/>
    <w:rsid w:val="2EDD678B"/>
    <w:rsid w:val="2F8B728D"/>
    <w:rsid w:val="2FC75471"/>
    <w:rsid w:val="2FF7387C"/>
    <w:rsid w:val="307153DD"/>
    <w:rsid w:val="30916DCB"/>
    <w:rsid w:val="30BA7E7B"/>
    <w:rsid w:val="30ED7159"/>
    <w:rsid w:val="31126BC0"/>
    <w:rsid w:val="31772EC7"/>
    <w:rsid w:val="31A23F39"/>
    <w:rsid w:val="31D16A7B"/>
    <w:rsid w:val="32126C92"/>
    <w:rsid w:val="321A7A9C"/>
    <w:rsid w:val="32451FDE"/>
    <w:rsid w:val="32621481"/>
    <w:rsid w:val="32701D7C"/>
    <w:rsid w:val="33386686"/>
    <w:rsid w:val="33631954"/>
    <w:rsid w:val="33941B0E"/>
    <w:rsid w:val="33A663C1"/>
    <w:rsid w:val="346F4329"/>
    <w:rsid w:val="3578720D"/>
    <w:rsid w:val="35A20544"/>
    <w:rsid w:val="35C00993"/>
    <w:rsid w:val="35E6686D"/>
    <w:rsid w:val="36213401"/>
    <w:rsid w:val="36230EE9"/>
    <w:rsid w:val="36914A2B"/>
    <w:rsid w:val="36E42DAC"/>
    <w:rsid w:val="36EE7787"/>
    <w:rsid w:val="37895702"/>
    <w:rsid w:val="37DC7264"/>
    <w:rsid w:val="38C373B8"/>
    <w:rsid w:val="38FF763A"/>
    <w:rsid w:val="391229DA"/>
    <w:rsid w:val="399035CA"/>
    <w:rsid w:val="39CE1AF2"/>
    <w:rsid w:val="39DF785B"/>
    <w:rsid w:val="3A202852"/>
    <w:rsid w:val="3A2D2A35"/>
    <w:rsid w:val="3B091033"/>
    <w:rsid w:val="3B165046"/>
    <w:rsid w:val="3B392F9B"/>
    <w:rsid w:val="3B7F473A"/>
    <w:rsid w:val="3B934DA1"/>
    <w:rsid w:val="3C0D6901"/>
    <w:rsid w:val="3DBA6615"/>
    <w:rsid w:val="3DFF7B39"/>
    <w:rsid w:val="3EAC15CA"/>
    <w:rsid w:val="3EF7239A"/>
    <w:rsid w:val="3F3A6216"/>
    <w:rsid w:val="3FB53538"/>
    <w:rsid w:val="40533034"/>
    <w:rsid w:val="40B27A75"/>
    <w:rsid w:val="40C902B3"/>
    <w:rsid w:val="40DE086C"/>
    <w:rsid w:val="411424E0"/>
    <w:rsid w:val="412A1D04"/>
    <w:rsid w:val="419B32E1"/>
    <w:rsid w:val="42B86370"/>
    <w:rsid w:val="43100A85"/>
    <w:rsid w:val="43397FDC"/>
    <w:rsid w:val="43664B49"/>
    <w:rsid w:val="453C389E"/>
    <w:rsid w:val="45D16BF2"/>
    <w:rsid w:val="460D6F5B"/>
    <w:rsid w:val="461B2DDC"/>
    <w:rsid w:val="467908C2"/>
    <w:rsid w:val="474E6020"/>
    <w:rsid w:val="483D231C"/>
    <w:rsid w:val="48943F06"/>
    <w:rsid w:val="48B76708"/>
    <w:rsid w:val="49C820BA"/>
    <w:rsid w:val="4B842010"/>
    <w:rsid w:val="4C0849EF"/>
    <w:rsid w:val="4C910E89"/>
    <w:rsid w:val="4CA706AC"/>
    <w:rsid w:val="4CB54D28"/>
    <w:rsid w:val="4D500C0F"/>
    <w:rsid w:val="4D5B6F58"/>
    <w:rsid w:val="4D9E2719"/>
    <w:rsid w:val="4DF40F90"/>
    <w:rsid w:val="4E086F29"/>
    <w:rsid w:val="4E281379"/>
    <w:rsid w:val="4E3C3076"/>
    <w:rsid w:val="4F610BB9"/>
    <w:rsid w:val="4FE90184"/>
    <w:rsid w:val="50252421"/>
    <w:rsid w:val="50990622"/>
    <w:rsid w:val="509C7DFC"/>
    <w:rsid w:val="51402E7D"/>
    <w:rsid w:val="51874940"/>
    <w:rsid w:val="51E732F9"/>
    <w:rsid w:val="527C7EE5"/>
    <w:rsid w:val="5288688A"/>
    <w:rsid w:val="539A6875"/>
    <w:rsid w:val="53B12E2F"/>
    <w:rsid w:val="54330A77"/>
    <w:rsid w:val="54EB4EAE"/>
    <w:rsid w:val="551074B2"/>
    <w:rsid w:val="560B1CAC"/>
    <w:rsid w:val="56815ACA"/>
    <w:rsid w:val="579F6DCF"/>
    <w:rsid w:val="57E3666D"/>
    <w:rsid w:val="57FA642C"/>
    <w:rsid w:val="58F22CAF"/>
    <w:rsid w:val="59282B75"/>
    <w:rsid w:val="5A647CBE"/>
    <w:rsid w:val="5A706581"/>
    <w:rsid w:val="5A9D4E9D"/>
    <w:rsid w:val="5AFB0F20"/>
    <w:rsid w:val="5B106EAE"/>
    <w:rsid w:val="5B463D7C"/>
    <w:rsid w:val="5B5B1114"/>
    <w:rsid w:val="5BC76675"/>
    <w:rsid w:val="5C9F37A0"/>
    <w:rsid w:val="5CA00C74"/>
    <w:rsid w:val="5D327B1E"/>
    <w:rsid w:val="5D5850AB"/>
    <w:rsid w:val="5D633BC6"/>
    <w:rsid w:val="5D731E97"/>
    <w:rsid w:val="5D916C44"/>
    <w:rsid w:val="5E4129DB"/>
    <w:rsid w:val="5E7E075D"/>
    <w:rsid w:val="5EBA309B"/>
    <w:rsid w:val="5F341B4E"/>
    <w:rsid w:val="5F833103"/>
    <w:rsid w:val="5F89254F"/>
    <w:rsid w:val="60057C38"/>
    <w:rsid w:val="606F2B63"/>
    <w:rsid w:val="606F4BE5"/>
    <w:rsid w:val="607C109C"/>
    <w:rsid w:val="6094289E"/>
    <w:rsid w:val="60FC0FD2"/>
    <w:rsid w:val="618648DC"/>
    <w:rsid w:val="61903065"/>
    <w:rsid w:val="61F117CE"/>
    <w:rsid w:val="629D3C8C"/>
    <w:rsid w:val="62C566D9"/>
    <w:rsid w:val="62D358FF"/>
    <w:rsid w:val="63784E0F"/>
    <w:rsid w:val="638B70B3"/>
    <w:rsid w:val="63F0428F"/>
    <w:rsid w:val="640A35A3"/>
    <w:rsid w:val="640D6BEF"/>
    <w:rsid w:val="64234664"/>
    <w:rsid w:val="64501403"/>
    <w:rsid w:val="64554E95"/>
    <w:rsid w:val="64A93B68"/>
    <w:rsid w:val="64B66E59"/>
    <w:rsid w:val="64B96D77"/>
    <w:rsid w:val="64EC0EFA"/>
    <w:rsid w:val="65931376"/>
    <w:rsid w:val="65C608A9"/>
    <w:rsid w:val="66485DC8"/>
    <w:rsid w:val="66636F9A"/>
    <w:rsid w:val="6763189A"/>
    <w:rsid w:val="676A5AB4"/>
    <w:rsid w:val="68447EF6"/>
    <w:rsid w:val="68896A60"/>
    <w:rsid w:val="68A87665"/>
    <w:rsid w:val="68CD426B"/>
    <w:rsid w:val="68F62348"/>
    <w:rsid w:val="69175381"/>
    <w:rsid w:val="69B11EA4"/>
    <w:rsid w:val="69CA10DE"/>
    <w:rsid w:val="69E55F18"/>
    <w:rsid w:val="6B19015F"/>
    <w:rsid w:val="6B81545C"/>
    <w:rsid w:val="6BB4591A"/>
    <w:rsid w:val="6C480DB1"/>
    <w:rsid w:val="6D0843F7"/>
    <w:rsid w:val="6DA700B4"/>
    <w:rsid w:val="6DB3694A"/>
    <w:rsid w:val="6DB66549"/>
    <w:rsid w:val="6EE53863"/>
    <w:rsid w:val="6EE964AB"/>
    <w:rsid w:val="6F993A2D"/>
    <w:rsid w:val="6FA56F75"/>
    <w:rsid w:val="6FEA3DF2"/>
    <w:rsid w:val="70D171F6"/>
    <w:rsid w:val="716C2D50"/>
    <w:rsid w:val="72005FE5"/>
    <w:rsid w:val="72A050D2"/>
    <w:rsid w:val="72B27B5F"/>
    <w:rsid w:val="72C2329A"/>
    <w:rsid w:val="730A4314"/>
    <w:rsid w:val="734B0FCB"/>
    <w:rsid w:val="73A10D3C"/>
    <w:rsid w:val="73FF54A3"/>
    <w:rsid w:val="748A7DE8"/>
    <w:rsid w:val="74B17A6A"/>
    <w:rsid w:val="74D8394A"/>
    <w:rsid w:val="75022074"/>
    <w:rsid w:val="75032717"/>
    <w:rsid w:val="751C1388"/>
    <w:rsid w:val="75600BEA"/>
    <w:rsid w:val="757034E5"/>
    <w:rsid w:val="75E1612D"/>
    <w:rsid w:val="764B2C0D"/>
    <w:rsid w:val="7682346D"/>
    <w:rsid w:val="774E6DDA"/>
    <w:rsid w:val="776E5FF7"/>
    <w:rsid w:val="778B4A79"/>
    <w:rsid w:val="77AE3DED"/>
    <w:rsid w:val="77E85551"/>
    <w:rsid w:val="783E33C3"/>
    <w:rsid w:val="78915BE9"/>
    <w:rsid w:val="79725A1A"/>
    <w:rsid w:val="7A014890"/>
    <w:rsid w:val="7A1D3C4A"/>
    <w:rsid w:val="7A74131E"/>
    <w:rsid w:val="7A9032B8"/>
    <w:rsid w:val="7B555980"/>
    <w:rsid w:val="7BA7127F"/>
    <w:rsid w:val="7C662EE9"/>
    <w:rsid w:val="7CF16C56"/>
    <w:rsid w:val="7D965A4F"/>
    <w:rsid w:val="7DC12ACC"/>
    <w:rsid w:val="7E3F2ED6"/>
    <w:rsid w:val="7E58763C"/>
    <w:rsid w:val="7E747B3F"/>
    <w:rsid w:val="7EB20667"/>
    <w:rsid w:val="7EB603C2"/>
    <w:rsid w:val="7EFF7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3">
    <w:name w:val="18"/>
    <w:qFormat/>
    <w:uiPriority w:val="0"/>
    <w:rPr>
      <w:rFonts w:hint="default" w:ascii="Times New Roman" w:hAnsi="Times New Roman" w:cs="Times New Roman"/>
      <w:b/>
    </w:rPr>
  </w:style>
  <w:style w:type="character" w:customStyle="1" w:styleId="14">
    <w:name w:val="页眉 Char"/>
    <w:basedOn w:val="8"/>
    <w:link w:val="4"/>
    <w:qFormat/>
    <w:uiPriority w:val="0"/>
    <w:rPr>
      <w:kern w:val="2"/>
      <w:sz w:val="18"/>
      <w:szCs w:val="18"/>
    </w:rPr>
  </w:style>
  <w:style w:type="character" w:customStyle="1" w:styleId="15">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10</Pages>
  <Words>4673</Words>
  <Characters>5099</Characters>
  <Lines>36</Lines>
  <Paragraphs>10</Paragraphs>
  <TotalTime>0</TotalTime>
  <ScaleCrop>false</ScaleCrop>
  <LinksUpToDate>false</LinksUpToDate>
  <CharactersWithSpaces>5141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2024-09-12T02:27:00Z</dcterms:created>
  <dc:creator>Administrator</dc:creator>
  <cp:lastModifiedBy>阿毛</cp:lastModifiedBy>
  <dcterms:modified xsi:type="dcterms:W3CDTF">2025-09-25T07:59:49Z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F4F840919279481D9084646F49995838_12</vt:lpwstr>
  </property>
  <property fmtid="{D5CDD505-2E9C-101B-9397-08002B2CF9AE}" pid="4" name="KSOTemplateDocerSaveRecord">
    <vt:lpwstr>eyJoZGlkIjoiYzE1NWFmOGVmYTE5YzFkNTgxMjFkOTE2MzJkYzc4ZDQiLCJ1c2VySWQiOiI0MDcwMzY1OTMifQ==</vt:lpwstr>
  </property>
</Properties>
</file>