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酉阳土家族苗族自治县生态环境局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2022年法治政府建设情况报告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5"/>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2022年，我局坚持以习近平新时代中国特色社会主义思想为指导，全面贯彻习近平法治思想，优化生态环境保护执法方式，突出精准治污、科学治污、依法治污，助力打好污染防治攻坚战，推进我县生态环境质量持续改善，认真落实县委、县政府关于法治政府建设的工作部署，较好地完成了各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一、2022年工作成效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一）深入宣传学习贯彻习近平法治思想，牢固树立法治思维。我局高度重视政治理论、法律法规和方针政策的学习，把习近平法治思想和中央全面依法治国工作会议精神纳入党组理论学习中心组重点学习内容，将法治政府建设工作与业务工作同部署、同推进。加强对生态环境保护领域法律法规的学习，提高自觉运用法治思维和法治方式做好各项工作能力。积极开展环保法律法规宣传培训，通过举办专题讲座，“4.22”世界地球日、“5.12”防灾减灾日、“6.5世界环境日”等开展法律宣传，发放《环境保护法》《重庆市环境保护条例》等宣传资料2000余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党政主要负责人切实履行推进法治建设第一责任人职责。党组书记、局长积极履行推进法治建设第一责任人职责，充分发挥局党组在推进法治建设中的领导核心作用，对法治建设重要工作亲自部署、重大问题亲自过问、重点环节亲自协调、重要任务亲自督办。亲自部署2022年全县法治政府建设工作要点落地落实，研究推动中央依法治国办督察反馈意见涉及我局的整改任务落实，运用法治思维和法治方式确保法治建设工作见成效。</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打造一流法治化营商环境。全面推行包容审慎监管，优化营商环境，坚持严格执法与优化服务相结合、依法处罚与教育引导相结合，坚持过罚相当、宽严相济的处罚原则。将执法与普法、执法与服务相结合，建立监督执法正面清单，将16家企业纳入正面清单管理，对正面清单企业，通过各类生态环境管理数据、自行监测数据等手段开展非现场检查和巡查，及时听取企业诉求，梳理相关行业企业违法风险点，明确监管执法要求，帮助企业提升环境风险管理能力，落实企业守法主体责任。</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四）完善依法行政制度体系。一是坚持党对行政规范性文件制定工作的领导，明确责任分工及科室协同配合工作机制，落实1名法制审核人员，扎实推进规范性文件的合法性审查。二是严格落实《重庆市行政规范性文件管理办法》，按流程审查本局制定（草拟）规范性文件1件，开展清理环境保护领域的规范性文件工作2次，及时对以县政府名义印发生态环保类规范性文件提出清理或修改建议。</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五）加大重点领域执法力度。制定《酉阳自治县2022年生态环境执法现场检查计划》，开展大气、水、危险废物等方面的专项执法检查。一是针对“两江一河”（酉水河、阿蓬江、乌江）重点水域开展了为期半月的入河排污口排查，形成入河排污口排查清单。对关闭电解锰企业的尾矿库渗漏情况开展11次监督检查，开展污水处理设施专项检查39家次。二是开展餐饮油烟专项执法，出动400余人次，检查餐饮门面208家次，并有效整治流动饮食摊点200余次。检查涉VOCs工业涂装、包装印刷、家具制造、汽车维修等行业50余次，出动100余人次。检查搅拌站10家次，砂石加工场15家次，建筑工地10家次。三是为防止新冠肺炎疫情的传播，对全县66个医疗机构的医疗固废和医疗废水处置情况进行了严格执法检查，对2个医疗机构进行立案查处。2022年共立案查处环境违法案件8件，其中建设项目类4件，涉气2件、涉危废2件，下达处罚决定书8份，处罚金额35.33万元。</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六）推进依法行政，落实“双随机、一公开”监管。印发《进一步加强“双随机、一公开”监管工作实施方案》，明确日常监管以“双随机抽查”为主，建立“双随机”联合抽查对象信息库，与交通、住建、市场监管等部门开展城镇污水处理厂、轻重型汽车销售、环境监测机构、机动车维修企业联合抽查。2022年，全县共有11名执法人员、80家企业纳入</w:t>
      </w:r>
      <w:bookmarkStart w:id="0" w:name="_GoBack"/>
      <w:bookmarkEnd w:id="0"/>
      <w:r>
        <w:rPr>
          <w:rFonts w:hint="eastAsia" w:ascii="方正仿宋_GBK" w:hAnsi="方正仿宋_GBK" w:eastAsia="方正仿宋_GBK" w:cs="方正仿宋_GBK"/>
          <w:i w:val="0"/>
          <w:caps w:val="0"/>
          <w:color w:val="000000"/>
          <w:spacing w:val="0"/>
          <w:sz w:val="31"/>
          <w:szCs w:val="31"/>
        </w:rPr>
        <w:t>双随机执法对象信息库，共抽查企业51家次，利用移动执法系统开展执法任务158次。</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七）提升法律服务质效，妥善化解生态环境领域矛盾纠纷。制定和完善了信访工作程序、接待以及回访制度，坚持和发展新时代“枫桥经验”，加大初信初访办理力度，牢牢守住信访第一道关，严格落实首接首办责任，强化受理告知、办理沟通、办结回访相结合的工作机制，及时就地解决群众诉求、回应群众关切，进一步提高信访事项一次性解决率和群众满意率，避免产生重复信访事项。2022年以来，共受理各类信访投诉293件，已办结290件，无非正常上访、重复上访、集体上访，以及群体性事件的发生。</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二、存在的问题</w:t>
      </w:r>
    </w:p>
    <w:p>
      <w:pPr>
        <w:pStyle w:val="3"/>
        <w:keepNext w:val="0"/>
        <w:keepLines w:val="0"/>
        <w:widowControl/>
        <w:suppressLineNumbers w:val="0"/>
        <w:shd w:val="clear" w:fill="FFFFFF"/>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一）环境执法能力建设有差距。机构改革后，我局执法支队编制数由15人减为13人，实际执法人员11人，职责增加，人员与任务不匹配问题突出，加上我县面积大，中小企业多，企业主体责任落实不到位等因素，执法监管任务重。</w:t>
      </w:r>
    </w:p>
    <w:p>
      <w:pPr>
        <w:pStyle w:val="3"/>
        <w:keepNext w:val="0"/>
        <w:keepLines w:val="0"/>
        <w:widowControl/>
        <w:suppressLineNumbers w:val="0"/>
        <w:shd w:val="clear" w:fill="FFFFFF"/>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（二）依法行政能力和水平有待进一步提高。环境监管能力与经济社会发展要求不相适应的情况依然存在，执法队伍法律素养和依法行政水平有待提高。</w:t>
      </w:r>
    </w:p>
    <w:p>
      <w:pPr>
        <w:pStyle w:val="3"/>
        <w:keepNext w:val="0"/>
        <w:keepLines w:val="0"/>
        <w:widowControl/>
        <w:suppressLineNumbers w:val="0"/>
        <w:shd w:val="clear" w:fill="FFFFFF"/>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（三）企业自主意识需提高。部分企业自主发现问题的能力较低，需加强指导培训。</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三、2023年工作打算</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（一）严格依法行政。切实加强环境执法工作力度，坚决严厉打击各类环境违法行为，提升排污企业社会责任意识。</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（二）加强队伍业务培训。提升培训的针对性，提升行政处罚文书质量，继续大力开展执法大练兵活动，进一步提升执法队伍的业务技能和依法行政水平。</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三）持续开展专项执法检查。持续组织开展各项执法专项行动，巩固历年来各项执法专项整治行动成果，以补短板为目的，加强与相关部门的协调配合，加大现场环境执法和后续督查力度，督促问题整改，解决一批突出环境问题。</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四）切实做好信访和维稳工作。高度重视群众环境污染投诉工作，依法、及时解决各类环境信访问题，在做好日常矛盾纠纷化解工作的同时，加强对重点、难点类信访问题和群众反映强烈的环境问题的排查梳理，做到超前防范。</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（五）加大能力建设。用好用活“以奖促治”项目资金，不断改善执法监管条件。</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 ​</w:t>
      </w:r>
    </w:p>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                         酉阳土家族苗族自治县生态环境局</w:t>
      </w:r>
    </w:p>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                       2023年2月2日</w:t>
      </w:r>
    </w:p>
    <w:p>
      <w:pPr>
        <w:pStyle w:val="3"/>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(此件公开发布)</w:t>
      </w:r>
    </w:p>
    <w:p>
      <w:pPr>
        <w:pStyle w:val="3"/>
        <w:keepNext w:val="0"/>
        <w:keepLines w:val="0"/>
        <w:widowControl/>
        <w:suppressLineNumbers w:val="0"/>
        <w:bidi w:val="0"/>
        <w:spacing w:before="0" w:beforeAutospacing="0" w:after="0" w:afterAutospacing="0" w:line="435" w:lineRule="atLeast"/>
        <w:ind w:left="0" w:right="0" w:firstLine="480"/>
        <w:jc w:val="both"/>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22118"/>
    <w:rsid w:val="1ACD77C2"/>
    <w:rsid w:val="1D930070"/>
    <w:rsid w:val="371C5134"/>
    <w:rsid w:val="3AB6241D"/>
    <w:rsid w:val="41DE3159"/>
    <w:rsid w:val="51023931"/>
    <w:rsid w:val="54966D11"/>
    <w:rsid w:val="58974CA2"/>
    <w:rsid w:val="6A8C5298"/>
    <w:rsid w:val="761E0112"/>
    <w:rsid w:val="79AE4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2025-04-10T08:18:33Z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6DB452BA3C644A22AD8C7B7BD46AF4ED</vt:lpwstr>
  </property>
</Properties>
</file>