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酉阳土家族苗族自治县生态环境局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2022年法治政府建设情况报告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5"/>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2022年，我局坚持以习近平新时代中国特色社会主义思想为指导，全面贯彻习近平法治思想，优化生态环境保护执法方式，突出精准治污、科学治污、依法治污，助力打好污染防治攻坚战，推进我县生态环境质量持续改善，认真落实县委、县政府关于法治政府建设的工作部署，较好地完成了各项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一、2022年工作成效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深入宣传学习贯彻习近平法治思想，牢固树立法治思维。我局高度重视政治理论、法律法规和方针政策的学习，把习近平法治思想和中央全面依法治国工作会议精神纳入党组理论学习中心组重点学习内容，将法治政府建设工作与业务工作同部署、同推进。加强对生态环境保护领域法律法规的学习，提高自觉运用法治思维和法治方式做好各项工作能力。积极开展环保法律法规宣传培训，通过举办专题讲座，“4.22”世界地球日、“5.12”防灾减灾日、“6.5世界环境日”等开展法律宣传，发放《环境保护法》《重庆市环境保护条例》等宣传资料2000余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党政主要负责人切实履行推进法治建设第一责任人职责。党组书记、局长积极履行推进法治建设第一责任人职责，充分发挥局党组在推进法治建设中的领导核心作用，对法治建设重要工作亲自部署、重大问题亲自过问、重点环节亲自协调、重要任务亲自督办。亲自部署2022年全县法治政府建设工作要点落地落实，研究推动中央依法治国办督察反馈意见涉及我局的整改任务落实，运用法治思维和法治方式确保法治建设工作见成效。</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打造一流法治化营商环境。全面推行包容审慎监管，优化营商环境，坚持严格执法与优化服务相结合、依法处罚与教育引导相结合，坚持过罚相当、宽严相济的处罚原则。将执法与普法、执法与服务相结合，建立监督执法正面清单，将16家企业纳入正面清单管理，对正面清单企业，通过各类生态环境管理数据、自行监测数据等手段开展非现场检查和巡查，及时听取企业诉求，梳理相关行业企业违法风险点，明确监管执法要求，帮助企业提升环境风险管理能力，落实企业守法主体责任。</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四）完善依法行政制度体系。一是坚持党对行政规范性文件制定工作的领导，明确责任分工及科室协同配合工作机制，落实1名法制审核人员，扎实推进规范性文件的合法性审查。二是严格落实《重庆市行政规范性文件管理办法》，按流程审查本局制定（草拟）规范性文件1件，开展清理环境保护领域的规范性文件工作2次，及时对以县政府名义印发生态环保类规范性文件提出清理或修改建议。</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五）加大重点领域执法力度。制定《酉阳自治县2022年生态环境执法现场检查计划》，开展大气、水、危险废物等方面的专项执法检查。一是针对“两江一河”（酉水河、阿蓬江、乌江）重点水域开展了为期半月的入河排污口排查，形成入河排污口排查清单。对关闭电解锰企业的尾矿库渗漏情况开展11次监督检查，开展污水处理设施专项检查39家次。二是开展餐饮油烟专项执法，出动400余人次，检查餐饮门面208家次，并有效整治流动饮食摊点200余次。检查涉VOCs工业涂装、包装印刷、家具制造、汽车维修等行业50余次，出动100余人次。检查搅拌站10家次，砂石加工场15家次，建筑工地10家次。三是为防止新冠肺炎疫情的传播，对全县66个医疗机构的医疗固废和医疗废水处置情况进行了严格执法检查，对2个医疗机构进行立案查处。2022年共立案查处环境违法案件8件，其中建设项目类4件，涉气2件、涉危废2件，下达处罚决定书8份，处罚金额35.33万元。</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六）推进依法行政，落实双随机一公开监管。印发《进一步加强“双随机、一公开”监管工作实施方案》，明确日常监管以“双随机抽查”为主，建立“双随机”联合抽查对象信息库，与交通、住建、市场监管等部门开展城镇污水处理厂、轻重型汽车销售、环境监测机构、机动车维修企业联合抽查。2022年，全县共有11名执法人员、80家企业纳入双随机执法对象信息库，共抽查企业51家次，利用移动执法系统开展执法任务158次。</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七）提升法律服务质效，妥善化解生态环境领域矛盾纠纷。制定和完善了信访工作程序、接待以及回访制度，坚持和发展新时代“枫桥经验”，加大初信初访办理力度，牢牢守住信访第一道关，严格落实首接首办责任，强化受理告知、办理沟通、办结回访相结合的工作机制，及时就地解决群众诉求、回应群众关切，进一步提高信访事项一次性解决率和群众满意率，避免产生重复信访事项。2022年以来，共受理各类信访投诉293件，已办结290件，无非正常上访、重复上访、集体上访，以及群体性事件的发生。</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二、存在的问题</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一）环境执法能力建设有差距。机构改革后，我局执法支队编制数由15人减为13人，实际执法人员11人，职责增加，人员与任务不匹配问题突出，加上我县面积大，中小企业多，企业主体责任落实不到位等因素，执法监管任务重。</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（二）依法行政能力和水平有待进一步提高。环境监管能力与经济社会发展要求不相适应的情况依然存在，执法队伍法律素养和依法行政水平有待提高。</w:t>
      </w:r>
    </w:p>
    <w:p>
      <w:pPr>
        <w:pStyle w:val="3"/>
        <w:keepNext w:val="0"/>
        <w:keepLines w:val="0"/>
        <w:widowControl/>
        <w:suppressLineNumbers w:val="0"/>
        <w:shd w:val="clear" w:fill="FFFFFF"/>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（三）企业自主意识需提高。部分企业自主发现问题的能力较低，需加强指导培训。</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三、2023年工作打算</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（一）严格依法行政。切实加强环境执法工作力度，坚决严厉打击各类环境违法行为，提升排污企业社会责任意识。</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（二）加强队伍业务培训。提升培训的针对性，提升行政处罚文书质量，继续大力开展执法大练兵活动，进一步提升执法队伍的业务技能和依法行政水平。</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三）持续开展专项执法检查。持续组织开展各项执法专项行动，巩固历年来各项执法专项整治行动成果，以补短板为目的，加强与相关部门的协调配合，加大现场环境执法和后续督查力度，督促问题整改，解决一批突出环境问题。</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四）切实做好信访和维稳工作。高度重视群众环境污染投诉工作，依法、及时解决各类环境信访问题，在做好日常矛盾纠纷化解工作的同时，加强对重点、难点类信访问题和群众反映强烈的环境问题的排查梳理，做到超前防范。</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（五）加大能力建设。用好用活“以奖促治”项目资金，不断改善执法监管条件。</w:t>
      </w:r>
    </w:p>
    <w:p>
      <w:pPr>
        <w:pStyle w:val="3"/>
        <w:keepNext w:val="0"/>
        <w:keepLines w:val="0"/>
        <w:widowControl/>
        <w:suppressLineNumbers w:val="0"/>
        <w:shd w:val="clear" w:fill="FFFFFF"/>
        <w:spacing w:before="0" w:beforeAutospacing="0" w:after="0" w:afterAutospacing="0" w:line="600" w:lineRule="atLeast"/>
        <w:ind w:left="0" w:right="0" w:firstLine="645"/>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                         酉阳土家族苗族自治县生态环境局</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shd w:val="clear" w:fill="FFFFFF"/>
        </w:rPr>
        <w:t>                       2023年2月2日</w:t>
      </w:r>
    </w:p>
    <w:p>
      <w:pPr>
        <w:pStyle w:val="3"/>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(此件公开发布)</w:t>
      </w:r>
      <w:bookmarkStart w:id="0" w:name="_GoBack"/>
      <w:bookmarkEnd w:id="0"/>
    </w:p>
    <w:p>
      <w:pPr>
        <w:pStyle w:val="3"/>
        <w:keepNext w:val="0"/>
        <w:keepLines w:val="0"/>
        <w:widowControl/>
        <w:suppressLineNumbers w:val="0"/>
        <w:bidi w:val="0"/>
        <w:spacing w:before="0" w:beforeAutospacing="0" w:after="0" w:afterAutospacing="0" w:line="435" w:lineRule="atLeast"/>
        <w:ind w:left="0" w:right="0" w:firstLine="480"/>
        <w:jc w:val="both"/>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22118"/>
    <w:rsid w:val="1ACD77C2"/>
    <w:rsid w:val="371C5134"/>
    <w:rsid w:val="3AB6241D"/>
    <w:rsid w:val="41DE3159"/>
    <w:rsid w:val="51023931"/>
    <w:rsid w:val="54966D11"/>
    <w:rsid w:val="58974CA2"/>
    <w:rsid w:val="6A8C5298"/>
    <w:rsid w:val="761E0112"/>
    <w:rsid w:val="79AE4A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2024-07-29T08:40:41Z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