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重庆市酉阳土家族苗族自治县生态环境局</w:t>
      </w:r>
    </w:p>
    <w:p>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贯彻执行国家生态环境基本制度。负责贯彻执行生态环境法律法规、规章、标准和方针政策，根据职责和授权拟订有关规范性文件，执行地方性生态环境标准和技术规范。会同有关部门拟订生态环境政策、规划并组织实施。会同有关部门编制并监督实施重点区域、流域、饮用水水源地生态环境规划和水功能区划。</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重大生态环境问题的统筹协调和监督管理。建立健全突发生态环境事件的应急预警机制。牵头协调重特大环境污染事故和生态破坏事件的调查处理。牵头指导和实施生态环境损害赔偿制度，协调解决有关跨区域的环境污染纠纷。统筹协调重点区域、流域生态环境保护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4.负责提出生态环境领域固定资产投资规模和方向、财政性资金安排的意见，配合有关部门做好组织实施和监督工作。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监督指导农业面源污染治理工作。监督指导区域大气环境保护工作，组织实施区域大气污染联防联控协作机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核与辐射安全的监督管理。牵头负责核安全工作协调机制有关工作。监督管理核安全和放射源安全，监督管理电磁辐射、伴有放射性矿产资源开发利用中的污染防治。组织开展核与辐射环境监测工作。负责辐射环境事故应急处理。</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负责生态环境监测工作。执行生态环境相关标准，拟订生态环境监测制度、规范并监督实施。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10.负责应对气候变化工作。贯彻执行应对气候变化及温室气体减排重大战略、规划和政策，组织开展应对气候变化交流与合作。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负责生态环境监督执法。组织开展生态环境保护执法检查活动，查处重大生态环境违法问题，以及跨区域、跨流域的生态环境违法问题，具体执法交由相关执法队伍承担，并以部门名义统一执法，指导乡镇（街道）生态环境保护执法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12.负责开展生态环境科技工作和宣传教育工作。参与指导推动循环经济和生态环保产业发展。推动社会组织和公众参与生态环境保护。组织开展生态环境对外合作交流，组织协调有关生态环境国际条约在我县的履约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13.承担酉阳土家族苗族自治县生态环境委员会的日常工作。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14.完成县委、县政府交办的其他任务。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15.职能转变。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酉阳土家族苗族自治县生态环境局为酉阳县政府组成部门，</w:t>
      </w:r>
      <w:r>
        <w:rPr>
          <w:rFonts w:hint="eastAsia" w:ascii="方正仿宋_GBK" w:hAnsi="方正仿宋_GBK" w:eastAsia="方正仿宋_GBK" w:cs="方正仿宋_GBK"/>
          <w:color w:val="auto"/>
          <w:sz w:val="32"/>
          <w:szCs w:val="32"/>
          <w:shd w:val="clear" w:color="auto" w:fill="FFFFFF"/>
          <w:lang w:eastAsia="zh-CN"/>
        </w:rPr>
        <w:t>由生态环境局（本级）、</w:t>
      </w:r>
      <w:r>
        <w:rPr>
          <w:rFonts w:hint="eastAsia" w:ascii="方正仿宋_GBK" w:hAnsi="方正仿宋_GBK" w:eastAsia="方正仿宋_GBK" w:cs="方正仿宋_GBK"/>
          <w:color w:val="auto"/>
          <w:sz w:val="32"/>
          <w:szCs w:val="32"/>
          <w:shd w:val="clear" w:color="auto" w:fill="FFFFFF"/>
        </w:rPr>
        <w:t>生态环境监测站、生态环境保护综合行政执法支队</w:t>
      </w:r>
      <w:r>
        <w:rPr>
          <w:rFonts w:hint="eastAsia" w:ascii="方正仿宋_GBK" w:hAnsi="方正仿宋_GBK" w:eastAsia="方正仿宋_GBK" w:cs="方正仿宋_GBK"/>
          <w:color w:val="auto"/>
          <w:sz w:val="32"/>
          <w:szCs w:val="32"/>
          <w:shd w:val="clear" w:color="auto" w:fill="FFFFFF"/>
          <w:lang w:eastAsia="zh-CN"/>
        </w:rPr>
        <w:t>三个单位组成。</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本年度支付以往年度项目支出欠款，项目支出增加</w:t>
      </w:r>
      <w:r>
        <w:rPr>
          <w:rFonts w:ascii="方正仿宋_GBK" w:hAnsi="方正仿宋_GBK" w:eastAsia="方正仿宋_GBK" w:cs="方正仿宋_GBK"/>
          <w:color w:val="auto"/>
          <w:sz w:val="32"/>
          <w:szCs w:val="32"/>
          <w:shd w:val="clear" w:color="auto" w:fill="FFFFFF"/>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5673.64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64.74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较年初预算数增加64.74万元，增长100.0%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新增数字化环保信息系统建设项目。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较年初预算数增加40.85万元，增长26.5%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新增退休人员抚恤金，较预算数增加。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较年初预算数减少3.21万元，下降4.8%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医保垫底资金减少。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5085.66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较年初预算数减少2145.50万元，下降29.7%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锰业老渣场综合整治等项目按工程进度拨款，较年初下降。</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1233.13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较年初预算数增加1209.36万元，增长5087.8%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增加污水处理厂及配套管网建设项目。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较年初预算数减少1588.32万元，下降100.0%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项目未达到支付条件，本年度未支出。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68.29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较年初预算数减少4.02万元，下降5.6%</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人员减少</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1083.42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与2023年度相比，增加40.35万元，增长3.9%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sz w:val="32"/>
          <w:szCs w:val="32"/>
          <w:shd w:val="clear" w:color="auto" w:fill="FFFFFF"/>
        </w:rPr>
        <w:t>基本工资、津贴补贴、奖金、社会保障缴费等</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厉行节约，减少公务用车运行费用等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rPr>
        <w:t>办公费、印刷费、咨询费、手续费等。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178.98万元，较上年决算数减少1047.29万元，下降85.4%，主要原因是本年征服性基金预算项目较上年减少，总决算数减少。本年支出178.98万元，较上年决算数减少1047.29万元，下降85.4%，主要原因是本年征服性基金预算项目较上年减少，总决算数减少</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较年初预算数减少6.01万元，下降23.2%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较上年支出数增加0.06万元，增长0.3%</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w:t>
      </w:r>
      <w:r>
        <w:rPr>
          <w:rFonts w:ascii="方正仿宋_GBK" w:hAnsi="方正仿宋_GBK" w:eastAsia="方正仿宋_GBK" w:cs="方正仿宋_GBK"/>
          <w:color w:val="auto"/>
          <w:sz w:val="32"/>
          <w:szCs w:val="32"/>
          <w:shd w:val="clear" w:color="auto" w:fill="FFFFFF"/>
        </w:rPr>
        <w:t>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19.69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rPr>
        <w:t>环保检查、监测等工作所需车辆的燃料费、维修费、过桥过路费、保险费。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较年初预算数减少5.81万元，下降22.8%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sz w:val="32"/>
          <w:szCs w:val="32"/>
          <w:shd w:val="clear" w:color="auto" w:fill="FFFFFF"/>
          <w:lang w:eastAsia="zh-CN"/>
        </w:rPr>
        <w:t>中央</w:t>
      </w:r>
      <w:r>
        <w:rPr>
          <w:rFonts w:hint="eastAsia" w:ascii="方正仿宋_GBK" w:hAnsi="方正仿宋_GBK" w:eastAsia="方正仿宋_GBK" w:cs="方正仿宋_GBK"/>
          <w:color w:val="000000" w:themeColor="text1"/>
          <w:sz w:val="32"/>
          <w:szCs w:val="32"/>
          <w:shd w:val="clear" w:color="auto" w:fill="FFFFFF"/>
          <w:lang w:eastAsia="zh-CN"/>
        </w:rPr>
        <w:t>环保督查等</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较年初预算数减少0.20万元，下降50.0%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较上年支出数增加0.06万元，增长42.9%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w:t>
      </w:r>
      <w:r>
        <w:rPr>
          <w:rFonts w:hint="eastAsia" w:ascii="方正仿宋_GBK" w:hAnsi="方正仿宋_GBK" w:eastAsia="方正仿宋_GBK" w:cs="方正仿宋_GBK"/>
          <w:sz w:val="32"/>
          <w:szCs w:val="32"/>
          <w:shd w:val="clear" w:color="auto" w:fill="FFFFFF"/>
          <w:lang w:eastAsia="zh-CN"/>
        </w:rPr>
        <w:t>培训</w:t>
      </w:r>
      <w:r>
        <w:rPr>
          <w:rFonts w:hint="eastAsia" w:ascii="方正仿宋_GBK" w:hAnsi="方正仿宋_GBK" w:eastAsia="方正仿宋_GBK" w:cs="方正仿宋_GBK"/>
          <w:sz w:val="32"/>
          <w:szCs w:val="32"/>
          <w:shd w:val="clear" w:color="auto" w:fill="FFFFFF"/>
        </w:rPr>
        <w:t>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与2023年度相比，减少7.54万元，下降38.4%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差旅费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65.08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shd w:val="clear" w:color="auto" w:fill="FFFFFF"/>
        </w:rPr>
        <w:t>开支</w:t>
      </w:r>
      <w:r>
        <w:rPr>
          <w:rFonts w:hint="eastAsia" w:ascii="方正仿宋_GBK" w:hAnsi="方正仿宋_GBK" w:eastAsia="方正仿宋_GBK" w:cs="方正仿宋_GBK"/>
          <w:color w:val="000000" w:themeColor="text1"/>
          <w:sz w:val="32"/>
          <w:szCs w:val="32"/>
          <w:shd w:val="clear" w:color="auto" w:fill="FFFFFF"/>
        </w:rPr>
        <w:t>办公费、公务车运行维护费、信息网络购置更新费等。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较上年支出数减少15.63万元，下降19.4%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经费支出</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2290.25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2006.49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53.7 %</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23</w:t>
      </w:r>
      <w:r>
        <w:rPr>
          <w:rFonts w:hint="eastAsia" w:ascii="方正仿宋_GBK" w:hAnsi="方正仿宋_GBK" w:eastAsia="方正仿宋_GBK" w:cs="方正仿宋_GBK"/>
          <w:kern w:val="0"/>
          <w:sz w:val="32"/>
          <w:szCs w:val="32"/>
          <w:shd w:val="clear" w:fill="FFFFFF"/>
        </w:rPr>
        <w:t>个二级项目开展了绩效自评，涉及财政拨款项目支出资金701</w:t>
      </w:r>
      <w:r>
        <w:rPr>
          <w:rFonts w:hint="eastAsia" w:ascii="方正仿宋_GBK" w:hAnsi="方正仿宋_GBK" w:eastAsia="方正仿宋_GBK" w:cs="方正仿宋_GBK"/>
          <w:kern w:val="0"/>
          <w:sz w:val="32"/>
          <w:szCs w:val="32"/>
          <w:shd w:val="clear" w:fill="FFFFFF"/>
          <w:lang w:val="en-US" w:eastAsia="zh-CN"/>
        </w:rPr>
        <w:t>6.66</w:t>
      </w:r>
      <w:r>
        <w:rPr>
          <w:rFonts w:hint="eastAsia" w:ascii="方正仿宋_GBK" w:hAnsi="方正仿宋_GBK" w:eastAsia="方正仿宋_GBK" w:cs="方正仿宋_GBK"/>
          <w:kern w:val="0"/>
          <w:sz w:val="32"/>
          <w:szCs w:val="32"/>
          <w:shd w:val="clear" w:fill="FFFFFF"/>
        </w:rPr>
        <w:t>万元</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rPr>
          <w:rFonts w:hint="eastAsia" w:ascii="方正仿宋_GBK" w:hAnsi="方正仿宋_GBK" w:eastAsia="方正仿宋_GBK" w:cs="方正仿宋_GBK"/>
          <w:b/>
          <w:bCs/>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p>
    <w:tbl>
      <w:tblPr>
        <w:tblStyle w:val="10"/>
        <w:tblW w:w="5000" w:type="pct"/>
        <w:jc w:val="center"/>
        <w:shd w:val="clear" w:color="auto" w:fill="auto"/>
        <w:tblLayout w:type="autofit"/>
        <w:tblCellMar>
          <w:top w:w="0" w:type="dxa"/>
          <w:left w:w="0" w:type="dxa"/>
          <w:bottom w:w="0" w:type="dxa"/>
          <w:right w:w="0" w:type="dxa"/>
        </w:tblCellMar>
      </w:tblPr>
      <w:tblGrid>
        <w:gridCol w:w="2131"/>
        <w:gridCol w:w="1768"/>
        <w:gridCol w:w="1762"/>
        <w:gridCol w:w="1249"/>
        <w:gridCol w:w="899"/>
        <w:gridCol w:w="1157"/>
        <w:gridCol w:w="1162"/>
        <w:gridCol w:w="1157"/>
        <w:gridCol w:w="724"/>
        <w:gridCol w:w="1075"/>
        <w:gridCol w:w="900"/>
      </w:tblGrid>
      <w:tr>
        <w:tblPrEx>
          <w:shd w:val="clear" w:color="auto" w:fill="auto"/>
          <w:tblCellMar>
            <w:top w:w="0" w:type="dxa"/>
            <w:left w:w="0" w:type="dxa"/>
            <w:bottom w:w="0" w:type="dxa"/>
            <w:right w:w="0"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微软雅黑" w:hAnsi="微软雅黑" w:eastAsia="微软雅黑" w:cs="微软雅黑"/>
                <w:b/>
                <w:i w:val="0"/>
                <w:color w:val="000000"/>
                <w:sz w:val="40"/>
                <w:szCs w:val="40"/>
                <w:u w:val="none"/>
              </w:rPr>
            </w:pP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lang w:val="en-US" w:eastAsia="zh-CN"/>
              </w:rPr>
              <w:t xml:space="preserve">                        </w:t>
            </w: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酉阳土家族苗族自治县生态环境局整体监控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50024200024P000031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201-酉阳土家族苗族自治县生态环境局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jc w:val="center"/>
        </w:trPr>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30"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3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425"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30"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3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425"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7.11 </w:t>
            </w: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30"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91,363,331.85 </w:t>
            </w:r>
          </w:p>
        </w:tc>
        <w:tc>
          <w:tcPr>
            <w:tcW w:w="328"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96,876,410.05 </w:t>
            </w:r>
          </w:p>
        </w:tc>
        <w:tc>
          <w:tcPr>
            <w:tcW w:w="425" w:type="pc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68,376,751.71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jc w:val="center"/>
        </w:trPr>
        <w:tc>
          <w:tcPr>
            <w:tcW w:w="229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jc w:val="center"/>
        </w:trPr>
        <w:tc>
          <w:tcPr>
            <w:tcW w:w="229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扎实推进乡村生态振兴，加快特色美丽乡村建设步伐，全年共计处理乡镇村生活污水260.5万吨、消减COD156.78吨、总磷2.45吨、总氮20.23吨、氨氮16.42吨。打造农民安居乐业的美丽家园。完成锰业老渣场锰污染治理。</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村级污水处理设施处理量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设施运行率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锰渣场个数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项目持续发挥作用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pPr>
        <w:rPr>
          <w:rFonts w:hint="eastAsia" w:ascii="方正仿宋_GBK" w:hAnsi="方正仿宋_GBK" w:eastAsia="方正仿宋_GBK" w:cs="方正仿宋_GBK"/>
          <w:b/>
          <w:bCs/>
          <w:kern w:val="0"/>
          <w:sz w:val="32"/>
          <w:szCs w:val="32"/>
          <w:shd w:val="clear" w:fill="FFFFFF"/>
        </w:rPr>
        <w:sectPr>
          <w:type w:val="continuous"/>
          <w:pgSz w:w="16840" w:h="11915" w:orient="landscape"/>
          <w:pgMar w:top="1800" w:right="1440" w:bottom="1800" w:left="144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（一）单位绩效评价情况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（二）财政绩效评价情况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bookmarkStart w:id="0" w:name="_GoBack"/>
      <w:bookmarkEnd w:id="0"/>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陈倩薇</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81538118</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type w:val="continuous"/>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6,710.22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5,085.66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酉阳土家族苗族自治县生态环境局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5,673.64</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6,710.22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5,494.66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1,083.42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酉阳土家族苗族自治县生态环境局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2,290.25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2,006.49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247635"/>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2555ED"/>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6C40A6"/>
    <w:rsid w:val="44C37687"/>
    <w:rsid w:val="45971FA3"/>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28358D"/>
    <w:rsid w:val="543B029D"/>
    <w:rsid w:val="544C3364"/>
    <w:rsid w:val="54861779"/>
    <w:rsid w:val="552256E1"/>
    <w:rsid w:val="554E5773"/>
    <w:rsid w:val="555A3CBC"/>
    <w:rsid w:val="5582012B"/>
    <w:rsid w:val="558E4E05"/>
    <w:rsid w:val="55BE2E85"/>
    <w:rsid w:val="55D82B6C"/>
    <w:rsid w:val="55FF7411"/>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243DA"/>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38400B"/>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倩薇姐姐不吃素</cp:lastModifiedBy>
  <cp:lastPrinted>2025-09-29T09:10:00Z</cp:lastPrinted>
  <dcterms:modified xsi:type="dcterms:W3CDTF">2025-10-14T03:40:36Z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BB46EABDBB2749749395447164B066B3_12</vt:lpwstr>
  </property>
</Properties>
</file>