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jc w:val="center"/>
        <w:outlineLvl w:val="0"/>
        <w:rPr>
          <w:rFonts w:ascii="Times New Roman" w:hAnsi="Times New Roman" w:eastAsia="黑体"/>
          <w:snapToGrid w:val="0"/>
          <w:sz w:val="30"/>
          <w:szCs w:val="30"/>
        </w:rPr>
      </w:pPr>
      <w:bookmarkStart w:id="7" w:name="_GoBack"/>
      <w:bookmarkEnd w:id="7"/>
      <w:r>
        <w:rPr>
          <w:rFonts w:ascii="Times New Roman" w:hAnsi="Times New Roman" w:eastAsia="黑体"/>
          <w:snapToGrid w:val="0"/>
          <w:sz w:val="30"/>
          <w:szCs w:val="30"/>
        </w:rPr>
        <w:t>一、建设项目基本情况</w:t>
      </w:r>
    </w:p>
    <w:tbl>
      <w:tblPr>
        <w:tblStyle w:val="15"/>
        <w:tblW w:w="972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20"/>
        <w:gridCol w:w="2299"/>
        <w:gridCol w:w="2264"/>
        <w:gridCol w:w="29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djustRightInd w:val="0"/>
              <w:snapToGrid w:val="0"/>
              <w:jc w:val="center"/>
              <w:rPr>
                <w:sz w:val="24"/>
              </w:rPr>
            </w:pPr>
            <w:r>
              <w:rPr>
                <w:sz w:val="24"/>
              </w:rPr>
              <w:t>建设项目名称</w:t>
            </w:r>
          </w:p>
        </w:tc>
        <w:tc>
          <w:tcPr>
            <w:tcW w:w="7506" w:type="dxa"/>
            <w:gridSpan w:val="3"/>
            <w:vAlign w:val="center"/>
          </w:tcPr>
          <w:p>
            <w:pPr>
              <w:adjustRightInd w:val="0"/>
              <w:snapToGrid w:val="0"/>
              <w:jc w:val="center"/>
              <w:rPr>
                <w:color w:val="0000FF"/>
                <w:sz w:val="24"/>
              </w:rPr>
            </w:pPr>
            <w:bookmarkStart w:id="0" w:name="_Hlk205199530"/>
            <w:r>
              <w:rPr>
                <w:sz w:val="24"/>
              </w:rPr>
              <w:t>酉阳县陆合矿业有限责任公司双泉乡大堡坡采石场扩建项目</w:t>
            </w:r>
            <w:bookmarkEnd w:id="0"/>
            <w:r>
              <w:rPr>
                <w:sz w:val="24"/>
              </w:rPr>
              <w:t>（补）</w:t>
            </w:r>
            <w:r>
              <w:rPr>
                <w:rFonts w:hint="eastAsia"/>
                <w:color w:val="0000FF"/>
                <w:sz w:val="24"/>
              </w:rPr>
              <w:t>*</w:t>
            </w:r>
          </w:p>
          <w:p>
            <w:pPr>
              <w:adjustRightInd w:val="0"/>
              <w:snapToGrid w:val="0"/>
              <w:rPr>
                <w:sz w:val="18"/>
                <w:szCs w:val="18"/>
              </w:rPr>
            </w:pPr>
            <w:r>
              <w:rPr>
                <w:rFonts w:hint="eastAsia"/>
                <w:color w:val="0000FF"/>
                <w:sz w:val="18"/>
                <w:szCs w:val="18"/>
              </w:rPr>
              <w:t>注：投资项目需先至发改委立项，再至各部门审查，拟建项目由酉阳自治县应急局牵头，在投资备案证办理前，已经酉阳自治县规资局、酉阳自治县生态环境局审核同意，见附件16-18。因此，酉阳自治县发改委在核发项目备案证时，在项目名称后缀添加“补”字，不为“先建后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djustRightInd w:val="0"/>
              <w:snapToGrid w:val="0"/>
              <w:jc w:val="center"/>
              <w:rPr>
                <w:sz w:val="24"/>
              </w:rPr>
            </w:pPr>
            <w:r>
              <w:rPr>
                <w:sz w:val="24"/>
              </w:rPr>
              <w:t>项目代码</w:t>
            </w:r>
          </w:p>
        </w:tc>
        <w:tc>
          <w:tcPr>
            <w:tcW w:w="7506" w:type="dxa"/>
            <w:gridSpan w:val="3"/>
            <w:vAlign w:val="center"/>
          </w:tcPr>
          <w:p>
            <w:pPr>
              <w:adjustRightInd w:val="0"/>
              <w:snapToGrid w:val="0"/>
              <w:jc w:val="center"/>
              <w:rPr>
                <w:sz w:val="24"/>
              </w:rPr>
            </w:pPr>
            <w:bookmarkStart w:id="1" w:name="_Hlk205199548"/>
            <w:r>
              <w:rPr>
                <w:sz w:val="24"/>
              </w:rPr>
              <w:t>2308-500242-04-01-795463</w:t>
            </w:r>
            <w:bookmarkEnd w:id="1"/>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djustRightInd w:val="0"/>
              <w:snapToGrid w:val="0"/>
              <w:jc w:val="center"/>
              <w:rPr>
                <w:sz w:val="24"/>
              </w:rPr>
            </w:pPr>
            <w:r>
              <w:rPr>
                <w:sz w:val="24"/>
              </w:rPr>
              <w:t>建设单位联系人</w:t>
            </w:r>
          </w:p>
        </w:tc>
        <w:tc>
          <w:tcPr>
            <w:tcW w:w="2299" w:type="dxa"/>
            <w:vAlign w:val="center"/>
          </w:tcPr>
          <w:p>
            <w:pPr>
              <w:adjustRightInd w:val="0"/>
              <w:snapToGrid w:val="0"/>
              <w:jc w:val="center"/>
              <w:rPr>
                <w:sz w:val="24"/>
              </w:rPr>
            </w:pPr>
            <w:r>
              <w:rPr>
                <w:rFonts w:hint="eastAsia"/>
                <w:sz w:val="24"/>
              </w:rPr>
              <w:t>冉景祥</w:t>
            </w:r>
          </w:p>
        </w:tc>
        <w:tc>
          <w:tcPr>
            <w:tcW w:w="2264" w:type="dxa"/>
            <w:vAlign w:val="center"/>
          </w:tcPr>
          <w:p>
            <w:pPr>
              <w:adjustRightInd w:val="0"/>
              <w:snapToGrid w:val="0"/>
              <w:jc w:val="center"/>
              <w:rPr>
                <w:sz w:val="24"/>
              </w:rPr>
            </w:pPr>
            <w:r>
              <w:rPr>
                <w:sz w:val="24"/>
              </w:rPr>
              <w:t>联系方式</w:t>
            </w:r>
          </w:p>
        </w:tc>
        <w:tc>
          <w:tcPr>
            <w:tcW w:w="2943" w:type="dxa"/>
            <w:vAlign w:val="center"/>
          </w:tcPr>
          <w:p>
            <w:pPr>
              <w:adjustRightInd w:val="0"/>
              <w:snapToGrid w:val="0"/>
              <w:jc w:val="center"/>
              <w:rPr>
                <w:sz w:val="24"/>
              </w:rPr>
            </w:pPr>
            <w:r>
              <w:rPr>
                <w:sz w:val="24"/>
              </w:rPr>
              <w:t>13896415161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djustRightInd w:val="0"/>
              <w:snapToGrid w:val="0"/>
              <w:jc w:val="center"/>
              <w:rPr>
                <w:sz w:val="24"/>
              </w:rPr>
            </w:pPr>
            <w:r>
              <w:rPr>
                <w:sz w:val="24"/>
              </w:rPr>
              <w:t>建设地点</w:t>
            </w:r>
          </w:p>
        </w:tc>
        <w:tc>
          <w:tcPr>
            <w:tcW w:w="7506" w:type="dxa"/>
            <w:gridSpan w:val="3"/>
            <w:vAlign w:val="center"/>
          </w:tcPr>
          <w:p>
            <w:pPr>
              <w:adjustRightInd w:val="0"/>
              <w:snapToGrid w:val="0"/>
              <w:jc w:val="center"/>
              <w:rPr>
                <w:sz w:val="24"/>
              </w:rPr>
            </w:pPr>
            <w:r>
              <w:rPr>
                <w:sz w:val="24"/>
              </w:rPr>
              <w:t>重庆市酉阳土家族苗族自治县双泉乡永祥村一组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djustRightInd w:val="0"/>
              <w:snapToGrid w:val="0"/>
              <w:jc w:val="center"/>
              <w:rPr>
                <w:sz w:val="24"/>
              </w:rPr>
            </w:pPr>
            <w:r>
              <w:rPr>
                <w:sz w:val="24"/>
              </w:rPr>
              <w:t>地理坐标</w:t>
            </w:r>
          </w:p>
        </w:tc>
        <w:tc>
          <w:tcPr>
            <w:tcW w:w="7506" w:type="dxa"/>
            <w:gridSpan w:val="3"/>
            <w:vAlign w:val="center"/>
          </w:tcPr>
          <w:p>
            <w:pPr>
              <w:adjustRightInd w:val="0"/>
              <w:snapToGrid w:val="0"/>
              <w:jc w:val="center"/>
              <w:rPr>
                <w:sz w:val="24"/>
              </w:rPr>
            </w:pPr>
            <w:r>
              <w:rPr>
                <w:sz w:val="24"/>
              </w:rPr>
              <w:t>（</w:t>
            </w:r>
            <w:r>
              <w:rPr>
                <w:sz w:val="24"/>
                <w:u w:val="single"/>
              </w:rPr>
              <w:t>10</w:t>
            </w:r>
            <w:r>
              <w:rPr>
                <w:rFonts w:hint="eastAsia"/>
                <w:sz w:val="24"/>
                <w:u w:val="single"/>
              </w:rPr>
              <w:t>8</w:t>
            </w:r>
            <w:r>
              <w:rPr>
                <w:sz w:val="24"/>
              </w:rPr>
              <w:t>度</w:t>
            </w:r>
            <w:r>
              <w:rPr>
                <w:rFonts w:hint="eastAsia"/>
                <w:sz w:val="24"/>
                <w:u w:val="single"/>
              </w:rPr>
              <w:t>39</w:t>
            </w:r>
            <w:r>
              <w:rPr>
                <w:sz w:val="24"/>
              </w:rPr>
              <w:t>分</w:t>
            </w:r>
            <w:r>
              <w:rPr>
                <w:sz w:val="24"/>
                <w:u w:val="single"/>
              </w:rPr>
              <w:t>20.68</w:t>
            </w:r>
            <w:r>
              <w:rPr>
                <w:rFonts w:hint="eastAsia"/>
                <w:sz w:val="24"/>
                <w:u w:val="single"/>
              </w:rPr>
              <w:t>6</w:t>
            </w:r>
            <w:r>
              <w:rPr>
                <w:sz w:val="24"/>
              </w:rPr>
              <w:t>秒，</w:t>
            </w:r>
            <w:r>
              <w:rPr>
                <w:rFonts w:hint="eastAsia"/>
                <w:sz w:val="24"/>
                <w:u w:val="single"/>
              </w:rPr>
              <w:t>29</w:t>
            </w:r>
            <w:r>
              <w:rPr>
                <w:sz w:val="24"/>
              </w:rPr>
              <w:t>度</w:t>
            </w:r>
            <w:r>
              <w:rPr>
                <w:sz w:val="24"/>
                <w:u w:val="single"/>
              </w:rPr>
              <w:t>2</w:t>
            </w:r>
            <w:r>
              <w:rPr>
                <w:sz w:val="24"/>
              </w:rPr>
              <w:t>分</w:t>
            </w:r>
            <w:r>
              <w:rPr>
                <w:sz w:val="24"/>
                <w:u w:val="single"/>
              </w:rPr>
              <w:t>1</w:t>
            </w:r>
            <w:r>
              <w:rPr>
                <w:rFonts w:hint="eastAsia"/>
                <w:sz w:val="24"/>
                <w:u w:val="single"/>
              </w:rPr>
              <w:t>4.373</w:t>
            </w:r>
            <w:r>
              <w:rPr>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djustRightInd w:val="0"/>
              <w:snapToGrid w:val="0"/>
              <w:jc w:val="center"/>
              <w:rPr>
                <w:sz w:val="24"/>
              </w:rPr>
            </w:pPr>
            <w:r>
              <w:rPr>
                <w:sz w:val="24"/>
              </w:rPr>
              <w:t>建设项目</w:t>
            </w:r>
          </w:p>
          <w:p>
            <w:pPr>
              <w:adjustRightInd w:val="0"/>
              <w:snapToGrid w:val="0"/>
              <w:jc w:val="center"/>
              <w:rPr>
                <w:sz w:val="24"/>
              </w:rPr>
            </w:pPr>
            <w:r>
              <w:rPr>
                <w:sz w:val="24"/>
              </w:rPr>
              <w:t>行业类别</w:t>
            </w:r>
          </w:p>
        </w:tc>
        <w:tc>
          <w:tcPr>
            <w:tcW w:w="2299" w:type="dxa"/>
            <w:vAlign w:val="center"/>
          </w:tcPr>
          <w:p>
            <w:pPr>
              <w:adjustRightInd w:val="0"/>
              <w:snapToGrid w:val="0"/>
              <w:jc w:val="center"/>
              <w:rPr>
                <w:sz w:val="24"/>
              </w:rPr>
            </w:pPr>
            <w:r>
              <w:rPr>
                <w:sz w:val="24"/>
              </w:rPr>
              <w:t>八、非金属矿采选业  11 土砂石开采</w:t>
            </w:r>
          </w:p>
        </w:tc>
        <w:tc>
          <w:tcPr>
            <w:tcW w:w="2264" w:type="dxa"/>
            <w:vAlign w:val="center"/>
          </w:tcPr>
          <w:p>
            <w:pPr>
              <w:adjustRightInd w:val="0"/>
              <w:snapToGrid w:val="0"/>
              <w:jc w:val="center"/>
              <w:rPr>
                <w:sz w:val="24"/>
              </w:rPr>
            </w:pPr>
            <w:r>
              <w:rPr>
                <w:sz w:val="24"/>
              </w:rPr>
              <w:t>用地（用海）面积（m</w:t>
            </w:r>
            <w:r>
              <w:rPr>
                <w:sz w:val="24"/>
                <w:vertAlign w:val="superscript"/>
              </w:rPr>
              <w:t>2</w:t>
            </w:r>
            <w:r>
              <w:rPr>
                <w:sz w:val="24"/>
              </w:rPr>
              <w:t>）/长度（km）</w:t>
            </w:r>
          </w:p>
        </w:tc>
        <w:tc>
          <w:tcPr>
            <w:tcW w:w="2943" w:type="dxa"/>
            <w:vAlign w:val="center"/>
          </w:tcPr>
          <w:p>
            <w:pPr>
              <w:adjustRightInd w:val="0"/>
              <w:snapToGrid w:val="0"/>
              <w:jc w:val="center"/>
              <w:rPr>
                <w:sz w:val="24"/>
              </w:rPr>
            </w:pPr>
            <w:r>
              <w:rPr>
                <w:sz w:val="24"/>
              </w:rPr>
              <w:t>69742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djustRightInd w:val="0"/>
              <w:snapToGrid w:val="0"/>
              <w:jc w:val="center"/>
              <w:rPr>
                <w:sz w:val="24"/>
              </w:rPr>
            </w:pPr>
            <w:r>
              <w:rPr>
                <w:sz w:val="24"/>
              </w:rPr>
              <w:t>建设性质</w:t>
            </w:r>
          </w:p>
        </w:tc>
        <w:tc>
          <w:tcPr>
            <w:tcW w:w="2299" w:type="dxa"/>
            <w:vAlign w:val="center"/>
          </w:tcPr>
          <w:p>
            <w:pPr>
              <w:adjustRightInd w:val="0"/>
              <w:snapToGrid w:val="0"/>
              <w:jc w:val="left"/>
              <w:rPr>
                <w:sz w:val="24"/>
              </w:rPr>
            </w:pPr>
            <w:r>
              <w:rPr>
                <w:sz w:val="24"/>
              </w:rPr>
              <w:t>□新建（迁建）</w:t>
            </w:r>
          </w:p>
          <w:p>
            <w:pPr>
              <w:adjustRightInd w:val="0"/>
              <w:snapToGrid w:val="0"/>
              <w:jc w:val="left"/>
              <w:rPr>
                <w:sz w:val="24"/>
              </w:rPr>
            </w:pPr>
            <w:r>
              <w:rPr>
                <w:sz w:val="24"/>
              </w:rPr>
              <w:t>□改建</w:t>
            </w:r>
          </w:p>
          <w:p>
            <w:pPr>
              <w:adjustRightInd w:val="0"/>
              <w:snapToGrid w:val="0"/>
              <w:jc w:val="left"/>
              <w:rPr>
                <w:sz w:val="24"/>
              </w:rPr>
            </w:pPr>
            <w:r>
              <w:rPr>
                <w:sz w:val="24"/>
              </w:rPr>
              <w:t>√扩建</w:t>
            </w:r>
          </w:p>
          <w:p>
            <w:pPr>
              <w:adjustRightInd w:val="0"/>
              <w:snapToGrid w:val="0"/>
              <w:jc w:val="left"/>
              <w:rPr>
                <w:sz w:val="24"/>
              </w:rPr>
            </w:pPr>
            <w:r>
              <w:rPr>
                <w:sz w:val="24"/>
              </w:rPr>
              <w:t>□技术改造</w:t>
            </w:r>
          </w:p>
        </w:tc>
        <w:tc>
          <w:tcPr>
            <w:tcW w:w="2264" w:type="dxa"/>
            <w:vAlign w:val="center"/>
          </w:tcPr>
          <w:p>
            <w:pPr>
              <w:adjustRightInd w:val="0"/>
              <w:snapToGrid w:val="0"/>
              <w:jc w:val="center"/>
              <w:rPr>
                <w:sz w:val="24"/>
              </w:rPr>
            </w:pPr>
            <w:r>
              <w:rPr>
                <w:sz w:val="24"/>
              </w:rPr>
              <w:t>建设项目</w:t>
            </w:r>
          </w:p>
          <w:p>
            <w:pPr>
              <w:adjustRightInd w:val="0"/>
              <w:snapToGrid w:val="0"/>
              <w:jc w:val="center"/>
              <w:rPr>
                <w:sz w:val="24"/>
              </w:rPr>
            </w:pPr>
            <w:r>
              <w:rPr>
                <w:sz w:val="24"/>
              </w:rPr>
              <w:t>申报情形</w:t>
            </w:r>
          </w:p>
        </w:tc>
        <w:tc>
          <w:tcPr>
            <w:tcW w:w="2943" w:type="dxa"/>
            <w:vAlign w:val="center"/>
          </w:tcPr>
          <w:p>
            <w:pPr>
              <w:adjustRightInd w:val="0"/>
              <w:snapToGrid w:val="0"/>
              <w:jc w:val="left"/>
              <w:rPr>
                <w:sz w:val="24"/>
              </w:rPr>
            </w:pPr>
            <w:r>
              <w:rPr>
                <w:sz w:val="24"/>
              </w:rPr>
              <w:t>√首次申报项目</w:t>
            </w:r>
          </w:p>
          <w:p>
            <w:pPr>
              <w:adjustRightInd w:val="0"/>
              <w:snapToGrid w:val="0"/>
              <w:jc w:val="left"/>
              <w:rPr>
                <w:sz w:val="24"/>
              </w:rPr>
            </w:pPr>
            <w:r>
              <w:rPr>
                <w:sz w:val="24"/>
              </w:rPr>
              <w:t>□不予批准后再次申报项目</w:t>
            </w:r>
          </w:p>
          <w:p>
            <w:pPr>
              <w:adjustRightInd w:val="0"/>
              <w:snapToGrid w:val="0"/>
              <w:jc w:val="left"/>
              <w:rPr>
                <w:sz w:val="24"/>
              </w:rPr>
            </w:pPr>
            <w:r>
              <w:rPr>
                <w:sz w:val="24"/>
              </w:rPr>
              <w:t>□超五年重新审核项目</w:t>
            </w:r>
          </w:p>
          <w:p>
            <w:pPr>
              <w:adjustRightInd w:val="0"/>
              <w:snapToGrid w:val="0"/>
              <w:rPr>
                <w:sz w:val="24"/>
              </w:rPr>
            </w:pPr>
            <w:r>
              <w:rPr>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备案）部门（选填）</w:t>
            </w:r>
          </w:p>
        </w:tc>
        <w:tc>
          <w:tcPr>
            <w:tcW w:w="2299" w:type="dxa"/>
            <w:vAlign w:val="center"/>
          </w:tcPr>
          <w:p>
            <w:pPr>
              <w:adjustRightInd w:val="0"/>
              <w:snapToGrid w:val="0"/>
              <w:jc w:val="center"/>
              <w:rPr>
                <w:sz w:val="24"/>
              </w:rPr>
            </w:pPr>
            <w:r>
              <w:rPr>
                <w:sz w:val="24"/>
              </w:rPr>
              <w:t>重庆市酉阳土家族苗族自治县发展和改革委员会</w:t>
            </w:r>
          </w:p>
        </w:tc>
        <w:tc>
          <w:tcPr>
            <w:tcW w:w="2264" w:type="dxa"/>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备案）文号（选填）</w:t>
            </w:r>
          </w:p>
        </w:tc>
        <w:tc>
          <w:tcPr>
            <w:tcW w:w="2943" w:type="dxa"/>
            <w:vAlign w:val="center"/>
          </w:tcPr>
          <w:p>
            <w:pPr>
              <w:adjustRightInd w:val="0"/>
              <w:snapToGrid w:val="0"/>
              <w:jc w:val="center"/>
              <w:rPr>
                <w:sz w:val="24"/>
              </w:rPr>
            </w:pPr>
            <w:r>
              <w:rPr>
                <w:sz w:val="24"/>
              </w:rPr>
              <w:t>2308-500242-04-01-795463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djustRightInd w:val="0"/>
              <w:snapToGrid w:val="0"/>
              <w:jc w:val="center"/>
              <w:rPr>
                <w:sz w:val="24"/>
              </w:rPr>
            </w:pPr>
            <w:r>
              <w:rPr>
                <w:sz w:val="24"/>
              </w:rPr>
              <w:t>总投资（万元）</w:t>
            </w:r>
          </w:p>
        </w:tc>
        <w:tc>
          <w:tcPr>
            <w:tcW w:w="2299" w:type="dxa"/>
            <w:vAlign w:val="center"/>
          </w:tcPr>
          <w:p>
            <w:pPr>
              <w:adjustRightInd w:val="0"/>
              <w:snapToGrid w:val="0"/>
              <w:jc w:val="center"/>
              <w:rPr>
                <w:sz w:val="24"/>
              </w:rPr>
            </w:pPr>
            <w:r>
              <w:rPr>
                <w:sz w:val="24"/>
              </w:rPr>
              <w:t>2500.00</w:t>
            </w:r>
          </w:p>
        </w:tc>
        <w:tc>
          <w:tcPr>
            <w:tcW w:w="2264" w:type="dxa"/>
            <w:tcMar>
              <w:top w:w="16" w:type="dxa"/>
              <w:left w:w="16" w:type="dxa"/>
              <w:right w:w="16" w:type="dxa"/>
            </w:tcMar>
            <w:vAlign w:val="center"/>
          </w:tcPr>
          <w:p>
            <w:pPr>
              <w:adjustRightInd w:val="0"/>
              <w:snapToGrid w:val="0"/>
              <w:jc w:val="center"/>
              <w:rPr>
                <w:sz w:val="24"/>
              </w:rPr>
            </w:pPr>
            <w:r>
              <w:rPr>
                <w:sz w:val="24"/>
              </w:rPr>
              <w:t>环保投资（万元）</w:t>
            </w:r>
          </w:p>
        </w:tc>
        <w:tc>
          <w:tcPr>
            <w:tcW w:w="2943" w:type="dxa"/>
            <w:vAlign w:val="center"/>
          </w:tcPr>
          <w:p>
            <w:pPr>
              <w:adjustRightInd w:val="0"/>
              <w:snapToGrid w:val="0"/>
              <w:jc w:val="center"/>
              <w:rPr>
                <w:sz w:val="24"/>
              </w:rPr>
            </w:pPr>
            <w:r>
              <w:rPr>
                <w:rFonts w:hint="eastAsia"/>
                <w:sz w:val="24"/>
              </w:rPr>
              <w:t>180.00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djustRightInd w:val="0"/>
              <w:snapToGrid w:val="0"/>
              <w:jc w:val="center"/>
              <w:rPr>
                <w:sz w:val="24"/>
              </w:rPr>
            </w:pPr>
            <w:r>
              <w:rPr>
                <w:sz w:val="24"/>
              </w:rPr>
              <w:t>环保投资占比（%）</w:t>
            </w:r>
          </w:p>
        </w:tc>
        <w:tc>
          <w:tcPr>
            <w:tcW w:w="2299" w:type="dxa"/>
            <w:vAlign w:val="center"/>
          </w:tcPr>
          <w:p>
            <w:pPr>
              <w:adjustRightInd w:val="0"/>
              <w:snapToGrid w:val="0"/>
              <w:jc w:val="center"/>
              <w:rPr>
                <w:sz w:val="24"/>
              </w:rPr>
            </w:pPr>
            <w:r>
              <w:rPr>
                <w:sz w:val="24"/>
              </w:rPr>
              <w:t>7.20</w:t>
            </w:r>
          </w:p>
        </w:tc>
        <w:tc>
          <w:tcPr>
            <w:tcW w:w="2264" w:type="dxa"/>
            <w:tcMar>
              <w:top w:w="16" w:type="dxa"/>
              <w:left w:w="16" w:type="dxa"/>
              <w:right w:w="16" w:type="dxa"/>
            </w:tcMar>
            <w:vAlign w:val="center"/>
          </w:tcPr>
          <w:p>
            <w:pPr>
              <w:adjustRightInd w:val="0"/>
              <w:snapToGrid w:val="0"/>
              <w:jc w:val="center"/>
              <w:rPr>
                <w:sz w:val="24"/>
              </w:rPr>
            </w:pPr>
            <w:r>
              <w:rPr>
                <w:sz w:val="24"/>
              </w:rPr>
              <w:t>施工工期</w:t>
            </w:r>
          </w:p>
        </w:tc>
        <w:tc>
          <w:tcPr>
            <w:tcW w:w="2943" w:type="dxa"/>
            <w:vAlign w:val="center"/>
          </w:tcPr>
          <w:p>
            <w:pPr>
              <w:adjustRightInd w:val="0"/>
              <w:snapToGrid w:val="0"/>
              <w:jc w:val="center"/>
              <w:rPr>
                <w:sz w:val="24"/>
              </w:rPr>
            </w:pPr>
            <w:r>
              <w:rPr>
                <w:rFonts w:hint="eastAsia"/>
                <w:sz w:val="24"/>
              </w:rPr>
              <w:t>6</w:t>
            </w:r>
            <w:r>
              <w:rPr>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djustRightInd w:val="0"/>
              <w:snapToGrid w:val="0"/>
              <w:jc w:val="center"/>
              <w:rPr>
                <w:sz w:val="24"/>
              </w:rPr>
            </w:pPr>
            <w:r>
              <w:rPr>
                <w:sz w:val="24"/>
              </w:rPr>
              <w:t>是否开工建设</w:t>
            </w:r>
          </w:p>
        </w:tc>
        <w:tc>
          <w:tcPr>
            <w:tcW w:w="7506" w:type="dxa"/>
            <w:gridSpan w:val="3"/>
            <w:vAlign w:val="center"/>
          </w:tcPr>
          <w:p>
            <w:pPr>
              <w:adjustRightInd w:val="0"/>
              <w:snapToGrid w:val="0"/>
              <w:ind w:firstLine="105"/>
              <w:jc w:val="left"/>
              <w:rPr>
                <w:sz w:val="24"/>
              </w:rPr>
            </w:pPr>
            <w:r>
              <w:rPr>
                <w:sz w:val="24"/>
              </w:rPr>
              <w:t>√否</w:t>
            </w:r>
          </w:p>
          <w:p>
            <w:pPr>
              <w:adjustRightInd w:val="0"/>
              <w:snapToGrid w:val="0"/>
              <w:ind w:firstLine="92"/>
              <w:jc w:val="left"/>
              <w:rPr>
                <w:sz w:val="24"/>
              </w:rPr>
            </w:pPr>
            <w:r>
              <w:rPr>
                <w:sz w:val="24"/>
              </w:rPr>
              <w:t>□是：</w:t>
            </w:r>
            <w:r>
              <w:rPr>
                <w:sz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utoSpaceDE w:val="0"/>
              <w:autoSpaceDN w:val="0"/>
              <w:adjustRightInd w:val="0"/>
              <w:snapToGrid w:val="0"/>
              <w:jc w:val="center"/>
              <w:rPr>
                <w:kern w:val="0"/>
                <w:sz w:val="24"/>
              </w:rPr>
            </w:pPr>
            <w:r>
              <w:rPr>
                <w:kern w:val="0"/>
                <w:sz w:val="24"/>
              </w:rPr>
              <w:t>专项评价设置情况</w:t>
            </w:r>
          </w:p>
        </w:tc>
        <w:tc>
          <w:tcPr>
            <w:tcW w:w="7506" w:type="dxa"/>
            <w:gridSpan w:val="3"/>
            <w:tcMar>
              <w:top w:w="16" w:type="dxa"/>
              <w:left w:w="16" w:type="dxa"/>
              <w:right w:w="16" w:type="dxa"/>
            </w:tcMar>
            <w:vAlign w:val="center"/>
          </w:tcPr>
          <w:p>
            <w:pPr>
              <w:autoSpaceDE w:val="0"/>
              <w:autoSpaceDN w:val="0"/>
              <w:adjustRightInd w:val="0"/>
              <w:snapToGrid w:val="0"/>
              <w:ind w:firstLine="480" w:firstLineChars="200"/>
              <w:rPr>
                <w:kern w:val="0"/>
                <w:sz w:val="24"/>
              </w:rPr>
            </w:pPr>
            <w:r>
              <w:rPr>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utoSpaceDE w:val="0"/>
              <w:autoSpaceDN w:val="0"/>
              <w:adjustRightInd w:val="0"/>
              <w:snapToGrid w:val="0"/>
              <w:jc w:val="center"/>
              <w:rPr>
                <w:kern w:val="0"/>
                <w:sz w:val="24"/>
              </w:rPr>
            </w:pPr>
            <w:r>
              <w:rPr>
                <w:sz w:val="24"/>
              </w:rPr>
              <w:t>规划情况</w:t>
            </w:r>
          </w:p>
        </w:tc>
        <w:tc>
          <w:tcPr>
            <w:tcW w:w="7506" w:type="dxa"/>
            <w:gridSpan w:val="3"/>
            <w:tcMar>
              <w:top w:w="16" w:type="dxa"/>
              <w:left w:w="16" w:type="dxa"/>
              <w:right w:w="16" w:type="dxa"/>
            </w:tcMar>
            <w:vAlign w:val="center"/>
          </w:tcPr>
          <w:p>
            <w:pPr>
              <w:autoSpaceDE w:val="0"/>
              <w:autoSpaceDN w:val="0"/>
              <w:adjustRightInd w:val="0"/>
              <w:snapToGrid w:val="0"/>
              <w:ind w:firstLine="480" w:firstLineChars="200"/>
              <w:rPr>
                <w:kern w:val="0"/>
                <w:sz w:val="24"/>
              </w:rPr>
            </w:pPr>
            <w:r>
              <w:rPr>
                <w:kern w:val="0"/>
                <w:sz w:val="24"/>
              </w:rPr>
              <w:t>1、规划名称：重庆市矿产资源总体规划（2021-2025年），审批机关：中华人民共和国自然资源部；</w:t>
            </w:r>
          </w:p>
          <w:p>
            <w:pPr>
              <w:autoSpaceDE w:val="0"/>
              <w:autoSpaceDN w:val="0"/>
              <w:adjustRightInd w:val="0"/>
              <w:snapToGrid w:val="0"/>
              <w:ind w:firstLine="480" w:firstLineChars="200"/>
              <w:rPr>
                <w:kern w:val="0"/>
                <w:sz w:val="24"/>
              </w:rPr>
            </w:pPr>
            <w:r>
              <w:rPr>
                <w:kern w:val="0"/>
                <w:sz w:val="24"/>
              </w:rPr>
              <w:t>2、规划名称：重庆市酉阳土家族苗族自治县矿产资源总体规划（2021-2025年），审批机关：重庆市规划和自然资源局。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utoSpaceDE w:val="0"/>
              <w:autoSpaceDN w:val="0"/>
              <w:adjustRightInd w:val="0"/>
              <w:snapToGrid w:val="0"/>
              <w:jc w:val="center"/>
              <w:rPr>
                <w:sz w:val="24"/>
              </w:rPr>
            </w:pPr>
            <w:r>
              <w:rPr>
                <w:sz w:val="24"/>
              </w:rPr>
              <w:t>规划环境影响</w:t>
            </w:r>
          </w:p>
          <w:p>
            <w:pPr>
              <w:autoSpaceDE w:val="0"/>
              <w:autoSpaceDN w:val="0"/>
              <w:adjustRightInd w:val="0"/>
              <w:snapToGrid w:val="0"/>
              <w:jc w:val="center"/>
              <w:rPr>
                <w:kern w:val="0"/>
                <w:sz w:val="24"/>
              </w:rPr>
            </w:pPr>
            <w:r>
              <w:rPr>
                <w:sz w:val="24"/>
              </w:rPr>
              <w:t>评价情况</w:t>
            </w:r>
          </w:p>
        </w:tc>
        <w:tc>
          <w:tcPr>
            <w:tcW w:w="7506" w:type="dxa"/>
            <w:gridSpan w:val="3"/>
            <w:tcMar>
              <w:top w:w="16" w:type="dxa"/>
              <w:left w:w="16" w:type="dxa"/>
              <w:right w:w="16" w:type="dxa"/>
            </w:tcMar>
            <w:vAlign w:val="center"/>
          </w:tcPr>
          <w:p>
            <w:pPr>
              <w:autoSpaceDE w:val="0"/>
              <w:autoSpaceDN w:val="0"/>
              <w:adjustRightInd w:val="0"/>
              <w:snapToGrid w:val="0"/>
              <w:ind w:firstLine="480" w:firstLineChars="200"/>
              <w:rPr>
                <w:kern w:val="0"/>
                <w:sz w:val="24"/>
              </w:rPr>
            </w:pPr>
            <w:r>
              <w:rPr>
                <w:rFonts w:hint="eastAsia"/>
                <w:kern w:val="0"/>
                <w:sz w:val="24"/>
              </w:rPr>
              <w:t>3</w:t>
            </w:r>
            <w:r>
              <w:rPr>
                <w:kern w:val="0"/>
                <w:sz w:val="24"/>
              </w:rPr>
              <w:t>、规划环评名称：重庆市矿产资源总体规划（2021-2025年）环境影响报告书，审批机关：中华人民共和国生态环境部，审批文号：环审〔2022〕64号，批复时间：2022年5月30日；</w:t>
            </w:r>
          </w:p>
          <w:p>
            <w:pPr>
              <w:adjustRightInd w:val="0"/>
              <w:snapToGrid w:val="0"/>
              <w:ind w:firstLine="480" w:firstLineChars="200"/>
              <w:jc w:val="left"/>
              <w:rPr>
                <w:kern w:val="0"/>
                <w:sz w:val="24"/>
              </w:rPr>
            </w:pPr>
            <w:r>
              <w:rPr>
                <w:kern w:val="0"/>
                <w:sz w:val="24"/>
              </w:rPr>
              <w:t>4、规划环评名称：重庆市酉阳土家族苗族自治县矿产资源总体规划（2021-2025年）环境影响报告书，审批机关：重庆市生态环境局，审批文号：渝环函〔2022〕570号，批复时间：2022年12月19日。</w:t>
            </w:r>
          </w:p>
        </w:tc>
      </w:tr>
    </w:tbl>
    <w:p>
      <w:pPr>
        <w:sectPr>
          <w:footerReference r:id="rId3" w:type="default"/>
          <w:footerReference r:id="rId4" w:type="even"/>
          <w:pgSz w:w="11906" w:h="16838"/>
          <w:pgMar w:top="1440" w:right="1080" w:bottom="1440" w:left="1080" w:header="851" w:footer="1077" w:gutter="0"/>
          <w:pgNumType w:start="1"/>
          <w:cols w:space="720" w:num="1"/>
          <w:docGrid w:linePitch="312" w:charSpace="0"/>
        </w:sectPr>
      </w:pPr>
    </w:p>
    <w:tbl>
      <w:tblPr>
        <w:tblStyle w:val="15"/>
        <w:tblW w:w="972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59"/>
        <w:gridCol w:w="92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874" w:hRule="atLeast"/>
        </w:trPr>
        <w:tc>
          <w:tcPr>
            <w:tcW w:w="459" w:type="dxa"/>
            <w:tcMar>
              <w:top w:w="16" w:type="dxa"/>
              <w:left w:w="16" w:type="dxa"/>
              <w:right w:w="16" w:type="dxa"/>
            </w:tcMar>
            <w:vAlign w:val="center"/>
          </w:tcPr>
          <w:p>
            <w:pPr>
              <w:autoSpaceDE w:val="0"/>
              <w:autoSpaceDN w:val="0"/>
              <w:adjustRightInd w:val="0"/>
              <w:snapToGrid w:val="0"/>
              <w:jc w:val="center"/>
              <w:rPr>
                <w:kern w:val="0"/>
                <w:sz w:val="24"/>
              </w:rPr>
            </w:pPr>
            <w:r>
              <w:br w:type="page"/>
            </w:r>
            <w:r>
              <w:rPr>
                <w:kern w:val="0"/>
                <w:sz w:val="24"/>
              </w:rPr>
              <w:t>规划及</w:t>
            </w:r>
            <w:r>
              <w:rPr>
                <w:sz w:val="24"/>
              </w:rPr>
              <w:t>规划环境影响评价</w:t>
            </w:r>
            <w:r>
              <w:rPr>
                <w:kern w:val="0"/>
                <w:sz w:val="24"/>
              </w:rPr>
              <w:t>符合性分析</w:t>
            </w:r>
          </w:p>
        </w:tc>
        <w:tc>
          <w:tcPr>
            <w:tcW w:w="9267" w:type="dxa"/>
            <w:tcMar>
              <w:top w:w="16" w:type="dxa"/>
              <w:left w:w="16" w:type="dxa"/>
              <w:right w:w="16" w:type="dxa"/>
            </w:tcMar>
          </w:tcPr>
          <w:p>
            <w:pPr>
              <w:autoSpaceDE w:val="0"/>
              <w:autoSpaceDN w:val="0"/>
              <w:adjustRightInd w:val="0"/>
              <w:snapToGrid w:val="0"/>
              <w:spacing w:line="360" w:lineRule="auto"/>
              <w:ind w:firstLine="562" w:firstLineChars="200"/>
              <w:rPr>
                <w:kern w:val="0"/>
                <w:sz w:val="28"/>
                <w:szCs w:val="28"/>
              </w:rPr>
            </w:pPr>
            <w:r>
              <w:rPr>
                <w:b/>
                <w:kern w:val="0"/>
                <w:sz w:val="28"/>
                <w:szCs w:val="28"/>
              </w:rPr>
              <w:t>1.1、与</w:t>
            </w:r>
            <w:r>
              <w:rPr>
                <w:rFonts w:hint="eastAsia"/>
                <w:b/>
                <w:kern w:val="0"/>
                <w:sz w:val="28"/>
                <w:szCs w:val="28"/>
              </w:rPr>
              <w:t>《</w:t>
            </w:r>
            <w:r>
              <w:rPr>
                <w:b/>
                <w:kern w:val="0"/>
                <w:sz w:val="28"/>
                <w:szCs w:val="28"/>
              </w:rPr>
              <w:t>重庆市矿产资源总体规划（2021-2025年）</w:t>
            </w:r>
            <w:r>
              <w:rPr>
                <w:rFonts w:hint="eastAsia"/>
                <w:b/>
                <w:kern w:val="0"/>
                <w:sz w:val="28"/>
                <w:szCs w:val="28"/>
              </w:rPr>
              <w:t>》</w:t>
            </w:r>
            <w:r>
              <w:rPr>
                <w:b/>
                <w:kern w:val="0"/>
                <w:sz w:val="28"/>
                <w:szCs w:val="28"/>
              </w:rPr>
              <w:t>的符合性分析</w:t>
            </w:r>
          </w:p>
          <w:p>
            <w:pPr>
              <w:autoSpaceDE w:val="0"/>
              <w:autoSpaceDN w:val="0"/>
              <w:adjustRightInd w:val="0"/>
              <w:snapToGrid w:val="0"/>
              <w:spacing w:line="360" w:lineRule="auto"/>
              <w:ind w:firstLine="480" w:firstLineChars="200"/>
              <w:rPr>
                <w:kern w:val="0"/>
                <w:sz w:val="24"/>
              </w:rPr>
            </w:pPr>
            <w:r>
              <w:rPr>
                <w:kern w:val="0"/>
                <w:sz w:val="24"/>
              </w:rPr>
              <w:t>2022年10月24日，重庆市人民政府办公厅</w:t>
            </w:r>
            <w:r>
              <w:rPr>
                <w:rFonts w:ascii="宋体" w:hAnsi="宋体"/>
                <w:kern w:val="0"/>
                <w:sz w:val="24"/>
              </w:rPr>
              <w:t>以“渝</w:t>
            </w:r>
            <w:r>
              <w:rPr>
                <w:kern w:val="0"/>
                <w:sz w:val="24"/>
              </w:rPr>
              <w:t>府办发〔2022〕113号</w:t>
            </w:r>
            <w:r>
              <w:rPr>
                <w:rFonts w:ascii="宋体" w:hAnsi="宋体"/>
                <w:kern w:val="0"/>
                <w:sz w:val="24"/>
              </w:rPr>
              <w:t>”</w:t>
            </w:r>
            <w:r>
              <w:rPr>
                <w:kern w:val="0"/>
                <w:sz w:val="24"/>
              </w:rPr>
              <w:t>文对《重庆市矿产资源总体规划（2021-2025年）》进行了发布，对照该规划，其主要规划内容与拟建项目符合性关系见表1-1。</w:t>
            </w:r>
          </w:p>
          <w:p>
            <w:pPr>
              <w:autoSpaceDE w:val="0"/>
              <w:autoSpaceDN w:val="0"/>
              <w:adjustRightInd w:val="0"/>
              <w:snapToGrid w:val="0"/>
              <w:jc w:val="center"/>
              <w:rPr>
                <w:kern w:val="0"/>
                <w:sz w:val="24"/>
              </w:rPr>
            </w:pPr>
            <w:r>
              <w:rPr>
                <w:b/>
                <w:kern w:val="0"/>
                <w:sz w:val="24"/>
              </w:rPr>
              <w:t>表1-1  拟建项目与《重庆市矿产资源总体规划（2021-2025年）》的符合性分析</w:t>
            </w:r>
          </w:p>
          <w:tbl>
            <w:tblPr>
              <w:tblStyle w:val="15"/>
              <w:tblW w:w="92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3951"/>
              <w:gridCol w:w="3247"/>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1089" w:type="dxa"/>
                  <w:vAlign w:val="center"/>
                </w:tcPr>
                <w:p>
                  <w:pPr>
                    <w:spacing w:line="300" w:lineRule="exact"/>
                    <w:jc w:val="center"/>
                  </w:pPr>
                  <w:r>
                    <w:t>项目</w:t>
                  </w:r>
                </w:p>
              </w:tc>
              <w:tc>
                <w:tcPr>
                  <w:tcW w:w="3951" w:type="dxa"/>
                  <w:vAlign w:val="center"/>
                </w:tcPr>
                <w:p>
                  <w:pPr>
                    <w:spacing w:line="300" w:lineRule="exact"/>
                    <w:jc w:val="center"/>
                  </w:pPr>
                  <w:r>
                    <w:rPr>
                      <w:rFonts w:hint="eastAsia"/>
                    </w:rPr>
                    <w:t>“</w:t>
                  </w:r>
                  <w:r>
                    <w:t>十四五</w:t>
                  </w:r>
                  <w:r>
                    <w:rPr>
                      <w:rFonts w:hint="eastAsia"/>
                    </w:rPr>
                    <w:t>”</w:t>
                  </w:r>
                  <w:r>
                    <w:t>矿产资源总体规划</w:t>
                  </w:r>
                </w:p>
              </w:tc>
              <w:tc>
                <w:tcPr>
                  <w:tcW w:w="3247" w:type="dxa"/>
                  <w:vAlign w:val="center"/>
                </w:tcPr>
                <w:p>
                  <w:pPr>
                    <w:spacing w:line="300" w:lineRule="exact"/>
                    <w:jc w:val="center"/>
                  </w:pPr>
                  <w:r>
                    <w:t>拟建项目情况</w:t>
                  </w:r>
                </w:p>
              </w:tc>
              <w:tc>
                <w:tcPr>
                  <w:tcW w:w="938" w:type="dxa"/>
                  <w:vAlign w:val="center"/>
                </w:tcPr>
                <w:p>
                  <w:pPr>
                    <w:spacing w:line="300" w:lineRule="exact"/>
                    <w:jc w:val="center"/>
                  </w:pPr>
                  <w: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9" w:type="dxa"/>
                  <w:vAlign w:val="center"/>
                </w:tcPr>
                <w:p>
                  <w:pPr>
                    <w:spacing w:line="300" w:lineRule="exact"/>
                    <w:jc w:val="center"/>
                  </w:pPr>
                  <w:r>
                    <w:t>规划目标</w:t>
                  </w:r>
                </w:p>
              </w:tc>
              <w:tc>
                <w:tcPr>
                  <w:tcW w:w="3951" w:type="dxa"/>
                  <w:vAlign w:val="center"/>
                </w:tcPr>
                <w:p>
                  <w:pPr>
                    <w:spacing w:line="300" w:lineRule="exact"/>
                    <w:ind w:firstLine="420" w:firstLineChars="200"/>
                  </w:pPr>
                  <w:r>
                    <w:t>到2025年，矿产资源供应能力稳步提升，基本保障经济社会发展的资源需求，基本形成节约高效、环境友好、矿地和谐的矿业绿色发展高质量发展格局，现代化的治理体系和治理能力在矿产资源领域基本形成。</w:t>
                  </w:r>
                </w:p>
              </w:tc>
              <w:tc>
                <w:tcPr>
                  <w:tcW w:w="3247" w:type="dxa"/>
                  <w:vAlign w:val="center"/>
                </w:tcPr>
                <w:p>
                  <w:pPr>
                    <w:spacing w:line="300" w:lineRule="exact"/>
                    <w:ind w:firstLine="420" w:firstLineChars="200"/>
                  </w:pPr>
                  <w:r>
                    <w:t>拟建项目投产后为区域年供应51万吨</w:t>
                  </w:r>
                  <w:r>
                    <w:rPr>
                      <w:rFonts w:hint="eastAsia"/>
                      <w:color w:val="0000FF"/>
                    </w:rPr>
                    <w:t>建筑石料用</w:t>
                  </w:r>
                  <w:r>
                    <w:rPr>
                      <w:rFonts w:hint="eastAsia"/>
                    </w:rPr>
                    <w:t>灰岩</w:t>
                  </w:r>
                  <w:r>
                    <w:t>，可提高区域资源供应量。</w:t>
                  </w:r>
                </w:p>
              </w:tc>
              <w:tc>
                <w:tcPr>
                  <w:tcW w:w="93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9" w:type="dxa"/>
                  <w:vAlign w:val="center"/>
                </w:tcPr>
                <w:p>
                  <w:pPr>
                    <w:spacing w:line="300" w:lineRule="exact"/>
                    <w:jc w:val="center"/>
                  </w:pPr>
                  <w:r>
                    <w:t>开采总量</w:t>
                  </w:r>
                </w:p>
              </w:tc>
              <w:tc>
                <w:tcPr>
                  <w:tcW w:w="3951" w:type="dxa"/>
                  <w:vAlign w:val="center"/>
                </w:tcPr>
                <w:p>
                  <w:pPr>
                    <w:spacing w:line="300" w:lineRule="exact"/>
                    <w:ind w:firstLine="420" w:firstLineChars="200"/>
                    <w:rPr>
                      <w:highlight w:val="yellow"/>
                    </w:rPr>
                  </w:pPr>
                  <w:r>
                    <w:t>到2025年，全市建筑石料用灰岩开采总量在32000万吨/年左右，水泥用灰岩在11000万吨/年左右。其中，酉阳土家族苗族自治县水泥用灰岩</w:t>
                  </w:r>
                  <w:r>
                    <w:rPr>
                      <w:rFonts w:hint="eastAsia"/>
                    </w:rPr>
                    <w:t>指标200</w:t>
                  </w:r>
                  <w:r>
                    <w:t>万吨/年</w:t>
                  </w:r>
                  <w:r>
                    <w:rPr>
                      <w:rFonts w:hint="eastAsia"/>
                      <w:color w:val="0000FF"/>
                    </w:rPr>
                    <w:t>、建筑石料用灰岩指标900</w:t>
                  </w:r>
                  <w:r>
                    <w:rPr>
                      <w:color w:val="0000FF"/>
                    </w:rPr>
                    <w:t>万吨/年。</w:t>
                  </w:r>
                </w:p>
              </w:tc>
              <w:tc>
                <w:tcPr>
                  <w:tcW w:w="3247" w:type="dxa"/>
                  <w:vAlign w:val="center"/>
                </w:tcPr>
                <w:p>
                  <w:pPr>
                    <w:spacing w:line="300" w:lineRule="exact"/>
                    <w:ind w:firstLine="420" w:firstLineChars="200"/>
                    <w:rPr>
                      <w:color w:val="0000FF"/>
                    </w:rPr>
                  </w:pPr>
                  <w:r>
                    <w:t>根据</w:t>
                  </w:r>
                  <w:r>
                    <w:rPr>
                      <w:rFonts w:hint="eastAsia"/>
                    </w:rPr>
                    <w:t>《</w:t>
                  </w:r>
                  <w:r>
                    <w:t>重庆市酉阳土家族苗族自治县矿产资源总体规划（2021-2025年）</w:t>
                  </w:r>
                  <w:r>
                    <w:rPr>
                      <w:rFonts w:hint="eastAsia"/>
                    </w:rPr>
                    <w:t>》</w:t>
                  </w:r>
                  <w:r>
                    <w:t>，</w:t>
                  </w:r>
                  <w:r>
                    <w:rPr>
                      <w:rFonts w:ascii="宋体" w:hAnsi="宋体"/>
                    </w:rPr>
                    <w:t>“十四五”</w:t>
                  </w:r>
                  <w:r>
                    <w:t>期间</w:t>
                  </w:r>
                  <w:r>
                    <w:rPr>
                      <w:rFonts w:hint="eastAsia"/>
                    </w:rPr>
                    <w:t>，</w:t>
                  </w:r>
                  <w:r>
                    <w:t>酉阳全县</w:t>
                  </w:r>
                  <w:r>
                    <w:rPr>
                      <w:rFonts w:hint="eastAsia"/>
                    </w:rPr>
                    <w:t>共规划</w:t>
                  </w:r>
                  <w:r>
                    <w:rPr>
                      <w:rFonts w:hint="eastAsia"/>
                      <w:color w:val="0000FF"/>
                    </w:rPr>
                    <w:t>建筑石料用灰岩矿权31个，约束性</w:t>
                  </w:r>
                  <w:r>
                    <w:rPr>
                      <w:color w:val="0000FF"/>
                    </w:rPr>
                    <w:t>开采总量为</w:t>
                  </w:r>
                  <w:r>
                    <w:rPr>
                      <w:rFonts w:hint="eastAsia"/>
                      <w:color w:val="0000FF"/>
                    </w:rPr>
                    <w:t>9</w:t>
                  </w:r>
                  <w:r>
                    <w:rPr>
                      <w:color w:val="0000FF"/>
                    </w:rPr>
                    <w:t>00万吨/年</w:t>
                  </w:r>
                  <w:r>
                    <w:rPr>
                      <w:rFonts w:hint="eastAsia"/>
                      <w:color w:val="0000FF"/>
                    </w:rPr>
                    <w:t>。目前，已实施建筑石料用灰岩矿24个，开采总量535</w:t>
                  </w:r>
                  <w:r>
                    <w:rPr>
                      <w:color w:val="0000FF"/>
                    </w:rPr>
                    <w:t>万吨/年</w:t>
                  </w:r>
                  <w:r>
                    <w:rPr>
                      <w:rFonts w:hint="eastAsia"/>
                      <w:color w:val="0000FF"/>
                    </w:rPr>
                    <w:t>。</w:t>
                  </w:r>
                </w:p>
                <w:p>
                  <w:pPr>
                    <w:spacing w:line="300" w:lineRule="exact"/>
                    <w:ind w:firstLine="420" w:firstLineChars="200"/>
                    <w:rPr>
                      <w:highlight w:val="yellow"/>
                    </w:rPr>
                  </w:pPr>
                  <w:r>
                    <w:rPr>
                      <w:rFonts w:hint="eastAsia"/>
                    </w:rPr>
                    <w:t>拟建项目实施后，规模扩大至51万吨/年，届时</w:t>
                  </w:r>
                  <w:r>
                    <w:t>酉阳全县</w:t>
                  </w:r>
                  <w:r>
                    <w:rPr>
                      <w:rFonts w:hint="eastAsia"/>
                      <w:color w:val="0000FF"/>
                    </w:rPr>
                    <w:t>建筑石料</w:t>
                  </w:r>
                  <w:r>
                    <w:rPr>
                      <w:rFonts w:hint="eastAsia"/>
                    </w:rPr>
                    <w:t>用灰岩开采总量为</w:t>
                  </w:r>
                  <w:r>
                    <w:rPr>
                      <w:rFonts w:hint="eastAsia"/>
                      <w:color w:val="0000FF"/>
                    </w:rPr>
                    <w:t>566</w:t>
                  </w:r>
                  <w:r>
                    <w:rPr>
                      <w:rFonts w:hint="eastAsia"/>
                    </w:rPr>
                    <w:t>万吨/年，不超过全县</w:t>
                  </w:r>
                  <w:r>
                    <w:rPr>
                      <w:rFonts w:hint="eastAsia"/>
                      <w:color w:val="0000FF"/>
                    </w:rPr>
                    <w:t>900</w:t>
                  </w:r>
                  <w:r>
                    <w:t>万吨/年</w:t>
                  </w:r>
                  <w:r>
                    <w:rPr>
                      <w:rFonts w:hint="eastAsia"/>
                    </w:rPr>
                    <w:t>的总量约束性指标</w:t>
                  </w:r>
                  <w:r>
                    <w:t>。</w:t>
                  </w:r>
                </w:p>
              </w:tc>
              <w:tc>
                <w:tcPr>
                  <w:tcW w:w="93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9" w:type="dxa"/>
                  <w:vAlign w:val="center"/>
                </w:tcPr>
                <w:p>
                  <w:pPr>
                    <w:spacing w:line="300" w:lineRule="exact"/>
                    <w:jc w:val="center"/>
                  </w:pPr>
                  <w:r>
                    <w:t>最低开采规模</w:t>
                  </w:r>
                </w:p>
              </w:tc>
              <w:tc>
                <w:tcPr>
                  <w:tcW w:w="3951" w:type="dxa"/>
                  <w:vAlign w:val="center"/>
                </w:tcPr>
                <w:p>
                  <w:pPr>
                    <w:spacing w:line="300" w:lineRule="exact"/>
                    <w:ind w:firstLine="420" w:firstLineChars="200"/>
                  </w:pPr>
                  <w:r>
                    <w:t>水泥用灰岩新设矿山生产规模不低于100万吨/年，整合及增划资源的矿山不低于50万吨/年。</w:t>
                  </w:r>
                </w:p>
                <w:p>
                  <w:pPr>
                    <w:spacing w:line="300" w:lineRule="exact"/>
                    <w:ind w:firstLine="420" w:firstLineChars="200"/>
                  </w:pPr>
                  <w:r>
                    <w:t>主城都市区建筑石料用灰岩新设矿山生产规模不低于100万吨/年，整合及增划资源的矿山不低于50万吨/年；渝东北、渝东南各区县建筑石料用灰岩矿山不低于20万吨/年。</w:t>
                  </w:r>
                </w:p>
                <w:p>
                  <w:pPr>
                    <w:spacing w:line="300" w:lineRule="exact"/>
                    <w:ind w:firstLine="420" w:firstLineChars="200"/>
                  </w:pPr>
                  <w:r>
                    <w:t>铝土矿新建矿山不低于10万吨/年。</w:t>
                  </w:r>
                </w:p>
                <w:p>
                  <w:pPr>
                    <w:spacing w:line="300" w:lineRule="exact"/>
                    <w:ind w:firstLine="420" w:firstLineChars="200"/>
                  </w:pPr>
                  <w:r>
                    <w:t>萤石（普通）、重晶石新建矿山不低于3万吨/年。</w:t>
                  </w:r>
                </w:p>
                <w:p>
                  <w:pPr>
                    <w:spacing w:line="300" w:lineRule="exact"/>
                    <w:ind w:firstLine="420" w:firstLineChars="200"/>
                  </w:pPr>
                  <w:r>
                    <w:t>饰面石材新建矿山不低于1万立方米/年。</w:t>
                  </w:r>
                </w:p>
              </w:tc>
              <w:tc>
                <w:tcPr>
                  <w:tcW w:w="3247" w:type="dxa"/>
                  <w:vAlign w:val="center"/>
                </w:tcPr>
                <w:p>
                  <w:pPr>
                    <w:spacing w:line="300" w:lineRule="exact"/>
                    <w:ind w:firstLine="420" w:firstLineChars="200"/>
                  </w:pPr>
                  <w:r>
                    <w:t>拟建项目位于酉阳土家族苗族自治县，属于渝东南区域，项目</w:t>
                  </w:r>
                  <w:r>
                    <w:rPr>
                      <w:rFonts w:hint="eastAsia"/>
                      <w:color w:val="0000FF"/>
                    </w:rPr>
                    <w:t>建筑石料用</w:t>
                  </w:r>
                  <w:r>
                    <w:rPr>
                      <w:rFonts w:hint="eastAsia"/>
                    </w:rPr>
                    <w:t>灰岩</w:t>
                  </w:r>
                  <w:r>
                    <w:t>设计开采规模51万t/a，高于最低准入开采规模。</w:t>
                  </w:r>
                </w:p>
              </w:tc>
              <w:tc>
                <w:tcPr>
                  <w:tcW w:w="93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9" w:type="dxa"/>
                  <w:vAlign w:val="center"/>
                </w:tcPr>
                <w:p>
                  <w:pPr>
                    <w:spacing w:line="300" w:lineRule="exact"/>
                    <w:jc w:val="center"/>
                  </w:pPr>
                  <w:r>
                    <w:t>矿山规模结构</w:t>
                  </w:r>
                </w:p>
              </w:tc>
              <w:tc>
                <w:tcPr>
                  <w:tcW w:w="3951" w:type="dxa"/>
                  <w:vAlign w:val="center"/>
                </w:tcPr>
                <w:p>
                  <w:pPr>
                    <w:spacing w:line="300" w:lineRule="exact"/>
                    <w:ind w:firstLine="420" w:firstLineChars="200"/>
                  </w:pPr>
                  <w:r>
                    <w:t>鼓励和引导矿业企业重组改造、转型升级，培育集勘查、开发、加工、科研于一体的大型矿业集团，有序推进小型矿山的整合，促进资源的规模化利用。到2025年，全市大中型矿山比例不低于60%。</w:t>
                  </w:r>
                </w:p>
              </w:tc>
              <w:tc>
                <w:tcPr>
                  <w:tcW w:w="3247" w:type="dxa"/>
                  <w:vAlign w:val="center"/>
                </w:tcPr>
                <w:p>
                  <w:pPr>
                    <w:spacing w:line="300" w:lineRule="exact"/>
                    <w:ind w:firstLine="420" w:firstLineChars="200"/>
                  </w:pPr>
                  <w:r>
                    <w:t>拟建项目</w:t>
                  </w:r>
                  <w:r>
                    <w:rPr>
                      <w:rFonts w:hint="eastAsia"/>
                    </w:rPr>
                    <w:t>实施后，矿山由小型矿山提升为中</w:t>
                  </w:r>
                  <w:r>
                    <w:t>型矿山</w:t>
                  </w:r>
                  <w:r>
                    <w:rPr>
                      <w:rFonts w:hint="eastAsia"/>
                    </w:rPr>
                    <w:t>，可提升全市</w:t>
                  </w:r>
                  <w:r>
                    <w:t>大中型矿山比例。</w:t>
                  </w:r>
                </w:p>
              </w:tc>
              <w:tc>
                <w:tcPr>
                  <w:tcW w:w="93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9" w:type="dxa"/>
                  <w:vAlign w:val="center"/>
                </w:tcPr>
                <w:p>
                  <w:pPr>
                    <w:spacing w:line="300" w:lineRule="exact"/>
                    <w:jc w:val="center"/>
                  </w:pPr>
                  <w:r>
                    <w:t>矿业绿色发展</w:t>
                  </w:r>
                </w:p>
              </w:tc>
              <w:tc>
                <w:tcPr>
                  <w:tcW w:w="3951" w:type="dxa"/>
                  <w:vAlign w:val="center"/>
                </w:tcPr>
                <w:p>
                  <w:pPr>
                    <w:spacing w:line="300" w:lineRule="exact"/>
                    <w:ind w:firstLine="420" w:firstLineChars="200"/>
                  </w:pPr>
                  <w:r>
                    <w:t>全面推进绿色矿山建设，健全绿色矿山建设长效机制、完善常态化监管体系。加强新建矿山准入管理，确保新设采矿权按照绿色矿山建设要求建成投产。持续巩固市级绿色矿山建设成效，对照国家级绿色矿山名录遴选要求，提档升级绿色矿山建设。</w:t>
                  </w:r>
                </w:p>
              </w:tc>
              <w:tc>
                <w:tcPr>
                  <w:tcW w:w="3247" w:type="dxa"/>
                  <w:vAlign w:val="center"/>
                </w:tcPr>
                <w:p>
                  <w:pPr>
                    <w:spacing w:line="300" w:lineRule="exact"/>
                    <w:ind w:firstLine="420" w:firstLineChars="200"/>
                  </w:pPr>
                  <w:r>
                    <w:t>拟建项目正在编制绿色矿山实施方案，将按照绿色矿山实施方案的要求予以建设。建成后将依规纳入酉阳县年度绿色矿山验收考核指标，严格落实各项绿色矿山实施措施。</w:t>
                  </w:r>
                </w:p>
              </w:tc>
              <w:tc>
                <w:tcPr>
                  <w:tcW w:w="938" w:type="dxa"/>
                  <w:vAlign w:val="center"/>
                </w:tcPr>
                <w:p>
                  <w:pPr>
                    <w:spacing w:line="300" w:lineRule="exact"/>
                    <w:jc w:val="center"/>
                  </w:pPr>
                  <w:r>
                    <w:t>符合</w:t>
                  </w:r>
                </w:p>
              </w:tc>
            </w:tr>
          </w:tbl>
          <w:p>
            <w:pPr>
              <w:autoSpaceDE w:val="0"/>
              <w:autoSpaceDN w:val="0"/>
              <w:adjustRightInd w:val="0"/>
              <w:snapToGrid w:val="0"/>
              <w:spacing w:line="360" w:lineRule="auto"/>
              <w:ind w:firstLine="480" w:firstLineChars="200"/>
              <w:rPr>
                <w:kern w:val="0"/>
                <w:sz w:val="24"/>
              </w:rPr>
            </w:pPr>
            <w:r>
              <w:rPr>
                <w:kern w:val="0"/>
                <w:sz w:val="24"/>
              </w:rPr>
              <w:t>综上，根据项目设计，拟建项目符合</w:t>
            </w:r>
            <w:r>
              <w:rPr>
                <w:rFonts w:hint="eastAsia"/>
                <w:kern w:val="0"/>
                <w:sz w:val="24"/>
              </w:rPr>
              <w:t>《</w:t>
            </w:r>
            <w:r>
              <w:rPr>
                <w:kern w:val="0"/>
                <w:sz w:val="24"/>
              </w:rPr>
              <w:t>重庆市矿产资源总体规划（2021-2025年）</w:t>
            </w:r>
            <w:r>
              <w:rPr>
                <w:rFonts w:hint="eastAsia"/>
                <w:kern w:val="0"/>
                <w:sz w:val="24"/>
              </w:rPr>
              <w:t>》</w:t>
            </w:r>
            <w:r>
              <w:rPr>
                <w:kern w:val="0"/>
                <w:sz w:val="24"/>
              </w:rPr>
              <w:t>的相关规定。</w:t>
            </w:r>
          </w:p>
          <w:p>
            <w:pPr>
              <w:autoSpaceDE w:val="0"/>
              <w:autoSpaceDN w:val="0"/>
              <w:adjustRightInd w:val="0"/>
              <w:snapToGrid w:val="0"/>
              <w:spacing w:line="360" w:lineRule="auto"/>
              <w:ind w:firstLine="562" w:firstLineChars="200"/>
              <w:rPr>
                <w:b/>
                <w:kern w:val="0"/>
                <w:sz w:val="28"/>
                <w:szCs w:val="28"/>
              </w:rPr>
            </w:pPr>
            <w:r>
              <w:rPr>
                <w:b/>
                <w:kern w:val="0"/>
                <w:sz w:val="28"/>
                <w:szCs w:val="28"/>
              </w:rPr>
              <w:t>1.2、与</w:t>
            </w:r>
            <w:r>
              <w:rPr>
                <w:rFonts w:hint="eastAsia"/>
                <w:b/>
                <w:kern w:val="0"/>
                <w:sz w:val="28"/>
                <w:szCs w:val="28"/>
              </w:rPr>
              <w:t>《</w:t>
            </w:r>
            <w:r>
              <w:rPr>
                <w:b/>
                <w:kern w:val="0"/>
                <w:sz w:val="28"/>
                <w:szCs w:val="28"/>
              </w:rPr>
              <w:t>重庆市矿产资源总体规划（2021-2025年）环境影响报告书</w:t>
            </w:r>
            <w:r>
              <w:rPr>
                <w:rFonts w:hint="eastAsia"/>
                <w:b/>
                <w:kern w:val="0"/>
                <w:sz w:val="28"/>
                <w:szCs w:val="28"/>
              </w:rPr>
              <w:t>》</w:t>
            </w:r>
            <w:r>
              <w:rPr>
                <w:b/>
                <w:kern w:val="0"/>
                <w:sz w:val="28"/>
                <w:szCs w:val="28"/>
              </w:rPr>
              <w:t>的符合性分析</w:t>
            </w:r>
          </w:p>
          <w:p>
            <w:pPr>
              <w:autoSpaceDE w:val="0"/>
              <w:autoSpaceDN w:val="0"/>
              <w:adjustRightInd w:val="0"/>
              <w:snapToGrid w:val="0"/>
              <w:spacing w:line="360" w:lineRule="auto"/>
              <w:ind w:firstLine="480" w:firstLineChars="200"/>
              <w:rPr>
                <w:kern w:val="0"/>
                <w:sz w:val="24"/>
              </w:rPr>
            </w:pPr>
            <w:r>
              <w:rPr>
                <w:kern w:val="0"/>
                <w:sz w:val="24"/>
              </w:rPr>
              <w:t>2022年5月30日，中华人民共和国生态环境部以</w:t>
            </w:r>
            <w:r>
              <w:rPr>
                <w:rFonts w:ascii="宋体" w:hAnsi="宋体"/>
                <w:kern w:val="0"/>
                <w:sz w:val="24"/>
              </w:rPr>
              <w:t>“环</w:t>
            </w:r>
            <w:r>
              <w:rPr>
                <w:kern w:val="0"/>
                <w:sz w:val="24"/>
              </w:rPr>
              <w:t>审〔2022〕64号</w:t>
            </w:r>
            <w:r>
              <w:rPr>
                <w:rFonts w:ascii="宋体" w:hAnsi="宋体"/>
                <w:kern w:val="0"/>
                <w:sz w:val="24"/>
              </w:rPr>
              <w:t>”</w:t>
            </w:r>
            <w:r>
              <w:rPr>
                <w:kern w:val="0"/>
                <w:sz w:val="24"/>
              </w:rPr>
              <w:t>对</w:t>
            </w:r>
            <w:r>
              <w:rPr>
                <w:rFonts w:hint="eastAsia"/>
                <w:kern w:val="0"/>
                <w:sz w:val="24"/>
              </w:rPr>
              <w:t>《</w:t>
            </w:r>
            <w:r>
              <w:rPr>
                <w:kern w:val="0"/>
                <w:sz w:val="24"/>
              </w:rPr>
              <w:t>重庆市矿产资源总体规划（2021-2025年）环境影响报告书</w:t>
            </w:r>
            <w:r>
              <w:rPr>
                <w:rFonts w:hint="eastAsia"/>
                <w:kern w:val="0"/>
                <w:sz w:val="24"/>
              </w:rPr>
              <w:t>》</w:t>
            </w:r>
            <w:r>
              <w:rPr>
                <w:kern w:val="0"/>
                <w:sz w:val="24"/>
              </w:rPr>
              <w:t>进行了批复。项目与相关要求的符合性分析详见表1-2。</w:t>
            </w:r>
          </w:p>
          <w:p>
            <w:pPr>
              <w:autoSpaceDE w:val="0"/>
              <w:autoSpaceDN w:val="0"/>
              <w:adjustRightInd w:val="0"/>
              <w:snapToGrid w:val="0"/>
              <w:jc w:val="center"/>
              <w:rPr>
                <w:kern w:val="0"/>
                <w:sz w:val="24"/>
              </w:rPr>
            </w:pPr>
            <w:r>
              <w:rPr>
                <w:b/>
                <w:kern w:val="0"/>
                <w:sz w:val="24"/>
              </w:rPr>
              <w:t>表1-2  与《重庆市矿产资源总体规划（2021-2025年）环境影响报告书》的符合性分析</w:t>
            </w:r>
          </w:p>
          <w:tbl>
            <w:tblPr>
              <w:tblStyle w:val="15"/>
              <w:tblW w:w="92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426"/>
              <w:gridCol w:w="3059"/>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rPr>
              <w:tc>
                <w:tcPr>
                  <w:tcW w:w="805" w:type="dxa"/>
                  <w:vAlign w:val="center"/>
                </w:tcPr>
                <w:p>
                  <w:pPr>
                    <w:spacing w:line="300" w:lineRule="exact"/>
                    <w:jc w:val="center"/>
                  </w:pPr>
                  <w:r>
                    <w:t>管控要求</w:t>
                  </w:r>
                </w:p>
              </w:tc>
              <w:tc>
                <w:tcPr>
                  <w:tcW w:w="4426" w:type="dxa"/>
                  <w:vAlign w:val="center"/>
                </w:tcPr>
                <w:p>
                  <w:pPr>
                    <w:spacing w:line="300" w:lineRule="exact"/>
                    <w:jc w:val="center"/>
                  </w:pPr>
                  <w:r>
                    <w:t>重</w:t>
                  </w:r>
                  <w:r>
                    <w:rPr>
                      <w:rFonts w:ascii="宋体" w:hAnsi="宋体"/>
                    </w:rPr>
                    <w:t>庆“十四五”矿规</w:t>
                  </w:r>
                  <w:r>
                    <w:t>规划环评</w:t>
                  </w:r>
                </w:p>
              </w:tc>
              <w:tc>
                <w:tcPr>
                  <w:tcW w:w="3059" w:type="dxa"/>
                  <w:vAlign w:val="center"/>
                </w:tcPr>
                <w:p>
                  <w:pPr>
                    <w:spacing w:line="300" w:lineRule="exact"/>
                    <w:jc w:val="center"/>
                  </w:pPr>
                  <w:r>
                    <w:t>拟建项目建设情况</w:t>
                  </w:r>
                </w:p>
              </w:tc>
              <w:tc>
                <w:tcPr>
                  <w:tcW w:w="935" w:type="dxa"/>
                  <w:vAlign w:val="center"/>
                </w:tcPr>
                <w:p>
                  <w:pPr>
                    <w:spacing w:line="300" w:lineRule="exact"/>
                    <w:jc w:val="center"/>
                  </w:pPr>
                  <w: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trPr>
              <w:tc>
                <w:tcPr>
                  <w:tcW w:w="805" w:type="dxa"/>
                  <w:vMerge w:val="restart"/>
                  <w:vAlign w:val="center"/>
                </w:tcPr>
                <w:p>
                  <w:pPr>
                    <w:spacing w:line="300" w:lineRule="exact"/>
                    <w:jc w:val="center"/>
                  </w:pPr>
                  <w:r>
                    <w:t>严守划定的生态保护红线，依法遵守禁止开发区规定，加强规划空间管制，合法开展矿产资源勘查和开发利用与保护</w:t>
                  </w:r>
                </w:p>
              </w:tc>
              <w:tc>
                <w:tcPr>
                  <w:tcW w:w="4426" w:type="dxa"/>
                  <w:vAlign w:val="center"/>
                </w:tcPr>
                <w:p>
                  <w:pPr>
                    <w:spacing w:line="300" w:lineRule="exact"/>
                    <w:ind w:firstLine="420" w:firstLineChars="200"/>
                  </w:pPr>
                  <w:r>
                    <w:rPr>
                      <w:rFonts w:hint="eastAsia" w:ascii="宋体" w:hAnsi="宋体" w:cs="宋体"/>
                    </w:rPr>
                    <w:t>①</w:t>
                  </w:r>
                  <w:r>
                    <w:t>将生态保护红线作为保障和维护区域生态安全的底线，按照生态优先的原则，依法实施强制性保护；生态保护红线内，自然保护地核心保护区原则上禁止人为活动，其他区域严格禁止开发性、生产性建设活动，在符合现行法律法规前提下，除国家重大战略项目外，仅允许对生态功能不造成破坏的有限人为活动，包括因国家重大能源资源安全需要开展的战略性能源资源勘查，公益性自然资源调查和地质勘查。禁止在依法划定的自然保护区、风景名胜区、森林公园、地质公园、湿地公园、世界文化和自然遗产地、永久基本农田、饮用水水源保护区、城镇开发边界等重要生态保护地以及其他法律法规规定的禁采区域内采矿。</w:t>
                  </w:r>
                </w:p>
              </w:tc>
              <w:tc>
                <w:tcPr>
                  <w:tcW w:w="3059" w:type="dxa"/>
                  <w:vAlign w:val="center"/>
                </w:tcPr>
                <w:p>
                  <w:pPr>
                    <w:spacing w:line="300" w:lineRule="exact"/>
                    <w:ind w:firstLine="420" w:firstLineChars="200"/>
                  </w:pPr>
                  <w:r>
                    <w:t>拟建项目用地范围不涉及</w:t>
                  </w:r>
                  <w:r>
                    <w:rPr>
                      <w:rFonts w:hint="eastAsia"/>
                    </w:rPr>
                    <w:t>生态保护红线、</w:t>
                  </w:r>
                  <w:r>
                    <w:t>自然保护地</w:t>
                  </w:r>
                  <w:r>
                    <w:rPr>
                      <w:rFonts w:hint="eastAsia"/>
                    </w:rPr>
                    <w:t>、</w:t>
                  </w:r>
                  <w:r>
                    <w:t>自然保护区、风景名胜区、森林公园、地质公园、湿地公园、世界文化和自然遗产地、永久基本农田、饮用水水源保护区、城镇开发边界。</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805" w:type="dxa"/>
                  <w:vMerge w:val="continue"/>
                  <w:vAlign w:val="center"/>
                </w:tcPr>
                <w:p>
                  <w:pPr>
                    <w:spacing w:line="300" w:lineRule="exact"/>
                    <w:ind w:firstLine="420" w:firstLineChars="200"/>
                  </w:pPr>
                </w:p>
              </w:tc>
              <w:tc>
                <w:tcPr>
                  <w:tcW w:w="4426" w:type="dxa"/>
                  <w:vAlign w:val="center"/>
                </w:tcPr>
                <w:p>
                  <w:pPr>
                    <w:spacing w:line="300" w:lineRule="exact"/>
                    <w:ind w:firstLine="420" w:firstLineChars="200"/>
                  </w:pPr>
                  <w:r>
                    <w:rPr>
                      <w:rFonts w:hint="eastAsia" w:ascii="宋体" w:hAnsi="宋体" w:cs="宋体"/>
                    </w:rPr>
                    <w:t>②</w:t>
                  </w:r>
                  <w:r>
                    <w:t>与生态保护红线和自然保护区等生态敏感区存在空间冲突的探矿权或区块，有关重叠区域应予以避让或不纳入《规划》。因国家重大战略资源勘查需要，在不影响生态保护红线主体功能定位的前提下，经依法批准后可予以安排勘查项目。</w:t>
                  </w:r>
                </w:p>
              </w:tc>
              <w:tc>
                <w:tcPr>
                  <w:tcW w:w="3059" w:type="dxa"/>
                  <w:vAlign w:val="center"/>
                </w:tcPr>
                <w:p>
                  <w:pPr>
                    <w:spacing w:line="300" w:lineRule="exact"/>
                    <w:ind w:firstLine="420" w:firstLineChars="200"/>
                  </w:pPr>
                  <w:r>
                    <w:t>拟建项目用地范围不涉及生态保护红线和自然保护区等生态敏感区。</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805" w:type="dxa"/>
                  <w:vMerge w:val="continue"/>
                  <w:vAlign w:val="center"/>
                </w:tcPr>
                <w:p>
                  <w:pPr>
                    <w:spacing w:line="300" w:lineRule="exact"/>
                    <w:ind w:firstLine="420" w:firstLineChars="200"/>
                  </w:pPr>
                </w:p>
              </w:tc>
              <w:tc>
                <w:tcPr>
                  <w:tcW w:w="4426" w:type="dxa"/>
                  <w:vAlign w:val="center"/>
                </w:tcPr>
                <w:p>
                  <w:pPr>
                    <w:spacing w:line="300" w:lineRule="exact"/>
                    <w:ind w:firstLine="420" w:firstLineChars="200"/>
                  </w:pPr>
                  <w:r>
                    <w:rPr>
                      <w:rFonts w:hint="eastAsia" w:ascii="宋体" w:hAnsi="宋体" w:cs="宋体"/>
                    </w:rPr>
                    <w:t>③</w:t>
                  </w:r>
                  <w:r>
                    <w:t>与生态保护红线存在空间冲突的开采区及其他可能的矿产资源开发活动，有关重叠区域应予以避让或不纳入《规划》；区域内已存在的矿产开发，应依法有序退出并及时开展生态恢复。与自然保护区等生态敏感区存在空间冲突的开采区及其他可能的矿产资源开发活动，有关重叠区域应予以避让或不纳入《规划》，避免影响生态服务功能。</w:t>
                  </w:r>
                </w:p>
              </w:tc>
              <w:tc>
                <w:tcPr>
                  <w:tcW w:w="3059" w:type="dxa"/>
                  <w:vAlign w:val="center"/>
                </w:tcPr>
                <w:p>
                  <w:pPr>
                    <w:spacing w:line="300" w:lineRule="exact"/>
                    <w:ind w:firstLine="420" w:firstLineChars="200"/>
                  </w:pPr>
                  <w:r>
                    <w:t>拟建项目用地范围不涉及生态保护红线和自然保护区等生态敏感区。</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805" w:type="dxa"/>
                  <w:vMerge w:val="continue"/>
                  <w:vAlign w:val="center"/>
                </w:tcPr>
                <w:p>
                  <w:pPr>
                    <w:spacing w:line="300" w:lineRule="exact"/>
                    <w:ind w:firstLine="420" w:firstLineChars="200"/>
                  </w:pPr>
                </w:p>
              </w:tc>
              <w:tc>
                <w:tcPr>
                  <w:tcW w:w="4426" w:type="dxa"/>
                  <w:vAlign w:val="center"/>
                </w:tcPr>
                <w:p>
                  <w:pPr>
                    <w:spacing w:line="300" w:lineRule="exact"/>
                    <w:ind w:firstLine="420" w:firstLineChars="200"/>
                  </w:pPr>
                  <w:r>
                    <w:rPr>
                      <w:rFonts w:hint="eastAsia" w:ascii="宋体" w:hAnsi="宋体" w:cs="宋体"/>
                    </w:rPr>
                    <w:t>④</w:t>
                  </w:r>
                  <w:r>
                    <w:t>禁止在重要道路及重要生态环境敏感目标可视范围内进行对景观破坏明显的露天开采。铁路两侧1000m范围内确需从事露天采矿、采石或爆破作业的，应当与铁路运输企业协商一致，依照有关法律法规的规定报县级以上地方人民政府有关部门批准，采取安全防护措施后方可进行。</w:t>
                  </w:r>
                </w:p>
              </w:tc>
              <w:tc>
                <w:tcPr>
                  <w:tcW w:w="3059" w:type="dxa"/>
                  <w:vAlign w:val="center"/>
                </w:tcPr>
                <w:p>
                  <w:pPr>
                    <w:spacing w:line="300" w:lineRule="exact"/>
                    <w:ind w:firstLine="420" w:firstLineChars="200"/>
                  </w:pPr>
                  <w:r>
                    <w:t>拟建项目矿区边界1000m范围内无铁路</w:t>
                  </w:r>
                  <w:r>
                    <w:rPr>
                      <w:rFonts w:hint="eastAsia"/>
                    </w:rPr>
                    <w:t>。</w:t>
                  </w:r>
                </w:p>
                <w:p>
                  <w:pPr>
                    <w:spacing w:line="300" w:lineRule="exact"/>
                    <w:ind w:firstLine="420" w:firstLineChars="200"/>
                  </w:pPr>
                  <w:r>
                    <w:rPr>
                      <w:rFonts w:hint="eastAsia"/>
                      <w:color w:val="0000FF"/>
                    </w:rPr>
                    <w:t>建设单位已委托有资质的单位编制了“可视论证报告”、“开发利用方案”，建设单位开采过程中可通过严格依照“开发利用方案”、“可视论证报告”提出的各项优化开采方式及遮挡措施，采用直观可视采区覆盖仿真绿叶网及反向开采相结合的方案，可实现采区开采活动全过程不处于S525省道的直观可视范围内。</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805" w:type="dxa"/>
                  <w:vMerge w:val="continue"/>
                  <w:vAlign w:val="center"/>
                </w:tcPr>
                <w:p>
                  <w:pPr>
                    <w:spacing w:line="300" w:lineRule="exact"/>
                    <w:ind w:firstLine="420" w:firstLineChars="200"/>
                  </w:pPr>
                </w:p>
              </w:tc>
              <w:tc>
                <w:tcPr>
                  <w:tcW w:w="4426" w:type="dxa"/>
                  <w:vAlign w:val="center"/>
                </w:tcPr>
                <w:p>
                  <w:pPr>
                    <w:spacing w:line="300" w:lineRule="exact"/>
                    <w:ind w:firstLine="420" w:firstLineChars="200"/>
                  </w:pPr>
                  <w:r>
                    <w:rPr>
                      <w:rFonts w:hint="eastAsia" w:ascii="宋体" w:hAnsi="宋体" w:cs="宋体"/>
                    </w:rPr>
                    <w:t>⑤</w:t>
                  </w:r>
                  <w:r>
                    <w:t>临近生态保护红线和自然保护区、风景名胜区和森林公园等生态保护地的矿产资源勘查开发，应采取有效措施，避免影响生态服务功能。</w:t>
                  </w:r>
                </w:p>
              </w:tc>
              <w:tc>
                <w:tcPr>
                  <w:tcW w:w="3059" w:type="dxa"/>
                  <w:vAlign w:val="center"/>
                </w:tcPr>
                <w:p>
                  <w:pPr>
                    <w:spacing w:line="300" w:lineRule="exact"/>
                    <w:ind w:firstLine="420" w:firstLineChars="200"/>
                  </w:pPr>
                  <w:r>
                    <w:t>拟建项目用地</w:t>
                  </w:r>
                  <w:r>
                    <w:rPr>
                      <w:rFonts w:hint="eastAsia"/>
                    </w:rPr>
                    <w:t>边界外</w:t>
                  </w:r>
                  <w:r>
                    <w:t>500m范围内无生态保护红线和自然保护区、风景名胜区和森林公园等生态保护地。</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5" w:type="dxa"/>
                  <w:vMerge w:val="continue"/>
                  <w:vAlign w:val="center"/>
                </w:tcPr>
                <w:p>
                  <w:pPr>
                    <w:spacing w:line="300" w:lineRule="exact"/>
                    <w:ind w:firstLine="420" w:firstLineChars="200"/>
                  </w:pPr>
                </w:p>
              </w:tc>
              <w:tc>
                <w:tcPr>
                  <w:tcW w:w="4426" w:type="dxa"/>
                  <w:vAlign w:val="center"/>
                </w:tcPr>
                <w:p>
                  <w:pPr>
                    <w:spacing w:line="300" w:lineRule="exact"/>
                    <w:ind w:firstLine="420" w:firstLineChars="200"/>
                  </w:pPr>
                  <w:r>
                    <w:rPr>
                      <w:rFonts w:hint="eastAsia" w:ascii="宋体" w:hAnsi="宋体" w:cs="宋体"/>
                    </w:rPr>
                    <w:t>⑥</w:t>
                  </w:r>
                  <w:r>
                    <w:t>重庆市目前正在按照《关于建立以国家公园为主体的自然保护地体系的指导意见》、《自然资源部 国家林业和草原局关于做好自然保护区范围及功能分区优化调整前期有关工作的函》（自然资函〔2020〕71号）开展自然保护地的优化调整工作，生态保护红线也正在开展评估调整工作，下阶段待自然保护地优化调整及生态保护红线评估调整完成后，按最新管控要求进行监管。后续各类自然保护地的功能区划分及管控要求有最新调整的，应服从其最新规定。</w:t>
                  </w:r>
                </w:p>
              </w:tc>
              <w:tc>
                <w:tcPr>
                  <w:tcW w:w="3059" w:type="dxa"/>
                  <w:vAlign w:val="center"/>
                </w:tcPr>
                <w:p>
                  <w:pPr>
                    <w:spacing w:line="300" w:lineRule="exact"/>
                    <w:ind w:firstLine="420" w:firstLineChars="200"/>
                  </w:pPr>
                  <w:r>
                    <w:rPr>
                      <w:rFonts w:hint="eastAsia"/>
                    </w:rPr>
                    <w:t>本次评价已将项目占地与自然资源部最新批复的“三区三线”成果实施了衔接，确定</w:t>
                  </w:r>
                  <w:r>
                    <w:t>项目用地范围不占用生态保护红线</w:t>
                  </w:r>
                  <w:r>
                    <w:rPr>
                      <w:rFonts w:hint="eastAsia"/>
                    </w:rPr>
                    <w:t>、永久基本农田及城镇开发边界，见附件12。</w:t>
                  </w:r>
                  <w:r>
                    <w:t>后续各类自然保护地</w:t>
                  </w:r>
                  <w:r>
                    <w:rPr>
                      <w:rFonts w:hint="eastAsia"/>
                    </w:rPr>
                    <w:t>规划有所调整的</w:t>
                  </w:r>
                  <w:r>
                    <w:t>，项目</w:t>
                  </w:r>
                  <w:r>
                    <w:rPr>
                      <w:rFonts w:hint="eastAsia"/>
                    </w:rPr>
                    <w:t>将</w:t>
                  </w:r>
                  <w:r>
                    <w:t>服从最新规定。</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5" w:type="dxa"/>
                  <w:vAlign w:val="center"/>
                </w:tcPr>
                <w:p>
                  <w:pPr>
                    <w:spacing w:line="300" w:lineRule="exact"/>
                    <w:jc w:val="center"/>
                  </w:pPr>
                  <w:r>
                    <w:t>一般生态空间</w:t>
                  </w:r>
                </w:p>
              </w:tc>
              <w:tc>
                <w:tcPr>
                  <w:tcW w:w="4426" w:type="dxa"/>
                  <w:vAlign w:val="center"/>
                </w:tcPr>
                <w:p>
                  <w:pPr>
                    <w:spacing w:line="300" w:lineRule="exact"/>
                    <w:ind w:firstLine="420" w:firstLineChars="200"/>
                  </w:pPr>
                  <w:r>
                    <w:t>对划入一般生态空间的自然保护区、饮用水水源保护区、水产种质资源保护区等法定自然保护地，其空间布局约束管控要求按现行法律法规执行。</w:t>
                  </w:r>
                </w:p>
                <w:p>
                  <w:pPr>
                    <w:spacing w:line="300" w:lineRule="exact"/>
                    <w:ind w:firstLine="420" w:firstLineChars="200"/>
                  </w:pPr>
                  <w:r>
                    <w:t>一般生态空间</w:t>
                  </w:r>
                  <w:r>
                    <w:rPr>
                      <w:rFonts w:ascii="宋体" w:hAnsi="宋体"/>
                    </w:rPr>
                    <w:t>中“功能评价区”</w:t>
                  </w:r>
                  <w:r>
                    <w:t>、</w:t>
                  </w:r>
                  <w:r>
                    <w:rPr>
                      <w:rFonts w:ascii="宋体" w:hAnsi="宋体"/>
                    </w:rPr>
                    <w:t>“脆弱评价区”</w:t>
                  </w:r>
                  <w:r>
                    <w:t>，应当按照限制性开发管理要求，严格控制建设活动范围和强度，保证其结构和主要功能不受破坏。</w:t>
                  </w:r>
                </w:p>
              </w:tc>
              <w:tc>
                <w:tcPr>
                  <w:tcW w:w="3059" w:type="dxa"/>
                  <w:vAlign w:val="center"/>
                </w:tcPr>
                <w:p>
                  <w:pPr>
                    <w:spacing w:line="300" w:lineRule="exact"/>
                    <w:ind w:firstLine="420" w:firstLineChars="200"/>
                  </w:pPr>
                  <w:r>
                    <w:t>拟建项目用地范围不占用酉阳县一般生态空间</w:t>
                  </w:r>
                  <w:r>
                    <w:rPr>
                      <w:rFonts w:hint="eastAsia"/>
                    </w:rPr>
                    <w:t>，见附件13</w:t>
                  </w:r>
                  <w:r>
                    <w:t>。</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5" w:type="dxa"/>
                  <w:vAlign w:val="center"/>
                </w:tcPr>
                <w:p>
                  <w:pPr>
                    <w:spacing w:line="300" w:lineRule="exact"/>
                    <w:jc w:val="center"/>
                  </w:pPr>
                  <w:r>
                    <w:t>Ⅱ类水体</w:t>
                  </w:r>
                </w:p>
              </w:tc>
              <w:tc>
                <w:tcPr>
                  <w:tcW w:w="4426" w:type="dxa"/>
                  <w:vAlign w:val="center"/>
                </w:tcPr>
                <w:p>
                  <w:pPr>
                    <w:spacing w:line="300" w:lineRule="exact"/>
                    <w:ind w:firstLine="420" w:firstLineChars="200"/>
                  </w:pPr>
                  <w:r>
                    <w:t>矿区规划涉及的河流和水库水体功能区划为Ⅱ类水体，禁止新增排污口。现有排污口应按水体功能要求试行污染物总量控制。</w:t>
                  </w:r>
                </w:p>
              </w:tc>
              <w:tc>
                <w:tcPr>
                  <w:tcW w:w="3059" w:type="dxa"/>
                  <w:vAlign w:val="center"/>
                </w:tcPr>
                <w:p>
                  <w:pPr>
                    <w:spacing w:line="300" w:lineRule="exact"/>
                    <w:ind w:firstLine="420" w:firstLineChars="200"/>
                  </w:pPr>
                  <w:r>
                    <w:t>拟建项目生产、生活废水均合理处置不外排，且不涉及河流、水系。</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trPr>
              <w:tc>
                <w:tcPr>
                  <w:tcW w:w="5231" w:type="dxa"/>
                  <w:gridSpan w:val="2"/>
                  <w:vAlign w:val="center"/>
                </w:tcPr>
                <w:p>
                  <w:pPr>
                    <w:spacing w:line="300" w:lineRule="exact"/>
                    <w:ind w:firstLine="420" w:firstLineChars="200"/>
                  </w:pPr>
                  <w:r>
                    <w:t>（一）进一步强化生态优先、绿色发展的规划理念。按照</w:t>
                  </w:r>
                  <w:r>
                    <w:rPr>
                      <w:rFonts w:ascii="宋体" w:hAnsi="宋体"/>
                    </w:rPr>
                    <w:t>“共抓大保护、不搞大开发”和</w:t>
                  </w:r>
                  <w:r>
                    <w:t>筑牢长江上游重要生态屏障的总体要求，立足于生态系统稳定和生态环境质量改善，进一步强化《规划》的生态环境保护总体要求，进一步完善矿产资源绿色开发、生态恢复等具体规划目标、指标和总体要求，作为《规划》实施的硬约束，推动生态环境保护与矿产资源开发目标同步实现。</w:t>
                  </w:r>
                </w:p>
              </w:tc>
              <w:tc>
                <w:tcPr>
                  <w:tcW w:w="3059" w:type="dxa"/>
                  <w:vAlign w:val="center"/>
                </w:tcPr>
                <w:p>
                  <w:pPr>
                    <w:spacing w:line="300" w:lineRule="exact"/>
                    <w:ind w:firstLine="420" w:firstLineChars="200"/>
                  </w:pPr>
                  <w:r>
                    <w:rPr>
                      <w:rFonts w:hint="eastAsia"/>
                    </w:rPr>
                    <w:t>2</w:t>
                  </w:r>
                  <w:r>
                    <w:t>0</w:t>
                  </w:r>
                  <w:r>
                    <w:rPr>
                      <w:rFonts w:hint="eastAsia"/>
                    </w:rPr>
                    <w:t>21年4月，原项目“</w:t>
                  </w:r>
                  <w:r>
                    <w:t>地质环境</w:t>
                  </w:r>
                  <w:r>
                    <w:rPr>
                      <w:rFonts w:hint="eastAsia"/>
                    </w:rPr>
                    <w:t>保护</w:t>
                  </w:r>
                  <w:r>
                    <w:t>与土地复垦方案</w:t>
                  </w:r>
                  <w:r>
                    <w:rPr>
                      <w:rFonts w:hint="eastAsia"/>
                    </w:rPr>
                    <w:t>”</w:t>
                  </w:r>
                  <w:r>
                    <w:t>已通过酉阳自治县规资局审查</w:t>
                  </w:r>
                  <w:r>
                    <w:rPr>
                      <w:rFonts w:hint="eastAsia"/>
                    </w:rPr>
                    <w:t>，见附件3。拟建项目实施后，项目生产规模由2</w:t>
                  </w:r>
                  <w:r>
                    <w:t>0</w:t>
                  </w:r>
                  <w:r>
                    <w:rPr>
                      <w:rFonts w:hint="eastAsia"/>
                    </w:rPr>
                    <w:t>万</w:t>
                  </w:r>
                  <w:r>
                    <w:rPr>
                      <w:bCs/>
                    </w:rPr>
                    <w:t>t/a扩大至51万t/a，</w:t>
                  </w:r>
                  <w:r>
                    <w:rPr>
                      <w:rFonts w:hint="eastAsia"/>
                      <w:bCs/>
                    </w:rPr>
                    <w:t>导致剩余开采年限由6</w:t>
                  </w:r>
                  <w:r>
                    <w:rPr>
                      <w:bCs/>
                    </w:rPr>
                    <w:t>.</w:t>
                  </w:r>
                  <w:r>
                    <w:rPr>
                      <w:rFonts w:hint="eastAsia"/>
                      <w:bCs/>
                    </w:rPr>
                    <w:t>9</w:t>
                  </w:r>
                  <w:r>
                    <w:rPr>
                      <w:bCs/>
                    </w:rPr>
                    <w:t>a</w:t>
                  </w:r>
                  <w:r>
                    <w:rPr>
                      <w:rFonts w:hint="eastAsia"/>
                      <w:bCs/>
                    </w:rPr>
                    <w:t>减少至2.7a</w:t>
                  </w:r>
                  <w:r>
                    <w:t>。</w:t>
                  </w:r>
                  <w:r>
                    <w:rPr>
                      <w:rFonts w:hint="eastAsia"/>
                    </w:rPr>
                    <w:t>根据</w:t>
                  </w:r>
                  <w:r>
                    <w:t>《重庆市规划和自然资源局关于规范编制矿山地质环境保护与土地复垦方案的通知》（渝规资规范发</w:t>
                  </w:r>
                  <w:r>
                    <w:rPr>
                      <w:rFonts w:hint="eastAsia"/>
                    </w:rPr>
                    <w:t>〔</w:t>
                  </w:r>
                  <w:r>
                    <w:t>2020</w:t>
                  </w:r>
                  <w:r>
                    <w:rPr>
                      <w:rFonts w:hint="eastAsia"/>
                    </w:rPr>
                    <w:t>〕</w:t>
                  </w:r>
                  <w:r>
                    <w:t>3号）</w:t>
                  </w:r>
                  <w:r>
                    <w:rPr>
                      <w:rFonts w:hint="eastAsia"/>
                    </w:rPr>
                    <w:t>，针对</w:t>
                  </w:r>
                  <w:r>
                    <w:t>无需重新划定矿区范围和储量核实，且开采方式未变更的，</w:t>
                  </w:r>
                  <w:r>
                    <w:rPr>
                      <w:rFonts w:hint="eastAsia"/>
                    </w:rPr>
                    <w:t>仅需重新</w:t>
                  </w:r>
                  <w:r>
                    <w:t>编制</w:t>
                  </w:r>
                  <w:r>
                    <w:rPr>
                      <w:rFonts w:hint="eastAsia"/>
                    </w:rPr>
                    <w:t>“</w:t>
                  </w:r>
                  <w:r>
                    <w:t>开发利用方案</w:t>
                  </w:r>
                  <w:r>
                    <w:rPr>
                      <w:rFonts w:hint="eastAsia"/>
                    </w:rPr>
                    <w:t>”，生态修复基金的缴纳可按总额分年度重新折算上交。</w:t>
                  </w:r>
                </w:p>
                <w:p>
                  <w:pPr>
                    <w:spacing w:line="300" w:lineRule="exact"/>
                    <w:ind w:firstLine="420" w:firstLineChars="200"/>
                  </w:pPr>
                  <w:r>
                    <w:rPr>
                      <w:rFonts w:hint="eastAsia"/>
                    </w:rPr>
                    <w:t>目前，原项目正在稳步开采之中，建设单位已按规定定期缴纳生态修复基金，并按设计实施边开采边复垦等恢复治理措施，开采期间已分年度报送《年度生态修复实施方案》</w:t>
                  </w:r>
                  <w:r>
                    <w:t>。</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5231" w:type="dxa"/>
                  <w:gridSpan w:val="2"/>
                  <w:vAlign w:val="center"/>
                </w:tcPr>
                <w:p>
                  <w:pPr>
                    <w:spacing w:line="300" w:lineRule="exact"/>
                    <w:ind w:firstLine="420" w:firstLineChars="200"/>
                  </w:pPr>
                  <w:r>
                    <w:t>（二）严格保护生态空间，引导优化《规划》空间布局。将生态保护红线作为保障和维护区域生态安全的底线，依法依规实施保护。与生态保护红线存在空间冲突的国家规划矿区GK001、重点勘查区KZ001、KZ003～KZ009、重点开采区CZ001～CZ009、空白区新设勘查区块KQ007、KQ008、KQ009、KQ010和空白区新设开采区块CQ064、CQ075，应进一步优化规划布局，确保满足生态保护红线管理要求。与自然保护地（自然保护区、森林公园、地质公园、湿地公园等）存在空间冲突的空白区新设勘查区块KQ007～KQ010、KQ018、KQ028、KQ036，应进一步优化规划布局，确保与自然保护地有关要求相协调。与风景名胜区存在空间冲突的空白区新设勘查区块KQ009、KQ022～KQ024、KQ028、KQ030和空白区新设开采区块CQ063，应进一步优化规划布局，确保满足风景名胜区管控要求。已依法取得勘查开采的地热开采区块CQ030、CQ031、CQ033、CQ034、CQ036、CQ043～CQ050和矿泉水开采区块CQ054，应根据其所在区域生态环境保护要求，进一步优化布局，强化管控措施，确保满足生态环境敏感区相关管理要求。</w:t>
                  </w:r>
                </w:p>
              </w:tc>
              <w:tc>
                <w:tcPr>
                  <w:tcW w:w="3059" w:type="dxa"/>
                  <w:vAlign w:val="center"/>
                </w:tcPr>
                <w:p>
                  <w:pPr>
                    <w:spacing w:line="300" w:lineRule="exact"/>
                    <w:ind w:firstLine="420" w:firstLineChars="200"/>
                  </w:pPr>
                  <w:r>
                    <w:t>拟建项目用地范围不涉及自然保护区、森林公园、地质公园、湿地公园</w:t>
                  </w:r>
                  <w:r>
                    <w:rPr>
                      <w:rFonts w:hint="eastAsia"/>
                    </w:rPr>
                    <w:t>、</w:t>
                  </w:r>
                  <w:r>
                    <w:t>风景名胜区等</w:t>
                  </w:r>
                  <w:r>
                    <w:rPr>
                      <w:rFonts w:hint="eastAsia"/>
                    </w:rPr>
                    <w:t>自然保护地，也不涉及生态保护红线</w:t>
                  </w:r>
                  <w:r>
                    <w:t>。</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5231" w:type="dxa"/>
                  <w:gridSpan w:val="2"/>
                  <w:vAlign w:val="center"/>
                </w:tcPr>
                <w:p>
                  <w:pPr>
                    <w:spacing w:line="300" w:lineRule="exact"/>
                    <w:ind w:firstLine="420" w:firstLineChars="200"/>
                  </w:pPr>
                  <w:r>
                    <w:t>（三）《规划》应严格矿山最低开采规模准入要求，合理控制矿山开采规模，降低环境影响范围和程度。同意《规划》提出的铁、铝土矿、锶等45种重点矿种矿山最低开采规模要求以及全市矿山总数控制在1000个左右、大中型矿山比例达到60%的要求；进一步整合普通建筑用砂石土、毒重石、锶等小型矿山，加大低效产能压减、无效产能腾退力度，逐步关闭退出安全隐患突出、生产不规范、违法违规问题多的“小弱散”矿山和未达到最低生产规模要求的矿山。禁止开发汞、砖瓦用粘土及其他对生态环境可能产生严重破坏且难以恢复的矿产，限制开发耐火粘土、高岭石粘土、硫铁矿、煤、锰等矿产。</w:t>
                  </w:r>
                </w:p>
              </w:tc>
              <w:tc>
                <w:tcPr>
                  <w:tcW w:w="3059" w:type="dxa"/>
                  <w:vAlign w:val="center"/>
                </w:tcPr>
                <w:p>
                  <w:pPr>
                    <w:spacing w:line="300" w:lineRule="exact"/>
                    <w:ind w:firstLine="420" w:firstLineChars="200"/>
                  </w:pPr>
                  <w:r>
                    <w:t>项目为</w:t>
                  </w:r>
                  <w:r>
                    <w:rPr>
                      <w:color w:val="0000FF"/>
                    </w:rPr>
                    <w:t>建筑石料用</w:t>
                  </w:r>
                  <w:r>
                    <w:t>灰岩矿山，设计开采规模51万t/a，为</w:t>
                  </w:r>
                  <w:r>
                    <w:rPr>
                      <w:rFonts w:hint="eastAsia"/>
                    </w:rPr>
                    <w:t>中</w:t>
                  </w:r>
                  <w:r>
                    <w:t>型矿山。</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5231" w:type="dxa"/>
                  <w:gridSpan w:val="2"/>
                  <w:vAlign w:val="center"/>
                </w:tcPr>
                <w:p>
                  <w:pPr>
                    <w:spacing w:line="300" w:lineRule="exact"/>
                    <w:ind w:firstLine="420" w:firstLineChars="200"/>
                  </w:pPr>
                  <w:r>
                    <w:t>（四）严格矿产资源开发的生态环境准入条件。按照重庆市生态环境分区管控方案、生态环境保护规划等新要求，与一般生态空间存在空间冲突的23个勘查规划区块和27个开采规划区块，应严格执行一般生态空间管控要求，控制勘查、开采活动范围和强度，严格执行绿色勘查、开采及矿山环境生态保护修复相关要求，确保生态系统结构和主要功能不受破坏。严格控制涉及生物多样性保护优先区域、国家重点生态功能区、国家重要生态功能区、水土流失重点防治区等区域矿产开采活动，并采取相应保护措施，防止对区域生物多样性维护、水土保持等生态功能区产生不良环境影响。</w:t>
                  </w:r>
                </w:p>
              </w:tc>
              <w:tc>
                <w:tcPr>
                  <w:tcW w:w="3059" w:type="dxa"/>
                  <w:vAlign w:val="center"/>
                </w:tcPr>
                <w:p>
                  <w:pPr>
                    <w:spacing w:line="300" w:lineRule="exact"/>
                    <w:ind w:firstLine="420" w:firstLineChars="200"/>
                  </w:pPr>
                  <w:r>
                    <w:t>项目用地范围</w:t>
                  </w:r>
                  <w:r>
                    <w:rPr>
                      <w:rFonts w:hint="eastAsia"/>
                    </w:rPr>
                    <w:t>涉及</w:t>
                  </w:r>
                  <w:r>
                    <w:t>国家重点生态功能区</w:t>
                  </w:r>
                  <w:r>
                    <w:rPr>
                      <w:rFonts w:hint="eastAsia"/>
                    </w:rPr>
                    <w:t>（武陵山区生物多样性与水土保持生态功能区）、</w:t>
                  </w:r>
                  <w:r>
                    <w:t>国家重要生态功能区</w:t>
                  </w:r>
                  <w:r>
                    <w:rPr>
                      <w:rFonts w:hint="eastAsia"/>
                    </w:rPr>
                    <w:t>（武陵山区生物多样性保护与水源涵养重要区）。</w:t>
                  </w:r>
                </w:p>
                <w:p>
                  <w:pPr>
                    <w:spacing w:line="300" w:lineRule="exact"/>
                    <w:ind w:firstLine="420" w:firstLineChars="200"/>
                  </w:pPr>
                  <w:r>
                    <w:rPr>
                      <w:rFonts w:hint="eastAsia"/>
                    </w:rPr>
                    <w:t>拟建项目</w:t>
                  </w:r>
                  <w:r>
                    <w:t>将依规定实施边开采边复垦的生态修复措施，同步编制水保方案并报送酉阳县水利局审批，并依规实施各项水保措施。</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5231" w:type="dxa"/>
                  <w:gridSpan w:val="2"/>
                  <w:vAlign w:val="center"/>
                </w:tcPr>
                <w:p>
                  <w:pPr>
                    <w:spacing w:line="300" w:lineRule="exact"/>
                    <w:ind w:firstLine="420" w:firstLineChars="200"/>
                  </w:pPr>
                  <w:r>
                    <w:t>（五）加强矿山生态修复和环境治理。针对环境质量改善目标和主要环境问题，根据环境影响特点分区域、分矿种制定矿山生态修复和环境治理的总体安排，以及关闭矿山及历史遗留矿山生态修复的具体任务和要求。对可能造成重金属污染等环境问题的矿区，进一步优化开发方式、推进结构调整，加大治理投入。</w:t>
                  </w:r>
                </w:p>
              </w:tc>
              <w:tc>
                <w:tcPr>
                  <w:tcW w:w="3059" w:type="dxa"/>
                  <w:vAlign w:val="center"/>
                </w:tcPr>
                <w:p>
                  <w:pPr>
                    <w:spacing w:line="300" w:lineRule="exact"/>
                    <w:ind w:firstLine="420" w:firstLineChars="200"/>
                  </w:pPr>
                  <w:r>
                    <w:t>拟建项目为</w:t>
                  </w:r>
                  <w:r>
                    <w:rPr>
                      <w:color w:val="0000FF"/>
                    </w:rPr>
                    <w:t>建筑石料用</w:t>
                  </w:r>
                  <w:r>
                    <w:t>灰岩开采加工项目，</w:t>
                  </w:r>
                  <w:r>
                    <w:rPr>
                      <w:rFonts w:hint="eastAsia"/>
                    </w:rPr>
                    <w:t>原项目“</w:t>
                  </w:r>
                  <w:r>
                    <w:t>地质环境</w:t>
                  </w:r>
                  <w:r>
                    <w:rPr>
                      <w:rFonts w:hint="eastAsia"/>
                    </w:rPr>
                    <w:t>保护</w:t>
                  </w:r>
                  <w:r>
                    <w:t>与土地复垦方案</w:t>
                  </w:r>
                  <w:r>
                    <w:rPr>
                      <w:rFonts w:hint="eastAsia"/>
                    </w:rPr>
                    <w:t>”</w:t>
                  </w:r>
                  <w:r>
                    <w:t>已通过酉阳自治县规资局审查。</w:t>
                  </w:r>
                  <w:r>
                    <w:rPr>
                      <w:rFonts w:hint="eastAsia"/>
                    </w:rPr>
                    <w:t>原项目正在稳步开采之中，正在</w:t>
                  </w:r>
                  <w:r>
                    <w:t>分年度落实矿山地质环境恢复治理与土地复垦工作，实现边开采边复垦。</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31" w:type="dxa"/>
                  <w:gridSpan w:val="2"/>
                  <w:vAlign w:val="center"/>
                </w:tcPr>
                <w:p>
                  <w:pPr>
                    <w:spacing w:line="300" w:lineRule="exact"/>
                    <w:ind w:firstLine="420" w:firstLineChars="200"/>
                  </w:pPr>
                  <w:r>
                    <w:t>（六）加强环境保护监测和预警。重点结合饮用水水源保护区、水环境功能区水质改善要求和土壤污染防治目标等，推进重点矿区建立完善地表水、地下水、土壤等环境要素的长期监测监控体系，明确责任主体、加强资金保障。在用尾矿库应100%安装在线监测装置。组织开展主要矿种集中开采区域的生态恢复效果评估，针对地表水环境及土壤环境累积影响、地下水环境质量下降、生态退化等建立预警机制。</w:t>
                  </w:r>
                </w:p>
              </w:tc>
              <w:tc>
                <w:tcPr>
                  <w:tcW w:w="3059" w:type="dxa"/>
                  <w:vAlign w:val="center"/>
                </w:tcPr>
                <w:p>
                  <w:pPr>
                    <w:spacing w:line="300" w:lineRule="exact"/>
                    <w:ind w:firstLine="420" w:firstLineChars="200"/>
                  </w:pPr>
                  <w:r>
                    <w:t>拟建项目为</w:t>
                  </w:r>
                  <w:r>
                    <w:rPr>
                      <w:color w:val="0000FF"/>
                    </w:rPr>
                    <w:t>建筑石料用</w:t>
                  </w:r>
                  <w:r>
                    <w:t>灰岩矿山，不设尾矿。项目运行前将落实排污许可制度，年度定期申报厂区废气、噪声等环境质量监测数据。</w:t>
                  </w:r>
                </w:p>
              </w:tc>
              <w:tc>
                <w:tcPr>
                  <w:tcW w:w="935" w:type="dxa"/>
                  <w:vAlign w:val="center"/>
                </w:tcPr>
                <w:p>
                  <w:pPr>
                    <w:spacing w:line="300" w:lineRule="exact"/>
                    <w:jc w:val="center"/>
                  </w:pPr>
                  <w:r>
                    <w:t>符合</w:t>
                  </w:r>
                </w:p>
              </w:tc>
            </w:tr>
          </w:tbl>
          <w:p>
            <w:pPr>
              <w:autoSpaceDE w:val="0"/>
              <w:autoSpaceDN w:val="0"/>
              <w:adjustRightInd w:val="0"/>
              <w:snapToGrid w:val="0"/>
              <w:spacing w:line="360" w:lineRule="auto"/>
              <w:ind w:firstLine="480" w:firstLineChars="200"/>
              <w:rPr>
                <w:kern w:val="0"/>
                <w:sz w:val="24"/>
              </w:rPr>
            </w:pPr>
            <w:r>
              <w:rPr>
                <w:rFonts w:hint="eastAsia"/>
                <w:kern w:val="0"/>
                <w:sz w:val="24"/>
              </w:rPr>
              <w:t>2025年5月，建设单位委托重庆一三六地质队对拟建项目采区与周边重要道路的位置及可视关系进行了详细的测绘调查，并编制了《酉阳县陆合矿业有限责任公司酉阳县双泉乡大堡坡采石场525省道直观可视论证报告》（以下简称“可视论证报告”），针对重要道路直观可视问题制定了相关对策措施，后续“开发利用方案”已将其对策措施全部纳入了主体设计，并予以实施。本次评价引用该方案的相关内容予以说明：</w:t>
            </w:r>
          </w:p>
          <w:p>
            <w:pPr>
              <w:autoSpaceDE w:val="0"/>
              <w:autoSpaceDN w:val="0"/>
              <w:adjustRightInd w:val="0"/>
              <w:snapToGrid w:val="0"/>
              <w:spacing w:line="360" w:lineRule="auto"/>
              <w:ind w:firstLine="480" w:firstLineChars="200"/>
              <w:rPr>
                <w:color w:val="0000FF"/>
                <w:kern w:val="0"/>
                <w:sz w:val="24"/>
              </w:rPr>
            </w:pPr>
            <w:r>
              <w:rPr>
                <w:rFonts w:hint="eastAsia"/>
                <w:color w:val="0000FF"/>
                <w:kern w:val="0"/>
                <w:sz w:val="24"/>
              </w:rPr>
              <w:t>①对策措施</w:t>
            </w:r>
          </w:p>
          <w:p>
            <w:pPr>
              <w:autoSpaceDE w:val="0"/>
              <w:autoSpaceDN w:val="0"/>
              <w:adjustRightInd w:val="0"/>
              <w:snapToGrid w:val="0"/>
              <w:spacing w:line="360" w:lineRule="auto"/>
              <w:ind w:firstLine="480" w:firstLineChars="200"/>
              <w:rPr>
                <w:color w:val="0000FF"/>
                <w:kern w:val="0"/>
                <w:sz w:val="24"/>
              </w:rPr>
            </w:pPr>
            <w:r>
              <w:rPr>
                <w:rFonts w:hint="eastAsia"/>
                <w:color w:val="0000FF"/>
                <w:kern w:val="0"/>
                <w:sz w:val="24"/>
              </w:rPr>
              <w:t>根据该方案采用“直观可视采区覆盖仿真绿叶网+优化开采设计方案”，具体如下：</w:t>
            </w:r>
          </w:p>
          <w:p>
            <w:pPr>
              <w:autoSpaceDE w:val="0"/>
              <w:autoSpaceDN w:val="0"/>
              <w:adjustRightInd w:val="0"/>
              <w:snapToGrid w:val="0"/>
              <w:spacing w:line="360" w:lineRule="auto"/>
              <w:ind w:firstLine="480" w:firstLineChars="200"/>
              <w:rPr>
                <w:color w:val="0000FF"/>
                <w:kern w:val="0"/>
                <w:sz w:val="24"/>
              </w:rPr>
            </w:pPr>
            <w:r>
              <w:rPr>
                <w:rFonts w:hint="eastAsia"/>
                <w:color w:val="0000FF"/>
                <w:kern w:val="0"/>
                <w:sz w:val="24"/>
              </w:rPr>
              <w:t>优化开采设计从反向开采的角度出发，矿区东部及已开采的顶部平台区为直观不可视区，则首先对西部直观可视采区采用仿真绿叶网进行覆盖，开采工作面自东向西、自中间向南北采掘，则每级台阶西侧可视边坡、西南侧及北东侧可视矿区为最后开采区域，在其未开采前，其7.5m开采台阶高度及附近植被可完美作为遮挡物遮挡采区内的开采作业活动，最后再清理西侧、西南侧、北东侧的剥离物，并拆除边坡地带的当级仿真绿叶网以完成该台阶的开采工作，布置方式见后文表2中图2-4、图2-5。但在清理剥离物及仿真绿叶网时，随着剥离物的不断清运及绿叶网的揭开，面向侧省道侧的三角坡面会不断降低以至于无法遮挡挖掘机而将采矿活动暴露于S525省道的可视范围之内，项目采用挖掘施工，挖掘机高约3.5m，展臂后总高可达7.5m，在三角坡面总高低于3.5m时，可在其坡面前缘设置不低于3.5m的围栏以遮挡挖掘机，同时降低挖机高度，确保采掘活动不可视，围栏设置方式见后文表2中图2-6。此外，在清理剥离物及仿真绿叶网前，需完成当级终了边坡的覆土复绿工作，落实边开采、边复垦，同时也使终了边坡不处于S525省道的直观可视范围，减少对路过行人视觉冲击，降低对周边景观的影响。详见附图6-3~附图6-5。</w:t>
            </w:r>
          </w:p>
          <w:p>
            <w:pPr>
              <w:autoSpaceDE w:val="0"/>
              <w:autoSpaceDN w:val="0"/>
              <w:adjustRightInd w:val="0"/>
              <w:snapToGrid w:val="0"/>
              <w:spacing w:line="360" w:lineRule="auto"/>
              <w:ind w:firstLine="480" w:firstLineChars="200"/>
              <w:rPr>
                <w:color w:val="0000FF"/>
                <w:kern w:val="0"/>
                <w:sz w:val="24"/>
              </w:rPr>
            </w:pPr>
            <w:r>
              <w:rPr>
                <w:rFonts w:hint="eastAsia"/>
                <w:color w:val="0000FF"/>
                <w:kern w:val="0"/>
                <w:sz w:val="24"/>
              </w:rPr>
              <w:t>②该方案结论</w:t>
            </w:r>
          </w:p>
          <w:p>
            <w:pPr>
              <w:autoSpaceDE w:val="0"/>
              <w:autoSpaceDN w:val="0"/>
              <w:adjustRightInd w:val="0"/>
              <w:snapToGrid w:val="0"/>
              <w:spacing w:line="360" w:lineRule="auto"/>
              <w:ind w:firstLine="480" w:firstLineChars="200"/>
              <w:rPr>
                <w:color w:val="0000FF"/>
                <w:kern w:val="0"/>
                <w:sz w:val="24"/>
              </w:rPr>
            </w:pPr>
            <w:r>
              <w:rPr>
                <w:rFonts w:hint="eastAsia"/>
                <w:color w:val="0000FF"/>
                <w:kern w:val="0"/>
                <w:sz w:val="24"/>
              </w:rPr>
              <w:t>根据核查，矿山采区部分目前处于S525省道的直观可视范围之内，建设单位在有效执行本报告提出的优化开采方案及工程遮挡措施后，矿山施工、开采期间，可实现采区采矿活动不在S525省道的直观可视范围之内，符合《矿山生态环境保护与污染防治技术政策》（环发〔2005〕109号）、《酉阳县矿产资源总体规划（2021～2025年）环境影响报告书》等相关政策的规定。</w:t>
            </w:r>
          </w:p>
          <w:p>
            <w:pPr>
              <w:autoSpaceDE w:val="0"/>
              <w:autoSpaceDN w:val="0"/>
              <w:adjustRightInd w:val="0"/>
              <w:snapToGrid w:val="0"/>
              <w:spacing w:line="360" w:lineRule="auto"/>
              <w:ind w:firstLine="480" w:firstLineChars="200"/>
              <w:rPr>
                <w:kern w:val="0"/>
                <w:sz w:val="24"/>
              </w:rPr>
            </w:pPr>
            <w:r>
              <w:rPr>
                <w:rFonts w:hint="eastAsia"/>
                <w:kern w:val="0"/>
                <w:sz w:val="24"/>
              </w:rPr>
              <w:t>对此，根据“可视论证报告”的陈述内容，本次评价要求建设单位需严格执行“可视论证报告”提出的各项对策措施，严格做到施工、开采期间采区采矿活动不处于S525省道的可视范围之内，本次评价在此基础上进行分析。</w:t>
            </w:r>
          </w:p>
          <w:p>
            <w:pPr>
              <w:autoSpaceDE w:val="0"/>
              <w:autoSpaceDN w:val="0"/>
              <w:adjustRightInd w:val="0"/>
              <w:snapToGrid w:val="0"/>
              <w:spacing w:line="360" w:lineRule="auto"/>
              <w:ind w:firstLine="480" w:firstLineChars="200"/>
              <w:rPr>
                <w:kern w:val="0"/>
                <w:sz w:val="24"/>
              </w:rPr>
            </w:pPr>
            <w:r>
              <w:rPr>
                <w:kern w:val="0"/>
                <w:sz w:val="24"/>
              </w:rPr>
              <w:t>综上，在</w:t>
            </w:r>
            <w:r>
              <w:rPr>
                <w:rFonts w:hint="eastAsia"/>
                <w:kern w:val="0"/>
                <w:sz w:val="24"/>
              </w:rPr>
              <w:t>严格</w:t>
            </w:r>
            <w:r>
              <w:rPr>
                <w:kern w:val="0"/>
                <w:sz w:val="24"/>
              </w:rPr>
              <w:t>落实本环评提出的相关污染防治措施和生态保护、恢复措施</w:t>
            </w:r>
            <w:r>
              <w:rPr>
                <w:rFonts w:hint="eastAsia"/>
                <w:kern w:val="0"/>
                <w:sz w:val="24"/>
              </w:rPr>
              <w:t>及“可视论证报告”提出的各项对策措施，并确保项目施工、开采期间采区不处于重要道路直观可视范围之内</w:t>
            </w:r>
            <w:r>
              <w:rPr>
                <w:kern w:val="0"/>
                <w:sz w:val="24"/>
              </w:rPr>
              <w:t>的前提下，拟建项目与</w:t>
            </w:r>
            <w:r>
              <w:rPr>
                <w:rFonts w:hint="eastAsia"/>
                <w:kern w:val="0"/>
                <w:sz w:val="24"/>
              </w:rPr>
              <w:t>《</w:t>
            </w:r>
            <w:r>
              <w:rPr>
                <w:kern w:val="0"/>
                <w:sz w:val="24"/>
              </w:rPr>
              <w:t>重庆市矿产资源总体规划（2021-2025年）环境影响报告书</w:t>
            </w:r>
            <w:r>
              <w:rPr>
                <w:rFonts w:hint="eastAsia"/>
                <w:kern w:val="0"/>
                <w:sz w:val="24"/>
              </w:rPr>
              <w:t>》</w:t>
            </w:r>
            <w:r>
              <w:rPr>
                <w:kern w:val="0"/>
                <w:sz w:val="24"/>
              </w:rPr>
              <w:t>的相关环境保护要求是相符的。</w:t>
            </w:r>
          </w:p>
          <w:p>
            <w:pPr>
              <w:autoSpaceDE w:val="0"/>
              <w:autoSpaceDN w:val="0"/>
              <w:adjustRightInd w:val="0"/>
              <w:snapToGrid w:val="0"/>
              <w:spacing w:line="360" w:lineRule="auto"/>
              <w:ind w:firstLine="562" w:firstLineChars="200"/>
              <w:rPr>
                <w:kern w:val="0"/>
                <w:sz w:val="28"/>
                <w:szCs w:val="28"/>
              </w:rPr>
            </w:pPr>
            <w:r>
              <w:rPr>
                <w:b/>
                <w:kern w:val="0"/>
                <w:sz w:val="28"/>
                <w:szCs w:val="28"/>
              </w:rPr>
              <w:t>1.3、与</w:t>
            </w:r>
            <w:r>
              <w:rPr>
                <w:rFonts w:hint="eastAsia"/>
                <w:b/>
                <w:kern w:val="0"/>
                <w:sz w:val="28"/>
                <w:szCs w:val="28"/>
              </w:rPr>
              <w:t>《</w:t>
            </w:r>
            <w:r>
              <w:rPr>
                <w:b/>
                <w:kern w:val="0"/>
                <w:sz w:val="28"/>
                <w:szCs w:val="28"/>
              </w:rPr>
              <w:t>重庆市酉阳土家族苗族自治县矿产资源总体规划（2021-2025年）</w:t>
            </w:r>
            <w:r>
              <w:rPr>
                <w:rFonts w:hint="eastAsia"/>
                <w:b/>
                <w:kern w:val="0"/>
                <w:sz w:val="28"/>
                <w:szCs w:val="28"/>
              </w:rPr>
              <w:t>》</w:t>
            </w:r>
            <w:r>
              <w:rPr>
                <w:b/>
                <w:kern w:val="0"/>
                <w:sz w:val="28"/>
                <w:szCs w:val="28"/>
              </w:rPr>
              <w:t>的符合性分析</w:t>
            </w:r>
          </w:p>
          <w:p>
            <w:pPr>
              <w:autoSpaceDE w:val="0"/>
              <w:autoSpaceDN w:val="0"/>
              <w:adjustRightInd w:val="0"/>
              <w:snapToGrid w:val="0"/>
              <w:spacing w:line="360" w:lineRule="auto"/>
              <w:ind w:firstLine="480" w:firstLineChars="200"/>
              <w:rPr>
                <w:color w:val="0000FF"/>
                <w:kern w:val="0"/>
                <w:sz w:val="24"/>
              </w:rPr>
            </w:pPr>
            <w:r>
              <w:rPr>
                <w:rFonts w:hint="eastAsia"/>
                <w:color w:val="0000FF"/>
                <w:kern w:val="0"/>
                <w:sz w:val="24"/>
              </w:rPr>
              <w:t>目前，酉阳县规划和自然资源局正在开展《重庆市酉阳土家族苗族自治县矿产资源总体规划（2021-2025年）》的调整工作，即：《酉阳县矿产资源总体规划（2021-2025年）调整论证方案》的编制论证工作，但该方案还未审定发布，本次评价以现行有效的《重庆市酉阳土家族苗族自治县矿产资源总体规划（2021-2025年）》为准。</w:t>
            </w:r>
          </w:p>
          <w:p>
            <w:pPr>
              <w:autoSpaceDE w:val="0"/>
              <w:autoSpaceDN w:val="0"/>
              <w:adjustRightInd w:val="0"/>
              <w:snapToGrid w:val="0"/>
              <w:spacing w:line="360" w:lineRule="auto"/>
              <w:ind w:firstLine="480" w:firstLineChars="200"/>
              <w:rPr>
                <w:kern w:val="0"/>
                <w:sz w:val="24"/>
              </w:rPr>
            </w:pPr>
            <w:r>
              <w:rPr>
                <w:rFonts w:hint="eastAsia"/>
                <w:kern w:val="0"/>
                <w:sz w:val="24"/>
              </w:rPr>
              <w:t>根据</w:t>
            </w:r>
            <w:r>
              <w:rPr>
                <w:kern w:val="0"/>
                <w:sz w:val="24"/>
              </w:rPr>
              <w:t>《重庆市</w:t>
            </w:r>
            <w:r>
              <w:rPr>
                <w:rFonts w:hint="eastAsia"/>
                <w:kern w:val="0"/>
                <w:sz w:val="24"/>
              </w:rPr>
              <w:t>酉阳土家族苗族自治县</w:t>
            </w:r>
            <w:r>
              <w:rPr>
                <w:kern w:val="0"/>
                <w:sz w:val="24"/>
              </w:rPr>
              <w:t>矿产资源总体规划（2021-2025）》</w:t>
            </w:r>
            <w:r>
              <w:rPr>
                <w:rFonts w:hint="eastAsia"/>
                <w:kern w:val="0"/>
                <w:sz w:val="24"/>
              </w:rPr>
              <w:t>报批版，其规划内容概述如下：</w:t>
            </w:r>
          </w:p>
          <w:p>
            <w:pPr>
              <w:autoSpaceDE w:val="0"/>
              <w:autoSpaceDN w:val="0"/>
              <w:adjustRightInd w:val="0"/>
              <w:snapToGrid w:val="0"/>
              <w:spacing w:line="360" w:lineRule="auto"/>
              <w:ind w:firstLine="480" w:firstLineChars="200"/>
              <w:rPr>
                <w:kern w:val="0"/>
                <w:sz w:val="24"/>
              </w:rPr>
            </w:pPr>
            <w:r>
              <w:rPr>
                <w:kern w:val="0"/>
                <w:sz w:val="24"/>
              </w:rPr>
              <w:t>2.1.4</w:t>
            </w:r>
            <w:r>
              <w:rPr>
                <w:bCs/>
                <w:kern w:val="0"/>
                <w:sz w:val="24"/>
              </w:rPr>
              <w:t>规划内容</w:t>
            </w:r>
          </w:p>
          <w:p>
            <w:pPr>
              <w:autoSpaceDE w:val="0"/>
              <w:autoSpaceDN w:val="0"/>
              <w:adjustRightInd w:val="0"/>
              <w:snapToGrid w:val="0"/>
              <w:spacing w:line="360" w:lineRule="auto"/>
              <w:ind w:firstLine="480" w:firstLineChars="200"/>
              <w:rPr>
                <w:kern w:val="0"/>
                <w:sz w:val="24"/>
              </w:rPr>
            </w:pPr>
            <w:r>
              <w:rPr>
                <w:rFonts w:hint="eastAsia"/>
                <w:kern w:val="0"/>
                <w:sz w:val="24"/>
              </w:rPr>
              <w:t>2</w:t>
            </w:r>
            <w:r>
              <w:rPr>
                <w:kern w:val="0"/>
                <w:sz w:val="24"/>
              </w:rPr>
              <w:t>.1.4.2</w:t>
            </w:r>
            <w:r>
              <w:rPr>
                <w:rFonts w:hint="eastAsia"/>
                <w:kern w:val="0"/>
                <w:sz w:val="24"/>
              </w:rPr>
              <w:t>矿产资源开发利用与保护</w:t>
            </w:r>
          </w:p>
          <w:p>
            <w:pPr>
              <w:autoSpaceDE w:val="0"/>
              <w:autoSpaceDN w:val="0"/>
              <w:adjustRightInd w:val="0"/>
              <w:snapToGrid w:val="0"/>
              <w:spacing w:line="360" w:lineRule="auto"/>
              <w:ind w:firstLine="480" w:firstLineChars="200"/>
              <w:rPr>
                <w:kern w:val="0"/>
                <w:sz w:val="24"/>
              </w:rPr>
            </w:pPr>
            <w:r>
              <w:rPr>
                <w:rFonts w:hint="eastAsia"/>
                <w:kern w:val="0"/>
                <w:sz w:val="24"/>
              </w:rPr>
              <w:t>（1）矿产资源开采调控方向</w:t>
            </w:r>
          </w:p>
          <w:p>
            <w:pPr>
              <w:autoSpaceDE w:val="0"/>
              <w:autoSpaceDN w:val="0"/>
              <w:adjustRightInd w:val="0"/>
              <w:snapToGrid w:val="0"/>
              <w:spacing w:line="360" w:lineRule="auto"/>
              <w:ind w:firstLine="480" w:firstLineChars="200"/>
              <w:rPr>
                <w:kern w:val="0"/>
                <w:sz w:val="24"/>
              </w:rPr>
            </w:pPr>
            <w:r>
              <w:rPr>
                <w:kern w:val="0"/>
                <w:sz w:val="24"/>
              </w:rPr>
              <w:t>……</w:t>
            </w:r>
            <w:r>
              <w:rPr>
                <w:rFonts w:hint="eastAsia"/>
                <w:kern w:val="0"/>
                <w:sz w:val="24"/>
              </w:rPr>
              <w:t>限制开发锰、耐火粘土、硫铁矿等矿产；禁止开采目前经济效益差、选冶技术不成熟的低品位矿产及其它难选冶的矿产，禁止开采砖瓦用粘土和汞等对环境可能产生严重破坏且难以恢复的矿产。</w:t>
            </w:r>
          </w:p>
          <w:p>
            <w:pPr>
              <w:autoSpaceDE w:val="0"/>
              <w:autoSpaceDN w:val="0"/>
              <w:adjustRightInd w:val="0"/>
              <w:snapToGrid w:val="0"/>
              <w:spacing w:line="360" w:lineRule="auto"/>
              <w:ind w:firstLine="480" w:firstLineChars="200"/>
              <w:rPr>
                <w:kern w:val="0"/>
                <w:sz w:val="24"/>
              </w:rPr>
            </w:pPr>
            <w:r>
              <w:rPr>
                <w:rFonts w:hint="eastAsia"/>
                <w:kern w:val="0"/>
                <w:sz w:val="24"/>
              </w:rPr>
              <w:t>（2）保护布局</w:t>
            </w:r>
          </w:p>
          <w:p>
            <w:pPr>
              <w:autoSpaceDE w:val="0"/>
              <w:autoSpaceDN w:val="0"/>
              <w:adjustRightInd w:val="0"/>
              <w:snapToGrid w:val="0"/>
              <w:spacing w:line="360" w:lineRule="auto"/>
              <w:ind w:firstLine="480" w:firstLineChars="200"/>
              <w:rPr>
                <w:kern w:val="0"/>
                <w:sz w:val="24"/>
              </w:rPr>
            </w:pPr>
            <w:r>
              <w:rPr>
                <w:rFonts w:hint="eastAsia"/>
                <w:kern w:val="0"/>
                <w:sz w:val="24"/>
              </w:rPr>
              <w:t>严控红线范围内进行破坏性生态环境的开采活动；严格落实本轮《规划》各项指标；生态保护红线、自然保护地、城镇开发边界及生态敏感区域内禁止新投放和调整矿业权；从严管控乌江干流岸线5公里及第一山脊线可视范围矿业权准入要求。</w:t>
            </w:r>
          </w:p>
          <w:p>
            <w:pPr>
              <w:autoSpaceDE w:val="0"/>
              <w:autoSpaceDN w:val="0"/>
              <w:adjustRightInd w:val="0"/>
              <w:snapToGrid w:val="0"/>
              <w:spacing w:line="360" w:lineRule="auto"/>
              <w:ind w:firstLine="480" w:firstLineChars="200"/>
              <w:rPr>
                <w:kern w:val="0"/>
                <w:sz w:val="24"/>
              </w:rPr>
            </w:pPr>
            <w:r>
              <w:rPr>
                <w:rFonts w:hint="eastAsia"/>
                <w:kern w:val="0"/>
                <w:sz w:val="24"/>
              </w:rPr>
              <w:t>（3）开采布局</w:t>
            </w:r>
          </w:p>
          <w:p>
            <w:pPr>
              <w:autoSpaceDE w:val="0"/>
              <w:autoSpaceDN w:val="0"/>
              <w:adjustRightInd w:val="0"/>
              <w:snapToGrid w:val="0"/>
              <w:spacing w:line="360" w:lineRule="auto"/>
              <w:ind w:firstLine="480" w:firstLineChars="200"/>
              <w:rPr>
                <w:kern w:val="0"/>
                <w:sz w:val="24"/>
              </w:rPr>
            </w:pPr>
            <w:r>
              <w:rPr>
                <w:rFonts w:hint="eastAsia"/>
                <w:kern w:val="0"/>
                <w:sz w:val="24"/>
              </w:rPr>
              <w:t>针对规划已设区块外，合理规划布局开采区块，积极引导“规模化、集约化”布局，提高矿业的集中度和规模效益，培育开采、加工为一体的大型产业发展基地，加快大中型和骨干矿业基地的建设和发展，鼓励小型矿山或资源量少的矿山进行资源整合。至2025年，全县规划设置矿山数量控制在44个以内，大中型比例不低于60％。</w:t>
            </w:r>
          </w:p>
          <w:p>
            <w:pPr>
              <w:autoSpaceDE w:val="0"/>
              <w:autoSpaceDN w:val="0"/>
              <w:adjustRightInd w:val="0"/>
              <w:snapToGrid w:val="0"/>
              <w:spacing w:line="360" w:lineRule="auto"/>
              <w:ind w:firstLine="480" w:firstLineChars="200"/>
              <w:rPr>
                <w:kern w:val="0"/>
                <w:sz w:val="24"/>
              </w:rPr>
            </w:pPr>
            <w:r>
              <w:rPr>
                <w:rFonts w:hint="eastAsia"/>
                <w:kern w:val="0"/>
                <w:sz w:val="24"/>
              </w:rPr>
              <w:t>（4）合理确定开发强度</w:t>
            </w:r>
          </w:p>
          <w:p>
            <w:pPr>
              <w:autoSpaceDE w:val="0"/>
              <w:autoSpaceDN w:val="0"/>
              <w:adjustRightInd w:val="0"/>
              <w:snapToGrid w:val="0"/>
              <w:spacing w:line="360" w:lineRule="auto"/>
              <w:ind w:firstLine="480" w:firstLineChars="200"/>
              <w:rPr>
                <w:kern w:val="0"/>
                <w:sz w:val="24"/>
              </w:rPr>
            </w:pPr>
            <w:r>
              <w:rPr>
                <w:rFonts w:hint="eastAsia"/>
                <w:kern w:val="0"/>
                <w:sz w:val="24"/>
              </w:rPr>
              <w:t>在落实普通萤石、水泥用灰岩和建筑石料用灰岩市级规划开采总量控制目标的基础上，科学制定符合我县矿产资源开发利用布局，酉阳自治县对9个矿种进行开发利用总量调控。到2025年，全县主要矿种开采指标见表2.1-4。</w:t>
            </w:r>
          </w:p>
          <w:p>
            <w:pPr>
              <w:autoSpaceDE w:val="0"/>
              <w:autoSpaceDN w:val="0"/>
              <w:adjustRightInd w:val="0"/>
              <w:snapToGrid w:val="0"/>
              <w:jc w:val="center"/>
              <w:rPr>
                <w:kern w:val="0"/>
                <w:sz w:val="24"/>
              </w:rPr>
            </w:pPr>
            <w:r>
              <w:rPr>
                <w:rFonts w:hint="eastAsia"/>
                <w:kern w:val="0"/>
                <w:sz w:val="24"/>
              </w:rPr>
              <w:t>表2.1-4    主要矿种开采总量指标</w:t>
            </w:r>
          </w:p>
          <w:tbl>
            <w:tblPr>
              <w:tblStyle w:val="15"/>
              <w:tblW w:w="92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468"/>
              <w:gridCol w:w="2945"/>
              <w:gridCol w:w="2509"/>
              <w:gridCol w:w="1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0" w:hRule="atLeast"/>
                <w:jc w:val="center"/>
              </w:trPr>
              <w:tc>
                <w:tcPr>
                  <w:tcW w:w="2468" w:type="dxa"/>
                  <w:vAlign w:val="center"/>
                </w:tcPr>
                <w:p>
                  <w:pPr>
                    <w:pStyle w:val="42"/>
                  </w:pPr>
                  <w:r>
                    <w:t>矿种</w:t>
                  </w:r>
                </w:p>
              </w:tc>
              <w:tc>
                <w:tcPr>
                  <w:tcW w:w="2945" w:type="dxa"/>
                  <w:vAlign w:val="center"/>
                </w:tcPr>
                <w:p>
                  <w:pPr>
                    <w:pStyle w:val="42"/>
                  </w:pPr>
                  <w:r>
                    <w:t>单位</w:t>
                  </w:r>
                </w:p>
              </w:tc>
              <w:tc>
                <w:tcPr>
                  <w:tcW w:w="2509" w:type="dxa"/>
                  <w:vAlign w:val="center"/>
                </w:tcPr>
                <w:p>
                  <w:pPr>
                    <w:pStyle w:val="42"/>
                  </w:pPr>
                  <w:r>
                    <w:t>开采总量调控</w:t>
                  </w:r>
                  <w:r>
                    <w:rPr>
                      <w:rFonts w:hint="eastAsia"/>
                    </w:rPr>
                    <w:t>（万吨）</w:t>
                  </w:r>
                </w:p>
              </w:tc>
              <w:tc>
                <w:tcPr>
                  <w:tcW w:w="1303" w:type="dxa"/>
                  <w:vAlign w:val="center"/>
                </w:tcPr>
                <w:p>
                  <w:pPr>
                    <w:pStyle w:val="42"/>
                  </w:pPr>
                  <w: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0" w:hRule="atLeast"/>
                <w:jc w:val="center"/>
              </w:trPr>
              <w:tc>
                <w:tcPr>
                  <w:tcW w:w="2468" w:type="dxa"/>
                  <w:vAlign w:val="center"/>
                </w:tcPr>
                <w:p>
                  <w:pPr>
                    <w:pStyle w:val="42"/>
                  </w:pPr>
                  <w:r>
                    <w:t>铅锌矿</w:t>
                  </w:r>
                </w:p>
              </w:tc>
              <w:tc>
                <w:tcPr>
                  <w:tcW w:w="2945" w:type="dxa"/>
                  <w:vAlign w:val="center"/>
                </w:tcPr>
                <w:p>
                  <w:pPr>
                    <w:pStyle w:val="42"/>
                  </w:pPr>
                  <w:r>
                    <w:t>矿石 万吨/年</w:t>
                  </w:r>
                </w:p>
              </w:tc>
              <w:tc>
                <w:tcPr>
                  <w:tcW w:w="2509" w:type="dxa"/>
                  <w:vAlign w:val="center"/>
                </w:tcPr>
                <w:p>
                  <w:pPr>
                    <w:pStyle w:val="42"/>
                  </w:pPr>
                  <w:r>
                    <w:t>5</w:t>
                  </w:r>
                </w:p>
              </w:tc>
              <w:tc>
                <w:tcPr>
                  <w:tcW w:w="1303" w:type="dxa"/>
                  <w:vAlign w:val="center"/>
                </w:tcPr>
                <w:p>
                  <w:pPr>
                    <w:pStyle w:val="42"/>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0" w:hRule="atLeast"/>
                <w:jc w:val="center"/>
              </w:trPr>
              <w:tc>
                <w:tcPr>
                  <w:tcW w:w="2468" w:type="dxa"/>
                  <w:vAlign w:val="center"/>
                </w:tcPr>
                <w:p>
                  <w:pPr>
                    <w:pStyle w:val="42"/>
                  </w:pPr>
                  <w:r>
                    <w:t>普通萤石</w:t>
                  </w:r>
                </w:p>
              </w:tc>
              <w:tc>
                <w:tcPr>
                  <w:tcW w:w="2945" w:type="dxa"/>
                  <w:vAlign w:val="center"/>
                </w:tcPr>
                <w:p>
                  <w:pPr>
                    <w:pStyle w:val="42"/>
                  </w:pPr>
                  <w:r>
                    <w:t>矿石 万吨/年</w:t>
                  </w:r>
                </w:p>
              </w:tc>
              <w:tc>
                <w:tcPr>
                  <w:tcW w:w="2509" w:type="dxa"/>
                  <w:vAlign w:val="center"/>
                </w:tcPr>
                <w:p>
                  <w:pPr>
                    <w:pStyle w:val="42"/>
                  </w:pPr>
                  <w:r>
                    <w:t>9</w:t>
                  </w:r>
                </w:p>
              </w:tc>
              <w:tc>
                <w:tcPr>
                  <w:tcW w:w="1303" w:type="dxa"/>
                  <w:vAlign w:val="center"/>
                </w:tcPr>
                <w:p>
                  <w:pPr>
                    <w:pStyle w:val="42"/>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0" w:hRule="atLeast"/>
                <w:jc w:val="center"/>
              </w:trPr>
              <w:tc>
                <w:tcPr>
                  <w:tcW w:w="2468" w:type="dxa"/>
                  <w:vAlign w:val="center"/>
                </w:tcPr>
                <w:p>
                  <w:pPr>
                    <w:pStyle w:val="42"/>
                  </w:pPr>
                  <w:r>
                    <w:t>重晶石</w:t>
                  </w:r>
                </w:p>
              </w:tc>
              <w:tc>
                <w:tcPr>
                  <w:tcW w:w="2945" w:type="dxa"/>
                  <w:vAlign w:val="center"/>
                </w:tcPr>
                <w:p>
                  <w:pPr>
                    <w:pStyle w:val="42"/>
                  </w:pPr>
                  <w:r>
                    <w:t>矿石 万吨/年</w:t>
                  </w:r>
                </w:p>
              </w:tc>
              <w:tc>
                <w:tcPr>
                  <w:tcW w:w="2509" w:type="dxa"/>
                  <w:vAlign w:val="center"/>
                </w:tcPr>
                <w:p>
                  <w:pPr>
                    <w:pStyle w:val="42"/>
                  </w:pPr>
                  <w:r>
                    <w:t>30</w:t>
                  </w:r>
                </w:p>
              </w:tc>
              <w:tc>
                <w:tcPr>
                  <w:tcW w:w="1303" w:type="dxa"/>
                  <w:vAlign w:val="center"/>
                </w:tcPr>
                <w:p>
                  <w:pPr>
                    <w:pStyle w:val="42"/>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0" w:hRule="atLeast"/>
                <w:jc w:val="center"/>
              </w:trPr>
              <w:tc>
                <w:tcPr>
                  <w:tcW w:w="2468" w:type="dxa"/>
                  <w:vAlign w:val="center"/>
                </w:tcPr>
                <w:p>
                  <w:pPr>
                    <w:pStyle w:val="42"/>
                  </w:pPr>
                  <w:r>
                    <w:t>方解石</w:t>
                  </w:r>
                </w:p>
              </w:tc>
              <w:tc>
                <w:tcPr>
                  <w:tcW w:w="2945" w:type="dxa"/>
                  <w:vAlign w:val="center"/>
                </w:tcPr>
                <w:p>
                  <w:pPr>
                    <w:pStyle w:val="42"/>
                  </w:pPr>
                  <w:r>
                    <w:t>矿石 万吨/年</w:t>
                  </w:r>
                </w:p>
              </w:tc>
              <w:tc>
                <w:tcPr>
                  <w:tcW w:w="2509" w:type="dxa"/>
                  <w:vAlign w:val="center"/>
                </w:tcPr>
                <w:p>
                  <w:pPr>
                    <w:pStyle w:val="42"/>
                  </w:pPr>
                  <w:r>
                    <w:t>10</w:t>
                  </w:r>
                </w:p>
              </w:tc>
              <w:tc>
                <w:tcPr>
                  <w:tcW w:w="1303" w:type="dxa"/>
                  <w:vAlign w:val="center"/>
                </w:tcPr>
                <w:p>
                  <w:pPr>
                    <w:pStyle w:val="42"/>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0" w:hRule="atLeast"/>
                <w:jc w:val="center"/>
              </w:trPr>
              <w:tc>
                <w:tcPr>
                  <w:tcW w:w="2468" w:type="dxa"/>
                  <w:vAlign w:val="center"/>
                </w:tcPr>
                <w:p>
                  <w:pPr>
                    <w:pStyle w:val="42"/>
                  </w:pPr>
                  <w:r>
                    <w:t>建筑石料用灰岩</w:t>
                  </w:r>
                </w:p>
              </w:tc>
              <w:tc>
                <w:tcPr>
                  <w:tcW w:w="2945" w:type="dxa"/>
                  <w:vAlign w:val="center"/>
                </w:tcPr>
                <w:p>
                  <w:pPr>
                    <w:pStyle w:val="42"/>
                  </w:pPr>
                  <w:r>
                    <w:t>矿石 万吨/年</w:t>
                  </w:r>
                </w:p>
              </w:tc>
              <w:tc>
                <w:tcPr>
                  <w:tcW w:w="2509" w:type="dxa"/>
                  <w:vAlign w:val="center"/>
                </w:tcPr>
                <w:p>
                  <w:pPr>
                    <w:pStyle w:val="42"/>
                  </w:pPr>
                  <w:r>
                    <w:t>900</w:t>
                  </w:r>
                </w:p>
              </w:tc>
              <w:tc>
                <w:tcPr>
                  <w:tcW w:w="1303" w:type="dxa"/>
                  <w:vAlign w:val="center"/>
                </w:tcPr>
                <w:p>
                  <w:pPr>
                    <w:pStyle w:val="42"/>
                  </w:pPr>
                  <w: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0" w:hRule="atLeast"/>
                <w:jc w:val="center"/>
              </w:trPr>
              <w:tc>
                <w:tcPr>
                  <w:tcW w:w="2468" w:type="dxa"/>
                  <w:vAlign w:val="center"/>
                </w:tcPr>
                <w:p>
                  <w:pPr>
                    <w:pStyle w:val="42"/>
                  </w:pPr>
                  <w:r>
                    <w:t>水泥用灰岩</w:t>
                  </w:r>
                </w:p>
              </w:tc>
              <w:tc>
                <w:tcPr>
                  <w:tcW w:w="2945" w:type="dxa"/>
                  <w:vAlign w:val="center"/>
                </w:tcPr>
                <w:p>
                  <w:pPr>
                    <w:pStyle w:val="42"/>
                  </w:pPr>
                  <w:r>
                    <w:t>矿石 万吨/年</w:t>
                  </w:r>
                </w:p>
              </w:tc>
              <w:tc>
                <w:tcPr>
                  <w:tcW w:w="2509" w:type="dxa"/>
                  <w:vAlign w:val="center"/>
                </w:tcPr>
                <w:p>
                  <w:pPr>
                    <w:pStyle w:val="42"/>
                  </w:pPr>
                  <w:r>
                    <w:t>200</w:t>
                  </w:r>
                </w:p>
              </w:tc>
              <w:tc>
                <w:tcPr>
                  <w:tcW w:w="1303" w:type="dxa"/>
                  <w:vAlign w:val="center"/>
                </w:tcPr>
                <w:p>
                  <w:pPr>
                    <w:pStyle w:val="42"/>
                  </w:pPr>
                  <w: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0" w:hRule="atLeast"/>
                <w:jc w:val="center"/>
              </w:trPr>
              <w:tc>
                <w:tcPr>
                  <w:tcW w:w="2468" w:type="dxa"/>
                  <w:vAlign w:val="center"/>
                </w:tcPr>
                <w:p>
                  <w:pPr>
                    <w:pStyle w:val="42"/>
                  </w:pPr>
                  <w:r>
                    <w:t>饰面用灰岩</w:t>
                  </w:r>
                </w:p>
              </w:tc>
              <w:tc>
                <w:tcPr>
                  <w:tcW w:w="2945" w:type="dxa"/>
                  <w:vAlign w:val="center"/>
                </w:tcPr>
                <w:p>
                  <w:pPr>
                    <w:pStyle w:val="42"/>
                  </w:pPr>
                  <w:r>
                    <w:t>矿石 万立方米/年</w:t>
                  </w:r>
                </w:p>
              </w:tc>
              <w:tc>
                <w:tcPr>
                  <w:tcW w:w="2509" w:type="dxa"/>
                  <w:vAlign w:val="center"/>
                </w:tcPr>
                <w:p>
                  <w:pPr>
                    <w:pStyle w:val="42"/>
                  </w:pPr>
                  <w:r>
                    <w:t>20</w:t>
                  </w:r>
                </w:p>
              </w:tc>
              <w:tc>
                <w:tcPr>
                  <w:tcW w:w="1303" w:type="dxa"/>
                  <w:vAlign w:val="center"/>
                </w:tcPr>
                <w:p>
                  <w:pPr>
                    <w:pStyle w:val="42"/>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0" w:hRule="atLeast"/>
                <w:jc w:val="center"/>
              </w:trPr>
              <w:tc>
                <w:tcPr>
                  <w:tcW w:w="2468" w:type="dxa"/>
                  <w:vAlign w:val="center"/>
                </w:tcPr>
                <w:p>
                  <w:pPr>
                    <w:pStyle w:val="42"/>
                  </w:pPr>
                  <w:r>
                    <w:t>砖瓦用页岩</w:t>
                  </w:r>
                </w:p>
              </w:tc>
              <w:tc>
                <w:tcPr>
                  <w:tcW w:w="2945" w:type="dxa"/>
                  <w:vAlign w:val="center"/>
                </w:tcPr>
                <w:p>
                  <w:pPr>
                    <w:pStyle w:val="42"/>
                  </w:pPr>
                  <w:r>
                    <w:t>矿石 万吨/年</w:t>
                  </w:r>
                </w:p>
              </w:tc>
              <w:tc>
                <w:tcPr>
                  <w:tcW w:w="2509" w:type="dxa"/>
                  <w:vAlign w:val="center"/>
                </w:tcPr>
                <w:p>
                  <w:pPr>
                    <w:pStyle w:val="42"/>
                  </w:pPr>
                  <w:r>
                    <w:t>6</w:t>
                  </w:r>
                </w:p>
              </w:tc>
              <w:tc>
                <w:tcPr>
                  <w:tcW w:w="1303" w:type="dxa"/>
                  <w:vAlign w:val="center"/>
                </w:tcPr>
                <w:p>
                  <w:pPr>
                    <w:pStyle w:val="42"/>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0" w:hRule="atLeast"/>
                <w:jc w:val="center"/>
              </w:trPr>
              <w:tc>
                <w:tcPr>
                  <w:tcW w:w="2468" w:type="dxa"/>
                  <w:vAlign w:val="center"/>
                </w:tcPr>
                <w:p>
                  <w:pPr>
                    <w:pStyle w:val="42"/>
                  </w:pPr>
                  <w:r>
                    <w:t>水泥配料用页岩</w:t>
                  </w:r>
                </w:p>
              </w:tc>
              <w:tc>
                <w:tcPr>
                  <w:tcW w:w="2945" w:type="dxa"/>
                  <w:vAlign w:val="center"/>
                </w:tcPr>
                <w:p>
                  <w:pPr>
                    <w:pStyle w:val="42"/>
                  </w:pPr>
                  <w:r>
                    <w:t>矿石 万吨/年</w:t>
                  </w:r>
                </w:p>
              </w:tc>
              <w:tc>
                <w:tcPr>
                  <w:tcW w:w="2509" w:type="dxa"/>
                  <w:vAlign w:val="center"/>
                </w:tcPr>
                <w:p>
                  <w:pPr>
                    <w:pStyle w:val="42"/>
                  </w:pPr>
                  <w:r>
                    <w:t>5</w:t>
                  </w:r>
                </w:p>
              </w:tc>
              <w:tc>
                <w:tcPr>
                  <w:tcW w:w="1303" w:type="dxa"/>
                  <w:vAlign w:val="center"/>
                </w:tcPr>
                <w:p>
                  <w:pPr>
                    <w:pStyle w:val="42"/>
                  </w:pPr>
                  <w:r>
                    <w:t>预期性</w:t>
                  </w:r>
                </w:p>
              </w:tc>
            </w:tr>
          </w:tbl>
          <w:p>
            <w:pPr>
              <w:autoSpaceDE w:val="0"/>
              <w:autoSpaceDN w:val="0"/>
              <w:adjustRightInd w:val="0"/>
              <w:snapToGrid w:val="0"/>
              <w:spacing w:line="360" w:lineRule="auto"/>
              <w:ind w:firstLine="480" w:firstLineChars="200"/>
              <w:rPr>
                <w:kern w:val="0"/>
                <w:sz w:val="24"/>
              </w:rPr>
            </w:pPr>
            <w:r>
              <w:rPr>
                <w:rFonts w:hint="eastAsia"/>
                <w:kern w:val="0"/>
                <w:sz w:val="24"/>
              </w:rPr>
              <w:t>拟建项目为</w:t>
            </w:r>
            <w:r>
              <w:rPr>
                <w:rFonts w:hint="eastAsia"/>
                <w:color w:val="0000FF"/>
                <w:kern w:val="0"/>
                <w:sz w:val="24"/>
              </w:rPr>
              <w:t>建筑石料用灰岩</w:t>
            </w:r>
            <w:r>
              <w:rPr>
                <w:rFonts w:hint="eastAsia"/>
                <w:kern w:val="0"/>
                <w:sz w:val="24"/>
              </w:rPr>
              <w:t>矿山，其矿权设立于“十二五”期间，并已纳入该规划现状开采矿权之中，现状矿权编号CKQ11，见附图13，其纳入的矿区范围、位置及开采规模均与原采矿证一致。鉴于“十四五”期间，酉阳土家族苗族自治县拟对该宗矿权再次进行“增资扩界”，后续规划矿权对应编号为C</w:t>
            </w:r>
            <w:r>
              <w:rPr>
                <w:kern w:val="0"/>
                <w:sz w:val="24"/>
              </w:rPr>
              <w:t>Q0</w:t>
            </w:r>
            <w:r>
              <w:rPr>
                <w:rFonts w:hint="eastAsia"/>
                <w:kern w:val="0"/>
                <w:sz w:val="24"/>
              </w:rPr>
              <w:t>13，已纳入该规划后续规划矿权之中，其划定范围在现状范围基础上予以扩大，见附图14。</w:t>
            </w:r>
          </w:p>
          <w:p>
            <w:pPr>
              <w:autoSpaceDE w:val="0"/>
              <w:autoSpaceDN w:val="0"/>
              <w:adjustRightInd w:val="0"/>
              <w:snapToGrid w:val="0"/>
              <w:spacing w:line="360" w:lineRule="auto"/>
              <w:ind w:firstLine="480" w:firstLineChars="200"/>
              <w:rPr>
                <w:kern w:val="0"/>
                <w:sz w:val="24"/>
              </w:rPr>
            </w:pPr>
            <w:r>
              <w:rPr>
                <w:rFonts w:hint="eastAsia"/>
                <w:kern w:val="0"/>
                <w:sz w:val="24"/>
              </w:rPr>
              <w:t>根据《重庆市酉阳土家族苗族自治县矿产资源总体规划（2021-2025年）》，“十四五”期间，酉阳全县共规划</w:t>
            </w:r>
            <w:r>
              <w:rPr>
                <w:rFonts w:hint="eastAsia"/>
                <w:color w:val="0000FF"/>
                <w:kern w:val="0"/>
                <w:sz w:val="24"/>
              </w:rPr>
              <w:t>建筑石料用灰岩矿权31个，约束性开采总量为900万吨/年。目前，已实施建筑石料用灰岩矿仅24个，开采总量535万吨/年。项目实施后，规模扩大至51万吨/年，届时</w:t>
            </w:r>
            <w:r>
              <w:rPr>
                <w:color w:val="0000FF"/>
                <w:kern w:val="0"/>
                <w:sz w:val="24"/>
              </w:rPr>
              <w:t>酉阳全县</w:t>
            </w:r>
            <w:r>
              <w:rPr>
                <w:rFonts w:hint="eastAsia"/>
                <w:color w:val="0000FF"/>
                <w:kern w:val="0"/>
                <w:sz w:val="24"/>
              </w:rPr>
              <w:t>建筑石料用灰岩开采总量为566万吨/年，不超过全县900</w:t>
            </w:r>
            <w:r>
              <w:rPr>
                <w:color w:val="0000FF"/>
                <w:kern w:val="0"/>
                <w:sz w:val="24"/>
              </w:rPr>
              <w:t>万吨/年</w:t>
            </w:r>
            <w:r>
              <w:rPr>
                <w:rFonts w:hint="eastAsia"/>
                <w:color w:val="0000FF"/>
                <w:kern w:val="0"/>
                <w:sz w:val="24"/>
              </w:rPr>
              <w:t>的总量约束性指标</w:t>
            </w:r>
            <w:r>
              <w:rPr>
                <w:rFonts w:hint="eastAsia"/>
                <w:kern w:val="0"/>
                <w:sz w:val="24"/>
              </w:rPr>
              <w:t>；且可将矿山由小型矿山转型至中型矿山，与该规划中提出的</w:t>
            </w:r>
            <w:r>
              <w:rPr>
                <w:rFonts w:ascii="宋体" w:hAnsi="宋体"/>
                <w:kern w:val="0"/>
                <w:sz w:val="24"/>
              </w:rPr>
              <w:t>“酉阳县</w:t>
            </w:r>
            <w:r>
              <w:rPr>
                <w:kern w:val="0"/>
                <w:sz w:val="24"/>
              </w:rPr>
              <w:t>大中型矿山比例相对较低，仅</w:t>
            </w:r>
            <w:r>
              <w:rPr>
                <w:rFonts w:hint="eastAsia"/>
                <w:kern w:val="0"/>
                <w:sz w:val="24"/>
              </w:rPr>
              <w:t>28%</w:t>
            </w:r>
            <w:r>
              <w:rPr>
                <w:kern w:val="0"/>
                <w:sz w:val="24"/>
              </w:rPr>
              <w:t>进一</w:t>
            </w:r>
            <w:r>
              <w:rPr>
                <w:rFonts w:ascii="宋体" w:hAnsi="宋体"/>
                <w:kern w:val="0"/>
                <w:sz w:val="24"/>
              </w:rPr>
              <w:t>步提高”</w:t>
            </w:r>
            <w:r>
              <w:rPr>
                <w:rFonts w:hint="eastAsia" w:ascii="宋体" w:hAnsi="宋体"/>
                <w:kern w:val="0"/>
                <w:sz w:val="24"/>
              </w:rPr>
              <w:t>的要求一致；拟建项目提高生产规模可大幅度缩减开采年限，为该宗矿权能迅速进行下一步</w:t>
            </w:r>
            <w:r>
              <w:rPr>
                <w:rFonts w:hint="eastAsia"/>
                <w:kern w:val="0"/>
                <w:sz w:val="24"/>
              </w:rPr>
              <w:t>“增资扩界”的规划创造了有利条件</w:t>
            </w:r>
            <w:r>
              <w:rPr>
                <w:kern w:val="0"/>
                <w:sz w:val="24"/>
              </w:rPr>
              <w:t>。</w:t>
            </w:r>
          </w:p>
          <w:p>
            <w:pPr>
              <w:autoSpaceDE w:val="0"/>
              <w:autoSpaceDN w:val="0"/>
              <w:adjustRightInd w:val="0"/>
              <w:snapToGrid w:val="0"/>
              <w:spacing w:line="360" w:lineRule="auto"/>
              <w:ind w:firstLine="480" w:firstLineChars="200"/>
              <w:rPr>
                <w:kern w:val="0"/>
                <w:sz w:val="24"/>
              </w:rPr>
            </w:pPr>
            <w:r>
              <w:rPr>
                <w:rFonts w:hint="eastAsia"/>
                <w:kern w:val="0"/>
                <w:sz w:val="24"/>
              </w:rPr>
              <w:t>综上，拟建项目与《</w:t>
            </w:r>
            <w:r>
              <w:rPr>
                <w:kern w:val="0"/>
                <w:sz w:val="24"/>
              </w:rPr>
              <w:t>重庆市酉阳土家族苗族自治县矿产资源总体规划（2021-2025年）</w:t>
            </w:r>
            <w:r>
              <w:rPr>
                <w:rFonts w:hint="eastAsia"/>
                <w:kern w:val="0"/>
                <w:sz w:val="24"/>
              </w:rPr>
              <w:t>》的相关管理要求是相符的。</w:t>
            </w:r>
          </w:p>
          <w:p>
            <w:pPr>
              <w:autoSpaceDE w:val="0"/>
              <w:autoSpaceDN w:val="0"/>
              <w:adjustRightInd w:val="0"/>
              <w:snapToGrid w:val="0"/>
              <w:spacing w:line="360" w:lineRule="auto"/>
              <w:ind w:firstLine="562" w:firstLineChars="200"/>
              <w:rPr>
                <w:kern w:val="0"/>
                <w:sz w:val="28"/>
                <w:szCs w:val="28"/>
              </w:rPr>
            </w:pPr>
            <w:r>
              <w:rPr>
                <w:b/>
                <w:kern w:val="0"/>
                <w:sz w:val="28"/>
                <w:szCs w:val="28"/>
              </w:rPr>
              <w:t>1.4、与</w:t>
            </w:r>
            <w:r>
              <w:rPr>
                <w:rFonts w:hint="eastAsia"/>
                <w:b/>
                <w:kern w:val="0"/>
                <w:sz w:val="28"/>
                <w:szCs w:val="28"/>
              </w:rPr>
              <w:t>《</w:t>
            </w:r>
            <w:r>
              <w:rPr>
                <w:b/>
                <w:kern w:val="0"/>
                <w:sz w:val="28"/>
                <w:szCs w:val="28"/>
              </w:rPr>
              <w:t>重庆市酉阳土家族苗族自治县矿产资源总体规划（2021-2025年）环境影响报告书</w:t>
            </w:r>
            <w:r>
              <w:rPr>
                <w:rFonts w:hint="eastAsia"/>
                <w:b/>
                <w:kern w:val="0"/>
                <w:sz w:val="28"/>
                <w:szCs w:val="28"/>
              </w:rPr>
              <w:t>》</w:t>
            </w:r>
            <w:r>
              <w:rPr>
                <w:b/>
                <w:kern w:val="0"/>
                <w:sz w:val="28"/>
                <w:szCs w:val="28"/>
              </w:rPr>
              <w:t>的符合性分析</w:t>
            </w:r>
          </w:p>
          <w:p>
            <w:pPr>
              <w:autoSpaceDE w:val="0"/>
              <w:autoSpaceDN w:val="0"/>
              <w:adjustRightInd w:val="0"/>
              <w:snapToGrid w:val="0"/>
              <w:spacing w:line="360" w:lineRule="auto"/>
              <w:ind w:firstLine="480" w:firstLineChars="200"/>
              <w:rPr>
                <w:kern w:val="0"/>
                <w:sz w:val="24"/>
              </w:rPr>
            </w:pPr>
            <w:r>
              <w:rPr>
                <w:rFonts w:hint="eastAsia"/>
                <w:color w:val="0000FF"/>
                <w:kern w:val="0"/>
                <w:sz w:val="24"/>
              </w:rPr>
              <w:t>目前，酉阳县规划和自然资源局正在开展《重庆市酉阳土家族苗族自治县矿产资源总体规划（2021-2025年）》的调整工作，并同步开展《酉阳县矿产资源总体规划（2021-2025年）调整环境影响报告书》的编制论证工作，但该调整的环境影响报告书还处于编制报审阶段，未通过审查，本次评价以现行有效的《重庆市酉阳土家族苗族自治县矿产资源总体规划（2021-2025年）环境影响报告书》为准。</w:t>
            </w:r>
          </w:p>
          <w:p>
            <w:pPr>
              <w:autoSpaceDE w:val="0"/>
              <w:autoSpaceDN w:val="0"/>
              <w:adjustRightInd w:val="0"/>
              <w:snapToGrid w:val="0"/>
              <w:spacing w:line="360" w:lineRule="auto"/>
              <w:ind w:firstLine="480" w:firstLineChars="200"/>
              <w:rPr>
                <w:bCs/>
                <w:kern w:val="0"/>
                <w:sz w:val="24"/>
              </w:rPr>
            </w:pPr>
            <w:r>
              <w:rPr>
                <w:rFonts w:hint="eastAsia"/>
                <w:kern w:val="0"/>
                <w:sz w:val="24"/>
              </w:rPr>
              <w:t>根据</w:t>
            </w:r>
            <w:r>
              <w:rPr>
                <w:kern w:val="0"/>
                <w:sz w:val="24"/>
              </w:rPr>
              <w:t>《重庆市</w:t>
            </w:r>
            <w:r>
              <w:rPr>
                <w:rFonts w:hint="eastAsia"/>
                <w:kern w:val="0"/>
                <w:sz w:val="24"/>
              </w:rPr>
              <w:t>酉阳土家族苗族自治县</w:t>
            </w:r>
            <w:r>
              <w:rPr>
                <w:kern w:val="0"/>
                <w:sz w:val="24"/>
              </w:rPr>
              <w:t>矿产资源总体规划（2021-2025）</w:t>
            </w:r>
            <w:r>
              <w:rPr>
                <w:rFonts w:hint="eastAsia"/>
                <w:kern w:val="0"/>
                <w:sz w:val="24"/>
              </w:rPr>
              <w:t>环境影响报告书</w:t>
            </w:r>
            <w:r>
              <w:rPr>
                <w:kern w:val="0"/>
                <w:sz w:val="24"/>
              </w:rPr>
              <w:t>》</w:t>
            </w:r>
            <w:r>
              <w:rPr>
                <w:rFonts w:hint="eastAsia"/>
                <w:kern w:val="0"/>
                <w:sz w:val="24"/>
              </w:rPr>
              <w:t>中列示的</w:t>
            </w:r>
            <w:r>
              <w:rPr>
                <w:bCs/>
                <w:kern w:val="0"/>
                <w:sz w:val="24"/>
              </w:rPr>
              <w:t>生态环境管控要求</w:t>
            </w:r>
            <w:r>
              <w:rPr>
                <w:rFonts w:hint="eastAsia"/>
                <w:bCs/>
                <w:kern w:val="0"/>
                <w:sz w:val="24"/>
              </w:rPr>
              <w:t>清单，及规划环评批文“渝环函〔2022〕570号”中相关管控要求，拟建项目与其符合性分析见表1</w:t>
            </w:r>
            <w:r>
              <w:rPr>
                <w:bCs/>
                <w:kern w:val="0"/>
                <w:sz w:val="24"/>
              </w:rPr>
              <w:t>-3</w:t>
            </w:r>
            <w:r>
              <w:rPr>
                <w:rFonts w:hint="eastAsia"/>
                <w:bCs/>
                <w:kern w:val="0"/>
                <w:sz w:val="24"/>
              </w:rPr>
              <w:t>。</w:t>
            </w:r>
          </w:p>
          <w:p>
            <w:pPr>
              <w:autoSpaceDE w:val="0"/>
              <w:autoSpaceDN w:val="0"/>
              <w:adjustRightInd w:val="0"/>
              <w:snapToGrid w:val="0"/>
              <w:jc w:val="center"/>
              <w:rPr>
                <w:rFonts w:hint="eastAsia" w:ascii="宋体" w:hAnsi="宋体"/>
                <w:b/>
                <w:kern w:val="0"/>
                <w:sz w:val="24"/>
              </w:rPr>
            </w:pPr>
            <w:r>
              <w:rPr>
                <w:b/>
                <w:kern w:val="0"/>
                <w:sz w:val="24"/>
              </w:rPr>
              <w:t xml:space="preserve">表1-3   </w:t>
            </w:r>
            <w:r>
              <w:rPr>
                <w:rFonts w:hint="eastAsia" w:ascii="宋体" w:hAnsi="宋体"/>
                <w:b/>
                <w:kern w:val="0"/>
                <w:sz w:val="24"/>
              </w:rPr>
              <w:t>符合性分析一览表</w:t>
            </w:r>
          </w:p>
          <w:tbl>
            <w:tblPr>
              <w:tblStyle w:val="15"/>
              <w:tblW w:w="92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426"/>
              <w:gridCol w:w="924"/>
              <w:gridCol w:w="3546"/>
              <w:gridCol w:w="2989"/>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25" w:type="dxa"/>
                  <w:gridSpan w:val="6"/>
                  <w:tcBorders>
                    <w:top w:val="single" w:color="auto" w:sz="4" w:space="0"/>
                    <w:left w:val="single" w:color="auto" w:sz="4" w:space="0"/>
                    <w:bottom w:val="single" w:color="auto" w:sz="4" w:space="0"/>
                    <w:right w:val="single" w:color="auto" w:sz="4" w:space="0"/>
                  </w:tcBorders>
                  <w:vAlign w:val="center"/>
                </w:tcPr>
                <w:p>
                  <w:pPr>
                    <w:pStyle w:val="42"/>
                  </w:pPr>
                  <w:r>
                    <w:t>《重庆市酉阳土家族苗族自治县矿产资源总体规划（2021-2025）环境影响报告书》</w:t>
                  </w:r>
                  <w:r>
                    <w:rPr>
                      <w:rFonts w:hint="eastAsia"/>
                    </w:rPr>
                    <w:t>生态环境管控要求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3" w:type="dxa"/>
                  <w:gridSpan w:val="2"/>
                  <w:tcBorders>
                    <w:top w:val="single" w:color="auto" w:sz="4" w:space="0"/>
                    <w:left w:val="single" w:color="auto" w:sz="4" w:space="0"/>
                    <w:bottom w:val="single" w:color="auto" w:sz="4" w:space="0"/>
                    <w:right w:val="single" w:color="auto" w:sz="4" w:space="0"/>
                  </w:tcBorders>
                  <w:vAlign w:val="center"/>
                </w:tcPr>
                <w:p>
                  <w:pPr>
                    <w:pStyle w:val="42"/>
                  </w:pPr>
                  <w:r>
                    <w:rPr>
                      <w:lang w:bidi="ar"/>
                    </w:rPr>
                    <w:t>类型</w:t>
                  </w:r>
                </w:p>
              </w:tc>
              <w:tc>
                <w:tcPr>
                  <w:tcW w:w="4470" w:type="dxa"/>
                  <w:gridSpan w:val="2"/>
                  <w:tcBorders>
                    <w:top w:val="single" w:color="auto" w:sz="4" w:space="0"/>
                    <w:left w:val="single" w:color="auto" w:sz="4" w:space="0"/>
                    <w:bottom w:val="single" w:color="auto" w:sz="4" w:space="0"/>
                    <w:right w:val="single" w:color="auto" w:sz="4" w:space="0"/>
                  </w:tcBorders>
                  <w:vAlign w:val="center"/>
                </w:tcPr>
                <w:p>
                  <w:pPr>
                    <w:pStyle w:val="42"/>
                  </w:pPr>
                  <w:r>
                    <w:rPr>
                      <w:lang w:bidi="ar"/>
                    </w:rPr>
                    <w:t>管控要求</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拟建项目</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3" w:type="dxa"/>
                  <w:gridSpan w:val="2"/>
                  <w:vMerge w:val="restart"/>
                  <w:tcBorders>
                    <w:top w:val="single" w:color="auto" w:sz="4" w:space="0"/>
                    <w:left w:val="single" w:color="auto" w:sz="4" w:space="0"/>
                    <w:right w:val="single" w:color="auto" w:sz="4" w:space="0"/>
                  </w:tcBorders>
                  <w:vAlign w:val="center"/>
                </w:tcPr>
                <w:p>
                  <w:pPr>
                    <w:pStyle w:val="42"/>
                    <w:rPr>
                      <w:lang w:bidi="ar"/>
                    </w:rPr>
                  </w:pPr>
                  <w:r>
                    <w:rPr>
                      <w:lang w:bidi="ar"/>
                    </w:rPr>
                    <w:t>重点区域生态环境管控</w:t>
                  </w:r>
                </w:p>
              </w:tc>
              <w:tc>
                <w:tcPr>
                  <w:tcW w:w="924"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一般生态空间</w:t>
                  </w:r>
                </w:p>
              </w:tc>
              <w:tc>
                <w:tcPr>
                  <w:tcW w:w="3546"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1）涉及一般生态空间的25个新设勘查规划区块（KQ01、KQ02、KQ05、KQ06、KQ07、KQ08、KQ09、KQ12、KQ13、KQ14、KQ15、KQ16、KQ18、KQ19、KQ24、KQ25、KQ26、KQ27、KQ28、KQ29、KQ31、KQ36、KQ38、KQ39、KQ45），建议严格执行一般生态空间管控要求，并严格控制勘查活动范围和强度，保证该单元生态系统结构和主要功能不受破坏。</w:t>
                  </w:r>
                </w:p>
                <w:p>
                  <w:pPr>
                    <w:pStyle w:val="42"/>
                    <w:jc w:val="both"/>
                  </w:pPr>
                  <w:r>
                    <w:rPr>
                      <w:rFonts w:hint="eastAsia"/>
                    </w:rPr>
                    <w:t>（2）露天开采CQ06、CQ12、CQ14、CQ16、CQ20、CQ23、CQ27、CQ37、CQ09、CQ11、CQ22、CQ32、CQ39、CQ41、CQ45等15个露天开采区块和CQ33、CQ34、CQ37等3个地下开采区块与一般生态空间中“生物多样性维护”、“石漠化”重叠，应当按照限制性开发管理要求，严格控制建设活动范围和强度，保证其结构和生物多样性维护的主要功能不受破坏，通过石漠化治理减缓石漠化的程度。</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拟建项目位于CQ013范围内，不占用一般生态空间。</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3" w:type="dxa"/>
                  <w:gridSpan w:val="2"/>
                  <w:vMerge w:val="continue"/>
                  <w:tcBorders>
                    <w:left w:val="single" w:color="auto" w:sz="4" w:space="0"/>
                    <w:right w:val="single" w:color="auto" w:sz="4" w:space="0"/>
                  </w:tcBorders>
                  <w:vAlign w:val="center"/>
                </w:tcPr>
                <w:p>
                  <w:pPr>
                    <w:pStyle w:val="42"/>
                    <w:rPr>
                      <w:lang w:bidi="ar"/>
                    </w:rPr>
                  </w:pPr>
                </w:p>
              </w:tc>
              <w:tc>
                <w:tcPr>
                  <w:tcW w:w="924"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临近敏感区</w:t>
                  </w:r>
                </w:p>
              </w:tc>
              <w:tc>
                <w:tcPr>
                  <w:tcW w:w="3546"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CQ02、CQ06、CQ25、CQ47等临近生态保护红线和自然保护区、风景名胜区、森林公园等自然保护地的矿产资源勘查开发，应采取有效措施，避免影响生态服务功能。</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拟建项目用地范围内500m范围内无生态保护红线和自然保护区、风景名胜区、森林公园等自然保护地。</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3" w:type="dxa"/>
                  <w:gridSpan w:val="2"/>
                  <w:vMerge w:val="continue"/>
                  <w:tcBorders>
                    <w:left w:val="single" w:color="auto" w:sz="4" w:space="0"/>
                    <w:right w:val="single" w:color="auto" w:sz="4" w:space="0"/>
                  </w:tcBorders>
                  <w:vAlign w:val="center"/>
                </w:tcPr>
                <w:p>
                  <w:pPr>
                    <w:pStyle w:val="42"/>
                    <w:rPr>
                      <w:lang w:bidi="ar"/>
                    </w:rPr>
                  </w:pPr>
                </w:p>
              </w:tc>
              <w:tc>
                <w:tcPr>
                  <w:tcW w:w="924"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重点生态功能区</w:t>
                  </w:r>
                </w:p>
              </w:tc>
              <w:tc>
                <w:tcPr>
                  <w:tcW w:w="3546"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生态功能保护区内的开采活动必须符合当地的环境功能区规划，并按规定进行控制性开采，开采活动不得影响本功能区内的主导生态功能。规划KQ03、KQ04、KQ07等24个勘查规划区块，以及CQ05、CQ07、CQ09等27个开采区块部分或全部位于生物多样性保护优先区域，规划实施时，应严格执行《中共中央办公厅 国务院办公厅关于进一步加强生物多样性保护的意见》（2021年10月19日）等相关规定和要求，加强矿区及采矿活动影响区域生物多样性保护调查保护，以及水土流失预防与综合治理工作，维护好区域生物多样性和生态功能系统完整性。</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拟建项目位于CQ013范围内，不占用生物多样性保护优先区域，见附图17。</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3" w:type="dxa"/>
                  <w:gridSpan w:val="2"/>
                  <w:vMerge w:val="continue"/>
                  <w:tcBorders>
                    <w:left w:val="single" w:color="auto" w:sz="4" w:space="0"/>
                    <w:right w:val="single" w:color="auto" w:sz="4" w:space="0"/>
                  </w:tcBorders>
                  <w:vAlign w:val="center"/>
                </w:tcPr>
                <w:p>
                  <w:pPr>
                    <w:pStyle w:val="42"/>
                    <w:rPr>
                      <w:lang w:bidi="ar"/>
                    </w:rPr>
                  </w:pPr>
                </w:p>
              </w:tc>
              <w:tc>
                <w:tcPr>
                  <w:tcW w:w="924"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生态脆弱区</w:t>
                  </w:r>
                </w:p>
              </w:tc>
              <w:tc>
                <w:tcPr>
                  <w:tcW w:w="3546"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《规划》划定的24个露天开采区块与水土流失重点预防区重叠，应严格控制生产建设活动，有效避免人为水土流失，结合水土流失重点预防区主要工作内容做好矿山水土流失防治。</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根据《酉阳自治县水土流失重点防治区复核划分成果》（酉阳府办〔2018〕102号），拟建项目位于双泉乡永祥村，不占用酉阳县水土流失重点防治区。</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3" w:type="dxa"/>
                  <w:gridSpan w:val="2"/>
                  <w:vMerge w:val="continue"/>
                  <w:tcBorders>
                    <w:left w:val="single" w:color="auto" w:sz="4" w:space="0"/>
                    <w:right w:val="single" w:color="auto" w:sz="4" w:space="0"/>
                  </w:tcBorders>
                  <w:vAlign w:val="center"/>
                </w:tcPr>
                <w:p>
                  <w:pPr>
                    <w:pStyle w:val="42"/>
                    <w:rPr>
                      <w:lang w:bidi="ar"/>
                    </w:rPr>
                  </w:pPr>
                </w:p>
              </w:tc>
              <w:tc>
                <w:tcPr>
                  <w:tcW w:w="924"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国家级公益林</w:t>
                  </w:r>
                </w:p>
              </w:tc>
              <w:tc>
                <w:tcPr>
                  <w:tcW w:w="3546"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CQ01、CQ02、CQ03、CQ11等9个露天开采规划区块和CQ33、CQ34、CQ35等8个地下开采规划区块与国家级公益林二级保护林地部分重叠，应优先调整区块布局，不占或者少占公益林，确需使用的，严格按照《建设项目使用林地审核审批管理办法》有关规定办理使用林地手续。</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拟建项目用地范围不占用公益林，见附件8。</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3" w:type="dxa"/>
                  <w:gridSpan w:val="2"/>
                  <w:vMerge w:val="continue"/>
                  <w:tcBorders>
                    <w:left w:val="single" w:color="auto" w:sz="4" w:space="0"/>
                    <w:bottom w:val="single" w:color="auto" w:sz="4" w:space="0"/>
                    <w:right w:val="single" w:color="auto" w:sz="4" w:space="0"/>
                  </w:tcBorders>
                  <w:vAlign w:val="center"/>
                </w:tcPr>
                <w:p>
                  <w:pPr>
                    <w:pStyle w:val="42"/>
                  </w:pPr>
                </w:p>
              </w:tc>
              <w:tc>
                <w:tcPr>
                  <w:tcW w:w="924" w:type="dxa"/>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直观可视范围</w:t>
                  </w:r>
                </w:p>
              </w:tc>
              <w:tc>
                <w:tcPr>
                  <w:tcW w:w="3546"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露天开采矿山CQ20、CQ16、CQ18临近G65包茂高速，CQ28、CQ21、CQ29、CQ40等临近省道，对于位于现状国道、省道、铁路可视范围内的矿权，项目实施时应详细核实矿区可视范围，禁止在直观可视范围内进行露天开采。</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color w:val="0000FF"/>
                    </w:rPr>
                    <w:t>建设单位已委托有资质的单位编制了“可视论证报告”、“开发利用方案”，建设单位开采过程中可通过严格依照“开发利用方案”、“可视论证报告”提出的各项优化开采方式及遮挡措施，采用直观可视采区覆盖仿真绿叶网及反向开采相结合的方案，可实现采区开采活动全过程不处于S525省道的直观可视范围内。</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427" w:type="dxa"/>
                  <w:vMerge w:val="restart"/>
                  <w:tcBorders>
                    <w:top w:val="single" w:color="auto" w:sz="4" w:space="0"/>
                    <w:left w:val="single" w:color="auto" w:sz="4" w:space="0"/>
                    <w:right w:val="single" w:color="auto" w:sz="4" w:space="0"/>
                  </w:tcBorders>
                  <w:vAlign w:val="center"/>
                </w:tcPr>
                <w:p>
                  <w:pPr>
                    <w:pStyle w:val="42"/>
                  </w:pPr>
                  <w:r>
                    <w:rPr>
                      <w:lang w:bidi="ar"/>
                    </w:rPr>
                    <w:t>污染物排放管控</w:t>
                  </w:r>
                </w:p>
              </w:tc>
              <w:tc>
                <w:tcPr>
                  <w:tcW w:w="426" w:type="dxa"/>
                  <w:tcBorders>
                    <w:top w:val="single" w:color="auto" w:sz="4" w:space="0"/>
                    <w:left w:val="single" w:color="auto" w:sz="4" w:space="0"/>
                    <w:bottom w:val="single" w:color="auto" w:sz="4" w:space="0"/>
                    <w:right w:val="single" w:color="auto" w:sz="4" w:space="0"/>
                  </w:tcBorders>
                  <w:vAlign w:val="center"/>
                </w:tcPr>
                <w:p>
                  <w:pPr>
                    <w:pStyle w:val="42"/>
                  </w:pPr>
                  <w:r>
                    <w:rPr>
                      <w:lang w:bidi="ar"/>
                    </w:rPr>
                    <w:t>环境空气</w:t>
                  </w:r>
                  <w:r>
                    <w:rPr>
                      <w:rFonts w:hint="eastAsia"/>
                      <w:lang w:bidi="ar"/>
                    </w:rPr>
                    <w:t>质量</w:t>
                  </w:r>
                </w:p>
              </w:tc>
              <w:tc>
                <w:tcPr>
                  <w:tcW w:w="4470" w:type="dxa"/>
                  <w:gridSpan w:val="2"/>
                  <w:tcBorders>
                    <w:top w:val="single" w:color="auto" w:sz="4" w:space="0"/>
                    <w:left w:val="single" w:color="auto" w:sz="4" w:space="0"/>
                    <w:bottom w:val="single" w:color="auto" w:sz="4" w:space="0"/>
                    <w:right w:val="single" w:color="auto" w:sz="4" w:space="0"/>
                  </w:tcBorders>
                  <w:vAlign w:val="center"/>
                </w:tcPr>
                <w:p>
                  <w:pPr>
                    <w:pStyle w:val="42"/>
                    <w:jc w:val="both"/>
                    <w:rPr>
                      <w:lang w:bidi="ar"/>
                    </w:rPr>
                  </w:pPr>
                  <w:r>
                    <w:rPr>
                      <w:rFonts w:hint="eastAsia"/>
                      <w:lang w:bidi="ar"/>
                    </w:rPr>
                    <w:t>（1）一类功能区内的建设用地及其以外所设300米宽的缓冲带，原则上按一类功能区对应的标准执行。CQ02、CQ06、CQ25、CQ47部分矿区范围位于一类功能区外300米缓冲带范围内，执行《环境空气质量标准》（GB3095-2012）一级标准，对于位于缓冲带内的采矿区块应强化粉尘排放控制。</w:t>
                  </w:r>
                </w:p>
                <w:p>
                  <w:pPr>
                    <w:pStyle w:val="42"/>
                    <w:jc w:val="both"/>
                  </w:pPr>
                  <w:r>
                    <w:rPr>
                      <w:rFonts w:hint="eastAsia"/>
                    </w:rPr>
                    <w:t>（2）严格执行国家及重庆市大气污染物排放标准。啸天龙含铜铅锌矿仅为矿山开采项目，产生的废气均为无组织排放，因此，产生的废气执行《铅、锌工业污染物排放标准》（GB25466-2010）和《铜、镍、钴工业污染物排放标准》（GB 25467-2010）表6中新建企业大气污染物排放浓度限值标准；水泥原料矿山开采过程中的颗粒物执行《水泥工业大气污染物排放标准》（DB 50656-2016）划分中的其他区域标准。</w:t>
                  </w:r>
                </w:p>
                <w:p>
                  <w:pPr>
                    <w:pStyle w:val="42"/>
                    <w:jc w:val="both"/>
                  </w:pPr>
                  <w:r>
                    <w:rPr>
                      <w:rFonts w:hint="eastAsia"/>
                    </w:rPr>
                    <w:t>（3）涉及环境敏感区的露天开采矿山，加工区应依法采取封闭措施控制无组织排放粉尘。</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1、项目位于CQ013范围内，处于大气二类功能区；</w:t>
                  </w:r>
                </w:p>
                <w:p>
                  <w:pPr>
                    <w:pStyle w:val="42"/>
                    <w:jc w:val="both"/>
                  </w:pPr>
                  <w:r>
                    <w:rPr>
                      <w:rFonts w:hint="eastAsia"/>
                    </w:rPr>
                    <w:t>2、项目实际为</w:t>
                  </w:r>
                  <w:r>
                    <w:rPr>
                      <w:rFonts w:hint="eastAsia"/>
                      <w:color w:val="0000FF"/>
                    </w:rPr>
                    <w:t>建筑石料用灰岩矿山，项目施工、生产过程中产生的粉尘应执行《大气污染物综合排放标准》（DB 50/418-2016）</w:t>
                  </w:r>
                  <w:r>
                    <w:rPr>
                      <w:rFonts w:hint="eastAsia"/>
                    </w:rPr>
                    <w:t>；</w:t>
                  </w:r>
                </w:p>
                <w:p>
                  <w:pPr>
                    <w:pStyle w:val="42"/>
                    <w:jc w:val="both"/>
                  </w:pPr>
                  <w:r>
                    <w:rPr>
                      <w:rFonts w:hint="eastAsia"/>
                      <w:lang w:bidi="ar"/>
                    </w:rPr>
                    <w:t>3、项目不涉及环境敏感区，加工区整体搭建密闭钢架结构密闭厂房，并实施设备封闭、有组织收尘，以减少无组织粉尘排放量。</w:t>
                  </w:r>
                </w:p>
              </w:tc>
              <w:tc>
                <w:tcPr>
                  <w:tcW w:w="913" w:type="dxa"/>
                  <w:vMerge w:val="restar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trPr>
              <w:tc>
                <w:tcPr>
                  <w:tcW w:w="427" w:type="dxa"/>
                  <w:vMerge w:val="continue"/>
                  <w:tcBorders>
                    <w:top w:val="single" w:color="auto" w:sz="4" w:space="0"/>
                    <w:left w:val="single" w:color="auto" w:sz="4" w:space="0"/>
                    <w:right w:val="single" w:color="auto" w:sz="4" w:space="0"/>
                  </w:tcBorders>
                  <w:vAlign w:val="center"/>
                </w:tcPr>
                <w:p>
                  <w:pPr>
                    <w:pStyle w:val="42"/>
                    <w:rPr>
                      <w:lang w:bidi="ar"/>
                    </w:rPr>
                  </w:pPr>
                </w:p>
              </w:tc>
              <w:tc>
                <w:tcPr>
                  <w:tcW w:w="426"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水环境质量</w:t>
                  </w:r>
                </w:p>
              </w:tc>
              <w:tc>
                <w:tcPr>
                  <w:tcW w:w="4470" w:type="dxa"/>
                  <w:gridSpan w:val="2"/>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1）从严控制重金属排放量，严格执行国家及重庆市水污染物排放标准，含铜铅锌矿采矿产生的废水排放的污染物浓度限值取《铅、锌工业污染物排放标准》（GB25467-2010）及《铜、镍、钴工业污染物排放标准》（GB25466-2010）水污染物特别排放限值中直接排放限值的最严浓度值。</w:t>
                  </w:r>
                </w:p>
                <w:p>
                  <w:pPr>
                    <w:pStyle w:val="42"/>
                    <w:jc w:val="both"/>
                    <w:rPr>
                      <w:lang w:bidi="ar"/>
                    </w:rPr>
                  </w:pPr>
                  <w:r>
                    <w:rPr>
                      <w:rFonts w:hint="eastAsia"/>
                      <w:lang w:bidi="ar"/>
                    </w:rPr>
                    <w:t>（2）啸天龙含铜铅锌矿需要申请重金属总量控制的因子为铅、汞、镉、铬和类金属砷。所需重金属总量指标由市局进行调剂。</w:t>
                  </w:r>
                </w:p>
                <w:p>
                  <w:pPr>
                    <w:pStyle w:val="42"/>
                    <w:jc w:val="both"/>
                  </w:pPr>
                  <w:r>
                    <w:rPr>
                      <w:rFonts w:hint="eastAsia"/>
                      <w:lang w:bidi="ar"/>
                    </w:rPr>
                    <w:t>（3）开采规划区块CQ18位于王家河</w:t>
                  </w:r>
                  <w:r>
                    <w:rPr>
                      <w:lang w:bidi="ar"/>
                    </w:rPr>
                    <w:t>Ⅱ</w:t>
                  </w:r>
                  <w:r>
                    <w:rPr>
                      <w:rFonts w:hint="eastAsia"/>
                      <w:lang w:bidi="ar"/>
                    </w:rPr>
                    <w:t>类水域功能，矿山废水处理达标后可回用于矿区道路浇洒、绿化等，严禁新设排污口，严禁直接向河道排污。</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项目为非金属矿的开采，不涉及</w:t>
                  </w:r>
                  <w:r>
                    <w:rPr>
                      <w:rFonts w:hint="eastAsia"/>
                      <w:lang w:bidi="ar"/>
                    </w:rPr>
                    <w:t>重金属总量指标；</w:t>
                  </w:r>
                  <w:r>
                    <w:rPr>
                      <w:rFonts w:hint="eastAsia"/>
                    </w:rPr>
                    <w:t>项目位于CQ013范围内，处于阿蓬江流域，为</w:t>
                  </w:r>
                  <w:r>
                    <w:t>Ⅲ</w:t>
                  </w:r>
                  <w:r>
                    <w:rPr>
                      <w:rFonts w:hint="eastAsia"/>
                    </w:rPr>
                    <w:t>类水域。</w:t>
                  </w:r>
                </w:p>
              </w:tc>
              <w:tc>
                <w:tcPr>
                  <w:tcW w:w="913" w:type="dxa"/>
                  <w:vMerge w:val="continue"/>
                  <w:tcBorders>
                    <w:top w:val="single" w:color="auto" w:sz="4" w:space="0"/>
                    <w:left w:val="single" w:color="auto" w:sz="4" w:space="0"/>
                    <w:bottom w:val="single" w:color="auto" w:sz="4" w:space="0"/>
                    <w:right w:val="single" w:color="auto" w:sz="4" w:space="0"/>
                  </w:tcBorders>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2" w:hRule="atLeast"/>
              </w:trPr>
              <w:tc>
                <w:tcPr>
                  <w:tcW w:w="853" w:type="dxa"/>
                  <w:gridSpan w:val="2"/>
                  <w:tcBorders>
                    <w:top w:val="single" w:color="auto" w:sz="4" w:space="0"/>
                    <w:left w:val="single" w:color="auto" w:sz="4" w:space="0"/>
                    <w:bottom w:val="single" w:color="auto" w:sz="4" w:space="0"/>
                    <w:right w:val="single" w:color="auto" w:sz="4" w:space="0"/>
                  </w:tcBorders>
                  <w:vAlign w:val="center"/>
                </w:tcPr>
                <w:p>
                  <w:pPr>
                    <w:pStyle w:val="42"/>
                  </w:pPr>
                  <w:r>
                    <w:rPr>
                      <w:lang w:bidi="ar"/>
                    </w:rPr>
                    <w:t>环境风险防控</w:t>
                  </w:r>
                </w:p>
              </w:tc>
              <w:tc>
                <w:tcPr>
                  <w:tcW w:w="4470" w:type="dxa"/>
                  <w:gridSpan w:val="2"/>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（1）铅锌矿山开采企业应定期开展环境风险评估，编制应急预案并进行备案。</w:t>
                  </w:r>
                </w:p>
                <w:p>
                  <w:pPr>
                    <w:pStyle w:val="42"/>
                    <w:jc w:val="both"/>
                  </w:pPr>
                  <w:r>
                    <w:rPr>
                      <w:rFonts w:hint="eastAsia"/>
                    </w:rPr>
                    <w:t>（2）强化含铜铅锌矿的饮用水水源的环境风险防范，严禁外排废水排入干河沟和小坝（一级）水库，场地内设置事故池</w:t>
                  </w:r>
                  <w:r>
                    <w:t>。</w:t>
                  </w:r>
                </w:p>
                <w:p>
                  <w:pPr>
                    <w:pStyle w:val="42"/>
                    <w:jc w:val="both"/>
                  </w:pPr>
                  <w:r>
                    <w:rPr>
                      <w:rFonts w:hint="eastAsia"/>
                    </w:rPr>
                    <w:t>（3）对列入酉阳自治县汞矿、铅锌矿污染地块名录，暂不开发利用或现阶段不具备治理修复条件的污染地块，划定管控区域，落实风险管控措施，防止污染扩散，确保土壤环境安全。</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项目为</w:t>
                  </w:r>
                  <w:r>
                    <w:rPr>
                      <w:rFonts w:hint="eastAsia"/>
                      <w:color w:val="0000FF"/>
                    </w:rPr>
                    <w:t>建筑石料用</w:t>
                  </w:r>
                  <w:r>
                    <w:rPr>
                      <w:rFonts w:hint="eastAsia"/>
                    </w:rPr>
                    <w:t>灰岩矿山，设置危废贮存点收集储存设备维护保养废油，</w:t>
                  </w:r>
                  <w:r>
                    <w:rPr>
                      <w:rFonts w:hint="eastAsia"/>
                      <w:color w:val="0000FF"/>
                    </w:rPr>
                    <w:t>并做好“六防”</w:t>
                  </w:r>
                  <w:r>
                    <w:rPr>
                      <w:bCs/>
                      <w:color w:val="0000FF"/>
                      <w:szCs w:val="21"/>
                    </w:rPr>
                    <w:t>（防风、防雨、防晒、防渗、防漏、防腐）</w:t>
                  </w:r>
                  <w:r>
                    <w:rPr>
                      <w:rFonts w:hint="eastAsia"/>
                      <w:color w:val="0000FF"/>
                    </w:rPr>
                    <w:t>措施</w:t>
                  </w:r>
                  <w:r>
                    <w:rPr>
                      <w:bCs/>
                      <w:color w:val="0000FF"/>
                    </w:rPr>
                    <w:t>及泄漏物收集措施</w:t>
                  </w:r>
                  <w:r>
                    <w:rPr>
                      <w:rFonts w:hint="eastAsia"/>
                      <w:bCs/>
                      <w:color w:val="0000FF"/>
                    </w:rPr>
                    <w:t>；</w:t>
                  </w:r>
                  <w:r>
                    <w:rPr>
                      <w:rFonts w:hint="eastAsia"/>
                    </w:rPr>
                    <w:t>设置柴油罐区储存柴油，</w:t>
                  </w:r>
                  <w:r>
                    <w:rPr>
                      <w:rFonts w:hint="eastAsia"/>
                      <w:color w:val="0000FF"/>
                    </w:rPr>
                    <w:t>并</w:t>
                  </w:r>
                  <w:r>
                    <w:rPr>
                      <w:rFonts w:hint="eastAsia"/>
                    </w:rPr>
                    <w:t>做好</w:t>
                  </w:r>
                  <w:r>
                    <w:rPr>
                      <w:rFonts w:hint="eastAsia"/>
                      <w:color w:val="0000FF"/>
                    </w:rPr>
                    <w:t>防雨、防渗漏</w:t>
                  </w:r>
                  <w:r>
                    <w:rPr>
                      <w:rFonts w:hint="eastAsia"/>
                    </w:rPr>
                    <w:t>措施。</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3" w:type="dxa"/>
                  <w:gridSpan w:val="2"/>
                  <w:tcBorders>
                    <w:top w:val="single" w:color="auto" w:sz="4" w:space="0"/>
                    <w:left w:val="single" w:color="auto" w:sz="4" w:space="0"/>
                    <w:bottom w:val="single" w:color="auto" w:sz="4" w:space="0"/>
                    <w:right w:val="single" w:color="auto" w:sz="4" w:space="0"/>
                  </w:tcBorders>
                  <w:vAlign w:val="center"/>
                </w:tcPr>
                <w:p>
                  <w:pPr>
                    <w:pStyle w:val="42"/>
                  </w:pPr>
                  <w:r>
                    <w:rPr>
                      <w:lang w:bidi="ar"/>
                    </w:rPr>
                    <w:t>资源开发利用要求</w:t>
                  </w:r>
                </w:p>
              </w:tc>
              <w:tc>
                <w:tcPr>
                  <w:tcW w:w="4470" w:type="dxa"/>
                  <w:gridSpan w:val="2"/>
                  <w:tcBorders>
                    <w:top w:val="single" w:color="auto" w:sz="4" w:space="0"/>
                    <w:left w:val="single" w:color="auto" w:sz="4" w:space="0"/>
                    <w:bottom w:val="single" w:color="auto" w:sz="4" w:space="0"/>
                    <w:right w:val="single" w:color="auto" w:sz="4" w:space="0"/>
                  </w:tcBorders>
                  <w:vAlign w:val="center"/>
                </w:tcPr>
                <w:p>
                  <w:pPr>
                    <w:pStyle w:val="42"/>
                    <w:jc w:val="both"/>
                  </w:pPr>
                  <w:r>
                    <w:rPr>
                      <w:lang w:bidi="ar"/>
                    </w:rPr>
                    <w:t>（1）</w:t>
                  </w:r>
                  <w:r>
                    <w:rPr>
                      <w:rFonts w:hint="eastAsia"/>
                      <w:lang w:bidi="ar"/>
                    </w:rPr>
                    <w:t>建筑石料用灰岩、水泥用灰岩开采总量不得高于规划设置指标值</w:t>
                  </w:r>
                  <w:r>
                    <w:rPr>
                      <w:lang w:bidi="ar"/>
                    </w:rPr>
                    <w:t>；</w:t>
                  </w:r>
                </w:p>
                <w:p>
                  <w:pPr>
                    <w:pStyle w:val="42"/>
                    <w:jc w:val="both"/>
                    <w:rPr>
                      <w:lang w:bidi="ar"/>
                    </w:rPr>
                  </w:pPr>
                  <w:r>
                    <w:rPr>
                      <w:lang w:bidi="ar"/>
                    </w:rPr>
                    <w:t>（2）</w:t>
                  </w:r>
                  <w:r>
                    <w:rPr>
                      <w:rFonts w:hint="eastAsia"/>
                      <w:lang w:bidi="ar"/>
                    </w:rPr>
                    <w:t>单个矿山最低开采规模不得低于规划设计标准；</w:t>
                  </w:r>
                </w:p>
                <w:p>
                  <w:pPr>
                    <w:pStyle w:val="42"/>
                    <w:jc w:val="both"/>
                  </w:pPr>
                  <w:r>
                    <w:rPr>
                      <w:lang w:bidi="ar"/>
                    </w:rPr>
                    <w:t>（</w:t>
                  </w:r>
                  <w:r>
                    <w:rPr>
                      <w:rFonts w:hint="eastAsia"/>
                      <w:lang w:bidi="ar"/>
                    </w:rPr>
                    <w:t>3</w:t>
                  </w:r>
                  <w:r>
                    <w:rPr>
                      <w:lang w:bidi="ar"/>
                    </w:rPr>
                    <w:t>）</w:t>
                  </w:r>
                  <w:r>
                    <w:rPr>
                      <w:rFonts w:hint="eastAsia"/>
                      <w:lang w:bidi="ar"/>
                    </w:rPr>
                    <w:t>“三率”水平达标率应满足国家和重庆市的矿产资源合理开发利用“三率”最低指标要求。</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拟建项目实施后，规模扩大至51万吨/年，高于</w:t>
                  </w:r>
                  <w:r>
                    <w:rPr>
                      <w:rFonts w:hint="eastAsia"/>
                      <w:lang w:bidi="ar"/>
                    </w:rPr>
                    <w:t>最低开采规模，</w:t>
                  </w:r>
                  <w:r>
                    <w:rPr>
                      <w:rFonts w:hint="eastAsia"/>
                    </w:rPr>
                    <w:t>届时</w:t>
                  </w:r>
                  <w:r>
                    <w:t>酉阳全县</w:t>
                  </w:r>
                  <w:r>
                    <w:rPr>
                      <w:rFonts w:hint="eastAsia"/>
                      <w:color w:val="0000FF"/>
                    </w:rPr>
                    <w:t>建筑石料</w:t>
                  </w:r>
                  <w:r>
                    <w:rPr>
                      <w:rFonts w:hint="eastAsia"/>
                    </w:rPr>
                    <w:t>用灰岩开采现状总量为</w:t>
                  </w:r>
                  <w:r>
                    <w:rPr>
                      <w:rFonts w:hint="eastAsia"/>
                      <w:color w:val="0000FF"/>
                    </w:rPr>
                    <w:t>566</w:t>
                  </w:r>
                  <w:r>
                    <w:rPr>
                      <w:rFonts w:hint="eastAsia"/>
                    </w:rPr>
                    <w:t>万吨/年，不超过全县</w:t>
                  </w:r>
                  <w:r>
                    <w:rPr>
                      <w:rFonts w:hint="eastAsia"/>
                      <w:color w:val="0000FF"/>
                    </w:rPr>
                    <w:t>900</w:t>
                  </w:r>
                  <w:r>
                    <w:t>万吨/年</w:t>
                  </w:r>
                  <w:r>
                    <w:rPr>
                      <w:rFonts w:hint="eastAsia"/>
                    </w:rPr>
                    <w:t>的总量约束性指标。</w:t>
                  </w:r>
                </w:p>
                <w:p>
                  <w:pPr>
                    <w:pStyle w:val="42"/>
                    <w:jc w:val="both"/>
                  </w:pPr>
                  <w:r>
                    <w:rPr>
                      <w:rFonts w:hint="eastAsia"/>
                    </w:rPr>
                    <w:t>项目回采率、选矿回收率和综合利用率分别为95%、100%、100%，高于</w:t>
                  </w:r>
                  <w:r>
                    <w:rPr>
                      <w:rFonts w:hint="eastAsia"/>
                      <w:lang w:bidi="ar"/>
                    </w:rPr>
                    <w:t>“三率”最低指标要求。</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25" w:type="dxa"/>
                  <w:gridSpan w:val="6"/>
                  <w:tcBorders>
                    <w:top w:val="single" w:color="auto" w:sz="4" w:space="0"/>
                    <w:left w:val="single" w:color="auto" w:sz="4" w:space="0"/>
                    <w:bottom w:val="single" w:color="auto" w:sz="4" w:space="0"/>
                    <w:right w:val="single" w:color="auto" w:sz="4" w:space="0"/>
                  </w:tcBorders>
                  <w:vAlign w:val="center"/>
                </w:tcPr>
                <w:p>
                  <w:pPr>
                    <w:pStyle w:val="42"/>
                  </w:pPr>
                  <w:r>
                    <w:rPr>
                      <w:rFonts w:hint="eastAsia"/>
                    </w:rPr>
                    <w:t>规划环评批文“渝环函〔2022〕570号”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3" w:type="dxa"/>
                  <w:gridSpan w:val="4"/>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（一）坚持生态优先</w:t>
                  </w:r>
                  <w:r>
                    <w:rPr>
                      <w:rFonts w:hint="eastAsia"/>
                      <w:lang w:eastAsia="zh-CN"/>
                    </w:rPr>
                    <w:t>、</w:t>
                  </w:r>
                  <w:r>
                    <w:rPr>
                      <w:rFonts w:hint="eastAsia"/>
                    </w:rPr>
                    <w:t>绿色发展。</w:t>
                  </w:r>
                </w:p>
                <w:p>
                  <w:pPr>
                    <w:pStyle w:val="42"/>
                    <w:jc w:val="both"/>
                    <w:rPr>
                      <w:lang w:bidi="ar"/>
                    </w:rPr>
                  </w:pPr>
                  <w:r>
                    <w:rPr>
                      <w:rFonts w:hint="eastAsia"/>
                    </w:rPr>
                    <w:t>坚持以习近平生态文明思想为指导，严格落实《中华人民共和国长江保护法》，按照“共抓大保护、不搞大开发”的要求，立足于生态系统稳定和生态环境质量改善，处理好生态环境保护与矿产资源开发的关系，合理控制矿产资源开发规模与强度，不得占用依法应当禁止开发的区域，优先避让生态环境敏感区域。进一步强化《规划》的生态环境保护总体要求，推动生态环境保护与矿产资源开发目标同步实现。</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项目不占用规划中划定的禁止开发区域。</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3" w:type="dxa"/>
                  <w:gridSpan w:val="4"/>
                  <w:tcBorders>
                    <w:top w:val="single" w:color="auto" w:sz="4" w:space="0"/>
                    <w:left w:val="single" w:color="auto" w:sz="4" w:space="0"/>
                    <w:bottom w:val="single" w:color="auto" w:sz="4" w:space="0"/>
                    <w:right w:val="single" w:color="auto" w:sz="4" w:space="0"/>
                  </w:tcBorders>
                  <w:vAlign w:val="center"/>
                </w:tcPr>
                <w:p>
                  <w:pPr>
                    <w:pStyle w:val="42"/>
                    <w:jc w:val="both"/>
                    <w:rPr>
                      <w:lang w:bidi="ar"/>
                    </w:rPr>
                  </w:pPr>
                  <w:r>
                    <w:rPr>
                      <w:rFonts w:hint="eastAsia"/>
                      <w:lang w:bidi="ar"/>
                    </w:rPr>
                    <w:t>（二）严格产业准入，合理控制开采。</w:t>
                  </w:r>
                </w:p>
                <w:p>
                  <w:pPr>
                    <w:pStyle w:val="42"/>
                    <w:jc w:val="both"/>
                    <w:rPr>
                      <w:lang w:bidi="ar"/>
                    </w:rPr>
                  </w:pPr>
                  <w:r>
                    <w:rPr>
                      <w:rFonts w:hint="eastAsia"/>
                      <w:lang w:bidi="ar"/>
                    </w:rPr>
                    <w:t>严格落实《规划》提出的全县矿山数量控制在44个以内、矿山最低开采规模准入要求、大中型矿山比例达到60%等，水泥用灰岩、建筑石料用灰岩矿石产量严格控制在《规划》提出的约束性指标内。</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项目开采规模5</w:t>
                  </w:r>
                  <w:r>
                    <w:t>1</w:t>
                  </w:r>
                  <w:r>
                    <w:rPr>
                      <w:rFonts w:hint="eastAsia"/>
                    </w:rPr>
                    <w:t>万t</w:t>
                  </w:r>
                  <w:r>
                    <w:t>/a</w:t>
                  </w:r>
                  <w:r>
                    <w:rPr>
                      <w:rFonts w:hint="eastAsia"/>
                    </w:rPr>
                    <w:t>，为中型矿山，项目投产可提升区域中型矿山比例。满足最低开采规模，且不会突破区域</w:t>
                  </w:r>
                  <w:r>
                    <w:rPr>
                      <w:rFonts w:hint="eastAsia"/>
                      <w:color w:val="0000FF"/>
                    </w:rPr>
                    <w:t>建筑石料用</w:t>
                  </w:r>
                  <w:r>
                    <w:rPr>
                      <w:rFonts w:hint="eastAsia"/>
                    </w:rPr>
                    <w:t>灰岩总量控制指标。</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3" w:type="dxa"/>
                  <w:gridSpan w:val="4"/>
                  <w:tcBorders>
                    <w:top w:val="single" w:color="auto" w:sz="4" w:space="0"/>
                    <w:left w:val="single" w:color="auto" w:sz="4" w:space="0"/>
                    <w:bottom w:val="single" w:color="auto" w:sz="4" w:space="0"/>
                    <w:right w:val="single" w:color="auto" w:sz="4" w:space="0"/>
                  </w:tcBorders>
                  <w:vAlign w:val="center"/>
                </w:tcPr>
                <w:p>
                  <w:pPr>
                    <w:pStyle w:val="42"/>
                    <w:jc w:val="both"/>
                    <w:rPr>
                      <w:lang w:bidi="ar"/>
                    </w:rPr>
                  </w:pPr>
                  <w:r>
                    <w:rPr>
                      <w:rFonts w:hint="eastAsia"/>
                      <w:lang w:bidi="ar"/>
                    </w:rPr>
                    <w:t>（三）严格保护生态空间，维护区域生态功能。</w:t>
                  </w:r>
                </w:p>
                <w:p>
                  <w:pPr>
                    <w:pStyle w:val="42"/>
                    <w:jc w:val="both"/>
                    <w:rPr>
                      <w:lang w:bidi="ar"/>
                    </w:rPr>
                  </w:pPr>
                  <w:r>
                    <w:rPr>
                      <w:rFonts w:hint="eastAsia"/>
                      <w:lang w:bidi="ar"/>
                    </w:rPr>
                    <w:t>按照重庆市“三线一单”生态环境分区管控、生态环境保护规划等要求，进一步优化矿权设置和空间布局，依法依规对生态空间实施严格保护。重点开采区CZ001和勘查开采区块KQ014、CQ037、CQ038已纳入市级矿规，应严格落实市级矿规规划环评及审查意见要求，确保满足生态保护红线、自然保护地和一般生态空间管控要求。与酉阳县生态保护红线存在冲突的13个勘查区块（KQ005、KQ006、KQ008、KQ009、KQ011、KQ012、KQ018、KQ019、KQ022、KQ033、KQ035、KQ036、KQ045）和9个开采区块（CQ002、CQ003、CQ004、CQ006、CQ008、CQ020、CQ022、CQ023、CQ025）应优化空间布局，主动避让生态保护红线，确保满足生态保护红线管控要求。与自然保护地存在冲突的开采区块CQ002、CQ006、CO025应优化空间布局，主动避让自然保护地，确保满足各自然保护地管控要求。与风景名胜区外围保护地带存在冲突的勘查区块KQ004、KQ007、KQ010、KQ025和开采区块CQ012、CQ047应优化空间布局，主动避让风景名胜区外围保护地带，确保满足风景名胜区管控要求。与一般生态空间存在冲突的KQ001等24个勘查区块和CQ006等16个开采区块，应按照一般生态空间管控要求，严格控制勘查、开采活动范围和强度，严格落实绿色勘查、绿色开采及矿山环境保护、生态修复相关要求，保证生态系统结构和功能不受破坏。与永久基本农田存在冲突的露天开采区块，应优化区块布局，避让永久基本农田。对涉及占用二级公益林的，应优先调整区块布局，不占或者少占公益林，确需使用的应按规定办理林地使用手续。严格控制涉及生物多样性保护优先区域、国家重要生态功能区、水土流失重点预防区等具有重要生态功能的区域矿产开采活动，并采取严格有针对性的保护措施，防止对区域生态功能产生不良环境影响。</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1、拟建项目位于CQ013范围内，不占用永久基本农田、公益林、生态保护红线、一般生态空间、自然保护地、</w:t>
                  </w:r>
                  <w:r>
                    <w:rPr>
                      <w:rFonts w:hint="eastAsia"/>
                      <w:lang w:bidi="ar"/>
                    </w:rPr>
                    <w:t>生物多样性保护优先区域、水土流失重点防治区</w:t>
                  </w:r>
                  <w:r>
                    <w:rPr>
                      <w:rFonts w:hint="eastAsia"/>
                    </w:rPr>
                    <w:t>。</w:t>
                  </w:r>
                </w:p>
                <w:p>
                  <w:pPr>
                    <w:spacing w:line="300" w:lineRule="exact"/>
                  </w:pPr>
                  <w:r>
                    <w:rPr>
                      <w:rFonts w:hint="eastAsia"/>
                    </w:rPr>
                    <w:t>2、</w:t>
                  </w:r>
                  <w:r>
                    <w:t>项目用地范围</w:t>
                  </w:r>
                  <w:r>
                    <w:rPr>
                      <w:rFonts w:hint="eastAsia"/>
                    </w:rPr>
                    <w:t>涉及</w:t>
                  </w:r>
                  <w:r>
                    <w:t>国家重点生态功能区</w:t>
                  </w:r>
                  <w:r>
                    <w:rPr>
                      <w:rFonts w:hint="eastAsia"/>
                    </w:rPr>
                    <w:t>（武陵山区生物多样性与水土保持生态功能区）、</w:t>
                  </w:r>
                  <w:r>
                    <w:t>国家重要生态功能区</w:t>
                  </w:r>
                  <w:r>
                    <w:rPr>
                      <w:rFonts w:hint="eastAsia"/>
                    </w:rPr>
                    <w:t>（武陵山区生物多样性保护与水源涵养重要区）。拟建项目</w:t>
                  </w:r>
                  <w:r>
                    <w:t>将依规定实施边开采边复垦的生态修复措施，同步编制水保方案并报送酉阳县水利局审批，并依规实施各项水保措施</w:t>
                  </w:r>
                  <w:r>
                    <w:rPr>
                      <w:rFonts w:hint="eastAsia"/>
                    </w:rPr>
                    <w:t>，可将采矿活动带来的水土流失影响降至最低。</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3" w:type="dxa"/>
                  <w:gridSpan w:val="4"/>
                  <w:tcBorders>
                    <w:top w:val="single" w:color="auto" w:sz="4" w:space="0"/>
                    <w:left w:val="single" w:color="auto" w:sz="4" w:space="0"/>
                    <w:bottom w:val="single" w:color="auto" w:sz="4" w:space="0"/>
                    <w:right w:val="single" w:color="auto" w:sz="4" w:space="0"/>
                  </w:tcBorders>
                  <w:vAlign w:val="center"/>
                </w:tcPr>
                <w:p>
                  <w:pPr>
                    <w:pStyle w:val="42"/>
                    <w:jc w:val="both"/>
                    <w:rPr>
                      <w:lang w:bidi="ar"/>
                    </w:rPr>
                  </w:pPr>
                  <w:r>
                    <w:rPr>
                      <w:rFonts w:hint="eastAsia"/>
                      <w:lang w:bidi="ar"/>
                    </w:rPr>
                    <w:t>（四）加强矿山生态修复和环境治理。</w:t>
                  </w:r>
                </w:p>
                <w:p>
                  <w:pPr>
                    <w:pStyle w:val="42"/>
                    <w:jc w:val="both"/>
                    <w:rPr>
                      <w:lang w:bidi="ar"/>
                    </w:rPr>
                  </w:pPr>
                  <w:r>
                    <w:rPr>
                      <w:rFonts w:hint="eastAsia"/>
                      <w:lang w:bidi="ar"/>
                    </w:rPr>
                    <w:t>结合区域生态环境质量改善目标和主要生态环境问题，分区域、分矿种确定矿山修复和环境治理总体要求，强化生态环境保护。重视关闭矿山和历史遗留矿山的生态环境问题，按照国家、重庆市和酉阳县相关文件规定和要求，落实矿山生态恢复和土地复垦责任主体，采取自然修复、工程修复或合法再利用措施有序推进酉阳县兴隆镇建筑石料用灰岩矿山等矿山生态修复和环境治理，确保按时完成生态恢复工作。</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项目将采用“边开采边恢复”的开采方式。</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3" w:type="dxa"/>
                  <w:gridSpan w:val="4"/>
                  <w:tcBorders>
                    <w:top w:val="single" w:color="auto" w:sz="4" w:space="0"/>
                    <w:left w:val="single" w:color="auto" w:sz="4" w:space="0"/>
                    <w:bottom w:val="single" w:color="auto" w:sz="4" w:space="0"/>
                    <w:right w:val="single" w:color="auto" w:sz="4" w:space="0"/>
                  </w:tcBorders>
                  <w:vAlign w:val="center"/>
                </w:tcPr>
                <w:p>
                  <w:pPr>
                    <w:pStyle w:val="42"/>
                    <w:jc w:val="both"/>
                    <w:rPr>
                      <w:lang w:bidi="ar"/>
                    </w:rPr>
                  </w:pPr>
                  <w:r>
                    <w:rPr>
                      <w:rFonts w:hint="eastAsia"/>
                      <w:lang w:bidi="ar"/>
                    </w:rPr>
                    <w:t>（五）严守环境质量底线，加强环境污染防治</w:t>
                  </w:r>
                </w:p>
                <w:p>
                  <w:pPr>
                    <w:pStyle w:val="42"/>
                    <w:jc w:val="both"/>
                    <w:rPr>
                      <w:lang w:bidi="ar"/>
                    </w:rPr>
                  </w:pPr>
                  <w:r>
                    <w:rPr>
                      <w:rFonts w:hint="eastAsia"/>
                      <w:lang w:bidi="ar"/>
                    </w:rPr>
                    <w:t>针对重庆市酉阳县毛坝乡饰面用灰岩矿山等现状存在粉尘外溢、矿石乱堆乱放等问题，应加强废气污染治理，污废水收集处理和回用，认真落实好环评文件及环评批准书提出的各项环境保护措施和要求。</w:t>
                  </w:r>
                </w:p>
                <w:p>
                  <w:pPr>
                    <w:pStyle w:val="42"/>
                    <w:jc w:val="both"/>
                    <w:rPr>
                      <w:lang w:bidi="ar"/>
                    </w:rPr>
                  </w:pPr>
                  <w:r>
                    <w:rPr>
                      <w:rFonts w:hint="eastAsia"/>
                      <w:lang w:bidi="ar"/>
                    </w:rPr>
                    <w:t>矿产资源开发利用过程中采用技术经济可行、措施有效的污染防治措施，控制生产和运输产生的污染物排放。采矿生产、生活污废水应处理后尽量回用或达标排放，减少污染物排放量。采取密闭、除尘、洒水降尘等有效措施控制矿山开采和破碎加工过程中粉尘等大气污染物排放，严格控制矿产品及弃渣运输过程中的粉尘污染和尾气排放。邻近生态保护红线的开采区块应切实加强对生态环境的保护，严控生产建设活动，强化粉尘排放控制，降低对生态环境的影响。合理布局工业场地，合理安排作业时间选用低噪声设备，采取消声、隔声、减振等措施，减缓噪声不利影响，确保符合声环境相关标准。矿山剥离表土、废石妥善处置实现资源化利用，危险废物依法依规交有资质单位处置。做好矿区工业场地分区防渗，强化废石场、弃渣场土壤和地下水污染防治措施。</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项目将严格落实本次评价提出的各项污染物防治措施，减少项目施工、开采期间对周边生态环境的影响。</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3" w:type="dxa"/>
                  <w:gridSpan w:val="4"/>
                  <w:tcBorders>
                    <w:top w:val="single" w:color="auto" w:sz="4" w:space="0"/>
                    <w:left w:val="single" w:color="auto" w:sz="4" w:space="0"/>
                    <w:bottom w:val="single" w:color="auto" w:sz="4" w:space="0"/>
                    <w:right w:val="single" w:color="auto" w:sz="4" w:space="0"/>
                  </w:tcBorders>
                  <w:vAlign w:val="center"/>
                </w:tcPr>
                <w:p>
                  <w:pPr>
                    <w:pStyle w:val="42"/>
                    <w:jc w:val="both"/>
                    <w:rPr>
                      <w:lang w:bidi="ar"/>
                    </w:rPr>
                  </w:pPr>
                  <w:r>
                    <w:rPr>
                      <w:rFonts w:hint="eastAsia"/>
                      <w:lang w:bidi="ar"/>
                    </w:rPr>
                    <w:t>（六）强化环境风险防控</w:t>
                  </w:r>
                </w:p>
                <w:p>
                  <w:pPr>
                    <w:pStyle w:val="42"/>
                    <w:jc w:val="both"/>
                    <w:rPr>
                      <w:lang w:bidi="ar"/>
                    </w:rPr>
                  </w:pPr>
                  <w:r>
                    <w:rPr>
                      <w:rFonts w:hint="eastAsia"/>
                      <w:lang w:bidi="ar"/>
                    </w:rPr>
                    <w:t>严格落实矿产资源开发各项环境风险防范措施，防范突发性环境风险事故发生。邻近饮用水水源保护区和</w:t>
                  </w:r>
                  <w:r>
                    <w:rPr>
                      <w:lang w:bidi="ar"/>
                    </w:rPr>
                    <w:t>Ⅱ</w:t>
                  </w:r>
                  <w:r>
                    <w:rPr>
                      <w:rFonts w:hint="eastAsia"/>
                      <w:lang w:bidi="ar"/>
                    </w:rPr>
                    <w:t>类地表水功能区的开采区块，应严格落实相关废水处理措施和环境风险防范措施防止突发性环境风险事故对饮用水水源保护区和</w:t>
                  </w:r>
                  <w:r>
                    <w:rPr>
                      <w:lang w:bidi="ar"/>
                    </w:rPr>
                    <w:t>Ⅱ</w:t>
                  </w:r>
                  <w:r>
                    <w:rPr>
                      <w:rFonts w:hint="eastAsia"/>
                      <w:lang w:bidi="ar"/>
                    </w:rPr>
                    <w:t>类地表水体成影响。对列入污染地块名录，暂不开发利用或现阶段不具备治理修复条件的污染地块，划入风险管控区域，落实风险管控措施:防止污染扩散，确保土壤环境安全。</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项目处于阿蓬江流域，为</w:t>
                  </w:r>
                  <w:r>
                    <w:t>Ⅲ</w:t>
                  </w:r>
                  <w:r>
                    <w:rPr>
                      <w:rFonts w:hint="eastAsia"/>
                    </w:rPr>
                    <w:t>类水域，将严格落实本次评价提出的环境风险防范措施，并按照要求编制环境风险评估与应急预案，并依规报送至酉阳县生态环境局备案。</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3" w:type="dxa"/>
                  <w:gridSpan w:val="4"/>
                  <w:tcBorders>
                    <w:top w:val="single" w:color="auto" w:sz="4" w:space="0"/>
                    <w:left w:val="single" w:color="auto" w:sz="4" w:space="0"/>
                    <w:bottom w:val="single" w:color="auto" w:sz="4" w:space="0"/>
                    <w:right w:val="single" w:color="auto" w:sz="4" w:space="0"/>
                  </w:tcBorders>
                  <w:vAlign w:val="center"/>
                </w:tcPr>
                <w:p>
                  <w:pPr>
                    <w:pStyle w:val="42"/>
                    <w:jc w:val="both"/>
                    <w:rPr>
                      <w:lang w:bidi="ar"/>
                    </w:rPr>
                  </w:pPr>
                  <w:r>
                    <w:rPr>
                      <w:rFonts w:hint="eastAsia"/>
                      <w:lang w:bidi="ar"/>
                    </w:rPr>
                    <w:t>（七）规范环境管理。</w:t>
                  </w:r>
                </w:p>
                <w:p>
                  <w:pPr>
                    <w:pStyle w:val="42"/>
                    <w:jc w:val="both"/>
                    <w:rPr>
                      <w:lang w:bidi="ar"/>
                    </w:rPr>
                  </w:pPr>
                  <w:r>
                    <w:rPr>
                      <w:rFonts w:hint="eastAsia"/>
                      <w:lang w:bidi="ar"/>
                    </w:rPr>
                    <w:t>《规划》中所含建设项目开展环境影响评价时，应进一步与自然保护地、国土空间“三区三线”划定成果衔接，严格落实自然保护地、国土空间用途管制等要求；应结合规划环评提出的指导意见和管控要求做好环境影响评价工作，加强与规划环评的联动，重点评价项目建设对区域生态系统、水环境、土壤环境等环境影响的途径、范围和程度，深入论证生态修复工程、环境保护措施及环境风险防范措施的可行性，规划协调性分析等内容可子以简化。含铜铅锌矿开采应建立环境累积影响预警机制，适时开展后评价工作。《规划》在实施范围、适用期限、规模、结构和布局等方面进行重大调整或者修订的，应当按规定重新或者补充开展环境影响评价。</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本次评价已衔接“三区三线”成果，项目不占用生态保护红线、永久基本农田、城镇开发边界。</w:t>
                  </w:r>
                </w:p>
                <w:p>
                  <w:pPr>
                    <w:pStyle w:val="42"/>
                    <w:jc w:val="both"/>
                  </w:pPr>
                  <w:r>
                    <w:rPr>
                      <w:rFonts w:hint="eastAsia"/>
                    </w:rPr>
                    <w:t>其他相关保护区划定资料发布后，建设单位将依规实施衔接，服从其管控。</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符合</w:t>
                  </w:r>
                </w:p>
              </w:tc>
            </w:tr>
          </w:tbl>
          <w:p>
            <w:pPr>
              <w:autoSpaceDE w:val="0"/>
              <w:autoSpaceDN w:val="0"/>
              <w:adjustRightInd w:val="0"/>
              <w:snapToGrid w:val="0"/>
              <w:spacing w:line="360" w:lineRule="auto"/>
              <w:ind w:firstLine="480" w:firstLineChars="200"/>
              <w:rPr>
                <w:kern w:val="0"/>
                <w:sz w:val="24"/>
              </w:rPr>
            </w:pPr>
            <w:r>
              <w:rPr>
                <w:rFonts w:hint="eastAsia"/>
                <w:kern w:val="0"/>
                <w:sz w:val="24"/>
              </w:rPr>
              <w:t>由表1</w:t>
            </w:r>
            <w:r>
              <w:rPr>
                <w:kern w:val="0"/>
                <w:sz w:val="24"/>
              </w:rPr>
              <w:t>-3</w:t>
            </w:r>
            <w:r>
              <w:rPr>
                <w:rFonts w:hint="eastAsia"/>
                <w:kern w:val="0"/>
                <w:sz w:val="24"/>
              </w:rPr>
              <w:t>可知，项目符合</w:t>
            </w:r>
            <w:r>
              <w:rPr>
                <w:kern w:val="0"/>
                <w:sz w:val="24"/>
              </w:rPr>
              <w:t>《重庆市</w:t>
            </w:r>
            <w:r>
              <w:rPr>
                <w:rFonts w:hint="eastAsia"/>
                <w:kern w:val="0"/>
                <w:sz w:val="24"/>
              </w:rPr>
              <w:t>酉阳土家族苗族自治县</w:t>
            </w:r>
            <w:r>
              <w:rPr>
                <w:kern w:val="0"/>
                <w:sz w:val="24"/>
              </w:rPr>
              <w:t>矿产资源总体规划（2021-2025）</w:t>
            </w:r>
            <w:r>
              <w:rPr>
                <w:rFonts w:hint="eastAsia"/>
                <w:kern w:val="0"/>
                <w:sz w:val="24"/>
              </w:rPr>
              <w:t>环境影响报告书</w:t>
            </w:r>
            <w:r>
              <w:rPr>
                <w:kern w:val="0"/>
                <w:sz w:val="24"/>
              </w:rPr>
              <w:t>》</w:t>
            </w:r>
            <w:r>
              <w:rPr>
                <w:rFonts w:hint="eastAsia"/>
                <w:bCs/>
                <w:kern w:val="0"/>
                <w:sz w:val="24"/>
              </w:rPr>
              <w:t>及规划环评批文“渝环函〔2022〕570号”中的相关管控要求。</w:t>
            </w:r>
          </w:p>
        </w:tc>
      </w:tr>
    </w:tbl>
    <w:p>
      <w:pPr>
        <w:sectPr>
          <w:pgSz w:w="11906" w:h="16838"/>
          <w:pgMar w:top="1440" w:right="1080" w:bottom="1440" w:left="1080" w:header="851" w:footer="1077" w:gutter="0"/>
          <w:cols w:space="720" w:num="1"/>
          <w:docGrid w:linePitch="312" w:charSpace="0"/>
        </w:sectPr>
      </w:pPr>
    </w:p>
    <w:p/>
    <w:tbl>
      <w:tblPr>
        <w:tblStyle w:val="15"/>
        <w:tblW w:w="972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390"/>
        <w:gridCol w:w="93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874" w:hRule="atLeast"/>
        </w:trPr>
        <w:tc>
          <w:tcPr>
            <w:tcW w:w="390" w:type="dxa"/>
            <w:tcMar>
              <w:top w:w="16" w:type="dxa"/>
              <w:left w:w="16" w:type="dxa"/>
              <w:right w:w="16" w:type="dxa"/>
            </w:tcMar>
            <w:vAlign w:val="center"/>
          </w:tcPr>
          <w:p>
            <w:pPr>
              <w:autoSpaceDE w:val="0"/>
              <w:autoSpaceDN w:val="0"/>
              <w:adjustRightInd w:val="0"/>
              <w:snapToGrid w:val="0"/>
              <w:jc w:val="center"/>
              <w:rPr>
                <w:kern w:val="0"/>
                <w:sz w:val="24"/>
              </w:rPr>
            </w:pPr>
            <w:r>
              <w:br w:type="page"/>
            </w:r>
            <w:r>
              <w:rPr>
                <w:kern w:val="0"/>
                <w:sz w:val="24"/>
              </w:rPr>
              <w:t>其他符合性分析</w:t>
            </w:r>
          </w:p>
        </w:tc>
        <w:tc>
          <w:tcPr>
            <w:tcW w:w="9336" w:type="dxa"/>
            <w:tcMar>
              <w:top w:w="16" w:type="dxa"/>
              <w:left w:w="16" w:type="dxa"/>
              <w:right w:w="16" w:type="dxa"/>
            </w:tcMar>
          </w:tcPr>
          <w:p>
            <w:pPr>
              <w:autoSpaceDE w:val="0"/>
              <w:autoSpaceDN w:val="0"/>
              <w:adjustRightInd w:val="0"/>
              <w:snapToGrid w:val="0"/>
              <w:spacing w:line="360" w:lineRule="auto"/>
              <w:ind w:firstLine="562" w:firstLineChars="200"/>
              <w:rPr>
                <w:b/>
                <w:kern w:val="0"/>
                <w:sz w:val="28"/>
                <w:szCs w:val="28"/>
              </w:rPr>
            </w:pPr>
            <w:r>
              <w:rPr>
                <w:b/>
                <w:kern w:val="0"/>
                <w:sz w:val="28"/>
                <w:szCs w:val="28"/>
              </w:rPr>
              <w:t>1.5、与产业政策符合性分析</w:t>
            </w:r>
          </w:p>
          <w:p>
            <w:pPr>
              <w:autoSpaceDE w:val="0"/>
              <w:autoSpaceDN w:val="0"/>
              <w:adjustRightInd w:val="0"/>
              <w:snapToGrid w:val="0"/>
              <w:spacing w:line="360" w:lineRule="auto"/>
              <w:ind w:firstLine="480" w:firstLineChars="200"/>
              <w:rPr>
                <w:kern w:val="0"/>
                <w:sz w:val="24"/>
              </w:rPr>
            </w:pPr>
            <w:r>
              <w:rPr>
                <w:kern w:val="0"/>
                <w:sz w:val="24"/>
              </w:rPr>
              <w:t>拟建项目</w:t>
            </w:r>
            <w:r>
              <w:rPr>
                <w:rFonts w:hint="eastAsia"/>
                <w:kern w:val="0"/>
                <w:sz w:val="24"/>
              </w:rPr>
              <w:t>为</w:t>
            </w:r>
            <w:r>
              <w:rPr>
                <w:kern w:val="0"/>
                <w:sz w:val="24"/>
              </w:rPr>
              <w:t>露天开采</w:t>
            </w:r>
            <w:r>
              <w:rPr>
                <w:rFonts w:hint="eastAsia"/>
                <w:color w:val="0000FF"/>
                <w:kern w:val="0"/>
                <w:sz w:val="24"/>
              </w:rPr>
              <w:t>建筑石料用</w:t>
            </w:r>
            <w:r>
              <w:rPr>
                <w:rFonts w:hint="eastAsia"/>
                <w:kern w:val="0"/>
                <w:sz w:val="24"/>
              </w:rPr>
              <w:t>灰岩矿</w:t>
            </w:r>
            <w:r>
              <w:rPr>
                <w:kern w:val="0"/>
                <w:sz w:val="24"/>
              </w:rPr>
              <w:t>，</w:t>
            </w:r>
            <w:r>
              <w:rPr>
                <w:rFonts w:hint="eastAsia"/>
                <w:kern w:val="0"/>
                <w:sz w:val="24"/>
              </w:rPr>
              <w:t>属于采矿业，</w:t>
            </w:r>
            <w:r>
              <w:rPr>
                <w:kern w:val="0"/>
                <w:sz w:val="24"/>
              </w:rPr>
              <w:t>未列入《产业结构调整指导目录（</w:t>
            </w:r>
            <w:r>
              <w:rPr>
                <w:rFonts w:hint="eastAsia"/>
                <w:kern w:val="0"/>
                <w:sz w:val="24"/>
              </w:rPr>
              <w:t>2024</w:t>
            </w:r>
            <w:r>
              <w:rPr>
                <w:kern w:val="0"/>
                <w:sz w:val="24"/>
              </w:rPr>
              <w:t>年本）》</w:t>
            </w:r>
            <w:r>
              <w:rPr>
                <w:rFonts w:hint="eastAsia"/>
                <w:kern w:val="0"/>
                <w:sz w:val="24"/>
              </w:rPr>
              <w:t>中鼓励类、限制类；拟建项目无落后生产工艺装备，也无落后产品，也不属于淘汰类</w:t>
            </w:r>
            <w:r>
              <w:rPr>
                <w:kern w:val="0"/>
                <w:sz w:val="24"/>
              </w:rPr>
              <w:t>，</w:t>
            </w:r>
            <w:r>
              <w:rPr>
                <w:rFonts w:hint="eastAsia"/>
                <w:kern w:val="0"/>
                <w:sz w:val="24"/>
              </w:rPr>
              <w:t>可视为</w:t>
            </w:r>
            <w:r>
              <w:rPr>
                <w:kern w:val="0"/>
                <w:sz w:val="24"/>
              </w:rPr>
              <w:t>允许类</w:t>
            </w:r>
            <w:r>
              <w:rPr>
                <w:rFonts w:hint="eastAsia"/>
                <w:kern w:val="0"/>
                <w:sz w:val="24"/>
              </w:rPr>
              <w:t>，</w:t>
            </w:r>
            <w:r>
              <w:rPr>
                <w:kern w:val="0"/>
                <w:sz w:val="24"/>
              </w:rPr>
              <w:t>项目</w:t>
            </w:r>
            <w:r>
              <w:rPr>
                <w:rFonts w:hint="eastAsia"/>
                <w:kern w:val="0"/>
                <w:sz w:val="24"/>
              </w:rPr>
              <w:t>的</w:t>
            </w:r>
            <w:r>
              <w:rPr>
                <w:kern w:val="0"/>
                <w:sz w:val="24"/>
              </w:rPr>
              <w:t>建设符合国家现行产业政策要求。</w:t>
            </w:r>
          </w:p>
          <w:p>
            <w:pPr>
              <w:autoSpaceDE w:val="0"/>
              <w:autoSpaceDN w:val="0"/>
              <w:adjustRightInd w:val="0"/>
              <w:snapToGrid w:val="0"/>
              <w:spacing w:line="360" w:lineRule="auto"/>
              <w:ind w:firstLine="480" w:firstLineChars="200"/>
              <w:rPr>
                <w:kern w:val="0"/>
                <w:sz w:val="24"/>
              </w:rPr>
            </w:pPr>
            <w:r>
              <w:rPr>
                <w:rFonts w:hint="eastAsia"/>
                <w:kern w:val="0"/>
                <w:sz w:val="24"/>
              </w:rPr>
              <w:t>拟建项目已取得到重庆市酉阳土家族苗族自治县发展和改革委员会核发的企业投资项目备案证，项目的建设</w:t>
            </w:r>
            <w:r>
              <w:rPr>
                <w:kern w:val="0"/>
                <w:sz w:val="24"/>
              </w:rPr>
              <w:t>符合</w:t>
            </w:r>
            <w:r>
              <w:rPr>
                <w:rFonts w:hint="eastAsia"/>
                <w:kern w:val="0"/>
                <w:sz w:val="24"/>
              </w:rPr>
              <w:t>地方</w:t>
            </w:r>
            <w:r>
              <w:rPr>
                <w:kern w:val="0"/>
                <w:sz w:val="24"/>
              </w:rPr>
              <w:t>现行产业政策要求</w:t>
            </w:r>
            <w:r>
              <w:rPr>
                <w:rFonts w:hint="eastAsia"/>
                <w:kern w:val="0"/>
                <w:sz w:val="24"/>
              </w:rPr>
              <w:t>。</w:t>
            </w:r>
          </w:p>
          <w:p>
            <w:pPr>
              <w:autoSpaceDE w:val="0"/>
              <w:autoSpaceDN w:val="0"/>
              <w:adjustRightInd w:val="0"/>
              <w:snapToGrid w:val="0"/>
              <w:spacing w:line="360" w:lineRule="auto"/>
              <w:ind w:firstLine="480" w:firstLineChars="200"/>
              <w:rPr>
                <w:kern w:val="0"/>
                <w:sz w:val="24"/>
              </w:rPr>
            </w:pPr>
            <w:r>
              <w:rPr>
                <w:kern w:val="0"/>
                <w:sz w:val="24"/>
              </w:rPr>
              <w:t>根据国家发改委和国土资源部发布的《限制用地项目目录（2012年本）》和《禁止用地项目目录（2012年本）》等关于限用土地的要求，拟建项目用地不属于限制用地和禁止用地类。</w:t>
            </w:r>
          </w:p>
          <w:p>
            <w:pPr>
              <w:autoSpaceDE w:val="0"/>
              <w:autoSpaceDN w:val="0"/>
              <w:adjustRightInd w:val="0"/>
              <w:snapToGrid w:val="0"/>
              <w:spacing w:line="360" w:lineRule="auto"/>
              <w:ind w:firstLine="480" w:firstLineChars="200"/>
              <w:rPr>
                <w:kern w:val="0"/>
                <w:sz w:val="24"/>
              </w:rPr>
            </w:pPr>
            <w:r>
              <w:rPr>
                <w:kern w:val="0"/>
                <w:sz w:val="24"/>
              </w:rPr>
              <w:t>因此，</w:t>
            </w:r>
            <w:r>
              <w:rPr>
                <w:rFonts w:hint="eastAsia"/>
                <w:kern w:val="0"/>
                <w:sz w:val="24"/>
              </w:rPr>
              <w:t>项目的建设</w:t>
            </w:r>
            <w:r>
              <w:rPr>
                <w:kern w:val="0"/>
                <w:sz w:val="24"/>
              </w:rPr>
              <w:t>符合国家</w:t>
            </w:r>
            <w:r>
              <w:rPr>
                <w:rFonts w:hint="eastAsia"/>
                <w:kern w:val="0"/>
                <w:sz w:val="24"/>
              </w:rPr>
              <w:t>及地方</w:t>
            </w:r>
            <w:r>
              <w:rPr>
                <w:kern w:val="0"/>
                <w:sz w:val="24"/>
              </w:rPr>
              <w:t>产业政策的要求。</w:t>
            </w:r>
          </w:p>
          <w:p>
            <w:pPr>
              <w:autoSpaceDE w:val="0"/>
              <w:autoSpaceDN w:val="0"/>
              <w:adjustRightInd w:val="0"/>
              <w:snapToGrid w:val="0"/>
              <w:spacing w:line="360" w:lineRule="auto"/>
              <w:ind w:firstLine="562" w:firstLineChars="200"/>
              <w:rPr>
                <w:b/>
                <w:kern w:val="0"/>
                <w:sz w:val="28"/>
                <w:szCs w:val="28"/>
              </w:rPr>
            </w:pPr>
            <w:r>
              <w:rPr>
                <w:b/>
                <w:kern w:val="0"/>
                <w:sz w:val="28"/>
                <w:szCs w:val="28"/>
              </w:rPr>
              <w:t>1.6、与《矿山生态环境保护与污染防治技术政策》的符合性分析</w:t>
            </w:r>
          </w:p>
          <w:p>
            <w:pPr>
              <w:autoSpaceDE w:val="0"/>
              <w:autoSpaceDN w:val="0"/>
              <w:adjustRightInd w:val="0"/>
              <w:snapToGrid w:val="0"/>
              <w:spacing w:line="360" w:lineRule="auto"/>
              <w:ind w:firstLine="480" w:firstLineChars="200"/>
              <w:rPr>
                <w:kern w:val="0"/>
                <w:sz w:val="24"/>
              </w:rPr>
            </w:pPr>
            <w:r>
              <w:rPr>
                <w:kern w:val="0"/>
                <w:sz w:val="24"/>
              </w:rPr>
              <w:t>根据《矿山生态环境保护与污染防治技术政策》（环发[2005]109号），其相关内容与拟建项目符合性分析见表1-4。</w:t>
            </w:r>
          </w:p>
          <w:p>
            <w:pPr>
              <w:autoSpaceDE w:val="0"/>
              <w:autoSpaceDN w:val="0"/>
              <w:adjustRightInd w:val="0"/>
              <w:snapToGrid w:val="0"/>
              <w:jc w:val="center"/>
              <w:rPr>
                <w:b/>
                <w:kern w:val="0"/>
                <w:sz w:val="24"/>
              </w:rPr>
            </w:pPr>
            <w:r>
              <w:rPr>
                <w:b/>
                <w:kern w:val="0"/>
                <w:sz w:val="24"/>
              </w:rPr>
              <w:t>表1-4  与《矿山生态环境保护与污染防治技术政策》符合性分析对照表</w:t>
            </w:r>
          </w:p>
          <w:tbl>
            <w:tblPr>
              <w:tblStyle w:val="15"/>
              <w:tblW w:w="928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10"/>
              <w:gridCol w:w="3929"/>
              <w:gridCol w:w="3872"/>
              <w:gridCol w:w="8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blHeader/>
              </w:trPr>
              <w:tc>
                <w:tcPr>
                  <w:tcW w:w="610" w:type="dxa"/>
                  <w:vAlign w:val="center"/>
                </w:tcPr>
                <w:p>
                  <w:pPr>
                    <w:adjustRightInd w:val="0"/>
                    <w:snapToGrid w:val="0"/>
                    <w:jc w:val="center"/>
                    <w:rPr>
                      <w:sz w:val="22"/>
                      <w:szCs w:val="22"/>
                    </w:rPr>
                  </w:pPr>
                  <w:r>
                    <w:rPr>
                      <w:sz w:val="22"/>
                      <w:szCs w:val="22"/>
                    </w:rPr>
                    <w:t>序号</w:t>
                  </w:r>
                </w:p>
              </w:tc>
              <w:tc>
                <w:tcPr>
                  <w:tcW w:w="3929" w:type="dxa"/>
                  <w:vAlign w:val="center"/>
                </w:tcPr>
                <w:p>
                  <w:pPr>
                    <w:adjustRightInd w:val="0"/>
                    <w:snapToGrid w:val="0"/>
                    <w:jc w:val="center"/>
                    <w:rPr>
                      <w:sz w:val="22"/>
                      <w:szCs w:val="22"/>
                    </w:rPr>
                  </w:pPr>
                  <w:r>
                    <w:rPr>
                      <w:sz w:val="22"/>
                      <w:szCs w:val="22"/>
                    </w:rPr>
                    <w:t>相关规定</w:t>
                  </w:r>
                </w:p>
              </w:tc>
              <w:tc>
                <w:tcPr>
                  <w:tcW w:w="3872" w:type="dxa"/>
                  <w:vAlign w:val="center"/>
                </w:tcPr>
                <w:p>
                  <w:pPr>
                    <w:adjustRightInd w:val="0"/>
                    <w:snapToGrid w:val="0"/>
                    <w:jc w:val="center"/>
                    <w:rPr>
                      <w:sz w:val="22"/>
                      <w:szCs w:val="22"/>
                    </w:rPr>
                  </w:pPr>
                  <w:r>
                    <w:rPr>
                      <w:sz w:val="22"/>
                      <w:szCs w:val="22"/>
                    </w:rPr>
                    <w:t>拟建项目情况</w:t>
                  </w:r>
                </w:p>
              </w:tc>
              <w:tc>
                <w:tcPr>
                  <w:tcW w:w="877" w:type="dxa"/>
                  <w:vAlign w:val="center"/>
                </w:tcPr>
                <w:p>
                  <w:pPr>
                    <w:adjustRightInd w:val="0"/>
                    <w:snapToGrid w:val="0"/>
                    <w:jc w:val="center"/>
                    <w:rPr>
                      <w:sz w:val="22"/>
                      <w:szCs w:val="22"/>
                    </w:rPr>
                  </w:pPr>
                  <w:r>
                    <w:rPr>
                      <w:sz w:val="22"/>
                      <w:szCs w:val="22"/>
                    </w:rPr>
                    <w:t>符合性分析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adjustRightInd w:val="0"/>
                    <w:snapToGrid w:val="0"/>
                    <w:jc w:val="center"/>
                    <w:rPr>
                      <w:sz w:val="22"/>
                      <w:szCs w:val="22"/>
                    </w:rPr>
                  </w:pPr>
                  <w:r>
                    <w:rPr>
                      <w:sz w:val="22"/>
                      <w:szCs w:val="22"/>
                    </w:rPr>
                    <w:t>1</w:t>
                  </w:r>
                </w:p>
              </w:tc>
              <w:tc>
                <w:tcPr>
                  <w:tcW w:w="3929" w:type="dxa"/>
                  <w:vAlign w:val="center"/>
                </w:tcPr>
                <w:p>
                  <w:pPr>
                    <w:adjustRightInd w:val="0"/>
                    <w:snapToGrid w:val="0"/>
                    <w:jc w:val="center"/>
                    <w:rPr>
                      <w:sz w:val="22"/>
                      <w:szCs w:val="22"/>
                    </w:rPr>
                  </w:pPr>
                  <w:r>
                    <w:rPr>
                      <w:sz w:val="22"/>
                      <w:szCs w:val="22"/>
                    </w:rPr>
                    <w:t>禁止在依法划定的自然保护区（核心区、缓冲区）、风景名胜区、森林公园、饮用水水源保护区、重要湖泊周边、文物古迹所在地、地质遗迹保护区、基本农田保护区等区域内采矿</w:t>
                  </w:r>
                </w:p>
              </w:tc>
              <w:tc>
                <w:tcPr>
                  <w:tcW w:w="3872" w:type="dxa"/>
                  <w:vAlign w:val="center"/>
                </w:tcPr>
                <w:p>
                  <w:pPr>
                    <w:adjustRightInd w:val="0"/>
                    <w:snapToGrid w:val="0"/>
                    <w:jc w:val="center"/>
                    <w:rPr>
                      <w:sz w:val="22"/>
                      <w:szCs w:val="22"/>
                    </w:rPr>
                  </w:pPr>
                  <w:r>
                    <w:rPr>
                      <w:sz w:val="22"/>
                      <w:szCs w:val="22"/>
                    </w:rPr>
                    <w:t>拟建项目</w:t>
                  </w:r>
                  <w:r>
                    <w:rPr>
                      <w:rFonts w:hint="eastAsia"/>
                      <w:sz w:val="22"/>
                      <w:szCs w:val="22"/>
                    </w:rPr>
                    <w:t>用地范围不占用</w:t>
                  </w:r>
                  <w:r>
                    <w:rPr>
                      <w:sz w:val="22"/>
                      <w:szCs w:val="22"/>
                    </w:rPr>
                    <w:t>自然保护区（核心区、缓冲区）、风景名胜区、森林公园、饮用水水源保护区、重要湖泊、文物古迹所在地、地质遗迹保护区、基本农田保护区等。</w:t>
                  </w:r>
                </w:p>
              </w:tc>
              <w:tc>
                <w:tcPr>
                  <w:tcW w:w="877" w:type="dxa"/>
                  <w:vAlign w:val="center"/>
                </w:tcPr>
                <w:p>
                  <w:pPr>
                    <w:adjustRightInd w:val="0"/>
                    <w:snapToGrid w:val="0"/>
                    <w:jc w:val="center"/>
                    <w:rPr>
                      <w:sz w:val="22"/>
                      <w:szCs w:val="22"/>
                    </w:rPr>
                  </w:pPr>
                  <w:r>
                    <w:rPr>
                      <w:sz w:val="22"/>
                      <w:szCs w:val="22"/>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adjustRightInd w:val="0"/>
                    <w:snapToGrid w:val="0"/>
                    <w:jc w:val="center"/>
                    <w:rPr>
                      <w:sz w:val="22"/>
                      <w:szCs w:val="22"/>
                    </w:rPr>
                  </w:pPr>
                  <w:r>
                    <w:rPr>
                      <w:sz w:val="22"/>
                      <w:szCs w:val="22"/>
                    </w:rPr>
                    <w:t>2</w:t>
                  </w:r>
                </w:p>
              </w:tc>
              <w:tc>
                <w:tcPr>
                  <w:tcW w:w="3929" w:type="dxa"/>
                  <w:vAlign w:val="center"/>
                </w:tcPr>
                <w:p>
                  <w:pPr>
                    <w:adjustRightInd w:val="0"/>
                    <w:snapToGrid w:val="0"/>
                    <w:jc w:val="center"/>
                    <w:rPr>
                      <w:sz w:val="22"/>
                      <w:szCs w:val="22"/>
                    </w:rPr>
                  </w:pPr>
                  <w:r>
                    <w:rPr>
                      <w:sz w:val="22"/>
                      <w:szCs w:val="22"/>
                    </w:rPr>
                    <w:t>禁止在铁路、国道、省道两侧的直观可视范围内进行露天开采</w:t>
                  </w:r>
                </w:p>
              </w:tc>
              <w:tc>
                <w:tcPr>
                  <w:tcW w:w="3872" w:type="dxa"/>
                  <w:vAlign w:val="center"/>
                </w:tcPr>
                <w:p>
                  <w:pPr>
                    <w:adjustRightInd w:val="0"/>
                    <w:snapToGrid w:val="0"/>
                    <w:jc w:val="center"/>
                    <w:rPr>
                      <w:sz w:val="22"/>
                      <w:szCs w:val="22"/>
                    </w:rPr>
                  </w:pPr>
                  <w:r>
                    <w:rPr>
                      <w:rFonts w:hint="eastAsia"/>
                      <w:color w:val="0000FF"/>
                      <w:sz w:val="22"/>
                      <w:szCs w:val="22"/>
                    </w:rPr>
                    <w:t>建设单位开采过程中可通过严格依照“开发利用方案”、“可视论证报告”提出的各项优化开采方式及遮挡措施，采用直观可视采区覆盖仿真绿叶网及反向开采相结合的方案，可实现采区开采活动全过程不处于S525省道的直观可视范围内</w:t>
                  </w:r>
                  <w:r>
                    <w:rPr>
                      <w:color w:val="0000FF"/>
                      <w:sz w:val="22"/>
                      <w:szCs w:val="22"/>
                    </w:rPr>
                    <w:t>。</w:t>
                  </w:r>
                </w:p>
              </w:tc>
              <w:tc>
                <w:tcPr>
                  <w:tcW w:w="877" w:type="dxa"/>
                  <w:vAlign w:val="center"/>
                </w:tcPr>
                <w:p>
                  <w:pPr>
                    <w:adjustRightInd w:val="0"/>
                    <w:snapToGrid w:val="0"/>
                    <w:jc w:val="center"/>
                    <w:rPr>
                      <w:sz w:val="22"/>
                      <w:szCs w:val="22"/>
                    </w:rPr>
                  </w:pPr>
                  <w:r>
                    <w:rPr>
                      <w:sz w:val="22"/>
                      <w:szCs w:val="22"/>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adjustRightInd w:val="0"/>
                    <w:snapToGrid w:val="0"/>
                    <w:jc w:val="center"/>
                    <w:rPr>
                      <w:sz w:val="22"/>
                      <w:szCs w:val="22"/>
                    </w:rPr>
                  </w:pPr>
                  <w:r>
                    <w:rPr>
                      <w:sz w:val="22"/>
                      <w:szCs w:val="22"/>
                    </w:rPr>
                    <w:t>3</w:t>
                  </w:r>
                </w:p>
              </w:tc>
              <w:tc>
                <w:tcPr>
                  <w:tcW w:w="3929" w:type="dxa"/>
                  <w:vAlign w:val="center"/>
                </w:tcPr>
                <w:p>
                  <w:pPr>
                    <w:adjustRightInd w:val="0"/>
                    <w:snapToGrid w:val="0"/>
                    <w:jc w:val="center"/>
                    <w:rPr>
                      <w:sz w:val="22"/>
                      <w:szCs w:val="22"/>
                    </w:rPr>
                  </w:pPr>
                  <w:r>
                    <w:rPr>
                      <w:sz w:val="22"/>
                      <w:szCs w:val="22"/>
                    </w:rPr>
                    <w:t>禁止在地质灾害危险区开采矿产资源</w:t>
                  </w:r>
                </w:p>
              </w:tc>
              <w:tc>
                <w:tcPr>
                  <w:tcW w:w="3872" w:type="dxa"/>
                  <w:vAlign w:val="center"/>
                </w:tcPr>
                <w:p>
                  <w:pPr>
                    <w:adjustRightInd w:val="0"/>
                    <w:snapToGrid w:val="0"/>
                    <w:jc w:val="center"/>
                    <w:rPr>
                      <w:sz w:val="22"/>
                      <w:szCs w:val="22"/>
                    </w:rPr>
                  </w:pPr>
                  <w:r>
                    <w:rPr>
                      <w:sz w:val="22"/>
                      <w:szCs w:val="22"/>
                    </w:rPr>
                    <w:t>拟建项目不属于地质灾害危险区。</w:t>
                  </w:r>
                </w:p>
              </w:tc>
              <w:tc>
                <w:tcPr>
                  <w:tcW w:w="877" w:type="dxa"/>
                  <w:vAlign w:val="center"/>
                </w:tcPr>
                <w:p>
                  <w:pPr>
                    <w:adjustRightInd w:val="0"/>
                    <w:snapToGrid w:val="0"/>
                    <w:jc w:val="center"/>
                    <w:rPr>
                      <w:sz w:val="22"/>
                      <w:szCs w:val="22"/>
                    </w:rPr>
                  </w:pPr>
                  <w:r>
                    <w:rPr>
                      <w:sz w:val="22"/>
                      <w:szCs w:val="22"/>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adjustRightInd w:val="0"/>
                    <w:snapToGrid w:val="0"/>
                    <w:jc w:val="center"/>
                    <w:rPr>
                      <w:sz w:val="22"/>
                      <w:szCs w:val="22"/>
                    </w:rPr>
                  </w:pPr>
                  <w:r>
                    <w:rPr>
                      <w:sz w:val="22"/>
                      <w:szCs w:val="22"/>
                    </w:rPr>
                    <w:t>4</w:t>
                  </w:r>
                </w:p>
              </w:tc>
              <w:tc>
                <w:tcPr>
                  <w:tcW w:w="3929" w:type="dxa"/>
                  <w:vAlign w:val="center"/>
                </w:tcPr>
                <w:p>
                  <w:pPr>
                    <w:adjustRightInd w:val="0"/>
                    <w:snapToGrid w:val="0"/>
                    <w:jc w:val="center"/>
                    <w:rPr>
                      <w:sz w:val="22"/>
                      <w:szCs w:val="22"/>
                    </w:rPr>
                  </w:pPr>
                  <w:r>
                    <w:rPr>
                      <w:sz w:val="22"/>
                      <w:szCs w:val="22"/>
                    </w:rPr>
                    <w:t>禁止土法采、选冶金矿和土法冶炼汞、砷、铅、锌、焦、硫、钒等矿产资源开发活动</w:t>
                  </w:r>
                </w:p>
              </w:tc>
              <w:tc>
                <w:tcPr>
                  <w:tcW w:w="3872" w:type="dxa"/>
                  <w:vAlign w:val="center"/>
                </w:tcPr>
                <w:p>
                  <w:pPr>
                    <w:adjustRightInd w:val="0"/>
                    <w:snapToGrid w:val="0"/>
                    <w:jc w:val="center"/>
                    <w:rPr>
                      <w:sz w:val="22"/>
                      <w:szCs w:val="22"/>
                    </w:rPr>
                  </w:pPr>
                  <w:r>
                    <w:rPr>
                      <w:sz w:val="22"/>
                      <w:szCs w:val="22"/>
                    </w:rPr>
                    <w:t>拟建项目为灰岩矿露天开采，开采工艺成熟。</w:t>
                  </w:r>
                </w:p>
              </w:tc>
              <w:tc>
                <w:tcPr>
                  <w:tcW w:w="877" w:type="dxa"/>
                  <w:vAlign w:val="center"/>
                </w:tcPr>
                <w:p>
                  <w:pPr>
                    <w:adjustRightInd w:val="0"/>
                    <w:snapToGrid w:val="0"/>
                    <w:jc w:val="center"/>
                    <w:rPr>
                      <w:sz w:val="22"/>
                      <w:szCs w:val="22"/>
                    </w:rPr>
                  </w:pPr>
                  <w:r>
                    <w:rPr>
                      <w:sz w:val="22"/>
                      <w:szCs w:val="22"/>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adjustRightInd w:val="0"/>
                    <w:snapToGrid w:val="0"/>
                    <w:jc w:val="center"/>
                    <w:rPr>
                      <w:sz w:val="22"/>
                      <w:szCs w:val="22"/>
                    </w:rPr>
                  </w:pPr>
                  <w:r>
                    <w:rPr>
                      <w:sz w:val="22"/>
                      <w:szCs w:val="22"/>
                    </w:rPr>
                    <w:t>5</w:t>
                  </w:r>
                </w:p>
              </w:tc>
              <w:tc>
                <w:tcPr>
                  <w:tcW w:w="3929" w:type="dxa"/>
                  <w:vAlign w:val="center"/>
                </w:tcPr>
                <w:p>
                  <w:pPr>
                    <w:adjustRightInd w:val="0"/>
                    <w:snapToGrid w:val="0"/>
                    <w:jc w:val="center"/>
                    <w:rPr>
                      <w:sz w:val="22"/>
                      <w:szCs w:val="22"/>
                    </w:rPr>
                  </w:pPr>
                  <w:r>
                    <w:rPr>
                      <w:sz w:val="22"/>
                      <w:szCs w:val="22"/>
                    </w:rPr>
                    <w:t>禁止新建对生态环境产生不可恢复利用的、产生破坏性影响的矿产资源开发项目</w:t>
                  </w:r>
                </w:p>
              </w:tc>
              <w:tc>
                <w:tcPr>
                  <w:tcW w:w="3872" w:type="dxa"/>
                  <w:vAlign w:val="center"/>
                </w:tcPr>
                <w:p>
                  <w:pPr>
                    <w:adjustRightInd w:val="0"/>
                    <w:snapToGrid w:val="0"/>
                    <w:jc w:val="center"/>
                    <w:rPr>
                      <w:sz w:val="22"/>
                      <w:szCs w:val="22"/>
                    </w:rPr>
                  </w:pPr>
                  <w:r>
                    <w:rPr>
                      <w:sz w:val="22"/>
                      <w:szCs w:val="22"/>
                    </w:rPr>
                    <w:t>项目占地范围内植被为常见种，采用边开采边复垦的开采方式，生态环境均可恢复。</w:t>
                  </w:r>
                </w:p>
              </w:tc>
              <w:tc>
                <w:tcPr>
                  <w:tcW w:w="877" w:type="dxa"/>
                  <w:vAlign w:val="center"/>
                </w:tcPr>
                <w:p>
                  <w:pPr>
                    <w:adjustRightInd w:val="0"/>
                    <w:snapToGrid w:val="0"/>
                    <w:jc w:val="center"/>
                    <w:rPr>
                      <w:sz w:val="22"/>
                      <w:szCs w:val="22"/>
                    </w:rPr>
                  </w:pPr>
                  <w:r>
                    <w:rPr>
                      <w:sz w:val="22"/>
                      <w:szCs w:val="22"/>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adjustRightInd w:val="0"/>
                    <w:snapToGrid w:val="0"/>
                    <w:jc w:val="center"/>
                    <w:rPr>
                      <w:sz w:val="22"/>
                      <w:szCs w:val="22"/>
                    </w:rPr>
                  </w:pPr>
                  <w:r>
                    <w:rPr>
                      <w:sz w:val="22"/>
                      <w:szCs w:val="22"/>
                    </w:rPr>
                    <w:t>6</w:t>
                  </w:r>
                </w:p>
              </w:tc>
              <w:tc>
                <w:tcPr>
                  <w:tcW w:w="3929" w:type="dxa"/>
                  <w:vAlign w:val="center"/>
                </w:tcPr>
                <w:p>
                  <w:pPr>
                    <w:adjustRightInd w:val="0"/>
                    <w:snapToGrid w:val="0"/>
                    <w:jc w:val="center"/>
                    <w:rPr>
                      <w:sz w:val="22"/>
                      <w:szCs w:val="22"/>
                    </w:rPr>
                  </w:pPr>
                  <w:r>
                    <w:rPr>
                      <w:sz w:val="22"/>
                      <w:szCs w:val="22"/>
                    </w:rPr>
                    <w:t>禁止新建煤层含硫量大于3%的煤矿</w:t>
                  </w:r>
                </w:p>
              </w:tc>
              <w:tc>
                <w:tcPr>
                  <w:tcW w:w="3872" w:type="dxa"/>
                  <w:vAlign w:val="center"/>
                </w:tcPr>
                <w:p>
                  <w:pPr>
                    <w:adjustRightInd w:val="0"/>
                    <w:snapToGrid w:val="0"/>
                    <w:jc w:val="center"/>
                    <w:rPr>
                      <w:sz w:val="22"/>
                      <w:szCs w:val="22"/>
                    </w:rPr>
                  </w:pPr>
                  <w:r>
                    <w:rPr>
                      <w:sz w:val="22"/>
                      <w:szCs w:val="22"/>
                    </w:rPr>
                    <w:t>项目为灰岩矿的开采，不属于煤矿。</w:t>
                  </w:r>
                </w:p>
              </w:tc>
              <w:tc>
                <w:tcPr>
                  <w:tcW w:w="877" w:type="dxa"/>
                  <w:vAlign w:val="center"/>
                </w:tcPr>
                <w:p>
                  <w:pPr>
                    <w:adjustRightInd w:val="0"/>
                    <w:snapToGrid w:val="0"/>
                    <w:jc w:val="center"/>
                    <w:rPr>
                      <w:sz w:val="22"/>
                      <w:szCs w:val="22"/>
                    </w:rPr>
                  </w:pPr>
                  <w:r>
                    <w:rPr>
                      <w:sz w:val="22"/>
                      <w:szCs w:val="22"/>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adjustRightInd w:val="0"/>
                    <w:snapToGrid w:val="0"/>
                    <w:jc w:val="center"/>
                    <w:rPr>
                      <w:sz w:val="22"/>
                      <w:szCs w:val="22"/>
                    </w:rPr>
                  </w:pPr>
                  <w:r>
                    <w:rPr>
                      <w:sz w:val="22"/>
                      <w:szCs w:val="22"/>
                    </w:rPr>
                    <w:t>7</w:t>
                  </w:r>
                </w:p>
              </w:tc>
              <w:tc>
                <w:tcPr>
                  <w:tcW w:w="3929" w:type="dxa"/>
                  <w:vAlign w:val="center"/>
                </w:tcPr>
                <w:p>
                  <w:pPr>
                    <w:adjustRightInd w:val="0"/>
                    <w:snapToGrid w:val="0"/>
                    <w:jc w:val="center"/>
                    <w:rPr>
                      <w:sz w:val="22"/>
                      <w:szCs w:val="22"/>
                    </w:rPr>
                  </w:pPr>
                  <w:r>
                    <w:rPr>
                      <w:sz w:val="22"/>
                      <w:szCs w:val="22"/>
                    </w:rPr>
                    <w:t>限制在生态功能保护区和自然保护区（过渡区）内开采矿产资源</w:t>
                  </w:r>
                </w:p>
              </w:tc>
              <w:tc>
                <w:tcPr>
                  <w:tcW w:w="3872" w:type="dxa"/>
                  <w:vAlign w:val="center"/>
                </w:tcPr>
                <w:p>
                  <w:pPr>
                    <w:adjustRightInd w:val="0"/>
                    <w:snapToGrid w:val="0"/>
                    <w:jc w:val="center"/>
                    <w:rPr>
                      <w:sz w:val="22"/>
                      <w:szCs w:val="22"/>
                    </w:rPr>
                  </w:pPr>
                  <w:r>
                    <w:rPr>
                      <w:sz w:val="22"/>
                      <w:szCs w:val="22"/>
                    </w:rPr>
                    <w:t>拟建项目</w:t>
                  </w:r>
                  <w:r>
                    <w:rPr>
                      <w:rFonts w:hint="eastAsia"/>
                      <w:sz w:val="22"/>
                      <w:szCs w:val="22"/>
                    </w:rPr>
                    <w:t>不占用</w:t>
                  </w:r>
                  <w:r>
                    <w:rPr>
                      <w:sz w:val="22"/>
                      <w:szCs w:val="22"/>
                    </w:rPr>
                    <w:t>生态功能保护区和自然保护区（过渡区）。</w:t>
                  </w:r>
                </w:p>
              </w:tc>
              <w:tc>
                <w:tcPr>
                  <w:tcW w:w="877" w:type="dxa"/>
                  <w:vAlign w:val="center"/>
                </w:tcPr>
                <w:p>
                  <w:pPr>
                    <w:adjustRightInd w:val="0"/>
                    <w:snapToGrid w:val="0"/>
                    <w:jc w:val="center"/>
                    <w:rPr>
                      <w:sz w:val="22"/>
                      <w:szCs w:val="22"/>
                    </w:rPr>
                  </w:pPr>
                  <w:r>
                    <w:rPr>
                      <w:sz w:val="22"/>
                      <w:szCs w:val="22"/>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adjustRightInd w:val="0"/>
                    <w:snapToGrid w:val="0"/>
                    <w:jc w:val="center"/>
                    <w:rPr>
                      <w:sz w:val="22"/>
                      <w:szCs w:val="22"/>
                    </w:rPr>
                  </w:pPr>
                  <w:r>
                    <w:rPr>
                      <w:sz w:val="22"/>
                      <w:szCs w:val="22"/>
                    </w:rPr>
                    <w:t>8</w:t>
                  </w:r>
                </w:p>
              </w:tc>
              <w:tc>
                <w:tcPr>
                  <w:tcW w:w="3929" w:type="dxa"/>
                  <w:vAlign w:val="center"/>
                </w:tcPr>
                <w:p>
                  <w:pPr>
                    <w:adjustRightInd w:val="0"/>
                    <w:snapToGrid w:val="0"/>
                    <w:jc w:val="center"/>
                    <w:rPr>
                      <w:sz w:val="22"/>
                      <w:szCs w:val="22"/>
                    </w:rPr>
                  </w:pPr>
                  <w:r>
                    <w:rPr>
                      <w:sz w:val="22"/>
                      <w:szCs w:val="22"/>
                    </w:rPr>
                    <w:t>限制在地质灾害易发区、水土流失严重区域等生态脆弱区内开采矿产资源</w:t>
                  </w:r>
                </w:p>
              </w:tc>
              <w:tc>
                <w:tcPr>
                  <w:tcW w:w="3872" w:type="dxa"/>
                  <w:vAlign w:val="center"/>
                </w:tcPr>
                <w:p>
                  <w:pPr>
                    <w:adjustRightInd w:val="0"/>
                    <w:snapToGrid w:val="0"/>
                    <w:jc w:val="center"/>
                    <w:rPr>
                      <w:sz w:val="22"/>
                      <w:szCs w:val="22"/>
                    </w:rPr>
                  </w:pPr>
                  <w:r>
                    <w:rPr>
                      <w:sz w:val="22"/>
                      <w:szCs w:val="22"/>
                    </w:rPr>
                    <w:t>项目</w:t>
                  </w:r>
                  <w:r>
                    <w:rPr>
                      <w:rFonts w:hint="eastAsia"/>
                      <w:sz w:val="22"/>
                      <w:szCs w:val="22"/>
                    </w:rPr>
                    <w:t>不占用</w:t>
                  </w:r>
                  <w:r>
                    <w:rPr>
                      <w:sz w:val="22"/>
                      <w:szCs w:val="22"/>
                    </w:rPr>
                    <w:t>生态脆弱区、水土流失严重区域。</w:t>
                  </w:r>
                </w:p>
              </w:tc>
              <w:tc>
                <w:tcPr>
                  <w:tcW w:w="877" w:type="dxa"/>
                  <w:vAlign w:val="center"/>
                </w:tcPr>
                <w:p>
                  <w:pPr>
                    <w:adjustRightInd w:val="0"/>
                    <w:snapToGrid w:val="0"/>
                    <w:jc w:val="center"/>
                    <w:rPr>
                      <w:sz w:val="22"/>
                      <w:szCs w:val="22"/>
                    </w:rPr>
                  </w:pPr>
                  <w:r>
                    <w:rPr>
                      <w:sz w:val="22"/>
                      <w:szCs w:val="22"/>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adjustRightInd w:val="0"/>
                    <w:snapToGrid w:val="0"/>
                    <w:jc w:val="center"/>
                    <w:rPr>
                      <w:sz w:val="22"/>
                      <w:szCs w:val="22"/>
                    </w:rPr>
                  </w:pPr>
                  <w:r>
                    <w:rPr>
                      <w:sz w:val="22"/>
                      <w:szCs w:val="22"/>
                    </w:rPr>
                    <w:t>9</w:t>
                  </w:r>
                </w:p>
              </w:tc>
              <w:tc>
                <w:tcPr>
                  <w:tcW w:w="3929" w:type="dxa"/>
                  <w:vAlign w:val="center"/>
                </w:tcPr>
                <w:p>
                  <w:pPr>
                    <w:adjustRightInd w:val="0"/>
                    <w:snapToGrid w:val="0"/>
                    <w:jc w:val="center"/>
                    <w:rPr>
                      <w:sz w:val="22"/>
                      <w:szCs w:val="22"/>
                    </w:rPr>
                  </w:pPr>
                  <w:r>
                    <w:rPr>
                      <w:sz w:val="22"/>
                      <w:szCs w:val="22"/>
                    </w:rPr>
                    <w:t>矿产资源开发应符合国家产业政策要求，选址、布局应符合所在地的区域发展规划</w:t>
                  </w:r>
                </w:p>
              </w:tc>
              <w:tc>
                <w:tcPr>
                  <w:tcW w:w="3872" w:type="dxa"/>
                  <w:vAlign w:val="center"/>
                </w:tcPr>
                <w:p>
                  <w:pPr>
                    <w:adjustRightInd w:val="0"/>
                    <w:snapToGrid w:val="0"/>
                    <w:jc w:val="center"/>
                    <w:rPr>
                      <w:sz w:val="22"/>
                      <w:szCs w:val="22"/>
                    </w:rPr>
                  </w:pPr>
                  <w:r>
                    <w:rPr>
                      <w:sz w:val="22"/>
                      <w:szCs w:val="22"/>
                    </w:rPr>
                    <w:t>符合国家产业政策及区域规划要求。</w:t>
                  </w:r>
                </w:p>
              </w:tc>
              <w:tc>
                <w:tcPr>
                  <w:tcW w:w="877" w:type="dxa"/>
                  <w:vAlign w:val="center"/>
                </w:tcPr>
                <w:p>
                  <w:pPr>
                    <w:adjustRightInd w:val="0"/>
                    <w:snapToGrid w:val="0"/>
                    <w:jc w:val="center"/>
                    <w:rPr>
                      <w:sz w:val="22"/>
                      <w:szCs w:val="22"/>
                    </w:rPr>
                  </w:pPr>
                  <w:r>
                    <w:rPr>
                      <w:sz w:val="22"/>
                      <w:szCs w:val="22"/>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adjustRightInd w:val="0"/>
                    <w:snapToGrid w:val="0"/>
                    <w:jc w:val="center"/>
                    <w:rPr>
                      <w:sz w:val="22"/>
                      <w:szCs w:val="22"/>
                    </w:rPr>
                  </w:pPr>
                  <w:r>
                    <w:rPr>
                      <w:sz w:val="22"/>
                      <w:szCs w:val="22"/>
                    </w:rPr>
                    <w:t>10</w:t>
                  </w:r>
                </w:p>
              </w:tc>
              <w:tc>
                <w:tcPr>
                  <w:tcW w:w="3929" w:type="dxa"/>
                  <w:vAlign w:val="center"/>
                </w:tcPr>
                <w:p>
                  <w:pPr>
                    <w:adjustRightInd w:val="0"/>
                    <w:snapToGrid w:val="0"/>
                    <w:jc w:val="center"/>
                    <w:rPr>
                      <w:sz w:val="22"/>
                      <w:szCs w:val="22"/>
                    </w:rPr>
                  </w:pPr>
                  <w:r>
                    <w:rPr>
                      <w:sz w:val="22"/>
                      <w:szCs w:val="22"/>
                    </w:rPr>
                    <w:t>矿产资源开发企业应制定矿产资源综合开发规划，并应进行环境影响评价，规划内容包括资源开发利用、生态环境保护、地质灾害防治、水土保持、废弃地复垦等</w:t>
                  </w:r>
                </w:p>
              </w:tc>
              <w:tc>
                <w:tcPr>
                  <w:tcW w:w="3872" w:type="dxa"/>
                  <w:vAlign w:val="center"/>
                </w:tcPr>
                <w:p>
                  <w:pPr>
                    <w:adjustRightInd w:val="0"/>
                    <w:snapToGrid w:val="0"/>
                    <w:jc w:val="center"/>
                    <w:rPr>
                      <w:sz w:val="22"/>
                      <w:szCs w:val="22"/>
                    </w:rPr>
                  </w:pPr>
                  <w:r>
                    <w:rPr>
                      <w:sz w:val="22"/>
                      <w:szCs w:val="22"/>
                    </w:rPr>
                    <w:t>区域已编制《重庆市矿产资源总体规划（2021-2025年）环境影响报告书》、《重庆市酉阳土家族苗族自治县矿产资源总体规划（2021-2025年）环境影响报告书》并通过审批，规划内容包括资源开发利用、生态环境保护、地质灾害防治、水土保持、废弃地复垦等。</w:t>
                  </w:r>
                </w:p>
              </w:tc>
              <w:tc>
                <w:tcPr>
                  <w:tcW w:w="877" w:type="dxa"/>
                  <w:vAlign w:val="center"/>
                </w:tcPr>
                <w:p>
                  <w:pPr>
                    <w:adjustRightInd w:val="0"/>
                    <w:snapToGrid w:val="0"/>
                    <w:jc w:val="center"/>
                    <w:rPr>
                      <w:sz w:val="22"/>
                      <w:szCs w:val="22"/>
                    </w:rPr>
                  </w:pPr>
                  <w:r>
                    <w:rPr>
                      <w:sz w:val="22"/>
                      <w:szCs w:val="22"/>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spacing w:line="300" w:lineRule="exact"/>
                    <w:jc w:val="center"/>
                  </w:pPr>
                  <w:r>
                    <w:t>11</w:t>
                  </w:r>
                </w:p>
              </w:tc>
              <w:tc>
                <w:tcPr>
                  <w:tcW w:w="3929" w:type="dxa"/>
                  <w:vAlign w:val="center"/>
                </w:tcPr>
                <w:p>
                  <w:pPr>
                    <w:spacing w:line="300" w:lineRule="exact"/>
                    <w:jc w:val="center"/>
                  </w:pPr>
                  <w:r>
                    <w:t>应优先选择废物产生量少、水重复利用率高，对矿区生态环境影响小的采、选矿生产工艺与技术</w:t>
                  </w:r>
                </w:p>
              </w:tc>
              <w:tc>
                <w:tcPr>
                  <w:tcW w:w="3872" w:type="dxa"/>
                  <w:vAlign w:val="center"/>
                </w:tcPr>
                <w:p>
                  <w:pPr>
                    <w:spacing w:line="300" w:lineRule="exact"/>
                    <w:jc w:val="center"/>
                  </w:pPr>
                  <w:r>
                    <w:t>项目生产废水均循环利用不外排，水循环利用率极高；项目表土均回填采空区，废物产生量小。项目开采完毕后进行表土复垦回填，对区域生态环境的影响较小。</w:t>
                  </w:r>
                </w:p>
              </w:tc>
              <w:tc>
                <w:tcPr>
                  <w:tcW w:w="877" w:type="dxa"/>
                  <w:vAlign w:val="center"/>
                </w:tcPr>
                <w:p>
                  <w:pPr>
                    <w:spacing w:line="300" w:lineRule="exact"/>
                    <w:jc w:val="center"/>
                  </w:pPr>
                  <w: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7" w:hRule="atLeast"/>
              </w:trPr>
              <w:tc>
                <w:tcPr>
                  <w:tcW w:w="610" w:type="dxa"/>
                  <w:vAlign w:val="center"/>
                </w:tcPr>
                <w:p>
                  <w:pPr>
                    <w:spacing w:line="300" w:lineRule="exact"/>
                    <w:jc w:val="center"/>
                  </w:pPr>
                  <w:r>
                    <w:t>12</w:t>
                  </w:r>
                </w:p>
              </w:tc>
              <w:tc>
                <w:tcPr>
                  <w:tcW w:w="3929" w:type="dxa"/>
                  <w:vAlign w:val="center"/>
                </w:tcPr>
                <w:p>
                  <w:pPr>
                    <w:spacing w:line="300" w:lineRule="exact"/>
                    <w:jc w:val="center"/>
                  </w:pPr>
                  <w:r>
                    <w:t>矿山开采企业应将废弃地复垦纳入矿山日常生产与管理，提倡采用采（选）矿—排土（尾）—造地—复垦一体化技术</w:t>
                  </w:r>
                </w:p>
              </w:tc>
              <w:tc>
                <w:tcPr>
                  <w:tcW w:w="3872" w:type="dxa"/>
                  <w:vAlign w:val="center"/>
                </w:tcPr>
                <w:p>
                  <w:pPr>
                    <w:spacing w:line="300" w:lineRule="exact"/>
                    <w:jc w:val="center"/>
                  </w:pPr>
                  <w:r>
                    <w:t>项目开采完毕及表土回填复垦绿化。</w:t>
                  </w:r>
                </w:p>
              </w:tc>
              <w:tc>
                <w:tcPr>
                  <w:tcW w:w="877" w:type="dxa"/>
                  <w:vAlign w:val="center"/>
                </w:tcPr>
                <w:p>
                  <w:pPr>
                    <w:spacing w:line="300" w:lineRule="exact"/>
                    <w:jc w:val="center"/>
                  </w:pPr>
                  <w: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spacing w:line="300" w:lineRule="exact"/>
                    <w:jc w:val="center"/>
                  </w:pPr>
                  <w:r>
                    <w:t>13</w:t>
                  </w:r>
                </w:p>
              </w:tc>
              <w:tc>
                <w:tcPr>
                  <w:tcW w:w="3929" w:type="dxa"/>
                  <w:vAlign w:val="center"/>
                </w:tcPr>
                <w:p>
                  <w:pPr>
                    <w:spacing w:line="300" w:lineRule="exact"/>
                    <w:jc w:val="center"/>
                  </w:pPr>
                  <w:r>
                    <w:t>矿山生产过程中应采取种植植物和覆盖等复垦措施，对露天坑、废石场、尾矿库、矸石山等永久性坡面进行稳定化处理，防止水土流失和滑坡</w:t>
                  </w:r>
                </w:p>
              </w:tc>
              <w:tc>
                <w:tcPr>
                  <w:tcW w:w="3872" w:type="dxa"/>
                  <w:vAlign w:val="center"/>
                </w:tcPr>
                <w:p>
                  <w:pPr>
                    <w:spacing w:line="300" w:lineRule="exact"/>
                    <w:jc w:val="center"/>
                  </w:pPr>
                  <w:r>
                    <w:t>项目采用</w:t>
                  </w:r>
                  <w:r>
                    <w:rPr>
                      <w:sz w:val="22"/>
                      <w:szCs w:val="22"/>
                    </w:rPr>
                    <w:t>边开采边复垦</w:t>
                  </w:r>
                  <w:r>
                    <w:t>的开发利用方案，将采取种植植物和覆盖等复垦措施，对露天坑、排土场</w:t>
                  </w:r>
                  <w:r>
                    <w:rPr>
                      <w:rFonts w:hint="eastAsia"/>
                    </w:rPr>
                    <w:t>、弃渣场</w:t>
                  </w:r>
                  <w:r>
                    <w:t>等永久性坡面进行稳定化处理，防止水土流失和滑坡。</w:t>
                  </w:r>
                </w:p>
              </w:tc>
              <w:tc>
                <w:tcPr>
                  <w:tcW w:w="877" w:type="dxa"/>
                  <w:vAlign w:val="center"/>
                </w:tcPr>
                <w:p>
                  <w:pPr>
                    <w:spacing w:line="300" w:lineRule="exact"/>
                    <w:jc w:val="center"/>
                  </w:pPr>
                  <w:r>
                    <w:t>符合</w:t>
                  </w:r>
                </w:p>
              </w:tc>
            </w:tr>
          </w:tbl>
          <w:p>
            <w:pPr>
              <w:autoSpaceDE w:val="0"/>
              <w:autoSpaceDN w:val="0"/>
              <w:adjustRightInd w:val="0"/>
              <w:snapToGrid w:val="0"/>
              <w:spacing w:line="360" w:lineRule="auto"/>
              <w:ind w:firstLine="480" w:firstLineChars="200"/>
              <w:rPr>
                <w:kern w:val="0"/>
                <w:sz w:val="24"/>
              </w:rPr>
            </w:pPr>
            <w:r>
              <w:rPr>
                <w:kern w:val="0"/>
                <w:sz w:val="24"/>
              </w:rPr>
              <w:t>同时，《矿山生态环境保护与污染防治技术政策》对矿山生态环境保护与污染防治提出了要求，本次评价按照《矿山生态环境保护与污染防治技术政策》的要求，以及项目周围环境敏感特征和当前技术经济条件，有针对性地提出合理可行的生态环境保护与污染防治措施，以达到实现矿产资源开发与生态环境保护协调发展，避免和减少矿区生态环境破坏和污染的目的。</w:t>
            </w:r>
          </w:p>
          <w:p>
            <w:pPr>
              <w:autoSpaceDE w:val="0"/>
              <w:autoSpaceDN w:val="0"/>
              <w:adjustRightInd w:val="0"/>
              <w:snapToGrid w:val="0"/>
              <w:spacing w:line="360" w:lineRule="auto"/>
              <w:ind w:firstLine="480" w:firstLineChars="200"/>
              <w:rPr>
                <w:kern w:val="0"/>
                <w:sz w:val="24"/>
              </w:rPr>
            </w:pPr>
            <w:r>
              <w:rPr>
                <w:kern w:val="0"/>
                <w:sz w:val="24"/>
              </w:rPr>
              <w:t>综上，拟建项目的建设符合《矿山生态环境保护与污染防治技术政策》。</w:t>
            </w:r>
          </w:p>
          <w:p>
            <w:pPr>
              <w:autoSpaceDE w:val="0"/>
              <w:autoSpaceDN w:val="0"/>
              <w:adjustRightInd w:val="0"/>
              <w:snapToGrid w:val="0"/>
              <w:spacing w:line="360" w:lineRule="auto"/>
              <w:ind w:firstLine="562" w:firstLineChars="200"/>
              <w:rPr>
                <w:b/>
                <w:kern w:val="0"/>
                <w:sz w:val="28"/>
                <w:szCs w:val="28"/>
              </w:rPr>
            </w:pPr>
            <w:r>
              <w:rPr>
                <w:b/>
                <w:kern w:val="0"/>
                <w:sz w:val="28"/>
                <w:szCs w:val="28"/>
              </w:rPr>
              <w:t>1.7、与《重庆市产业投资准入工作手册》的符合性分析</w:t>
            </w:r>
          </w:p>
          <w:p>
            <w:pPr>
              <w:autoSpaceDE w:val="0"/>
              <w:autoSpaceDN w:val="0"/>
              <w:adjustRightInd w:val="0"/>
              <w:snapToGrid w:val="0"/>
              <w:spacing w:line="360" w:lineRule="auto"/>
              <w:ind w:firstLine="480" w:firstLineChars="200"/>
              <w:rPr>
                <w:kern w:val="0"/>
                <w:sz w:val="24"/>
              </w:rPr>
            </w:pPr>
            <w:r>
              <w:rPr>
                <w:kern w:val="0"/>
                <w:sz w:val="24"/>
              </w:rPr>
              <w:t>拟建项目位于酉阳县，属于非金属矿采选类项目，不使用高污染、高能耗燃料，评价根据《重庆市产业投资准入工作手册》（渝发改投资〔2022〕1436号）中的相关规定及要求，对拟建项目符合性进行分析，详见表1-5。</w:t>
            </w:r>
          </w:p>
          <w:p>
            <w:pPr>
              <w:autoSpaceDE w:val="0"/>
              <w:autoSpaceDN w:val="0"/>
              <w:adjustRightInd w:val="0"/>
              <w:snapToGrid w:val="0"/>
              <w:jc w:val="center"/>
              <w:rPr>
                <w:b/>
                <w:kern w:val="0"/>
                <w:sz w:val="24"/>
              </w:rPr>
            </w:pPr>
            <w:r>
              <w:rPr>
                <w:b/>
                <w:kern w:val="0"/>
                <w:sz w:val="24"/>
              </w:rPr>
              <w:t>表1-5  项目与《重庆市产业投资准入工作手册》的符合性分析</w:t>
            </w:r>
          </w:p>
          <w:tbl>
            <w:tblPr>
              <w:tblStyle w:val="15"/>
              <w:tblW w:w="9284"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3"/>
              <w:gridCol w:w="1415"/>
              <w:gridCol w:w="3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4673" w:type="dxa"/>
                  <w:vAlign w:val="center"/>
                </w:tcPr>
                <w:p>
                  <w:pPr>
                    <w:spacing w:line="300" w:lineRule="exact"/>
                    <w:jc w:val="center"/>
                  </w:pPr>
                  <w:r>
                    <w:t>行业</w:t>
                  </w:r>
                </w:p>
              </w:tc>
              <w:tc>
                <w:tcPr>
                  <w:tcW w:w="1415" w:type="dxa"/>
                  <w:vAlign w:val="center"/>
                </w:tcPr>
                <w:p>
                  <w:pPr>
                    <w:spacing w:line="300" w:lineRule="exact"/>
                    <w:jc w:val="center"/>
                  </w:pPr>
                  <w:r>
                    <w:t>渝东南</w:t>
                  </w:r>
                  <w:r>
                    <w:rPr>
                      <w:rFonts w:hint="eastAsia"/>
                    </w:rPr>
                    <w:t>武陵山区城镇群</w:t>
                  </w:r>
                </w:p>
              </w:tc>
              <w:tc>
                <w:tcPr>
                  <w:tcW w:w="3196" w:type="dxa"/>
                  <w:vAlign w:val="center"/>
                </w:tcPr>
                <w:p>
                  <w:pPr>
                    <w:spacing w:line="300" w:lineRule="exact"/>
                    <w:jc w:val="center"/>
                  </w:pPr>
                  <w: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trPr>
              <w:tc>
                <w:tcPr>
                  <w:tcW w:w="4673" w:type="dxa"/>
                  <w:vAlign w:val="center"/>
                </w:tcPr>
                <w:p>
                  <w:pPr>
                    <w:spacing w:line="300" w:lineRule="exact"/>
                  </w:pPr>
                  <w:r>
                    <w:t>1、国家产业结构调整指导目录中的淘汰类项目。</w:t>
                  </w:r>
                </w:p>
                <w:p>
                  <w:pPr>
                    <w:spacing w:line="300" w:lineRule="exact"/>
                  </w:pPr>
                  <w:r>
                    <w:t>2、天然林商业性采伐。</w:t>
                  </w:r>
                </w:p>
                <w:p>
                  <w:pPr>
                    <w:spacing w:line="300" w:lineRule="exact"/>
                  </w:pPr>
                  <w:r>
                    <w:t>3、法律法规和相关政策明令不予准入的其他项目。</w:t>
                  </w:r>
                </w:p>
              </w:tc>
              <w:tc>
                <w:tcPr>
                  <w:tcW w:w="1415" w:type="dxa"/>
                  <w:vAlign w:val="center"/>
                </w:tcPr>
                <w:p>
                  <w:pPr>
                    <w:spacing w:line="300" w:lineRule="exact"/>
                    <w:jc w:val="center"/>
                  </w:pPr>
                  <w:r>
                    <w:t>全市范围内不予准入的产业</w:t>
                  </w:r>
                </w:p>
              </w:tc>
              <w:tc>
                <w:tcPr>
                  <w:tcW w:w="3196" w:type="dxa"/>
                  <w:vAlign w:val="center"/>
                </w:tcPr>
                <w:p>
                  <w:pPr>
                    <w:spacing w:line="300" w:lineRule="exact"/>
                  </w:pPr>
                  <w:r>
                    <w:t>项目</w:t>
                  </w:r>
                  <w:r>
                    <w:rPr>
                      <w:rFonts w:hint="eastAsia"/>
                    </w:rPr>
                    <w:t>不</w:t>
                  </w:r>
                  <w:r>
                    <w:t>属于《产业结构调整指导目录（</w:t>
                  </w:r>
                  <w:r>
                    <w:rPr>
                      <w:rFonts w:hint="eastAsia"/>
                    </w:rPr>
                    <w:t>2024</w:t>
                  </w:r>
                  <w:r>
                    <w:t>年本）》中</w:t>
                  </w:r>
                  <w:r>
                    <w:rPr>
                      <w:rFonts w:hint="eastAsia"/>
                    </w:rPr>
                    <w:t>淘汰类项目</w:t>
                  </w:r>
                  <w:r>
                    <w:t>，符合相关法律法规及政策，不属于不予准入产业</w:t>
                  </w:r>
                  <w:r>
                    <w:rPr>
                      <w:rFonts w:hint="eastAsia"/>
                    </w:rPr>
                    <w:t>。</w:t>
                  </w:r>
                  <w: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4" w:hRule="atLeast"/>
              </w:trPr>
              <w:tc>
                <w:tcPr>
                  <w:tcW w:w="4673" w:type="dxa"/>
                  <w:vAlign w:val="center"/>
                </w:tcPr>
                <w:p>
                  <w:pPr>
                    <w:spacing w:line="300" w:lineRule="exact"/>
                  </w:pPr>
                  <w:r>
                    <w:t>1、外环绕城高速公路以内长江、嘉陵江水域采砂。</w:t>
                  </w:r>
                </w:p>
                <w:p>
                  <w:pPr>
                    <w:spacing w:line="300" w:lineRule="exact"/>
                  </w:pPr>
                  <w:r>
                    <w:t>2、二十五度以上陡坡地开垦种植农作物。</w:t>
                  </w:r>
                </w:p>
                <w:p>
                  <w:pPr>
                    <w:spacing w:line="300" w:lineRule="exact"/>
                  </w:pPr>
                  <w:r>
                    <w:t>3、在自然保护区核心区、缓冲区的岸线和河段范围内投资建设旅游和生产经营项目。</w:t>
                  </w:r>
                </w:p>
                <w:p>
                  <w:pPr>
                    <w:spacing w:line="300" w:lineRule="exact"/>
                  </w:pPr>
                  <w:r>
                    <w:t>4、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p>
                  <w:pPr>
                    <w:spacing w:line="300" w:lineRule="exact"/>
                  </w:pPr>
                  <w:r>
                    <w:t>5、长江干流岸线3公里范围内和重要支流岸线1公里范围内新建、改建、扩建尾矿库、冶炼渣库和磷石膏库（以提升安全、生态环境保护水平为目的的改建除外）。</w:t>
                  </w:r>
                </w:p>
                <w:p>
                  <w:pPr>
                    <w:spacing w:line="300" w:lineRule="exact"/>
                  </w:pPr>
                  <w:r>
                    <w:t>6、在风景名胜区核心景区的岸线和河段范围内投资建设与风景名胜资源保护无关的项目。</w:t>
                  </w:r>
                </w:p>
                <w:p>
                  <w:pPr>
                    <w:spacing w:line="300" w:lineRule="exact"/>
                  </w:pPr>
                  <w:r>
                    <w:t>7、在国家湿地公园的岸线和河段范围内挖沙、采矿，以及任何不符合主体功能定位的投资建设项目。</w:t>
                  </w:r>
                </w:p>
                <w:p>
                  <w:pPr>
                    <w:spacing w:line="300" w:lineRule="exact"/>
                  </w:pPr>
                  <w:r>
                    <w:t>8、在《长江岸线保护和开发利用总体规划》划定的岸线保护区和保留区内投资建设除事关公共安全及公众利益的防洪护岸、河道治理、供水、生态环境保护、航道整治、国家重要基础设施以外的项目。</w:t>
                  </w:r>
                </w:p>
                <w:p>
                  <w:pPr>
                    <w:spacing w:line="300" w:lineRule="exact"/>
                  </w:pPr>
                  <w:r>
                    <w:t>9、在《全国重要江河湖泊水功能区划》划定的河段及湖泊保护区、保留区内投资建设不利于水资源及自然生态保护的项目。</w:t>
                  </w:r>
                </w:p>
              </w:tc>
              <w:tc>
                <w:tcPr>
                  <w:tcW w:w="1415" w:type="dxa"/>
                  <w:vAlign w:val="center"/>
                </w:tcPr>
                <w:p>
                  <w:pPr>
                    <w:spacing w:line="300" w:lineRule="exact"/>
                    <w:jc w:val="center"/>
                  </w:pPr>
                  <w:r>
                    <w:t>重点区域范围内不予准入的产业</w:t>
                  </w:r>
                </w:p>
              </w:tc>
              <w:tc>
                <w:tcPr>
                  <w:tcW w:w="3196" w:type="dxa"/>
                  <w:vAlign w:val="center"/>
                </w:tcPr>
                <w:p>
                  <w:pPr>
                    <w:spacing w:line="300" w:lineRule="exact"/>
                  </w:pPr>
                  <w:r>
                    <w:t>拟建项目为</w:t>
                  </w:r>
                  <w:r>
                    <w:rPr>
                      <w:rFonts w:hint="eastAsia"/>
                      <w:color w:val="0000FF"/>
                    </w:rPr>
                    <w:t>建筑石料用</w:t>
                  </w:r>
                  <w:r>
                    <w:rPr>
                      <w:rFonts w:hint="eastAsia"/>
                    </w:rPr>
                    <w:t>灰岩</w:t>
                  </w:r>
                  <w:r>
                    <w:t>开采加工项目，不属于采砂，也不设尾矿，且距离长江岸线约</w:t>
                  </w:r>
                  <w:r>
                    <w:rPr>
                      <w:rFonts w:hint="eastAsia"/>
                    </w:rPr>
                    <w:t>129</w:t>
                  </w:r>
                  <w:r>
                    <w:t>km；项目</w:t>
                  </w:r>
                  <w:r>
                    <w:rPr>
                      <w:rFonts w:hint="eastAsia"/>
                    </w:rPr>
                    <w:t>不占用</w:t>
                  </w:r>
                  <w:r>
                    <w:t>饮用水水源保护区、风景名胜区、自然保护区、湿地公园，也</w:t>
                  </w:r>
                  <w:r>
                    <w:rPr>
                      <w:rFonts w:hint="eastAsia"/>
                    </w:rPr>
                    <w:t>不占用</w:t>
                  </w:r>
                  <w:r>
                    <w:t>《全国重要江河湖泊水功能区划》中划定的河段及湖泊保护区、保留区。满足要求。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4673" w:type="dxa"/>
                  <w:vAlign w:val="center"/>
                </w:tcPr>
                <w:p>
                  <w:pPr>
                    <w:spacing w:line="300" w:lineRule="exact"/>
                  </w:pPr>
                  <w:r>
                    <w:t>1、新建、扩建不符合国家产能置换要求的严重过剩产能行业的项目。新建、扩建不符合要求的高耗能高排放项目。</w:t>
                  </w:r>
                </w:p>
                <w:p>
                  <w:pPr>
                    <w:spacing w:line="300" w:lineRule="exact"/>
                  </w:pPr>
                  <w:r>
                    <w:t>2、新建、扩建不符合国家石化、现代煤化工等产业布局规划的项目。</w:t>
                  </w:r>
                </w:p>
                <w:p>
                  <w:pPr>
                    <w:spacing w:line="300" w:lineRule="exact"/>
                  </w:pPr>
                  <w:r>
                    <w:t>3、在合规园区外新建、扩建钢铁、石化、化工、焦化、建材、有色、制浆造纸等高污染项目。</w:t>
                  </w:r>
                </w:p>
                <w:p>
                  <w:pPr>
                    <w:spacing w:line="300" w:lineRule="exact"/>
                  </w:pPr>
                  <w:r>
                    <w:t>4、《汽车产业投资管理规定》（国家发展和改革委员会令第22号）明确禁止建设的汽车投资项目。</w:t>
                  </w:r>
                </w:p>
              </w:tc>
              <w:tc>
                <w:tcPr>
                  <w:tcW w:w="1415" w:type="dxa"/>
                  <w:vAlign w:val="center"/>
                </w:tcPr>
                <w:p>
                  <w:pPr>
                    <w:spacing w:line="300" w:lineRule="exact"/>
                    <w:jc w:val="center"/>
                  </w:pPr>
                  <w:r>
                    <w:t>全市范围内限制准入的产业</w:t>
                  </w:r>
                </w:p>
              </w:tc>
              <w:tc>
                <w:tcPr>
                  <w:tcW w:w="3196" w:type="dxa"/>
                  <w:vAlign w:val="center"/>
                </w:tcPr>
                <w:p>
                  <w:pPr>
                    <w:spacing w:line="300" w:lineRule="exact"/>
                  </w:pPr>
                  <w:r>
                    <w:t>拟建项目为</w:t>
                  </w:r>
                  <w:r>
                    <w:rPr>
                      <w:color w:val="0000FF"/>
                    </w:rPr>
                    <w:t>建筑石料用</w:t>
                  </w:r>
                  <w:r>
                    <w:t>灰岩开采加工项目，为矿产资源开发利用类项目，区域已编制</w:t>
                  </w:r>
                  <w:r>
                    <w:rPr>
                      <w:rFonts w:hint="eastAsia"/>
                    </w:rPr>
                    <w:t>《</w:t>
                  </w:r>
                  <w:r>
                    <w:t>重庆市酉阳土家族苗族自治县矿产资源总体规划（2021-2025年）</w:t>
                  </w:r>
                  <w:r>
                    <w:rPr>
                      <w:rFonts w:hint="eastAsia"/>
                    </w:rPr>
                    <w:t>》</w:t>
                  </w:r>
                  <w:r>
                    <w:t>，拟建项目矿权为该规划所列项目，其资源出让</w:t>
                  </w:r>
                  <w:r>
                    <w:rPr>
                      <w:rFonts w:hint="eastAsia"/>
                    </w:rPr>
                    <w:t>、开采规模均</w:t>
                  </w:r>
                  <w:r>
                    <w:t>受区域宏观调控，不为产能过剩项目；且区域已编制</w:t>
                  </w:r>
                  <w:r>
                    <w:rPr>
                      <w:rFonts w:hint="eastAsia"/>
                    </w:rPr>
                    <w:t>《</w:t>
                  </w:r>
                  <w:r>
                    <w:t>重庆市酉阳土家族苗族自治县矿产资源总体规划（2021-2025年）环境影响报告书</w:t>
                  </w:r>
                  <w:r>
                    <w:rPr>
                      <w:rFonts w:hint="eastAsia"/>
                    </w:rPr>
                    <w:t>》</w:t>
                  </w:r>
                  <w:r>
                    <w:t>，为合规的规划开采区域。满足要求。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4673" w:type="dxa"/>
                  <w:vAlign w:val="center"/>
                </w:tcPr>
                <w:p>
                  <w:pPr>
                    <w:spacing w:line="300" w:lineRule="exact"/>
                  </w:pPr>
                  <w:r>
                    <w:t>1、长江干支流、重要湖泊岸线1公里范围内新建、扩建化工园区和化工项目，长江、嘉陵江、乌江岸线1公里范围内布局新建纸浆制造、印染等存在环境风险的项目。</w:t>
                  </w:r>
                </w:p>
                <w:p>
                  <w:pPr>
                    <w:spacing w:line="300" w:lineRule="exact"/>
                  </w:pPr>
                  <w:r>
                    <w:t>2、在水产种质资源保护区的岸线和河段范围内新建围湖造田等投资建设项目。</w:t>
                  </w:r>
                </w:p>
              </w:tc>
              <w:tc>
                <w:tcPr>
                  <w:tcW w:w="1415" w:type="dxa"/>
                  <w:vAlign w:val="center"/>
                </w:tcPr>
                <w:p>
                  <w:pPr>
                    <w:spacing w:line="300" w:lineRule="exact"/>
                    <w:jc w:val="center"/>
                  </w:pPr>
                  <w:r>
                    <w:t>重点区域范围内限制准入的产业</w:t>
                  </w:r>
                </w:p>
              </w:tc>
              <w:tc>
                <w:tcPr>
                  <w:tcW w:w="3196" w:type="dxa"/>
                  <w:vAlign w:val="center"/>
                </w:tcPr>
                <w:p>
                  <w:pPr>
                    <w:spacing w:line="300" w:lineRule="exact"/>
                  </w:pPr>
                  <w:r>
                    <w:t>项目</w:t>
                  </w:r>
                  <w:r>
                    <w:rPr>
                      <w:rFonts w:hint="eastAsia"/>
                    </w:rPr>
                    <w:t>为</w:t>
                  </w:r>
                  <w:r>
                    <w:rPr>
                      <w:rFonts w:hint="eastAsia"/>
                      <w:color w:val="0000FF"/>
                    </w:rPr>
                    <w:t>建筑石料用</w:t>
                  </w:r>
                  <w:r>
                    <w:rPr>
                      <w:rFonts w:hint="eastAsia"/>
                    </w:rPr>
                    <w:t>灰岩开采加工项目，不属于</w:t>
                  </w:r>
                  <w:r>
                    <w:t>化工</w:t>
                  </w:r>
                  <w:r>
                    <w:rPr>
                      <w:rFonts w:hint="eastAsia"/>
                    </w:rPr>
                    <w:t>、</w:t>
                  </w:r>
                  <w:r>
                    <w:t>纸浆制造、印染等存在环境风险的项目</w:t>
                  </w:r>
                  <w:r>
                    <w:rPr>
                      <w:rFonts w:hint="eastAsia"/>
                    </w:rPr>
                    <w:t>，也不属于</w:t>
                  </w:r>
                  <w:r>
                    <w:t>围湖造田</w:t>
                  </w:r>
                  <w:r>
                    <w:rPr>
                      <w:rFonts w:hint="eastAsia"/>
                    </w:rPr>
                    <w:t>项目，且</w:t>
                  </w:r>
                  <w:r>
                    <w:t>距离长江岸线约129km，</w:t>
                  </w:r>
                  <w:r>
                    <w:rPr>
                      <w:rFonts w:hint="eastAsia"/>
                    </w:rPr>
                    <w:t>不占用</w:t>
                  </w:r>
                  <w:r>
                    <w:t>水产种质资源保护区的岸线和河段范围。满足要求。</w:t>
                  </w:r>
                </w:p>
              </w:tc>
            </w:tr>
          </w:tbl>
          <w:p>
            <w:pPr>
              <w:autoSpaceDE w:val="0"/>
              <w:autoSpaceDN w:val="0"/>
              <w:adjustRightInd w:val="0"/>
              <w:snapToGrid w:val="0"/>
              <w:spacing w:line="360" w:lineRule="auto"/>
              <w:ind w:firstLine="480" w:firstLineChars="200"/>
              <w:rPr>
                <w:kern w:val="0"/>
                <w:sz w:val="24"/>
              </w:rPr>
            </w:pPr>
            <w:r>
              <w:rPr>
                <w:kern w:val="0"/>
                <w:sz w:val="24"/>
              </w:rPr>
              <w:t>由表1-5可知，拟建项目不属于限制和不准入项目，符合《重庆市产业投资准入工作手册》（渝发改投资〔2022〕1436号）的要求。</w:t>
            </w:r>
          </w:p>
          <w:p>
            <w:pPr>
              <w:autoSpaceDE w:val="0"/>
              <w:autoSpaceDN w:val="0"/>
              <w:adjustRightInd w:val="0"/>
              <w:snapToGrid w:val="0"/>
              <w:spacing w:line="360" w:lineRule="auto"/>
              <w:ind w:firstLine="562" w:firstLineChars="200"/>
              <w:rPr>
                <w:b/>
                <w:kern w:val="0"/>
                <w:sz w:val="28"/>
                <w:szCs w:val="28"/>
              </w:rPr>
            </w:pPr>
            <w:r>
              <w:rPr>
                <w:b/>
                <w:kern w:val="0"/>
                <w:sz w:val="28"/>
                <w:szCs w:val="28"/>
              </w:rPr>
              <w:t>1.8、与主体功能区划及生态功能区划的符合性分析</w:t>
            </w:r>
          </w:p>
          <w:p>
            <w:pPr>
              <w:autoSpaceDE w:val="0"/>
              <w:autoSpaceDN w:val="0"/>
              <w:adjustRightInd w:val="0"/>
              <w:snapToGrid w:val="0"/>
              <w:spacing w:line="360" w:lineRule="auto"/>
              <w:ind w:firstLine="480" w:firstLineChars="200"/>
              <w:rPr>
                <w:kern w:val="0"/>
                <w:sz w:val="24"/>
              </w:rPr>
            </w:pPr>
            <w:r>
              <w:rPr>
                <w:kern w:val="0"/>
                <w:sz w:val="24"/>
              </w:rPr>
              <w:t>拟建项目位于重庆市酉阳县，本次评价对照《全国主体功能区规划》（国发〔2010〕46号）、《全国生态功能区划》（修编）、《重庆市生态功能区划（修编）》（渝府〔2008〕133号）中的相关规定及要求，对拟建项目符合性进行分析，详见表1-6。</w:t>
            </w:r>
          </w:p>
          <w:p>
            <w:pPr>
              <w:adjustRightInd w:val="0"/>
              <w:snapToGrid w:val="0"/>
              <w:jc w:val="center"/>
              <w:rPr>
                <w:b/>
                <w:kern w:val="0"/>
                <w:sz w:val="24"/>
              </w:rPr>
            </w:pPr>
            <w:r>
              <w:rPr>
                <w:b/>
                <w:kern w:val="0"/>
                <w:sz w:val="24"/>
              </w:rPr>
              <w:t>表1-6  项目与主体功能区划及生态功能区划的符合性分析</w:t>
            </w:r>
          </w:p>
          <w:tbl>
            <w:tblPr>
              <w:tblStyle w:val="15"/>
              <w:tblW w:w="92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649"/>
              <w:gridCol w:w="1125"/>
              <w:gridCol w:w="1701"/>
              <w:gridCol w:w="2695"/>
              <w:gridCol w:w="1840"/>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37" w:type="dxa"/>
                  <w:vMerge w:val="restart"/>
                  <w:vAlign w:val="center"/>
                </w:tcPr>
                <w:p>
                  <w:pPr>
                    <w:pStyle w:val="42"/>
                  </w:pPr>
                  <w:r>
                    <w:t>全国主体功能区规划</w:t>
                  </w:r>
                </w:p>
              </w:tc>
              <w:tc>
                <w:tcPr>
                  <w:tcW w:w="649" w:type="dxa"/>
                  <w:vAlign w:val="center"/>
                </w:tcPr>
                <w:p>
                  <w:pPr>
                    <w:pStyle w:val="42"/>
                  </w:pPr>
                  <w:r>
                    <w:t>所在位置</w:t>
                  </w:r>
                </w:p>
              </w:tc>
              <w:tc>
                <w:tcPr>
                  <w:tcW w:w="1125" w:type="dxa"/>
                  <w:vAlign w:val="center"/>
                </w:tcPr>
                <w:p>
                  <w:pPr>
                    <w:pStyle w:val="42"/>
                  </w:pPr>
                  <w:r>
                    <w:t>规划中对应区域</w:t>
                  </w:r>
                </w:p>
              </w:tc>
              <w:tc>
                <w:tcPr>
                  <w:tcW w:w="1701" w:type="dxa"/>
                  <w:vAlign w:val="center"/>
                </w:tcPr>
                <w:p>
                  <w:pPr>
                    <w:pStyle w:val="42"/>
                  </w:pPr>
                  <w:r>
                    <w:t>所属区域主要生态问题</w:t>
                  </w:r>
                </w:p>
              </w:tc>
              <w:tc>
                <w:tcPr>
                  <w:tcW w:w="2695" w:type="dxa"/>
                  <w:vAlign w:val="center"/>
                </w:tcPr>
                <w:p>
                  <w:pPr>
                    <w:pStyle w:val="42"/>
                  </w:pPr>
                  <w:r>
                    <w:t>所属区域发展方向</w:t>
                  </w:r>
                </w:p>
                <w:p>
                  <w:pPr>
                    <w:pStyle w:val="42"/>
                  </w:pPr>
                  <w:r>
                    <w:t>（生态保护主要措施/生态功能定位）</w:t>
                  </w:r>
                </w:p>
              </w:tc>
              <w:tc>
                <w:tcPr>
                  <w:tcW w:w="1840" w:type="dxa"/>
                  <w:vAlign w:val="center"/>
                </w:tcPr>
                <w:p>
                  <w:pPr>
                    <w:pStyle w:val="42"/>
                  </w:pPr>
                  <w:r>
                    <w:t>拟建项目情况</w:t>
                  </w:r>
                </w:p>
              </w:tc>
              <w:tc>
                <w:tcPr>
                  <w:tcW w:w="647" w:type="dxa"/>
                  <w:vAlign w:val="center"/>
                </w:tcPr>
                <w:p>
                  <w:pPr>
                    <w:pStyle w:val="42"/>
                  </w:pPr>
                  <w: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37" w:type="dxa"/>
                  <w:vMerge w:val="continue"/>
                  <w:vAlign w:val="center"/>
                </w:tcPr>
                <w:p>
                  <w:pPr>
                    <w:pStyle w:val="42"/>
                  </w:pPr>
                </w:p>
              </w:tc>
              <w:tc>
                <w:tcPr>
                  <w:tcW w:w="649" w:type="dxa"/>
                  <w:vAlign w:val="center"/>
                </w:tcPr>
                <w:p>
                  <w:pPr>
                    <w:pStyle w:val="42"/>
                  </w:pPr>
                  <w:r>
                    <w:rPr>
                      <w:rFonts w:hint="eastAsia"/>
                    </w:rPr>
                    <w:t>酉阳</w:t>
                  </w:r>
                  <w:r>
                    <w:t>县</w:t>
                  </w:r>
                </w:p>
              </w:tc>
              <w:tc>
                <w:tcPr>
                  <w:tcW w:w="1125" w:type="dxa"/>
                  <w:vAlign w:val="center"/>
                </w:tcPr>
                <w:p>
                  <w:pPr>
                    <w:pStyle w:val="42"/>
                  </w:pPr>
                  <w:r>
                    <w:rPr>
                      <w:rFonts w:hint="eastAsia"/>
                    </w:rPr>
                    <w:t>武陵山区生物多样性与水土保持生态功能区</w:t>
                  </w:r>
                </w:p>
              </w:tc>
              <w:tc>
                <w:tcPr>
                  <w:tcW w:w="1701" w:type="dxa"/>
                  <w:vAlign w:val="center"/>
                </w:tcPr>
                <w:p>
                  <w:pPr>
                    <w:pStyle w:val="42"/>
                    <w:jc w:val="both"/>
                  </w:pPr>
                  <w:r>
                    <w:t>土壤侵蚀较严重，地质灾害较多，生物多样性受到威胁。</w:t>
                  </w:r>
                </w:p>
              </w:tc>
              <w:tc>
                <w:tcPr>
                  <w:tcW w:w="2695" w:type="dxa"/>
                  <w:vAlign w:val="center"/>
                </w:tcPr>
                <w:p>
                  <w:pPr>
                    <w:pStyle w:val="42"/>
                    <w:jc w:val="both"/>
                  </w:pPr>
                  <w:r>
                    <w:t>扩大天然林保护范围，巩固退耕还林成果，恢复森林植被和生物多样性。</w:t>
                  </w:r>
                </w:p>
              </w:tc>
              <w:tc>
                <w:tcPr>
                  <w:tcW w:w="1840" w:type="dxa"/>
                  <w:vMerge w:val="restart"/>
                  <w:vAlign w:val="center"/>
                </w:tcPr>
                <w:p>
                  <w:pPr>
                    <w:pStyle w:val="42"/>
                    <w:jc w:val="both"/>
                  </w:pPr>
                  <w:r>
                    <w:t>项目</w:t>
                  </w:r>
                  <w:r>
                    <w:rPr>
                      <w:rFonts w:hint="eastAsia"/>
                    </w:rPr>
                    <w:t>在</w:t>
                  </w:r>
                  <w:r>
                    <w:t>圈定范围进行开采，严禁越界，可最大程度的减少因项目实施而导致区域林木采伐；且项目采用边开采</w:t>
                  </w:r>
                  <w:r>
                    <w:rPr>
                      <w:rFonts w:hint="eastAsia"/>
                    </w:rPr>
                    <w:t>、</w:t>
                  </w:r>
                  <w:r>
                    <w:t>边复垦</w:t>
                  </w:r>
                  <w:r>
                    <w:rPr>
                      <w:rFonts w:hint="eastAsia"/>
                    </w:rPr>
                    <w:t>的</w:t>
                  </w:r>
                  <w:r>
                    <w:t>方式进行开采，闭矿后再整体性复耕复绿，因项目实施而减少的山地植被可恢复；项目实施期间将落实严禁扑杀野生动物，夜间不施工、开采等野生物种保护措施。</w:t>
                  </w:r>
                </w:p>
              </w:tc>
              <w:tc>
                <w:tcPr>
                  <w:tcW w:w="64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37" w:type="dxa"/>
                  <w:vAlign w:val="center"/>
                </w:tcPr>
                <w:p>
                  <w:pPr>
                    <w:pStyle w:val="42"/>
                  </w:pPr>
                  <w:r>
                    <w:t>全国生态功能区划（修编）</w:t>
                  </w:r>
                </w:p>
              </w:tc>
              <w:tc>
                <w:tcPr>
                  <w:tcW w:w="649" w:type="dxa"/>
                  <w:vAlign w:val="center"/>
                </w:tcPr>
                <w:p>
                  <w:pPr>
                    <w:pStyle w:val="42"/>
                  </w:pPr>
                  <w:r>
                    <w:rPr>
                      <w:rFonts w:hint="eastAsia"/>
                    </w:rPr>
                    <w:t>酉阳</w:t>
                  </w:r>
                  <w:r>
                    <w:t>县</w:t>
                  </w:r>
                </w:p>
              </w:tc>
              <w:tc>
                <w:tcPr>
                  <w:tcW w:w="1125" w:type="dxa"/>
                  <w:vAlign w:val="center"/>
                </w:tcPr>
                <w:p>
                  <w:pPr>
                    <w:pStyle w:val="42"/>
                  </w:pPr>
                  <w:r>
                    <w:rPr>
                      <w:rFonts w:hint="eastAsia"/>
                    </w:rPr>
                    <w:t>武陵山区生物多样性保护与水源涵养重要区</w:t>
                  </w:r>
                </w:p>
              </w:tc>
              <w:tc>
                <w:tcPr>
                  <w:tcW w:w="1701" w:type="dxa"/>
                  <w:vAlign w:val="center"/>
                </w:tcPr>
                <w:p>
                  <w:pPr>
                    <w:pStyle w:val="42"/>
                    <w:jc w:val="both"/>
                  </w:pPr>
                  <w:r>
                    <w:rPr>
                      <w:rFonts w:hint="eastAsia"/>
                    </w:rPr>
                    <w:t>森林资源不合理开发利用带来生态功能退化问题较为突出，主要表现为水土流失加重、石漠化问题突出、地质灾害增多、野生动植物栖息地破坏较严重</w:t>
                  </w:r>
                  <w:r>
                    <w:t>。</w:t>
                  </w:r>
                </w:p>
              </w:tc>
              <w:tc>
                <w:tcPr>
                  <w:tcW w:w="2695" w:type="dxa"/>
                  <w:vAlign w:val="center"/>
                </w:tcPr>
                <w:p>
                  <w:pPr>
                    <w:pStyle w:val="42"/>
                    <w:jc w:val="both"/>
                  </w:pPr>
                  <w:r>
                    <w:rPr>
                      <w:rFonts w:hint="eastAsia"/>
                    </w:rPr>
                    <w:t>加强自然保护区群建设，扩大保护范围；坚持自然恢复，恢复常绿阔叶林的乔、灌、草植被体系，优化森林生态系统结构；继续实施退耕还林、还草工程，以及石漠化治理工程；加强地质灾害的监督与预防</w:t>
                  </w:r>
                  <w:r>
                    <w:t>。</w:t>
                  </w:r>
                </w:p>
              </w:tc>
              <w:tc>
                <w:tcPr>
                  <w:tcW w:w="1840" w:type="dxa"/>
                  <w:vMerge w:val="continue"/>
                  <w:vAlign w:val="center"/>
                </w:tcPr>
                <w:p>
                  <w:pPr>
                    <w:pStyle w:val="42"/>
                    <w:jc w:val="both"/>
                  </w:pPr>
                </w:p>
              </w:tc>
              <w:tc>
                <w:tcPr>
                  <w:tcW w:w="64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7" w:type="dxa"/>
                  <w:vAlign w:val="center"/>
                </w:tcPr>
                <w:p>
                  <w:pPr>
                    <w:pStyle w:val="42"/>
                  </w:pPr>
                  <w:r>
                    <w:t>重庆市生态功能区划（修编）</w:t>
                  </w:r>
                </w:p>
              </w:tc>
              <w:tc>
                <w:tcPr>
                  <w:tcW w:w="649" w:type="dxa"/>
                  <w:vAlign w:val="center"/>
                </w:tcPr>
                <w:p>
                  <w:pPr>
                    <w:pStyle w:val="42"/>
                  </w:pPr>
                  <w:r>
                    <w:rPr>
                      <w:rFonts w:hint="eastAsia"/>
                    </w:rPr>
                    <w:t>酉阳</w:t>
                  </w:r>
                  <w:r>
                    <w:t>县</w:t>
                  </w:r>
                </w:p>
              </w:tc>
              <w:tc>
                <w:tcPr>
                  <w:tcW w:w="1125" w:type="dxa"/>
                  <w:vAlign w:val="center"/>
                </w:tcPr>
                <w:p>
                  <w:pPr>
                    <w:pStyle w:val="42"/>
                  </w:pPr>
                  <w:r>
                    <w:rPr>
                      <w:rFonts w:hint="eastAsia"/>
                    </w:rPr>
                    <w:t>酉阳—秀山水源涵养生态功能区</w:t>
                  </w:r>
                </w:p>
              </w:tc>
              <w:tc>
                <w:tcPr>
                  <w:tcW w:w="1701" w:type="dxa"/>
                  <w:vAlign w:val="center"/>
                </w:tcPr>
                <w:p>
                  <w:pPr>
                    <w:pStyle w:val="42"/>
                    <w:jc w:val="both"/>
                  </w:pPr>
                  <w:r>
                    <w:rPr>
                      <w:rFonts w:hint="eastAsia"/>
                    </w:rPr>
                    <w:t>土地和环境承载能力有限，水土流失严重，森林覆盖率低，生物多样性减少，草场退化明显，土地石漠化严重，自然灾害频繁，季节性干旱、洪涝灾害严重</w:t>
                  </w:r>
                  <w:r>
                    <w:t>。</w:t>
                  </w:r>
                </w:p>
              </w:tc>
              <w:tc>
                <w:tcPr>
                  <w:tcW w:w="2695" w:type="dxa"/>
                  <w:vAlign w:val="center"/>
                </w:tcPr>
                <w:p>
                  <w:pPr>
                    <w:pStyle w:val="42"/>
                    <w:jc w:val="both"/>
                  </w:pPr>
                  <w:r>
                    <w:rPr>
                      <w:rFonts w:hint="eastAsia"/>
                    </w:rPr>
                    <w:t>主导生态功能为水文调蓄，辅助功能为水土保持。生态功能保护与建设的主导方向为植被恢复，突出水土保持，增加森林覆盖率，强化水文调蓄功能。重点任务是实施植被恢复、水土保持建设工程、加强矿山生态保护和恢复、构筑地质灾害应急预警和防治体系、调整产业结构，优化经济发展模式。阿蓬江、龚滩古镇、酉阳乌江百里画廊等原生态自然山水应重点保护</w:t>
                  </w:r>
                  <w:r>
                    <w:t>。</w:t>
                  </w:r>
                </w:p>
              </w:tc>
              <w:tc>
                <w:tcPr>
                  <w:tcW w:w="1840" w:type="dxa"/>
                  <w:vMerge w:val="continue"/>
                  <w:vAlign w:val="center"/>
                </w:tcPr>
                <w:p>
                  <w:pPr>
                    <w:pStyle w:val="42"/>
                    <w:jc w:val="both"/>
                  </w:pPr>
                </w:p>
              </w:tc>
              <w:tc>
                <w:tcPr>
                  <w:tcW w:w="647" w:type="dxa"/>
                  <w:vAlign w:val="center"/>
                </w:tcPr>
                <w:p>
                  <w:pPr>
                    <w:pStyle w:val="42"/>
                  </w:pPr>
                  <w:r>
                    <w:t>符合</w:t>
                  </w:r>
                </w:p>
              </w:tc>
            </w:tr>
          </w:tbl>
          <w:p>
            <w:pPr>
              <w:autoSpaceDE w:val="0"/>
              <w:autoSpaceDN w:val="0"/>
              <w:adjustRightInd w:val="0"/>
              <w:snapToGrid w:val="0"/>
              <w:spacing w:line="360" w:lineRule="auto"/>
              <w:ind w:firstLine="480" w:firstLineChars="200"/>
              <w:rPr>
                <w:kern w:val="0"/>
                <w:sz w:val="24"/>
              </w:rPr>
            </w:pPr>
            <w:r>
              <w:rPr>
                <w:kern w:val="0"/>
                <w:sz w:val="24"/>
              </w:rPr>
              <w:t>由表1-6可知，拟建项目符合区域主体功能区划及生态功能区划的相关管控要求。</w:t>
            </w:r>
          </w:p>
          <w:p>
            <w:pPr>
              <w:autoSpaceDE w:val="0"/>
              <w:autoSpaceDN w:val="0"/>
              <w:adjustRightInd w:val="0"/>
              <w:snapToGrid w:val="0"/>
              <w:spacing w:line="360" w:lineRule="auto"/>
              <w:ind w:firstLine="562" w:firstLineChars="200"/>
              <w:rPr>
                <w:b/>
                <w:kern w:val="0"/>
                <w:sz w:val="28"/>
                <w:szCs w:val="28"/>
              </w:rPr>
            </w:pPr>
            <w:r>
              <w:rPr>
                <w:b/>
                <w:kern w:val="0"/>
                <w:sz w:val="28"/>
                <w:szCs w:val="28"/>
              </w:rPr>
              <w:t>1.</w:t>
            </w:r>
            <w:r>
              <w:rPr>
                <w:rFonts w:hint="eastAsia"/>
                <w:b/>
                <w:kern w:val="0"/>
                <w:sz w:val="28"/>
                <w:szCs w:val="28"/>
              </w:rPr>
              <w:t>9</w:t>
            </w:r>
            <w:r>
              <w:rPr>
                <w:b/>
                <w:kern w:val="0"/>
                <w:sz w:val="28"/>
                <w:szCs w:val="28"/>
              </w:rPr>
              <w:t>、与《四川省、重庆市长江经济带发展负面清单实施细则》的符合性分析</w:t>
            </w:r>
          </w:p>
          <w:p>
            <w:pPr>
              <w:autoSpaceDE w:val="0"/>
              <w:autoSpaceDN w:val="0"/>
              <w:adjustRightInd w:val="0"/>
              <w:snapToGrid w:val="0"/>
              <w:spacing w:line="360" w:lineRule="auto"/>
              <w:ind w:firstLine="480" w:firstLineChars="200"/>
              <w:rPr>
                <w:kern w:val="0"/>
                <w:sz w:val="24"/>
              </w:rPr>
            </w:pPr>
            <w:r>
              <w:rPr>
                <w:kern w:val="0"/>
                <w:sz w:val="24"/>
              </w:rPr>
              <w:t>拟建项目位于重庆市酉阳县，对照《四川省、重庆市长江经济带发展负面清单实施细则（试行，2022年版）》（川长江办〔2022〕17号），其符合性分析见表1-7。</w:t>
            </w:r>
          </w:p>
          <w:p>
            <w:pPr>
              <w:autoSpaceDE w:val="0"/>
              <w:autoSpaceDN w:val="0"/>
              <w:adjustRightInd w:val="0"/>
              <w:snapToGrid w:val="0"/>
              <w:jc w:val="center"/>
              <w:rPr>
                <w:b/>
                <w:kern w:val="0"/>
                <w:sz w:val="24"/>
              </w:rPr>
            </w:pPr>
            <w:r>
              <w:rPr>
                <w:b/>
                <w:kern w:val="0"/>
                <w:sz w:val="24"/>
              </w:rPr>
              <w:t xml:space="preserve">表1-7  </w:t>
            </w:r>
            <w:r>
              <w:rPr>
                <w:rFonts w:hint="eastAsia"/>
                <w:b/>
                <w:kern w:val="0"/>
                <w:sz w:val="24"/>
              </w:rPr>
              <w:t>与《四川省、重庆市长江经济带发展负面清单实施细则》的符合性分析</w:t>
            </w:r>
          </w:p>
          <w:tbl>
            <w:tblPr>
              <w:tblStyle w:val="15"/>
              <w:tblW w:w="92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5279"/>
              <w:gridCol w:w="2392"/>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序号</w:t>
                  </w:r>
                </w:p>
              </w:tc>
              <w:tc>
                <w:tcPr>
                  <w:tcW w:w="5279" w:type="dxa"/>
                  <w:vAlign w:val="center"/>
                </w:tcPr>
                <w:p>
                  <w:pPr>
                    <w:spacing w:line="300" w:lineRule="exact"/>
                    <w:jc w:val="center"/>
                  </w:pPr>
                  <w:r>
                    <w:t>实施细则</w:t>
                  </w:r>
                </w:p>
              </w:tc>
              <w:tc>
                <w:tcPr>
                  <w:tcW w:w="2392" w:type="dxa"/>
                  <w:vAlign w:val="center"/>
                </w:tcPr>
                <w:p>
                  <w:pPr>
                    <w:spacing w:line="300" w:lineRule="exact"/>
                    <w:jc w:val="center"/>
                  </w:pPr>
                  <w:r>
                    <w:t>拟建项目情况</w:t>
                  </w:r>
                </w:p>
              </w:tc>
              <w:tc>
                <w:tcPr>
                  <w:tcW w:w="948" w:type="dxa"/>
                  <w:vAlign w:val="center"/>
                </w:tcPr>
                <w:p>
                  <w:pPr>
                    <w:spacing w:line="300" w:lineRule="exact"/>
                    <w:jc w:val="center"/>
                  </w:pPr>
                  <w: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1</w:t>
                  </w:r>
                </w:p>
              </w:tc>
              <w:tc>
                <w:tcPr>
                  <w:tcW w:w="5279" w:type="dxa"/>
                  <w:vAlign w:val="center"/>
                </w:tcPr>
                <w:p>
                  <w:pPr>
                    <w:spacing w:line="300" w:lineRule="exact"/>
                  </w:pPr>
                  <w:r>
                    <w:t>禁止新建、改建和扩建不符合全国港口布局规划，以及《四川省内河水运发展规划》《泸州-宜宾-乐山港口群布局规划》《重庆港总体规划（2035年）》等省级港口布局规划及市级港口总体规划的码头项目。</w:t>
                  </w:r>
                </w:p>
              </w:tc>
              <w:tc>
                <w:tcPr>
                  <w:tcW w:w="2392" w:type="dxa"/>
                  <w:vAlign w:val="center"/>
                </w:tcPr>
                <w:p>
                  <w:pPr>
                    <w:spacing w:line="300" w:lineRule="exact"/>
                    <w:jc w:val="center"/>
                  </w:pPr>
                  <w:r>
                    <w:t>项目属于</w:t>
                  </w:r>
                  <w:r>
                    <w:rPr>
                      <w:color w:val="0000FF"/>
                    </w:rPr>
                    <w:t>建筑石料用</w:t>
                  </w:r>
                  <w:r>
                    <w:t>灰岩开采加工项目，不属于码头项目。</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2</w:t>
                  </w:r>
                </w:p>
              </w:tc>
              <w:tc>
                <w:tcPr>
                  <w:tcW w:w="5279" w:type="dxa"/>
                  <w:vAlign w:val="center"/>
                </w:tcPr>
                <w:p>
                  <w:pPr>
                    <w:spacing w:line="300" w:lineRule="exact"/>
                  </w:pPr>
                  <w:r>
                    <w:t>禁止新建、改建和扩建不符合《长江干线过江通道布局规划(2020-2035年)》的过长江通道项目(含桥梁、隧道)，国家发展改革委同意过长江通道线位调整的除外。</w:t>
                  </w:r>
                </w:p>
              </w:tc>
              <w:tc>
                <w:tcPr>
                  <w:tcW w:w="2392" w:type="dxa"/>
                  <w:vAlign w:val="center"/>
                </w:tcPr>
                <w:p>
                  <w:pPr>
                    <w:spacing w:line="300" w:lineRule="exact"/>
                    <w:jc w:val="center"/>
                  </w:pPr>
                  <w:r>
                    <w:t>项目不属于过长江通道项目。</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3</w:t>
                  </w:r>
                </w:p>
              </w:tc>
              <w:tc>
                <w:tcPr>
                  <w:tcW w:w="5279" w:type="dxa"/>
                  <w:vAlign w:val="center"/>
                </w:tcPr>
                <w:p>
                  <w:pPr>
                    <w:spacing w:line="300" w:lineRule="exact"/>
                  </w:pPr>
                  <w:r>
                    <w:t>禁止在自然保护区核心区、缓冲区的岸线和河段范围内投资建设旅游和生产经营项目。自然保护区的内部未分区的，依照核心区和缓冲区的规定管控。</w:t>
                  </w:r>
                </w:p>
              </w:tc>
              <w:tc>
                <w:tcPr>
                  <w:tcW w:w="2392" w:type="dxa"/>
                  <w:vAlign w:val="center"/>
                </w:tcPr>
                <w:p>
                  <w:pPr>
                    <w:spacing w:line="300" w:lineRule="exact"/>
                    <w:jc w:val="center"/>
                  </w:pPr>
                  <w:r>
                    <w:t>项目不在自然保护区核心区、缓冲区的岸线和河段范围内。</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4</w:t>
                  </w:r>
                </w:p>
              </w:tc>
              <w:tc>
                <w:tcPr>
                  <w:tcW w:w="5279" w:type="dxa"/>
                  <w:vAlign w:val="center"/>
                </w:tcPr>
                <w:p>
                  <w:pPr>
                    <w:spacing w:line="300" w:lineRule="exact"/>
                  </w:pPr>
                  <w:r>
                    <w:t>禁止违反风景名胜区规划，在风景名胜区内设立各类开发区.禁止在风景名胜区核心景区的岸线和河段范围内建设宾馆、招待所、培训中心、疗养院以及与风景名胜资源保护无关的项目。</w:t>
                  </w:r>
                </w:p>
              </w:tc>
              <w:tc>
                <w:tcPr>
                  <w:tcW w:w="2392" w:type="dxa"/>
                  <w:vAlign w:val="center"/>
                </w:tcPr>
                <w:p>
                  <w:pPr>
                    <w:spacing w:line="300" w:lineRule="exact"/>
                    <w:jc w:val="center"/>
                  </w:pPr>
                  <w:r>
                    <w:t>项目</w:t>
                  </w:r>
                  <w:r>
                    <w:rPr>
                      <w:rFonts w:hint="eastAsia"/>
                    </w:rPr>
                    <w:t>不占用</w:t>
                  </w:r>
                  <w:r>
                    <w:t>风景名胜区。</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5</w:t>
                  </w:r>
                </w:p>
              </w:tc>
              <w:tc>
                <w:tcPr>
                  <w:tcW w:w="5279" w:type="dxa"/>
                  <w:vAlign w:val="center"/>
                </w:tcPr>
                <w:p>
                  <w:pPr>
                    <w:spacing w:line="300" w:lineRule="exact"/>
                  </w:pPr>
                  <w:r>
                    <w:t>禁止在饮用水水源准保护区的岸线和河段范围内新建、扩建对水体污染严重的建设项目，禁止改建增加排污量的建设项目。</w:t>
                  </w:r>
                </w:p>
              </w:tc>
              <w:tc>
                <w:tcPr>
                  <w:tcW w:w="2392" w:type="dxa"/>
                  <w:vMerge w:val="restart"/>
                  <w:vAlign w:val="center"/>
                </w:tcPr>
                <w:p>
                  <w:pPr>
                    <w:spacing w:line="300" w:lineRule="exact"/>
                    <w:jc w:val="center"/>
                  </w:pPr>
                  <w:r>
                    <w:t>项目</w:t>
                  </w:r>
                  <w:r>
                    <w:rPr>
                      <w:rFonts w:hint="eastAsia"/>
                    </w:rPr>
                    <w:t>不占用</w:t>
                  </w:r>
                  <w:r>
                    <w:t>饮用水水源保护区、饮用水水源准保护区。</w:t>
                  </w:r>
                </w:p>
              </w:tc>
              <w:tc>
                <w:tcPr>
                  <w:tcW w:w="948" w:type="dxa"/>
                  <w:vMerge w:val="restart"/>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6</w:t>
                  </w:r>
                </w:p>
              </w:tc>
              <w:tc>
                <w:tcPr>
                  <w:tcW w:w="5279" w:type="dxa"/>
                  <w:vAlign w:val="center"/>
                </w:tcPr>
                <w:p>
                  <w:pPr>
                    <w:spacing w:line="300" w:lineRule="exact"/>
                  </w:pPr>
                  <w:r>
                    <w:t>饮用水水源二级保护区的岸线和河段范围内，除遵守准保护区规定外，禁止新建、改建、扩建排放污染物的投资建设项目；禁止从事对水体有污染的水产养殖等活动。</w:t>
                  </w:r>
                </w:p>
              </w:tc>
              <w:tc>
                <w:tcPr>
                  <w:tcW w:w="2392" w:type="dxa"/>
                  <w:vMerge w:val="continue"/>
                  <w:vAlign w:val="center"/>
                </w:tcPr>
                <w:p>
                  <w:pPr>
                    <w:spacing w:line="300" w:lineRule="exact"/>
                    <w:jc w:val="center"/>
                  </w:pPr>
                </w:p>
              </w:tc>
              <w:tc>
                <w:tcPr>
                  <w:tcW w:w="948" w:type="dxa"/>
                  <w:vMerge w:val="continue"/>
                  <w:vAlign w:val="center"/>
                </w:tcPr>
                <w:p>
                  <w:pPr>
                    <w:spacing w:line="3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7</w:t>
                  </w:r>
                </w:p>
              </w:tc>
              <w:tc>
                <w:tcPr>
                  <w:tcW w:w="5279" w:type="dxa"/>
                  <w:vAlign w:val="center"/>
                </w:tcPr>
                <w:p>
                  <w:pPr>
                    <w:spacing w:line="300" w:lineRule="exact"/>
                  </w:pPr>
                  <w: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2392" w:type="dxa"/>
                  <w:vMerge w:val="continue"/>
                  <w:vAlign w:val="center"/>
                </w:tcPr>
                <w:p>
                  <w:pPr>
                    <w:spacing w:line="300" w:lineRule="exact"/>
                    <w:jc w:val="center"/>
                  </w:pPr>
                </w:p>
              </w:tc>
              <w:tc>
                <w:tcPr>
                  <w:tcW w:w="948" w:type="dxa"/>
                  <w:vMerge w:val="continue"/>
                  <w:vAlign w:val="center"/>
                </w:tcPr>
                <w:p>
                  <w:pPr>
                    <w:spacing w:line="3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8</w:t>
                  </w:r>
                </w:p>
              </w:tc>
              <w:tc>
                <w:tcPr>
                  <w:tcW w:w="5279" w:type="dxa"/>
                  <w:vAlign w:val="center"/>
                </w:tcPr>
                <w:p>
                  <w:pPr>
                    <w:spacing w:line="300" w:lineRule="exact"/>
                  </w:pPr>
                  <w:r>
                    <w:t>禁止在水产种质资源保护区岸线和河段范围内新建围湖造田、围湖造地或挖沙采石等投资建设项目。</w:t>
                  </w:r>
                </w:p>
              </w:tc>
              <w:tc>
                <w:tcPr>
                  <w:tcW w:w="2392" w:type="dxa"/>
                  <w:vAlign w:val="center"/>
                </w:tcPr>
                <w:p>
                  <w:pPr>
                    <w:spacing w:line="300" w:lineRule="exact"/>
                    <w:jc w:val="center"/>
                  </w:pPr>
                  <w:r>
                    <w:t>项目</w:t>
                  </w:r>
                  <w:r>
                    <w:rPr>
                      <w:rFonts w:hint="eastAsia"/>
                    </w:rPr>
                    <w:t>为</w:t>
                  </w:r>
                  <w:r>
                    <w:rPr>
                      <w:rFonts w:hint="eastAsia"/>
                      <w:color w:val="0000FF"/>
                    </w:rPr>
                    <w:t>建筑石料用</w:t>
                  </w:r>
                  <w:r>
                    <w:rPr>
                      <w:rFonts w:hint="eastAsia"/>
                    </w:rPr>
                    <w:t>灰岩开采加工项目，不属于</w:t>
                  </w:r>
                  <w:r>
                    <w:t>围湖造田</w:t>
                  </w:r>
                  <w:r>
                    <w:rPr>
                      <w:rFonts w:hint="eastAsia"/>
                    </w:rPr>
                    <w:t>项目，且不占用</w:t>
                  </w:r>
                  <w:r>
                    <w:t>水产种质资源保护区岸线和河段范围。</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9</w:t>
                  </w:r>
                </w:p>
              </w:tc>
              <w:tc>
                <w:tcPr>
                  <w:tcW w:w="5279" w:type="dxa"/>
                  <w:vAlign w:val="center"/>
                </w:tcPr>
                <w:p>
                  <w:pPr>
                    <w:spacing w:line="300" w:lineRule="exact"/>
                  </w:pPr>
                  <w: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洞游通道。</w:t>
                  </w:r>
                </w:p>
              </w:tc>
              <w:tc>
                <w:tcPr>
                  <w:tcW w:w="2392" w:type="dxa"/>
                  <w:vAlign w:val="center"/>
                </w:tcPr>
                <w:p>
                  <w:pPr>
                    <w:spacing w:line="300" w:lineRule="exact"/>
                    <w:jc w:val="center"/>
                  </w:pPr>
                  <w:r>
                    <w:t>项目</w:t>
                  </w:r>
                  <w:r>
                    <w:rPr>
                      <w:rFonts w:hint="eastAsia"/>
                    </w:rPr>
                    <w:t>不占用</w:t>
                  </w:r>
                  <w:r>
                    <w:t>国家湿地公园。</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10</w:t>
                  </w:r>
                </w:p>
              </w:tc>
              <w:tc>
                <w:tcPr>
                  <w:tcW w:w="5279" w:type="dxa"/>
                  <w:vAlign w:val="center"/>
                </w:tcPr>
                <w:p>
                  <w:pPr>
                    <w:spacing w:line="300" w:lineRule="exact"/>
                  </w:pPr>
                  <w: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2392" w:type="dxa"/>
                  <w:vAlign w:val="center"/>
                </w:tcPr>
                <w:p>
                  <w:pPr>
                    <w:spacing w:line="300" w:lineRule="exact"/>
                    <w:jc w:val="center"/>
                  </w:pPr>
                  <w:r>
                    <w:t>项目</w:t>
                  </w:r>
                  <w:r>
                    <w:rPr>
                      <w:rFonts w:hint="eastAsia"/>
                    </w:rPr>
                    <w:t>不占用</w:t>
                  </w:r>
                  <w:r>
                    <w:t>长江流域河湖岸线。</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11</w:t>
                  </w:r>
                </w:p>
              </w:tc>
              <w:tc>
                <w:tcPr>
                  <w:tcW w:w="5279" w:type="dxa"/>
                  <w:vAlign w:val="center"/>
                </w:tcPr>
                <w:p>
                  <w:pPr>
                    <w:spacing w:line="300" w:lineRule="exact"/>
                  </w:pPr>
                  <w:r>
                    <w:t>禁止在《全国重要江河湖泊水功能区划》划定的河段及湖泊保护区、保留区内投资建设不利于水资源及自然生态保护的项目。</w:t>
                  </w:r>
                </w:p>
              </w:tc>
              <w:tc>
                <w:tcPr>
                  <w:tcW w:w="2392" w:type="dxa"/>
                  <w:vAlign w:val="center"/>
                </w:tcPr>
                <w:p>
                  <w:pPr>
                    <w:spacing w:line="300" w:lineRule="exact"/>
                    <w:jc w:val="center"/>
                  </w:pPr>
                  <w:r>
                    <w:t>项目</w:t>
                  </w:r>
                  <w:r>
                    <w:rPr>
                      <w:rFonts w:hint="eastAsia"/>
                    </w:rPr>
                    <w:t>不占用</w:t>
                  </w:r>
                  <w:r>
                    <w:t>《全国重要江河湖泊水功能区划》中划定的河段及湖泊保护区、保留区。</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12</w:t>
                  </w:r>
                </w:p>
              </w:tc>
              <w:tc>
                <w:tcPr>
                  <w:tcW w:w="5279" w:type="dxa"/>
                  <w:vAlign w:val="center"/>
                </w:tcPr>
                <w:p>
                  <w:pPr>
                    <w:spacing w:line="300" w:lineRule="exact"/>
                  </w:pPr>
                  <w:r>
                    <w:t>禁止在长江流域江河、湖泊新设、改设或者扩大排污口，经有管辖权的生态环境主管部门或者长江流域生态环境监督管理机构同意的除外。</w:t>
                  </w:r>
                </w:p>
              </w:tc>
              <w:tc>
                <w:tcPr>
                  <w:tcW w:w="2392" w:type="dxa"/>
                  <w:vAlign w:val="center"/>
                </w:tcPr>
                <w:p>
                  <w:pPr>
                    <w:spacing w:line="300" w:lineRule="exact"/>
                    <w:jc w:val="center"/>
                  </w:pPr>
                  <w:r>
                    <w:t>项目不设污水排放口。</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13</w:t>
                  </w:r>
                </w:p>
              </w:tc>
              <w:tc>
                <w:tcPr>
                  <w:tcW w:w="5279" w:type="dxa"/>
                  <w:vAlign w:val="center"/>
                </w:tcPr>
                <w:p>
                  <w:pPr>
                    <w:spacing w:line="300" w:lineRule="exact"/>
                  </w:pPr>
                  <w:r>
                    <w:t>禁止在长江干流、大渡河、岷江、赤水河、沱江、嘉陵江、乌江、汉江和51个(四川省45个、重庆市6个)水生生物保护区开展生产性捕捞。</w:t>
                  </w:r>
                </w:p>
              </w:tc>
              <w:tc>
                <w:tcPr>
                  <w:tcW w:w="2392" w:type="dxa"/>
                  <w:vAlign w:val="center"/>
                </w:tcPr>
                <w:p>
                  <w:pPr>
                    <w:spacing w:line="300" w:lineRule="exact"/>
                    <w:jc w:val="center"/>
                  </w:pPr>
                  <w:r>
                    <w:t>项目</w:t>
                  </w:r>
                  <w:r>
                    <w:rPr>
                      <w:rFonts w:hint="eastAsia"/>
                    </w:rPr>
                    <w:t>不占用</w:t>
                  </w:r>
                  <w:r>
                    <w:t>水生生物保护区</w:t>
                  </w:r>
                  <w:r>
                    <w:rPr>
                      <w:rFonts w:hint="eastAsia"/>
                    </w:rPr>
                    <w:t>，也不是渔业捕捞项目</w:t>
                  </w:r>
                  <w:r>
                    <w:t>。</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14</w:t>
                  </w:r>
                </w:p>
              </w:tc>
              <w:tc>
                <w:tcPr>
                  <w:tcW w:w="5279" w:type="dxa"/>
                  <w:vAlign w:val="center"/>
                </w:tcPr>
                <w:p>
                  <w:pPr>
                    <w:spacing w:line="300" w:lineRule="exact"/>
                  </w:pPr>
                  <w:r>
                    <w:t>禁止在长江干支流、重要湖泊岸线一公里范围内新建、扩建化工园区和化工项目。</w:t>
                  </w:r>
                </w:p>
              </w:tc>
              <w:tc>
                <w:tcPr>
                  <w:tcW w:w="2392" w:type="dxa"/>
                  <w:vMerge w:val="restart"/>
                  <w:vAlign w:val="center"/>
                </w:tcPr>
                <w:p>
                  <w:pPr>
                    <w:spacing w:line="300" w:lineRule="exact"/>
                    <w:jc w:val="center"/>
                  </w:pPr>
                  <w:r>
                    <w:t>项目</w:t>
                  </w:r>
                  <w:r>
                    <w:rPr>
                      <w:rFonts w:hint="eastAsia"/>
                    </w:rPr>
                    <w:t>为</w:t>
                  </w:r>
                  <w:r>
                    <w:rPr>
                      <w:rFonts w:hint="eastAsia"/>
                      <w:color w:val="0000FF"/>
                    </w:rPr>
                    <w:t>建筑石料用</w:t>
                  </w:r>
                  <w:r>
                    <w:rPr>
                      <w:rFonts w:hint="eastAsia"/>
                    </w:rPr>
                    <w:t>灰岩开采加工项目，不属于</w:t>
                  </w:r>
                  <w:r>
                    <w:t>化工项目</w:t>
                  </w:r>
                  <w:r>
                    <w:rPr>
                      <w:rFonts w:hint="eastAsia"/>
                    </w:rPr>
                    <w:t>，也不设置尾矿库，且</w:t>
                  </w:r>
                  <w:r>
                    <w:t>距离长江岸线约</w:t>
                  </w:r>
                  <w:r>
                    <w:rPr>
                      <w:rFonts w:hint="eastAsia"/>
                    </w:rPr>
                    <w:t>129</w:t>
                  </w:r>
                  <w:r>
                    <w:t>km。</w:t>
                  </w:r>
                </w:p>
              </w:tc>
              <w:tc>
                <w:tcPr>
                  <w:tcW w:w="948" w:type="dxa"/>
                  <w:vMerge w:val="restart"/>
                  <w:vAlign w:val="center"/>
                </w:tcPr>
                <w:p>
                  <w:pPr>
                    <w:spacing w:line="300" w:lineRule="exact"/>
                    <w:jc w:val="center"/>
                  </w:pPr>
                  <w:r>
                    <w:t>符合</w:t>
                  </w:r>
                </w:p>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15</w:t>
                  </w:r>
                </w:p>
              </w:tc>
              <w:tc>
                <w:tcPr>
                  <w:tcW w:w="5279" w:type="dxa"/>
                  <w:vAlign w:val="center"/>
                </w:tcPr>
                <w:p>
                  <w:pPr>
                    <w:spacing w:line="300" w:lineRule="exact"/>
                  </w:pPr>
                  <w:r>
                    <w:t>禁止在长江干流岸线三公里范围内和重要支流岸线一公里范围内新建、改建、扩建尾矿库、冶炼渣库、磷石膏库，以提升安全、生态环境保护水平为目的的改建除外。</w:t>
                  </w:r>
                </w:p>
              </w:tc>
              <w:tc>
                <w:tcPr>
                  <w:tcW w:w="2392" w:type="dxa"/>
                  <w:vMerge w:val="continue"/>
                  <w:vAlign w:val="center"/>
                </w:tcPr>
                <w:p>
                  <w:pPr>
                    <w:spacing w:line="300" w:lineRule="exact"/>
                    <w:jc w:val="center"/>
                  </w:pPr>
                </w:p>
              </w:tc>
              <w:tc>
                <w:tcPr>
                  <w:tcW w:w="948" w:type="dxa"/>
                  <w:vMerge w:val="continue"/>
                  <w:vAlign w:val="center"/>
                </w:tcPr>
                <w:p>
                  <w:pPr>
                    <w:spacing w:line="3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16</w:t>
                  </w:r>
                </w:p>
              </w:tc>
              <w:tc>
                <w:tcPr>
                  <w:tcW w:w="5279" w:type="dxa"/>
                  <w:vAlign w:val="center"/>
                </w:tcPr>
                <w:p>
                  <w:pPr>
                    <w:spacing w:line="300" w:lineRule="exact"/>
                  </w:pPr>
                  <w:r>
                    <w:t>禁止在生态保护红线区域、永久基本农田集中区域和其他需要特别保护的区域内选址建设尾矿库、冶炼渣库、磷石膏库。</w:t>
                  </w:r>
                </w:p>
              </w:tc>
              <w:tc>
                <w:tcPr>
                  <w:tcW w:w="2392" w:type="dxa"/>
                  <w:vAlign w:val="center"/>
                </w:tcPr>
                <w:p>
                  <w:pPr>
                    <w:spacing w:line="300" w:lineRule="exact"/>
                    <w:jc w:val="center"/>
                  </w:pPr>
                  <w:r>
                    <w:t>项目</w:t>
                  </w:r>
                  <w:r>
                    <w:rPr>
                      <w:rFonts w:hint="eastAsia"/>
                    </w:rPr>
                    <w:t>不占用</w:t>
                  </w:r>
                  <w:r>
                    <w:t>生态保护红线</w:t>
                  </w:r>
                  <w:r>
                    <w:rPr>
                      <w:rFonts w:hint="eastAsia"/>
                    </w:rPr>
                    <w:t>、</w:t>
                  </w:r>
                  <w:r>
                    <w:t>永久基本农田</w:t>
                  </w:r>
                  <w:r>
                    <w:rPr>
                      <w:rFonts w:hint="eastAsia"/>
                    </w:rPr>
                    <w:t>，也不设置尾矿库</w:t>
                  </w:r>
                  <w:r>
                    <w:t>。</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17</w:t>
                  </w:r>
                </w:p>
              </w:tc>
              <w:tc>
                <w:tcPr>
                  <w:tcW w:w="5279" w:type="dxa"/>
                  <w:vAlign w:val="center"/>
                </w:tcPr>
                <w:p>
                  <w:pPr>
                    <w:spacing w:line="300" w:lineRule="exact"/>
                  </w:pPr>
                  <w:r>
                    <w:t>禁止在合规园区外新建、扩建钢铁、石化、化工、焦化、建材、有色、制浆造纸等高污染项目。</w:t>
                  </w:r>
                </w:p>
              </w:tc>
              <w:tc>
                <w:tcPr>
                  <w:tcW w:w="2392" w:type="dxa"/>
                  <w:vAlign w:val="center"/>
                </w:tcPr>
                <w:p>
                  <w:pPr>
                    <w:spacing w:line="300" w:lineRule="exact"/>
                    <w:jc w:val="center"/>
                  </w:pPr>
                  <w:r>
                    <w:rPr>
                      <w:rFonts w:hint="eastAsia"/>
                    </w:rPr>
                    <w:t>酉阳县已编制《</w:t>
                  </w:r>
                  <w:r>
                    <w:t>重庆市酉阳土家族苗族自治县矿产资源总体规划（2021-2025年）</w:t>
                  </w:r>
                  <w:r>
                    <w:rPr>
                      <w:rFonts w:hint="eastAsia"/>
                    </w:rPr>
                    <w:t>》、《</w:t>
                  </w:r>
                  <w:r>
                    <w:t>重庆市酉阳土家族苗族自治县矿产资源总体规划（2021-2025年）环境影响报告书</w:t>
                  </w:r>
                  <w:r>
                    <w:rPr>
                      <w:rFonts w:hint="eastAsia"/>
                    </w:rPr>
                    <w:t>》</w:t>
                  </w:r>
                  <w:r>
                    <w:t>。</w:t>
                  </w:r>
                  <w:r>
                    <w:rPr>
                      <w:rFonts w:hint="eastAsia"/>
                    </w:rPr>
                    <w:t>项目位于重庆市酉阳县双泉乡永祥村，项目为</w:t>
                  </w:r>
                  <w:r>
                    <w:rPr>
                      <w:rFonts w:hint="eastAsia"/>
                      <w:color w:val="0000FF"/>
                    </w:rPr>
                    <w:t>建筑石料用</w:t>
                  </w:r>
                  <w:r>
                    <w:rPr>
                      <w:rFonts w:hint="eastAsia"/>
                    </w:rPr>
                    <w:t>灰岩开采加工项目，项目矿权已纳入该规划及规划环评之中，其位于合规规划区范围内。</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18</w:t>
                  </w:r>
                </w:p>
              </w:tc>
              <w:tc>
                <w:tcPr>
                  <w:tcW w:w="5279" w:type="dxa"/>
                  <w:vAlign w:val="center"/>
                </w:tcPr>
                <w:p>
                  <w:pPr>
                    <w:spacing w:line="300" w:lineRule="exact"/>
                  </w:pPr>
                  <w:r>
                    <w:t>禁止新建、扩建不符合国家石化、现代煤化工等产业布局规划的项目。</w:t>
                  </w:r>
                </w:p>
                <w:p>
                  <w:pPr>
                    <w:spacing w:line="300" w:lineRule="exact"/>
                  </w:pPr>
                  <w:r>
                    <w:t>（一）严格控制新增炼油产能，未列入《石化产业规划布局方案(修订版)》的新增炼油产能一律不得建设。</w:t>
                  </w:r>
                </w:p>
                <w:p>
                  <w:pPr>
                    <w:spacing w:line="300" w:lineRule="exact"/>
                  </w:pPr>
                  <w:r>
                    <w:t>（二）新建煤制烯经、煤制芳经项目必须列入《现代煤化工产业创新发展布局方案》，必须符合《现代煤化工建设项目环境准入条件(试行)》要求。</w:t>
                  </w:r>
                </w:p>
              </w:tc>
              <w:tc>
                <w:tcPr>
                  <w:tcW w:w="2392" w:type="dxa"/>
                  <w:vAlign w:val="center"/>
                </w:tcPr>
                <w:p>
                  <w:pPr>
                    <w:spacing w:line="300" w:lineRule="exact"/>
                    <w:jc w:val="center"/>
                  </w:pPr>
                  <w:r>
                    <w:t>项目</w:t>
                  </w:r>
                  <w:r>
                    <w:rPr>
                      <w:rFonts w:hint="eastAsia"/>
                    </w:rPr>
                    <w:t>为</w:t>
                  </w:r>
                  <w:r>
                    <w:rPr>
                      <w:rFonts w:hint="eastAsia"/>
                      <w:color w:val="0000FF"/>
                    </w:rPr>
                    <w:t>建筑石料用</w:t>
                  </w:r>
                  <w:r>
                    <w:rPr>
                      <w:rFonts w:hint="eastAsia"/>
                    </w:rPr>
                    <w:t>灰岩开采加工项目，不属于</w:t>
                  </w:r>
                  <w:r>
                    <w:t>石化、煤化工</w:t>
                  </w:r>
                  <w:r>
                    <w:rPr>
                      <w:rFonts w:hint="eastAsia"/>
                    </w:rPr>
                    <w:t>项目</w:t>
                  </w:r>
                  <w:r>
                    <w:t>。</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19</w:t>
                  </w:r>
                </w:p>
              </w:tc>
              <w:tc>
                <w:tcPr>
                  <w:tcW w:w="5279" w:type="dxa"/>
                  <w:vAlign w:val="center"/>
                </w:tcPr>
                <w:p>
                  <w:pPr>
                    <w:spacing w:line="300" w:lineRule="exact"/>
                  </w:pPr>
                  <w: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392" w:type="dxa"/>
                  <w:vAlign w:val="center"/>
                </w:tcPr>
                <w:p>
                  <w:pPr>
                    <w:spacing w:line="300" w:lineRule="exact"/>
                    <w:jc w:val="center"/>
                  </w:pPr>
                  <w:r>
                    <w:t>项目</w:t>
                  </w:r>
                  <w:r>
                    <w:rPr>
                      <w:rFonts w:hint="eastAsia"/>
                    </w:rPr>
                    <w:t>不</w:t>
                  </w:r>
                  <w:r>
                    <w:t>属于《产业结构调整指导目录（</w:t>
                  </w:r>
                  <w:r>
                    <w:rPr>
                      <w:rFonts w:hint="eastAsia"/>
                    </w:rPr>
                    <w:t>2024</w:t>
                  </w:r>
                  <w:r>
                    <w:t>年本）》中</w:t>
                  </w:r>
                  <w:r>
                    <w:rPr>
                      <w:rFonts w:hint="eastAsia"/>
                    </w:rPr>
                    <w:t>限制类、淘汰类项目</w:t>
                  </w:r>
                  <w:r>
                    <w:t>。</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20</w:t>
                  </w:r>
                </w:p>
              </w:tc>
              <w:tc>
                <w:tcPr>
                  <w:tcW w:w="5279" w:type="dxa"/>
                  <w:vAlign w:val="center"/>
                </w:tcPr>
                <w:p>
                  <w:pPr>
                    <w:spacing w:line="300" w:lineRule="exact"/>
                  </w:pPr>
                  <w:r>
                    <w:t>禁止新建、扩建不符合国家产能置换要求的严重过剩产能行业的项目。对于不符合国家产能置换要求的严重过剩产能行业，不得以其他任何名义、任何方式备案新增产能项目。</w:t>
                  </w:r>
                </w:p>
              </w:tc>
              <w:tc>
                <w:tcPr>
                  <w:tcW w:w="2392" w:type="dxa"/>
                  <w:vAlign w:val="center"/>
                </w:tcPr>
                <w:p>
                  <w:pPr>
                    <w:spacing w:line="300" w:lineRule="exact"/>
                    <w:jc w:val="center"/>
                  </w:pPr>
                  <w:r>
                    <w:t>项目为重庆市酉阳土家族苗族自治县矿产资源总体规划（2021-2025年）中规划的</w:t>
                  </w:r>
                  <w:r>
                    <w:rPr>
                      <w:rFonts w:hint="eastAsia"/>
                      <w:color w:val="0000FF"/>
                    </w:rPr>
                    <w:t>建筑石料用</w:t>
                  </w:r>
                  <w:r>
                    <w:rPr>
                      <w:rFonts w:hint="eastAsia"/>
                    </w:rPr>
                    <w:t>灰岩开采加工项目</w:t>
                  </w:r>
                  <w:r>
                    <w:t>，不属于产能过剩项目。</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21</w:t>
                  </w:r>
                </w:p>
              </w:tc>
              <w:tc>
                <w:tcPr>
                  <w:tcW w:w="5279" w:type="dxa"/>
                  <w:vAlign w:val="center"/>
                </w:tcPr>
                <w:p>
                  <w:pPr>
                    <w:spacing w:line="300" w:lineRule="exact"/>
                  </w:pPr>
                  <w:r>
                    <w:t>禁止建设以下燃油汽车投资项目(不在中国境内销售产品的投资项目除外)：</w:t>
                  </w:r>
                </w:p>
                <w:p>
                  <w:pPr>
                    <w:spacing w:line="300" w:lineRule="exact"/>
                  </w:pPr>
                  <w:r>
                    <w:t>(一)新建独立燃油汽车企业；</w:t>
                  </w:r>
                </w:p>
                <w:p>
                  <w:pPr>
                    <w:spacing w:line="300" w:lineRule="exact"/>
                  </w:pPr>
                  <w:r>
                    <w:t>(二)现有汽车企业跨乘用车、商用车类别建设燃油汽车生产能力；</w:t>
                  </w:r>
                </w:p>
                <w:p>
                  <w:pPr>
                    <w:spacing w:line="300" w:lineRule="exact"/>
                  </w:pPr>
                  <w:r>
                    <w:t>(三)外省现有燃油汽车企业整体搬迁至本省(列入国家级区域发展规划或不改变企业股权结构的项目除外)；</w:t>
                  </w:r>
                </w:p>
                <w:p>
                  <w:pPr>
                    <w:spacing w:line="300" w:lineRule="exact"/>
                  </w:pPr>
                  <w:r>
                    <w:t>(四)对行业管理部门特别公示的燃油汽车企业进行投资(企业原有股东投资或将该企业转为非独立法人的投资项目除外)。</w:t>
                  </w:r>
                </w:p>
              </w:tc>
              <w:tc>
                <w:tcPr>
                  <w:tcW w:w="2392" w:type="dxa"/>
                  <w:vAlign w:val="center"/>
                </w:tcPr>
                <w:p>
                  <w:pPr>
                    <w:spacing w:line="300" w:lineRule="exact"/>
                    <w:jc w:val="center"/>
                  </w:pPr>
                  <w:r>
                    <w:t>项目</w:t>
                  </w:r>
                  <w:r>
                    <w:rPr>
                      <w:rFonts w:hint="eastAsia"/>
                    </w:rPr>
                    <w:t>为</w:t>
                  </w:r>
                  <w:r>
                    <w:rPr>
                      <w:rFonts w:hint="eastAsia"/>
                      <w:color w:val="0000FF"/>
                    </w:rPr>
                    <w:t>建筑石料用</w:t>
                  </w:r>
                  <w:r>
                    <w:rPr>
                      <w:rFonts w:hint="eastAsia"/>
                    </w:rPr>
                    <w:t>灰岩开采加工项目，不属于</w:t>
                  </w:r>
                  <w:r>
                    <w:t>燃油汽车投资项目</w:t>
                  </w:r>
                  <w:r>
                    <w:rPr>
                      <w:rFonts w:hint="eastAsia"/>
                    </w:rPr>
                    <w:t>。</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22</w:t>
                  </w:r>
                </w:p>
              </w:tc>
              <w:tc>
                <w:tcPr>
                  <w:tcW w:w="5279" w:type="dxa"/>
                  <w:vAlign w:val="center"/>
                </w:tcPr>
                <w:p>
                  <w:pPr>
                    <w:spacing w:line="300" w:lineRule="exact"/>
                  </w:pPr>
                  <w:r>
                    <w:t>禁止新建、扩建不符合要求的高耗能、高排放、低水平项目。</w:t>
                  </w:r>
                </w:p>
              </w:tc>
              <w:tc>
                <w:tcPr>
                  <w:tcW w:w="2392" w:type="dxa"/>
                  <w:vAlign w:val="center"/>
                </w:tcPr>
                <w:p>
                  <w:pPr>
                    <w:spacing w:line="300" w:lineRule="exact"/>
                    <w:jc w:val="center"/>
                  </w:pPr>
                  <w:r>
                    <w:t>项目不属于高耗能、高排放、低水平项目。</w:t>
                  </w:r>
                </w:p>
              </w:tc>
              <w:tc>
                <w:tcPr>
                  <w:tcW w:w="948" w:type="dxa"/>
                  <w:vAlign w:val="center"/>
                </w:tcPr>
                <w:p>
                  <w:pPr>
                    <w:spacing w:line="300" w:lineRule="exact"/>
                    <w:jc w:val="center"/>
                  </w:pPr>
                  <w:r>
                    <w:t>符合</w:t>
                  </w:r>
                </w:p>
              </w:tc>
            </w:tr>
          </w:tbl>
          <w:p>
            <w:pPr>
              <w:autoSpaceDE w:val="0"/>
              <w:autoSpaceDN w:val="0"/>
              <w:adjustRightInd w:val="0"/>
              <w:snapToGrid w:val="0"/>
              <w:spacing w:line="360" w:lineRule="auto"/>
              <w:ind w:firstLine="480" w:firstLineChars="200"/>
              <w:rPr>
                <w:kern w:val="0"/>
                <w:sz w:val="24"/>
              </w:rPr>
            </w:pPr>
            <w:r>
              <w:rPr>
                <w:kern w:val="0"/>
                <w:sz w:val="24"/>
              </w:rPr>
              <w:t>由表1-7可知，拟建项目的建设符合《四川省、重庆市长江经济带发展负面清单实施细则（试行，2022年版）》（川长江办〔2022〕17号）的相关要求。</w:t>
            </w:r>
          </w:p>
          <w:p>
            <w:pPr>
              <w:autoSpaceDE w:val="0"/>
              <w:autoSpaceDN w:val="0"/>
              <w:adjustRightInd w:val="0"/>
              <w:snapToGrid w:val="0"/>
              <w:spacing w:line="360" w:lineRule="auto"/>
              <w:ind w:firstLine="562" w:firstLineChars="200"/>
              <w:rPr>
                <w:b/>
                <w:kern w:val="0"/>
                <w:sz w:val="28"/>
                <w:szCs w:val="28"/>
              </w:rPr>
            </w:pPr>
            <w:r>
              <w:rPr>
                <w:b/>
                <w:kern w:val="0"/>
                <w:sz w:val="28"/>
                <w:szCs w:val="28"/>
              </w:rPr>
              <w:t>1.</w:t>
            </w:r>
            <w:r>
              <w:rPr>
                <w:rFonts w:hint="eastAsia"/>
                <w:b/>
                <w:kern w:val="0"/>
                <w:sz w:val="28"/>
                <w:szCs w:val="28"/>
              </w:rPr>
              <w:t>10</w:t>
            </w:r>
            <w:r>
              <w:rPr>
                <w:b/>
                <w:kern w:val="0"/>
                <w:sz w:val="28"/>
                <w:szCs w:val="28"/>
              </w:rPr>
              <w:t>、</w:t>
            </w:r>
            <w:r>
              <w:rPr>
                <w:rFonts w:hint="eastAsia"/>
                <w:b/>
                <w:kern w:val="0"/>
                <w:sz w:val="28"/>
                <w:szCs w:val="28"/>
              </w:rPr>
              <w:t>与《重庆市大气污染防治条例（2021年修正版）》</w:t>
            </w:r>
          </w:p>
          <w:p>
            <w:pPr>
              <w:autoSpaceDE w:val="0"/>
              <w:autoSpaceDN w:val="0"/>
              <w:adjustRightInd w:val="0"/>
              <w:snapToGrid w:val="0"/>
              <w:spacing w:line="360" w:lineRule="auto"/>
              <w:ind w:firstLine="480" w:firstLineChars="200"/>
              <w:rPr>
                <w:kern w:val="0"/>
                <w:sz w:val="24"/>
              </w:rPr>
            </w:pPr>
            <w:r>
              <w:rPr>
                <w:kern w:val="0"/>
                <w:sz w:val="24"/>
              </w:rPr>
              <w:t>根据《</w:t>
            </w:r>
            <w:r>
              <w:rPr>
                <w:rFonts w:hint="eastAsia"/>
                <w:kern w:val="0"/>
                <w:sz w:val="24"/>
              </w:rPr>
              <w:t>重庆市大气污染防治条例（2021年修正版）</w:t>
            </w:r>
            <w:r>
              <w:rPr>
                <w:kern w:val="0"/>
                <w:sz w:val="24"/>
              </w:rPr>
              <w:t>》，其相关内容与拟建项目符合性分析见表1-</w:t>
            </w:r>
            <w:r>
              <w:rPr>
                <w:rFonts w:hint="eastAsia"/>
                <w:kern w:val="0"/>
                <w:sz w:val="24"/>
              </w:rPr>
              <w:t>8</w:t>
            </w:r>
            <w:r>
              <w:rPr>
                <w:kern w:val="0"/>
                <w:sz w:val="24"/>
              </w:rPr>
              <w:t>。</w:t>
            </w:r>
          </w:p>
          <w:p>
            <w:pPr>
              <w:autoSpaceDE w:val="0"/>
              <w:autoSpaceDN w:val="0"/>
              <w:adjustRightInd w:val="0"/>
              <w:snapToGrid w:val="0"/>
              <w:jc w:val="center"/>
              <w:rPr>
                <w:b/>
                <w:kern w:val="0"/>
                <w:sz w:val="24"/>
              </w:rPr>
            </w:pPr>
            <w:r>
              <w:rPr>
                <w:b/>
                <w:kern w:val="0"/>
                <w:sz w:val="24"/>
              </w:rPr>
              <w:t>表1-</w:t>
            </w:r>
            <w:r>
              <w:rPr>
                <w:rFonts w:hint="eastAsia"/>
                <w:b/>
                <w:kern w:val="0"/>
                <w:sz w:val="24"/>
              </w:rPr>
              <w:t>8</w:t>
            </w:r>
            <w:r>
              <w:rPr>
                <w:b/>
                <w:kern w:val="0"/>
                <w:sz w:val="24"/>
              </w:rPr>
              <w:t xml:space="preserve">  与《</w:t>
            </w:r>
            <w:r>
              <w:rPr>
                <w:rFonts w:hint="eastAsia"/>
                <w:b/>
                <w:kern w:val="0"/>
                <w:sz w:val="24"/>
              </w:rPr>
              <w:t>重庆市大气污染防治条例（2021年修正版）</w:t>
            </w:r>
            <w:r>
              <w:rPr>
                <w:b/>
                <w:kern w:val="0"/>
                <w:sz w:val="24"/>
              </w:rPr>
              <w:t>》符合性分析对照表</w:t>
            </w:r>
          </w:p>
          <w:tbl>
            <w:tblPr>
              <w:tblStyle w:val="15"/>
              <w:tblW w:w="928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71"/>
              <w:gridCol w:w="4596"/>
              <w:gridCol w:w="3099"/>
              <w:gridCol w:w="92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blHeader/>
              </w:trPr>
              <w:tc>
                <w:tcPr>
                  <w:tcW w:w="671" w:type="dxa"/>
                  <w:vAlign w:val="center"/>
                </w:tcPr>
                <w:p>
                  <w:pPr>
                    <w:adjustRightInd w:val="0"/>
                    <w:snapToGrid w:val="0"/>
                    <w:jc w:val="center"/>
                    <w:rPr>
                      <w:szCs w:val="21"/>
                    </w:rPr>
                  </w:pPr>
                  <w:r>
                    <w:rPr>
                      <w:szCs w:val="21"/>
                    </w:rPr>
                    <w:t>序号</w:t>
                  </w:r>
                </w:p>
              </w:tc>
              <w:tc>
                <w:tcPr>
                  <w:tcW w:w="4596" w:type="dxa"/>
                  <w:vAlign w:val="center"/>
                </w:tcPr>
                <w:p>
                  <w:pPr>
                    <w:adjustRightInd w:val="0"/>
                    <w:snapToGrid w:val="0"/>
                    <w:jc w:val="center"/>
                    <w:rPr>
                      <w:szCs w:val="21"/>
                    </w:rPr>
                  </w:pPr>
                  <w:r>
                    <w:rPr>
                      <w:szCs w:val="21"/>
                    </w:rPr>
                    <w:t>相关规定</w:t>
                  </w:r>
                </w:p>
              </w:tc>
              <w:tc>
                <w:tcPr>
                  <w:tcW w:w="3099" w:type="dxa"/>
                  <w:vAlign w:val="center"/>
                </w:tcPr>
                <w:p>
                  <w:pPr>
                    <w:adjustRightInd w:val="0"/>
                    <w:snapToGrid w:val="0"/>
                    <w:jc w:val="center"/>
                    <w:rPr>
                      <w:szCs w:val="21"/>
                    </w:rPr>
                  </w:pPr>
                  <w:r>
                    <w:rPr>
                      <w:szCs w:val="21"/>
                    </w:rPr>
                    <w:t>拟建项目情况</w:t>
                  </w:r>
                </w:p>
              </w:tc>
              <w:tc>
                <w:tcPr>
                  <w:tcW w:w="922" w:type="dxa"/>
                  <w:vAlign w:val="center"/>
                </w:tcPr>
                <w:p>
                  <w:pPr>
                    <w:adjustRightInd w:val="0"/>
                    <w:snapToGrid w:val="0"/>
                    <w:jc w:val="center"/>
                    <w:rPr>
                      <w:szCs w:val="21"/>
                    </w:rPr>
                  </w:pPr>
                  <w:r>
                    <w:rPr>
                      <w:szCs w:val="21"/>
                    </w:rPr>
                    <w:t>符合性分析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71" w:type="dxa"/>
                  <w:vAlign w:val="center"/>
                </w:tcPr>
                <w:p>
                  <w:pPr>
                    <w:spacing w:line="300" w:lineRule="exact"/>
                    <w:jc w:val="center"/>
                  </w:pPr>
                  <w:r>
                    <w:t>1</w:t>
                  </w:r>
                </w:p>
              </w:tc>
              <w:tc>
                <w:tcPr>
                  <w:tcW w:w="4596" w:type="dxa"/>
                  <w:vAlign w:val="center"/>
                </w:tcPr>
                <w:p>
                  <w:pPr>
                    <w:spacing w:line="300" w:lineRule="exact"/>
                  </w:pPr>
                  <w:r>
                    <w:rPr>
                      <w:rFonts w:hint="eastAsia"/>
                    </w:rPr>
                    <w:t>生态环境主管部门按照减量替代、总量减少的原则，对大气环境质量超标的区县（自治县）的建设项目环境影响评价文件进行审批。</w:t>
                  </w:r>
                </w:p>
              </w:tc>
              <w:tc>
                <w:tcPr>
                  <w:tcW w:w="3099" w:type="dxa"/>
                  <w:vAlign w:val="center"/>
                </w:tcPr>
                <w:p>
                  <w:pPr>
                    <w:spacing w:line="300" w:lineRule="exact"/>
                  </w:pPr>
                  <w:r>
                    <w:rPr>
                      <w:rFonts w:hint="eastAsia"/>
                    </w:rPr>
                    <w:t>根据《2024年重庆市生态环境状况公报》，项目所在酉阳县大气环境为达标区，且所在区域特征因子（TSP）日均浓度也满足《环境空气质量标准》（GB 3095-2012）中二级标准浓度限值要求，项目有组织、无组织排放的颗粒物无需进行总量削减或替换。</w:t>
                  </w:r>
                </w:p>
              </w:tc>
              <w:tc>
                <w:tcPr>
                  <w:tcW w:w="922" w:type="dxa"/>
                  <w:vAlign w:val="center"/>
                </w:tcPr>
                <w:p>
                  <w:pPr>
                    <w:spacing w:line="300" w:lineRule="exact"/>
                    <w:jc w:val="center"/>
                  </w:pPr>
                  <w: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71" w:type="dxa"/>
                  <w:vAlign w:val="center"/>
                </w:tcPr>
                <w:p>
                  <w:pPr>
                    <w:spacing w:line="300" w:lineRule="exact"/>
                    <w:jc w:val="center"/>
                  </w:pPr>
                  <w:r>
                    <w:t>2</w:t>
                  </w:r>
                </w:p>
              </w:tc>
              <w:tc>
                <w:tcPr>
                  <w:tcW w:w="4596" w:type="dxa"/>
                  <w:vAlign w:val="center"/>
                </w:tcPr>
                <w:p>
                  <w:pPr>
                    <w:spacing w:line="300" w:lineRule="exact"/>
                  </w:pPr>
                  <w:r>
                    <w:rPr>
                      <w:rFonts w:hint="eastAsia"/>
                    </w:rPr>
                    <w:t>区县（自治县）、乡镇有下列情形之一的，生态环境主管部门应当暂停审批该区域内新增重点大气污染物的建设项目的环境影响评价文件：（一）未按时完成大气环境质量改善目标的；（二）超过重点大气污染物排放总量控制指标的；（三）未按时完成大气污染防治重点任务的；（四）法律法规规定的其他情形。</w:t>
                  </w:r>
                </w:p>
                <w:p>
                  <w:pPr>
                    <w:spacing w:line="300" w:lineRule="exact"/>
                  </w:pPr>
                  <w:r>
                    <w:rPr>
                      <w:rFonts w:hint="eastAsia"/>
                    </w:rPr>
                    <w:t>工业园区、企业有前款第二项、第三项情形之一的，生态环境主管部门应当暂停审批该园区或者该企业新增重点大气污染物的建设项目的环境影响评价文件。</w:t>
                  </w:r>
                </w:p>
              </w:tc>
              <w:tc>
                <w:tcPr>
                  <w:tcW w:w="3099" w:type="dxa"/>
                  <w:vAlign w:val="center"/>
                </w:tcPr>
                <w:p>
                  <w:pPr>
                    <w:spacing w:line="300" w:lineRule="exact"/>
                  </w:pPr>
                  <w:r>
                    <w:rPr>
                      <w:rFonts w:hint="eastAsia"/>
                    </w:rPr>
                    <w:t>酉阳县大气环境为达标区，项目也不属于酉阳县内重点大气污染物的建设项目，不在暂停审批范围内。</w:t>
                  </w:r>
                </w:p>
              </w:tc>
              <w:tc>
                <w:tcPr>
                  <w:tcW w:w="922" w:type="dxa"/>
                  <w:vAlign w:val="center"/>
                </w:tcPr>
                <w:p>
                  <w:pPr>
                    <w:spacing w:line="300" w:lineRule="exact"/>
                    <w:jc w:val="center"/>
                  </w:pPr>
                  <w: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71" w:type="dxa"/>
                  <w:vAlign w:val="center"/>
                </w:tcPr>
                <w:p>
                  <w:pPr>
                    <w:spacing w:line="300" w:lineRule="exact"/>
                    <w:jc w:val="center"/>
                  </w:pPr>
                  <w:r>
                    <w:t>3</w:t>
                  </w:r>
                </w:p>
              </w:tc>
              <w:tc>
                <w:tcPr>
                  <w:tcW w:w="4596" w:type="dxa"/>
                  <w:vAlign w:val="center"/>
                </w:tcPr>
                <w:p>
                  <w:pPr>
                    <w:spacing w:line="300" w:lineRule="exact"/>
                  </w:pPr>
                  <w:r>
                    <w:rPr>
                      <w:rFonts w:hint="eastAsia"/>
                    </w:rPr>
                    <w:t>市人民政府划定大气污染防治重点控制区域和一般控制区域。在重点控制区域内禁止新建和扩建燃煤火电、化工、水泥、采（碎）石场、烧结砖瓦窑以及燃煤锅炉等项目；在一般控制区域限制投资建设大气污染严重的项目。</w:t>
                  </w:r>
                </w:p>
              </w:tc>
              <w:tc>
                <w:tcPr>
                  <w:tcW w:w="3099" w:type="dxa"/>
                  <w:vAlign w:val="center"/>
                </w:tcPr>
                <w:p>
                  <w:pPr>
                    <w:spacing w:line="300" w:lineRule="exact"/>
                  </w:pPr>
                  <w:r>
                    <w:rPr>
                      <w:rFonts w:hint="eastAsia"/>
                    </w:rPr>
                    <w:t>酉阳县位于渝东南区域，为一般控制区域，项目在采取各项粉尘治理措施的前提下，可做到粉尘达标排放，不属于大气污染严重的项目。</w:t>
                  </w:r>
                </w:p>
              </w:tc>
              <w:tc>
                <w:tcPr>
                  <w:tcW w:w="922" w:type="dxa"/>
                  <w:vAlign w:val="center"/>
                </w:tcPr>
                <w:p>
                  <w:pPr>
                    <w:spacing w:line="300" w:lineRule="exact"/>
                    <w:jc w:val="center"/>
                  </w:pPr>
                  <w: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71" w:type="dxa"/>
                  <w:vAlign w:val="center"/>
                </w:tcPr>
                <w:p>
                  <w:pPr>
                    <w:spacing w:line="300" w:lineRule="exact"/>
                    <w:jc w:val="center"/>
                  </w:pPr>
                  <w:r>
                    <w:rPr>
                      <w:rFonts w:hint="eastAsia"/>
                    </w:rPr>
                    <w:t>4</w:t>
                  </w:r>
                </w:p>
              </w:tc>
              <w:tc>
                <w:tcPr>
                  <w:tcW w:w="4596" w:type="dxa"/>
                  <w:vAlign w:val="center"/>
                </w:tcPr>
                <w:p>
                  <w:pPr>
                    <w:spacing w:line="300" w:lineRule="exact"/>
                  </w:pPr>
                  <w:r>
                    <w:rPr>
                      <w:rFonts w:hint="eastAsia"/>
                    </w:rPr>
                    <w:t>向大气排放污染物的企业事业单位和其他生产经营者，应当建立大气环境保护责任制度，明确单位负责人和相关人员的责任。有关责任人在履行本单位岗位职责的同时，应当履行大气污染防治相关职责。</w:t>
                  </w:r>
                </w:p>
              </w:tc>
              <w:tc>
                <w:tcPr>
                  <w:tcW w:w="3099" w:type="dxa"/>
                  <w:vMerge w:val="restart"/>
                  <w:vAlign w:val="center"/>
                </w:tcPr>
                <w:p>
                  <w:pPr>
                    <w:spacing w:line="300" w:lineRule="exact"/>
                  </w:pPr>
                  <w:r>
                    <w:rPr>
                      <w:rFonts w:hint="eastAsia"/>
                    </w:rPr>
                    <w:t>拟建项目将建立大气环境保护责任制度，明确单位负责人和相关人员的责任；项目排污前依规办理排污许可证，规范化设置大气排放口，并委托有资质的监测公司开展例行监测；拟建项目非正常工况下停产检修设备，不排放大气污染物。</w:t>
                  </w:r>
                </w:p>
              </w:tc>
              <w:tc>
                <w:tcPr>
                  <w:tcW w:w="922" w:type="dxa"/>
                  <w:vAlign w:val="center"/>
                </w:tcPr>
                <w:p>
                  <w:pPr>
                    <w:spacing w:line="300" w:lineRule="exact"/>
                    <w:jc w:val="center"/>
                  </w:pPr>
                  <w: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71" w:type="dxa"/>
                  <w:vAlign w:val="center"/>
                </w:tcPr>
                <w:p>
                  <w:pPr>
                    <w:spacing w:line="300" w:lineRule="exact"/>
                    <w:jc w:val="center"/>
                  </w:pPr>
                  <w:r>
                    <w:rPr>
                      <w:rFonts w:hint="eastAsia"/>
                    </w:rPr>
                    <w:t>5</w:t>
                  </w:r>
                </w:p>
              </w:tc>
              <w:tc>
                <w:tcPr>
                  <w:tcW w:w="4596" w:type="dxa"/>
                  <w:vAlign w:val="center"/>
                </w:tcPr>
                <w:p>
                  <w:pPr>
                    <w:spacing w:line="300" w:lineRule="exact"/>
                  </w:pPr>
                  <w:r>
                    <w:rPr>
                      <w:rFonts w:hint="eastAsia"/>
                    </w:rPr>
                    <w:t>向大气排放污染物的企业事业单位和其他生产经营者，应当按照国家和本市有关规定执行排污申报和排污许可制度，设置大气污染物排放口，并保持大气污染防治设施的正常使用。</w:t>
                  </w:r>
                </w:p>
                <w:p>
                  <w:pPr>
                    <w:spacing w:line="300" w:lineRule="exact"/>
                  </w:pPr>
                  <w:r>
                    <w:rPr>
                      <w:rFonts w:hint="eastAsia"/>
                    </w:rPr>
                    <w:t>禁止通过偷排、漏排或者篡改、伪造监测数据、以逃避现场检查为目的的临时停产、非紧急情况下开启应急排放通道、擅自拆除或者不正常运行大气污染防治设施等逃避监管的方式排放大气污染物。</w:t>
                  </w:r>
                </w:p>
                <w:p>
                  <w:pPr>
                    <w:spacing w:line="300" w:lineRule="exact"/>
                  </w:pPr>
                  <w:r>
                    <w:rPr>
                      <w:rFonts w:hint="eastAsia"/>
                    </w:rPr>
                    <w:t>因发生或者可能发生生产安全事故等紧急情况，需要通过应急排放通道排放大气污染物的，企业事业单位和其他生产经营者应当立即向生态环境主管部门报告，并采取必要措施，减轻或者消除危害。</w:t>
                  </w:r>
                </w:p>
              </w:tc>
              <w:tc>
                <w:tcPr>
                  <w:tcW w:w="3099" w:type="dxa"/>
                  <w:vMerge w:val="continue"/>
                  <w:vAlign w:val="center"/>
                </w:tcPr>
                <w:p>
                  <w:pPr>
                    <w:spacing w:line="300" w:lineRule="exact"/>
                  </w:pPr>
                </w:p>
              </w:tc>
              <w:tc>
                <w:tcPr>
                  <w:tcW w:w="922" w:type="dxa"/>
                  <w:vAlign w:val="center"/>
                </w:tcPr>
                <w:p>
                  <w:pPr>
                    <w:spacing w:line="300" w:lineRule="exact"/>
                    <w:jc w:val="center"/>
                  </w:pPr>
                  <w: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71" w:type="dxa"/>
                  <w:vAlign w:val="center"/>
                </w:tcPr>
                <w:p>
                  <w:pPr>
                    <w:spacing w:line="300" w:lineRule="exact"/>
                    <w:jc w:val="center"/>
                  </w:pPr>
                  <w:r>
                    <w:rPr>
                      <w:rFonts w:hint="eastAsia"/>
                    </w:rPr>
                    <w:t>6</w:t>
                  </w:r>
                </w:p>
              </w:tc>
              <w:tc>
                <w:tcPr>
                  <w:tcW w:w="4596" w:type="dxa"/>
                  <w:vAlign w:val="center"/>
                </w:tcPr>
                <w:p>
                  <w:pPr>
                    <w:spacing w:line="300" w:lineRule="exact"/>
                  </w:pPr>
                  <w:r>
                    <w:rPr>
                      <w:rFonts w:hint="eastAsia"/>
                    </w:rPr>
                    <w:t>向大气排放污染物的企业事业单位和其他生产经营者，应当按照国家和本市有关规定设置大气污染物监测点位和采样平台，并接受生态环境主管部门或者其他负有环境保护监督管理职责的部门的监督管理。</w:t>
                  </w:r>
                </w:p>
                <w:p>
                  <w:pPr>
                    <w:spacing w:line="300" w:lineRule="exact"/>
                  </w:pPr>
                  <w:r>
                    <w:rPr>
                      <w:rFonts w:hint="eastAsia"/>
                    </w:rPr>
                    <w:t>向大气排放污染物的重点排污单位，应当配备大气污染物排放自动监测监控设备，保证其正常运行，并按照有关规定开展自行监测或者委托有资质的第三方监测机构监测大气污染物排放情况，通过网站或者其他便于公众知晓的方式定期向社会公开。监测数据的保存时间不得低于三年。</w:t>
                  </w:r>
                </w:p>
              </w:tc>
              <w:tc>
                <w:tcPr>
                  <w:tcW w:w="3099" w:type="dxa"/>
                  <w:vMerge w:val="continue"/>
                  <w:vAlign w:val="center"/>
                </w:tcPr>
                <w:p>
                  <w:pPr>
                    <w:spacing w:line="300" w:lineRule="exact"/>
                  </w:pPr>
                </w:p>
              </w:tc>
              <w:tc>
                <w:tcPr>
                  <w:tcW w:w="922" w:type="dxa"/>
                  <w:vAlign w:val="center"/>
                </w:tcPr>
                <w:p>
                  <w:pPr>
                    <w:spacing w:line="300" w:lineRule="exact"/>
                    <w:jc w:val="center"/>
                  </w:pPr>
                  <w: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71" w:type="dxa"/>
                  <w:vAlign w:val="center"/>
                </w:tcPr>
                <w:p>
                  <w:pPr>
                    <w:spacing w:line="300" w:lineRule="exact"/>
                    <w:jc w:val="center"/>
                  </w:pPr>
                  <w:r>
                    <w:rPr>
                      <w:rFonts w:hint="eastAsia"/>
                    </w:rPr>
                    <w:t>7</w:t>
                  </w:r>
                </w:p>
              </w:tc>
              <w:tc>
                <w:tcPr>
                  <w:tcW w:w="4596" w:type="dxa"/>
                  <w:vAlign w:val="center"/>
                </w:tcPr>
                <w:p>
                  <w:pPr>
                    <w:spacing w:line="300" w:lineRule="exact"/>
                  </w:pPr>
                  <w:r>
                    <w:rPr>
                      <w:rFonts w:hint="eastAsia"/>
                    </w:rPr>
                    <w:t>建筑垃圾、砂石、渣土、河沙等易产生扬尘的露天堆场、仓库，应当按规定设置密闭围挡并覆盖、配备吸尘喷淋设施，硬化地面、冲洗车辆，保持堆场及进出口道路清洁。</w:t>
                  </w:r>
                </w:p>
                <w:p>
                  <w:pPr>
                    <w:spacing w:line="300" w:lineRule="exact"/>
                  </w:pPr>
                  <w:r>
                    <w:rPr>
                      <w:rFonts w:hint="eastAsia"/>
                    </w:rPr>
                    <w:t>消纳场、填埋场应当按照规划设立，并按规定设置硬质密闭围挡、车辆清洗、沉沙井等扬尘污染防治设施，硬化出口及场内道路，按要求进行洒水或者冲洗，对非作业区应当进行绿化或者铺设防尘网。</w:t>
                  </w:r>
                </w:p>
                <w:p>
                  <w:pPr>
                    <w:spacing w:line="300" w:lineRule="exact"/>
                  </w:pPr>
                  <w:r>
                    <w:rPr>
                      <w:rFonts w:hint="eastAsia"/>
                    </w:rPr>
                    <w:t>易产生扬尘污染的煤场、石灰石料场等露天工业堆场应当设置规范的防风抑尘网、洒水喷淋等抑尘设施；煤炭、石灰石、灰渣等堆场进出口应当采取遮挡或者封闭等扬尘污染防治措施。</w:t>
                  </w:r>
                </w:p>
              </w:tc>
              <w:tc>
                <w:tcPr>
                  <w:tcW w:w="3099" w:type="dxa"/>
                  <w:vAlign w:val="center"/>
                </w:tcPr>
                <w:p>
                  <w:pPr>
                    <w:spacing w:line="300" w:lineRule="exact"/>
                  </w:pPr>
                  <w:r>
                    <w:rPr>
                      <w:rFonts w:hint="eastAsia"/>
                    </w:rPr>
                    <w:t>项目破碎站、仓库整体搭建为钢架密闭厂房，仅留运料进出口，减少无组织粉尘外逸，禁止库外露天堆料；出厂车辆均冲洗，避免带泥上路；矿外运输道路进行硬化。</w:t>
                  </w:r>
                </w:p>
              </w:tc>
              <w:tc>
                <w:tcPr>
                  <w:tcW w:w="922" w:type="dxa"/>
                  <w:vAlign w:val="center"/>
                </w:tcPr>
                <w:p>
                  <w:pPr>
                    <w:spacing w:line="300" w:lineRule="exact"/>
                    <w:jc w:val="center"/>
                  </w:pPr>
                  <w: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71" w:type="dxa"/>
                  <w:vAlign w:val="center"/>
                </w:tcPr>
                <w:p>
                  <w:pPr>
                    <w:spacing w:line="300" w:lineRule="exact"/>
                    <w:jc w:val="center"/>
                  </w:pPr>
                  <w:r>
                    <w:rPr>
                      <w:rFonts w:hint="eastAsia"/>
                    </w:rPr>
                    <w:t>8</w:t>
                  </w:r>
                </w:p>
              </w:tc>
              <w:tc>
                <w:tcPr>
                  <w:tcW w:w="4596" w:type="dxa"/>
                  <w:vAlign w:val="center"/>
                </w:tcPr>
                <w:p>
                  <w:pPr>
                    <w:spacing w:line="300" w:lineRule="exact"/>
                  </w:pPr>
                  <w:r>
                    <w:rPr>
                      <w:rFonts w:hint="eastAsia"/>
                    </w:rPr>
                    <w:t>矿产资源开采过程中，应当在矿山开采现场以及堆场配套建设、使用控制扬尘和粉尘等污染治理设施，确保达标排放，并按规定进行生态修复。</w:t>
                  </w:r>
                </w:p>
                <w:p>
                  <w:pPr>
                    <w:spacing w:line="300" w:lineRule="exact"/>
                  </w:pPr>
                  <w:r>
                    <w:rPr>
                      <w:rFonts w:hint="eastAsia"/>
                    </w:rPr>
                    <w:t>在本市划定的禁止采（碎）石区域内，不得从事采（碎）石生产；限制采（碎）石区域内，不得扩大采（碎）石场生产规模。</w:t>
                  </w:r>
                </w:p>
              </w:tc>
              <w:tc>
                <w:tcPr>
                  <w:tcW w:w="3099" w:type="dxa"/>
                  <w:vAlign w:val="center"/>
                </w:tcPr>
                <w:p>
                  <w:pPr>
                    <w:spacing w:line="300" w:lineRule="exact"/>
                  </w:pPr>
                  <w:r>
                    <w:rPr>
                      <w:rFonts w:hint="eastAsia"/>
                    </w:rPr>
                    <w:t>项目采区开采期间使用高压微雾装置实时洒水抑尘；采区表土植被随剥随除、表土采用即挖即运；采用多排孔微差松动爆破法，爆破前湿棕垫或稻草覆盖，爆破后及时使用高压微雾装置洒水降尘；钻孔设备自带捕尘装置，并湿式凿岩。以上措施均可有效减少开采粉尘产排量。</w:t>
                  </w:r>
                </w:p>
              </w:tc>
              <w:tc>
                <w:tcPr>
                  <w:tcW w:w="922" w:type="dxa"/>
                  <w:vAlign w:val="center"/>
                </w:tcPr>
                <w:p>
                  <w:pPr>
                    <w:spacing w:line="300" w:lineRule="exact"/>
                    <w:jc w:val="center"/>
                  </w:pPr>
                  <w:r>
                    <w:t>符合</w:t>
                  </w:r>
                </w:p>
              </w:tc>
            </w:tr>
          </w:tbl>
          <w:p>
            <w:pPr>
              <w:autoSpaceDE w:val="0"/>
              <w:autoSpaceDN w:val="0"/>
              <w:adjustRightInd w:val="0"/>
              <w:snapToGrid w:val="0"/>
              <w:spacing w:line="360" w:lineRule="auto"/>
              <w:ind w:firstLine="480" w:firstLineChars="200"/>
              <w:rPr>
                <w:kern w:val="0"/>
                <w:sz w:val="24"/>
              </w:rPr>
            </w:pPr>
            <w:r>
              <w:rPr>
                <w:kern w:val="0"/>
                <w:sz w:val="24"/>
              </w:rPr>
              <w:t>由表1-</w:t>
            </w:r>
            <w:r>
              <w:rPr>
                <w:rFonts w:hint="eastAsia"/>
                <w:kern w:val="0"/>
                <w:sz w:val="24"/>
              </w:rPr>
              <w:t>10</w:t>
            </w:r>
            <w:r>
              <w:rPr>
                <w:kern w:val="0"/>
                <w:sz w:val="24"/>
              </w:rPr>
              <w:t>可知，拟建项目</w:t>
            </w:r>
            <w:r>
              <w:rPr>
                <w:rFonts w:hint="eastAsia"/>
                <w:kern w:val="0"/>
                <w:sz w:val="24"/>
              </w:rPr>
              <w:t>满足</w:t>
            </w:r>
            <w:r>
              <w:rPr>
                <w:kern w:val="0"/>
                <w:sz w:val="24"/>
              </w:rPr>
              <w:t>《</w:t>
            </w:r>
            <w:r>
              <w:rPr>
                <w:rFonts w:hint="eastAsia"/>
                <w:kern w:val="0"/>
                <w:sz w:val="24"/>
              </w:rPr>
              <w:t>重庆市大气污染防治条例（2021年修正版）</w:t>
            </w:r>
            <w:r>
              <w:rPr>
                <w:kern w:val="0"/>
                <w:sz w:val="24"/>
              </w:rPr>
              <w:t>》的</w:t>
            </w:r>
            <w:r>
              <w:rPr>
                <w:rFonts w:hint="eastAsia"/>
                <w:kern w:val="0"/>
                <w:sz w:val="24"/>
              </w:rPr>
              <w:t>相关管控</w:t>
            </w:r>
            <w:r>
              <w:rPr>
                <w:kern w:val="0"/>
                <w:sz w:val="24"/>
              </w:rPr>
              <w:t>要求。</w:t>
            </w:r>
          </w:p>
          <w:p>
            <w:pPr>
              <w:autoSpaceDE w:val="0"/>
              <w:autoSpaceDN w:val="0"/>
              <w:adjustRightInd w:val="0"/>
              <w:snapToGrid w:val="0"/>
              <w:spacing w:line="360" w:lineRule="auto"/>
              <w:ind w:firstLine="562" w:firstLineChars="200"/>
              <w:rPr>
                <w:b/>
                <w:kern w:val="0"/>
                <w:sz w:val="28"/>
                <w:szCs w:val="28"/>
              </w:rPr>
            </w:pPr>
            <w:r>
              <w:rPr>
                <w:b/>
                <w:kern w:val="0"/>
                <w:sz w:val="28"/>
                <w:szCs w:val="28"/>
              </w:rPr>
              <w:t>1.1</w:t>
            </w:r>
            <w:r>
              <w:rPr>
                <w:rFonts w:hint="eastAsia"/>
                <w:b/>
                <w:kern w:val="0"/>
                <w:sz w:val="28"/>
                <w:szCs w:val="28"/>
              </w:rPr>
              <w:t>1</w:t>
            </w:r>
            <w:r>
              <w:rPr>
                <w:b/>
                <w:kern w:val="0"/>
                <w:sz w:val="28"/>
                <w:szCs w:val="28"/>
              </w:rPr>
              <w:t>、</w:t>
            </w:r>
            <w:r>
              <w:rPr>
                <w:rFonts w:ascii="宋体" w:hAnsi="宋体"/>
                <w:b/>
                <w:kern w:val="0"/>
                <w:sz w:val="28"/>
                <w:szCs w:val="28"/>
              </w:rPr>
              <w:t>与</w:t>
            </w:r>
            <w:r>
              <w:rPr>
                <w:rFonts w:hint="eastAsia" w:ascii="宋体" w:hAnsi="宋体"/>
                <w:b/>
                <w:kern w:val="0"/>
                <w:sz w:val="28"/>
                <w:szCs w:val="28"/>
              </w:rPr>
              <w:t>《重庆市生态环境保护“十四五”规划（</w:t>
            </w:r>
            <w:r>
              <w:rPr>
                <w:b/>
                <w:kern w:val="0"/>
                <w:sz w:val="28"/>
                <w:szCs w:val="28"/>
              </w:rPr>
              <w:t>2021</w:t>
            </w:r>
            <w:r>
              <w:rPr>
                <w:rFonts w:hint="eastAsia"/>
                <w:b/>
                <w:kern w:val="0"/>
                <w:sz w:val="28"/>
                <w:szCs w:val="28"/>
              </w:rPr>
              <w:t>-</w:t>
            </w:r>
            <w:r>
              <w:rPr>
                <w:b/>
                <w:kern w:val="0"/>
                <w:sz w:val="28"/>
                <w:szCs w:val="28"/>
              </w:rPr>
              <w:t>2025</w:t>
            </w:r>
            <w:r>
              <w:rPr>
                <w:rFonts w:hint="eastAsia" w:ascii="宋体" w:hAnsi="宋体"/>
                <w:b/>
                <w:kern w:val="0"/>
                <w:sz w:val="28"/>
                <w:szCs w:val="28"/>
              </w:rPr>
              <w:t>年）》</w:t>
            </w:r>
            <w:r>
              <w:rPr>
                <w:rFonts w:ascii="宋体" w:hAnsi="宋体"/>
                <w:b/>
                <w:kern w:val="0"/>
                <w:sz w:val="28"/>
                <w:szCs w:val="28"/>
              </w:rPr>
              <w:t>的符</w:t>
            </w:r>
            <w:r>
              <w:rPr>
                <w:b/>
                <w:kern w:val="0"/>
                <w:sz w:val="28"/>
                <w:szCs w:val="28"/>
              </w:rPr>
              <w:t>合性分析</w:t>
            </w:r>
          </w:p>
          <w:p>
            <w:pPr>
              <w:autoSpaceDE w:val="0"/>
              <w:autoSpaceDN w:val="0"/>
              <w:adjustRightInd w:val="0"/>
              <w:snapToGrid w:val="0"/>
              <w:spacing w:line="360" w:lineRule="auto"/>
              <w:ind w:firstLine="480" w:firstLineChars="200"/>
              <w:rPr>
                <w:kern w:val="0"/>
                <w:sz w:val="24"/>
              </w:rPr>
            </w:pPr>
            <w:r>
              <w:rPr>
                <w:rFonts w:hint="eastAsia"/>
                <w:kern w:val="0"/>
                <w:sz w:val="24"/>
              </w:rPr>
              <w:t>根据《重庆市生态环境保护“十四五”规划（2021-2025年）》（渝环〔2022〕11号）：“治理修复矿山生态环境。深化历史遗留和关闭矿山地质环境治理恢复与土地复垦工作，优先实施自然保护地、生态保护红线范围内矿山地质环境治理恢复与土地复垦。加强新建和在建矿山地质环境的保护和修复监管力度。依法依规关闭污染环境、破坏生态、乱采滥挖的矿山。到2025年，完成历史遗留和关闭矿山生态修复面积24.5平方公里，累计完成总任务量的85%以上。积极推进绿色矿山建设，依法依规开展绿色矿山第三方评估，强化市级绿色矿山名录管理。”</w:t>
            </w:r>
          </w:p>
          <w:p>
            <w:pPr>
              <w:autoSpaceDE w:val="0"/>
              <w:autoSpaceDN w:val="0"/>
              <w:adjustRightInd w:val="0"/>
              <w:snapToGrid w:val="0"/>
              <w:spacing w:line="360" w:lineRule="auto"/>
              <w:ind w:firstLine="480" w:firstLineChars="200"/>
              <w:rPr>
                <w:kern w:val="0"/>
                <w:sz w:val="24"/>
              </w:rPr>
            </w:pPr>
            <w:r>
              <w:rPr>
                <w:rFonts w:hint="eastAsia"/>
                <w:kern w:val="0"/>
                <w:sz w:val="24"/>
              </w:rPr>
              <w:t>对此，项目已编制《矿山地质环境保护与土地复垦方案》，矿山将严格落实各项污染防治措施和生态保护和恢复措施，确保污染物稳定达标排放，符合《重庆市生态环境保护“十四五”规划（2021-2025年）》（渝环〔2022〕11号）的相关要求。</w:t>
            </w:r>
          </w:p>
          <w:p>
            <w:pPr>
              <w:autoSpaceDE w:val="0"/>
              <w:autoSpaceDN w:val="0"/>
              <w:adjustRightInd w:val="0"/>
              <w:snapToGrid w:val="0"/>
              <w:spacing w:line="360" w:lineRule="auto"/>
              <w:ind w:firstLine="562" w:firstLineChars="200"/>
              <w:rPr>
                <w:b/>
                <w:kern w:val="0"/>
                <w:sz w:val="28"/>
                <w:szCs w:val="28"/>
              </w:rPr>
            </w:pPr>
            <w:r>
              <w:rPr>
                <w:b/>
                <w:kern w:val="0"/>
                <w:sz w:val="28"/>
                <w:szCs w:val="28"/>
              </w:rPr>
              <w:t>1.1</w:t>
            </w:r>
            <w:r>
              <w:rPr>
                <w:rFonts w:hint="eastAsia"/>
                <w:b/>
                <w:kern w:val="0"/>
                <w:sz w:val="28"/>
                <w:szCs w:val="28"/>
              </w:rPr>
              <w:t>2</w:t>
            </w:r>
            <w:r>
              <w:rPr>
                <w:b/>
                <w:kern w:val="0"/>
                <w:sz w:val="28"/>
                <w:szCs w:val="28"/>
              </w:rPr>
              <w:t>、</w:t>
            </w:r>
            <w:r>
              <w:rPr>
                <w:rFonts w:ascii="宋体" w:hAnsi="宋体"/>
                <w:b/>
                <w:kern w:val="0"/>
                <w:sz w:val="28"/>
                <w:szCs w:val="28"/>
              </w:rPr>
              <w:t>与</w:t>
            </w:r>
            <w:r>
              <w:rPr>
                <w:rFonts w:hint="eastAsia" w:ascii="宋体" w:hAnsi="宋体"/>
                <w:b/>
                <w:kern w:val="0"/>
                <w:sz w:val="28"/>
                <w:szCs w:val="28"/>
              </w:rPr>
              <w:t>《重庆市大气环境保护“十四五”规划（</w:t>
            </w:r>
            <w:r>
              <w:rPr>
                <w:b/>
                <w:kern w:val="0"/>
                <w:sz w:val="28"/>
                <w:szCs w:val="28"/>
              </w:rPr>
              <w:t>2021</w:t>
            </w:r>
            <w:r>
              <w:rPr>
                <w:rFonts w:hint="eastAsia"/>
                <w:b/>
                <w:kern w:val="0"/>
                <w:sz w:val="28"/>
                <w:szCs w:val="28"/>
              </w:rPr>
              <w:t>-</w:t>
            </w:r>
            <w:r>
              <w:rPr>
                <w:b/>
                <w:kern w:val="0"/>
                <w:sz w:val="28"/>
                <w:szCs w:val="28"/>
              </w:rPr>
              <w:t>2025</w:t>
            </w:r>
            <w:r>
              <w:rPr>
                <w:rFonts w:hint="eastAsia" w:ascii="宋体" w:hAnsi="宋体"/>
                <w:b/>
                <w:kern w:val="0"/>
                <w:sz w:val="28"/>
                <w:szCs w:val="28"/>
              </w:rPr>
              <w:t>年）》</w:t>
            </w:r>
            <w:r>
              <w:rPr>
                <w:rFonts w:ascii="宋体" w:hAnsi="宋体"/>
                <w:b/>
                <w:kern w:val="0"/>
                <w:sz w:val="28"/>
                <w:szCs w:val="28"/>
              </w:rPr>
              <w:t>的符</w:t>
            </w:r>
            <w:r>
              <w:rPr>
                <w:b/>
                <w:kern w:val="0"/>
                <w:sz w:val="28"/>
                <w:szCs w:val="28"/>
              </w:rPr>
              <w:t>合性分析</w:t>
            </w:r>
          </w:p>
          <w:p>
            <w:pPr>
              <w:autoSpaceDE w:val="0"/>
              <w:autoSpaceDN w:val="0"/>
              <w:adjustRightInd w:val="0"/>
              <w:snapToGrid w:val="0"/>
              <w:spacing w:line="360" w:lineRule="auto"/>
              <w:ind w:firstLine="480" w:firstLineChars="200"/>
              <w:rPr>
                <w:kern w:val="0"/>
                <w:sz w:val="24"/>
              </w:rPr>
            </w:pPr>
            <w:r>
              <w:rPr>
                <w:rFonts w:hint="eastAsia"/>
                <w:kern w:val="0"/>
                <w:sz w:val="24"/>
              </w:rPr>
              <w:t>根据《重庆市大气环境保护“十四五”规划（2021-2025年）》（渝环〔2022〕43号）：“十四五”期间，重庆大气环境保护五大方面重点任务和措施。一是以挥发性有机物治理和工业炉窑综合整治为重点，深化工业污染控制；二是以柴油货车治理和纯电动车推广为重点，深化交通污染控制；三是以绿色示范创建和智能监管为重点，深化扬尘污染控制；四是以餐饮油烟综合整治和露天焚烧管控为重点，深化生活污染控制；五是以区域联防联控和科研管理支撑为重点，提高污染天气应对能力。”</w:t>
            </w:r>
          </w:p>
          <w:p>
            <w:pPr>
              <w:autoSpaceDE w:val="0"/>
              <w:autoSpaceDN w:val="0"/>
              <w:adjustRightInd w:val="0"/>
              <w:snapToGrid w:val="0"/>
              <w:spacing w:line="360" w:lineRule="auto"/>
              <w:ind w:firstLine="480" w:firstLineChars="200"/>
              <w:rPr>
                <w:kern w:val="0"/>
                <w:sz w:val="24"/>
              </w:rPr>
            </w:pPr>
            <w:r>
              <w:rPr>
                <w:rFonts w:hint="eastAsia"/>
                <w:kern w:val="0"/>
                <w:sz w:val="24"/>
              </w:rPr>
              <w:t>对此，拟建项目进场车辆冲洗避免带泥上路，还进行车斗防尘可有效减少交通扬尘；针对厂区主要设备进行有组织收尘布袋除尘，针对主要产尘节点进行洒水降尘。经后文分析，在严格落实本次环评提出的各项废水治理措施的前提下，项目厂区粉尘可做到达标排放，对周边大气环境影响较小。</w:t>
            </w:r>
          </w:p>
          <w:p>
            <w:pPr>
              <w:autoSpaceDE w:val="0"/>
              <w:autoSpaceDN w:val="0"/>
              <w:adjustRightInd w:val="0"/>
              <w:snapToGrid w:val="0"/>
              <w:spacing w:line="360" w:lineRule="auto"/>
              <w:ind w:firstLine="480" w:firstLineChars="200"/>
              <w:rPr>
                <w:kern w:val="0"/>
                <w:sz w:val="24"/>
              </w:rPr>
            </w:pPr>
            <w:r>
              <w:rPr>
                <w:rFonts w:hint="eastAsia"/>
                <w:kern w:val="0"/>
                <w:sz w:val="24"/>
              </w:rPr>
              <w:t>由此，拟建项目的建设符合《重庆市大气环境保护“十四五”规划（2021-2025年）》（渝环〔2022〕43号）的相关要求。</w:t>
            </w:r>
          </w:p>
          <w:p>
            <w:pPr>
              <w:autoSpaceDE w:val="0"/>
              <w:autoSpaceDN w:val="0"/>
              <w:adjustRightInd w:val="0"/>
              <w:snapToGrid w:val="0"/>
              <w:spacing w:line="360" w:lineRule="auto"/>
              <w:ind w:firstLine="562" w:firstLineChars="200"/>
              <w:rPr>
                <w:b/>
                <w:kern w:val="0"/>
                <w:sz w:val="28"/>
                <w:szCs w:val="28"/>
              </w:rPr>
            </w:pPr>
            <w:r>
              <w:rPr>
                <w:b/>
                <w:kern w:val="0"/>
                <w:sz w:val="28"/>
                <w:szCs w:val="28"/>
              </w:rPr>
              <w:t>1.1</w:t>
            </w:r>
            <w:r>
              <w:rPr>
                <w:rFonts w:hint="eastAsia"/>
                <w:b/>
                <w:kern w:val="0"/>
                <w:sz w:val="28"/>
                <w:szCs w:val="28"/>
              </w:rPr>
              <w:t>3</w:t>
            </w:r>
            <w:r>
              <w:rPr>
                <w:b/>
                <w:kern w:val="0"/>
                <w:sz w:val="28"/>
                <w:szCs w:val="28"/>
              </w:rPr>
              <w:t>、</w:t>
            </w:r>
            <w:r>
              <w:rPr>
                <w:rFonts w:ascii="宋体" w:hAnsi="宋体"/>
                <w:b/>
                <w:kern w:val="0"/>
                <w:sz w:val="28"/>
                <w:szCs w:val="28"/>
              </w:rPr>
              <w:t>与“三线一单”的符</w:t>
            </w:r>
            <w:r>
              <w:rPr>
                <w:b/>
                <w:kern w:val="0"/>
                <w:sz w:val="28"/>
                <w:szCs w:val="28"/>
              </w:rPr>
              <w:t>合性分析</w:t>
            </w:r>
          </w:p>
          <w:p>
            <w:pPr>
              <w:autoSpaceDE w:val="0"/>
              <w:autoSpaceDN w:val="0"/>
              <w:adjustRightInd w:val="0"/>
              <w:snapToGrid w:val="0"/>
              <w:spacing w:line="360" w:lineRule="auto"/>
              <w:ind w:firstLine="480" w:firstLineChars="200"/>
              <w:rPr>
                <w:kern w:val="0"/>
                <w:sz w:val="24"/>
              </w:rPr>
            </w:pPr>
            <w:r>
              <w:rPr>
                <w:kern w:val="0"/>
                <w:sz w:val="24"/>
              </w:rPr>
              <w:t>拟建项目位于重庆市酉阳县双泉乡永祥村一组，属于非线性工程。根据《长江经济带战略环境评价 重庆</w:t>
            </w:r>
            <w:r>
              <w:rPr>
                <w:rFonts w:ascii="宋体" w:hAnsi="宋体"/>
                <w:kern w:val="0"/>
                <w:sz w:val="24"/>
              </w:rPr>
              <w:t>市“三线一单”</w:t>
            </w:r>
            <w:r>
              <w:rPr>
                <w:kern w:val="0"/>
                <w:sz w:val="24"/>
              </w:rPr>
              <w:t>》、《重庆市</w:t>
            </w:r>
            <w:r>
              <w:rPr>
                <w:rFonts w:ascii="宋体" w:hAnsi="宋体"/>
                <w:kern w:val="0"/>
                <w:sz w:val="24"/>
              </w:rPr>
              <w:t>“三线一单”生态环</w:t>
            </w:r>
            <w:r>
              <w:rPr>
                <w:kern w:val="0"/>
                <w:sz w:val="24"/>
              </w:rPr>
              <w:t>境分区管控调整方案（2023年）》</w:t>
            </w:r>
            <w:r>
              <w:rPr>
                <w:rFonts w:hint="eastAsia"/>
                <w:kern w:val="0"/>
                <w:sz w:val="24"/>
              </w:rPr>
              <w:t>（渝环规〔2024〕2号）、</w:t>
            </w:r>
            <w:r>
              <w:rPr>
                <w:kern w:val="0"/>
                <w:sz w:val="24"/>
              </w:rPr>
              <w:t>《长江经济带战略环境评价 重庆市酉阳土家族苗族自治县</w:t>
            </w:r>
            <w:r>
              <w:rPr>
                <w:rFonts w:ascii="宋体" w:hAnsi="宋体"/>
                <w:kern w:val="0"/>
                <w:sz w:val="24"/>
              </w:rPr>
              <w:t>“三线一单”</w:t>
            </w:r>
            <w:r>
              <w:rPr>
                <w:kern w:val="0"/>
                <w:sz w:val="24"/>
              </w:rPr>
              <w:t>》</w:t>
            </w:r>
            <w:r>
              <w:rPr>
                <w:rFonts w:hint="eastAsia"/>
                <w:kern w:val="0"/>
                <w:sz w:val="24"/>
              </w:rPr>
              <w:t>、《酉阳自治县“三线一单”生态环境分区管控调整方案（2023年）》</w:t>
            </w:r>
            <w:r>
              <w:rPr>
                <w:rFonts w:hint="eastAsia"/>
                <w:color w:val="0000FF"/>
                <w:kern w:val="0"/>
                <w:sz w:val="24"/>
              </w:rPr>
              <w:t>（酉阳府办〔2024〕11号）</w:t>
            </w:r>
            <w:r>
              <w:rPr>
                <w:kern w:val="0"/>
                <w:sz w:val="24"/>
              </w:rPr>
              <w:t>，并结合《建设项目环</w:t>
            </w:r>
            <w:r>
              <w:rPr>
                <w:rFonts w:ascii="宋体" w:hAnsi="宋体"/>
                <w:kern w:val="0"/>
                <w:sz w:val="24"/>
              </w:rPr>
              <w:t>评“三线一单”符合</w:t>
            </w:r>
            <w:r>
              <w:rPr>
                <w:kern w:val="0"/>
                <w:sz w:val="24"/>
              </w:rPr>
              <w:t>性分析技术要点（试行）》（重庆市生态环境局2022年7月），对拟建项目进行符合性分析，见表1-</w:t>
            </w:r>
            <w:r>
              <w:rPr>
                <w:rFonts w:hint="eastAsia"/>
                <w:kern w:val="0"/>
                <w:sz w:val="24"/>
              </w:rPr>
              <w:t>9、附件13</w:t>
            </w:r>
            <w:r>
              <w:rPr>
                <w:kern w:val="0"/>
                <w:sz w:val="24"/>
              </w:rPr>
              <w:t>。</w:t>
            </w:r>
          </w:p>
          <w:p>
            <w:pPr>
              <w:autoSpaceDE w:val="0"/>
              <w:autoSpaceDN w:val="0"/>
              <w:adjustRightInd w:val="0"/>
              <w:snapToGrid w:val="0"/>
              <w:jc w:val="center"/>
              <w:rPr>
                <w:b/>
                <w:kern w:val="0"/>
                <w:sz w:val="24"/>
              </w:rPr>
            </w:pPr>
            <w:r>
              <w:rPr>
                <w:b/>
                <w:kern w:val="0"/>
                <w:sz w:val="24"/>
              </w:rPr>
              <w:t>表1-</w:t>
            </w:r>
            <w:r>
              <w:rPr>
                <w:rFonts w:hint="eastAsia"/>
                <w:b/>
                <w:kern w:val="0"/>
                <w:sz w:val="24"/>
              </w:rPr>
              <w:t>9</w:t>
            </w:r>
            <w:r>
              <w:rPr>
                <w:b/>
                <w:kern w:val="0"/>
                <w:sz w:val="24"/>
              </w:rPr>
              <w:t xml:space="preserve">  拟建项</w:t>
            </w:r>
            <w:r>
              <w:rPr>
                <w:rFonts w:ascii="宋体" w:hAnsi="宋体"/>
                <w:b/>
                <w:kern w:val="0"/>
                <w:sz w:val="24"/>
              </w:rPr>
              <w:t>目与“三线一单”管控要</w:t>
            </w:r>
            <w:r>
              <w:rPr>
                <w:b/>
                <w:kern w:val="0"/>
                <w:sz w:val="24"/>
              </w:rPr>
              <w:t>求符合性分析</w:t>
            </w:r>
          </w:p>
          <w:tbl>
            <w:tblPr>
              <w:tblStyle w:val="15"/>
              <w:tblW w:w="9274"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825"/>
              <w:gridCol w:w="970"/>
              <w:gridCol w:w="992"/>
              <w:gridCol w:w="3988"/>
              <w:gridCol w:w="1397"/>
              <w:gridCol w:w="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Align w:val="center"/>
                </w:tcPr>
                <w:p>
                  <w:pPr>
                    <w:pStyle w:val="42"/>
                  </w:pPr>
                  <w:r>
                    <w:t>非线性工程名称</w:t>
                  </w:r>
                </w:p>
              </w:tc>
              <w:tc>
                <w:tcPr>
                  <w:tcW w:w="1962" w:type="dxa"/>
                  <w:gridSpan w:val="2"/>
                  <w:vAlign w:val="center"/>
                </w:tcPr>
                <w:p>
                  <w:pPr>
                    <w:pStyle w:val="42"/>
                  </w:pPr>
                  <w:r>
                    <w:t>环境管控单元编码</w:t>
                  </w:r>
                </w:p>
              </w:tc>
              <w:tc>
                <w:tcPr>
                  <w:tcW w:w="3988" w:type="dxa"/>
                  <w:vAlign w:val="center"/>
                </w:tcPr>
                <w:p>
                  <w:pPr>
                    <w:pStyle w:val="42"/>
                  </w:pPr>
                  <w:r>
                    <w:t>环境管控单元名称</w:t>
                  </w:r>
                </w:p>
              </w:tc>
              <w:tc>
                <w:tcPr>
                  <w:tcW w:w="2054" w:type="dxa"/>
                  <w:gridSpan w:val="2"/>
                  <w:vAlign w:val="center"/>
                </w:tcPr>
                <w:p>
                  <w:pPr>
                    <w:pStyle w:val="42"/>
                  </w:pPr>
                  <w:r>
                    <w:t>环境管控单元类型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Align w:val="center"/>
                </w:tcPr>
                <w:p>
                  <w:pPr>
                    <w:pStyle w:val="42"/>
                  </w:pPr>
                  <w:r>
                    <w:t>双泉乡大堡坡采石场扩建项目</w:t>
                  </w:r>
                </w:p>
              </w:tc>
              <w:tc>
                <w:tcPr>
                  <w:tcW w:w="1962" w:type="dxa"/>
                  <w:gridSpan w:val="2"/>
                  <w:vAlign w:val="center"/>
                </w:tcPr>
                <w:p>
                  <w:pPr>
                    <w:pStyle w:val="42"/>
                  </w:pPr>
                  <w:r>
                    <w:t>ZH50024230001</w:t>
                  </w:r>
                </w:p>
              </w:tc>
              <w:tc>
                <w:tcPr>
                  <w:tcW w:w="3988" w:type="dxa"/>
                  <w:vAlign w:val="center"/>
                </w:tcPr>
                <w:p>
                  <w:pPr>
                    <w:pStyle w:val="42"/>
                  </w:pPr>
                  <w:r>
                    <w:rPr>
                      <w:rFonts w:hint="eastAsia"/>
                    </w:rPr>
                    <w:t>酉阳县一般管控单元-阿蓬江红花村</w:t>
                  </w:r>
                </w:p>
              </w:tc>
              <w:tc>
                <w:tcPr>
                  <w:tcW w:w="2054" w:type="dxa"/>
                  <w:gridSpan w:val="2"/>
                  <w:vAlign w:val="center"/>
                </w:tcPr>
                <w:p>
                  <w:pPr>
                    <w:pStyle w:val="42"/>
                  </w:pPr>
                  <w:r>
                    <w:t>一般管控单元</w:t>
                  </w: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Align w:val="center"/>
                </w:tcPr>
                <w:p>
                  <w:pPr>
                    <w:pStyle w:val="42"/>
                  </w:pPr>
                  <w:r>
                    <w:t>管控要求层级</w:t>
                  </w:r>
                </w:p>
              </w:tc>
              <w:tc>
                <w:tcPr>
                  <w:tcW w:w="970" w:type="dxa"/>
                  <w:vAlign w:val="center"/>
                </w:tcPr>
                <w:p>
                  <w:pPr>
                    <w:pStyle w:val="42"/>
                  </w:pPr>
                  <w:r>
                    <w:t>管控类型</w:t>
                  </w:r>
                </w:p>
              </w:tc>
              <w:tc>
                <w:tcPr>
                  <w:tcW w:w="4980" w:type="dxa"/>
                  <w:gridSpan w:val="2"/>
                  <w:vAlign w:val="center"/>
                </w:tcPr>
                <w:p>
                  <w:pPr>
                    <w:pStyle w:val="42"/>
                  </w:pPr>
                  <w:r>
                    <w:rPr>
                      <w:color w:val="0000FF"/>
                    </w:rPr>
                    <w:t>管控要求</w:t>
                  </w:r>
                </w:p>
              </w:tc>
              <w:tc>
                <w:tcPr>
                  <w:tcW w:w="1397" w:type="dxa"/>
                  <w:vAlign w:val="center"/>
                </w:tcPr>
                <w:p>
                  <w:pPr>
                    <w:pStyle w:val="42"/>
                  </w:pPr>
                  <w:r>
                    <w:t>建设项目相关情况</w:t>
                  </w:r>
                </w:p>
              </w:tc>
              <w:tc>
                <w:tcPr>
                  <w:tcW w:w="657" w:type="dxa"/>
                  <w:vAlign w:val="center"/>
                </w:tcPr>
                <w:p>
                  <w:pPr>
                    <w:pStyle w:val="42"/>
                  </w:pPr>
                  <w: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Merge w:val="restart"/>
                  <w:vAlign w:val="center"/>
                </w:tcPr>
                <w:p>
                  <w:pPr>
                    <w:pStyle w:val="42"/>
                  </w:pPr>
                  <w:r>
                    <w:t>全市总体管控要求</w:t>
                  </w:r>
                </w:p>
              </w:tc>
              <w:tc>
                <w:tcPr>
                  <w:tcW w:w="970" w:type="dxa"/>
                  <w:vAlign w:val="center"/>
                </w:tcPr>
                <w:p>
                  <w:pPr>
                    <w:pStyle w:val="42"/>
                  </w:pPr>
                  <w:r>
                    <w:t>空间布局约束</w:t>
                  </w:r>
                </w:p>
              </w:tc>
              <w:tc>
                <w:tcPr>
                  <w:tcW w:w="4980" w:type="dxa"/>
                  <w:gridSpan w:val="2"/>
                  <w:vAlign w:val="center"/>
                </w:tcPr>
                <w:p>
                  <w:pPr>
                    <w:pStyle w:val="42"/>
                    <w:jc w:val="both"/>
                  </w:pPr>
                  <w:r>
                    <w:rPr>
                      <w:rFonts w:hint="eastAsia"/>
                      <w:color w:val="0000FF"/>
                    </w:rPr>
                    <w:t xml:space="preserve">第一条 </w:t>
                  </w:r>
                  <w:r>
                    <w:rPr>
                      <w:rFonts w:hint="eastAsia"/>
                    </w:rPr>
                    <w:t>深入实施农村“厕所革命”，推进农村生活垃圾治理和农村生活污水治理，基本消除较大面积农村黑臭水体，整治提升农村人居环境</w:t>
                  </w:r>
                  <w:r>
                    <w:t>。</w:t>
                  </w:r>
                </w:p>
              </w:tc>
              <w:tc>
                <w:tcPr>
                  <w:tcW w:w="1397" w:type="dxa"/>
                  <w:vAlign w:val="center"/>
                </w:tcPr>
                <w:p>
                  <w:pPr>
                    <w:pStyle w:val="42"/>
                  </w:pPr>
                  <w:r>
                    <w:t>项目不涉及。</w:t>
                  </w:r>
                </w:p>
              </w:tc>
              <w:tc>
                <w:tcPr>
                  <w:tcW w:w="65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Merge w:val="continue"/>
                  <w:vAlign w:val="center"/>
                </w:tcPr>
                <w:p>
                  <w:pPr>
                    <w:pStyle w:val="42"/>
                  </w:pPr>
                </w:p>
              </w:tc>
              <w:tc>
                <w:tcPr>
                  <w:tcW w:w="970" w:type="dxa"/>
                  <w:vAlign w:val="center"/>
                </w:tcPr>
                <w:p>
                  <w:pPr>
                    <w:pStyle w:val="42"/>
                  </w:pPr>
                  <w:r>
                    <w:t>污染物排放管控</w:t>
                  </w:r>
                </w:p>
              </w:tc>
              <w:tc>
                <w:tcPr>
                  <w:tcW w:w="4980" w:type="dxa"/>
                  <w:gridSpan w:val="2"/>
                  <w:vAlign w:val="center"/>
                </w:tcPr>
                <w:p>
                  <w:pPr>
                    <w:pStyle w:val="42"/>
                    <w:jc w:val="both"/>
                  </w:pPr>
                  <w:r>
                    <w:rPr>
                      <w:rFonts w:hint="eastAsia"/>
                      <w:color w:val="0000FF"/>
                    </w:rPr>
                    <w:t xml:space="preserve">第二条 </w:t>
                  </w:r>
                  <w:r>
                    <w:rPr>
                      <w:rFonts w:hint="eastAsia"/>
                    </w:rPr>
                    <w:t>强畜禽粪污资源化利用，加快推动长江沿线畜禽规模化养殖场粪污处理配套设施装备提档升级，推进畜禽养殖户粪污处理设施装备配套，推行畜禽粪肥低成本、机械化、就地就近还田，推进水产养殖尾水治理，强化水产养殖投入品使用管理</w:t>
                  </w:r>
                  <w:r>
                    <w:t>。</w:t>
                  </w:r>
                </w:p>
              </w:tc>
              <w:tc>
                <w:tcPr>
                  <w:tcW w:w="1397" w:type="dxa"/>
                  <w:vAlign w:val="center"/>
                </w:tcPr>
                <w:p>
                  <w:pPr>
                    <w:pStyle w:val="42"/>
                  </w:pPr>
                  <w:r>
                    <w:t>项目不涉及。</w:t>
                  </w:r>
                </w:p>
              </w:tc>
              <w:tc>
                <w:tcPr>
                  <w:tcW w:w="65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Merge w:val="continue"/>
                  <w:vAlign w:val="center"/>
                </w:tcPr>
                <w:p>
                  <w:pPr>
                    <w:pStyle w:val="42"/>
                  </w:pPr>
                </w:p>
              </w:tc>
              <w:tc>
                <w:tcPr>
                  <w:tcW w:w="970" w:type="dxa"/>
                  <w:vAlign w:val="center"/>
                </w:tcPr>
                <w:p>
                  <w:pPr>
                    <w:pStyle w:val="42"/>
                  </w:pPr>
                  <w:r>
                    <w:t>环境风险防控</w:t>
                  </w:r>
                </w:p>
              </w:tc>
              <w:tc>
                <w:tcPr>
                  <w:tcW w:w="4980" w:type="dxa"/>
                  <w:gridSpan w:val="2"/>
                  <w:vAlign w:val="center"/>
                </w:tcPr>
                <w:p>
                  <w:pPr>
                    <w:pStyle w:val="42"/>
                    <w:jc w:val="both"/>
                  </w:pPr>
                  <w:r>
                    <w:t>/</w:t>
                  </w:r>
                </w:p>
              </w:tc>
              <w:tc>
                <w:tcPr>
                  <w:tcW w:w="1397" w:type="dxa"/>
                  <w:vAlign w:val="center"/>
                </w:tcPr>
                <w:p>
                  <w:pPr>
                    <w:pStyle w:val="42"/>
                  </w:pPr>
                  <w:r>
                    <w:t>/</w:t>
                  </w:r>
                </w:p>
              </w:tc>
              <w:tc>
                <w:tcPr>
                  <w:tcW w:w="65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Merge w:val="continue"/>
                  <w:vAlign w:val="center"/>
                </w:tcPr>
                <w:p>
                  <w:pPr>
                    <w:pStyle w:val="42"/>
                  </w:pPr>
                </w:p>
              </w:tc>
              <w:tc>
                <w:tcPr>
                  <w:tcW w:w="970" w:type="dxa"/>
                  <w:vAlign w:val="center"/>
                </w:tcPr>
                <w:p>
                  <w:pPr>
                    <w:pStyle w:val="42"/>
                  </w:pPr>
                  <w:r>
                    <w:t>资源利用效率</w:t>
                  </w:r>
                </w:p>
              </w:tc>
              <w:tc>
                <w:tcPr>
                  <w:tcW w:w="4980" w:type="dxa"/>
                  <w:gridSpan w:val="2"/>
                  <w:vAlign w:val="center"/>
                </w:tcPr>
                <w:p>
                  <w:pPr>
                    <w:pStyle w:val="42"/>
                    <w:jc w:val="both"/>
                  </w:pPr>
                  <w:r>
                    <w:t>/</w:t>
                  </w:r>
                </w:p>
              </w:tc>
              <w:tc>
                <w:tcPr>
                  <w:tcW w:w="1397" w:type="dxa"/>
                  <w:vAlign w:val="center"/>
                </w:tcPr>
                <w:p>
                  <w:pPr>
                    <w:pStyle w:val="42"/>
                  </w:pPr>
                  <w:r>
                    <w:t>/</w:t>
                  </w:r>
                </w:p>
              </w:tc>
              <w:tc>
                <w:tcPr>
                  <w:tcW w:w="65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Merge w:val="restart"/>
                  <w:vAlign w:val="center"/>
                </w:tcPr>
                <w:p>
                  <w:pPr>
                    <w:pStyle w:val="42"/>
                  </w:pPr>
                  <w:r>
                    <w:t>区县总体管控要求</w:t>
                  </w:r>
                </w:p>
              </w:tc>
              <w:tc>
                <w:tcPr>
                  <w:tcW w:w="970" w:type="dxa"/>
                  <w:vAlign w:val="center"/>
                </w:tcPr>
                <w:p>
                  <w:pPr>
                    <w:pStyle w:val="42"/>
                  </w:pPr>
                  <w:r>
                    <w:t>空间布局约束</w:t>
                  </w:r>
                </w:p>
              </w:tc>
              <w:tc>
                <w:tcPr>
                  <w:tcW w:w="4980" w:type="dxa"/>
                  <w:gridSpan w:val="2"/>
                  <w:vAlign w:val="center"/>
                </w:tcPr>
                <w:p>
                  <w:pPr>
                    <w:pStyle w:val="42"/>
                    <w:jc w:val="both"/>
                    <w:rPr>
                      <w:color w:val="0000FF"/>
                    </w:rPr>
                  </w:pPr>
                  <w:r>
                    <w:rPr>
                      <w:rFonts w:hint="eastAsia"/>
                      <w:color w:val="0000FF"/>
                    </w:rPr>
                    <w:t>第一条 执行重点管控单元市级总体要求第二条、第三条、第四条、第五条、第七条，如下：</w:t>
                  </w:r>
                </w:p>
                <w:p>
                  <w:pPr>
                    <w:pStyle w:val="42"/>
                    <w:jc w:val="both"/>
                  </w:pPr>
                  <w:r>
                    <w:rPr>
                      <w:rFonts w:hint="eastAsia"/>
                    </w:rPr>
                    <w:t>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p>
                  <w:pPr>
                    <w:pStyle w:val="42"/>
                    <w:jc w:val="both"/>
                  </w:pPr>
                  <w:r>
                    <w:rPr>
                      <w:rFonts w:hint="eastAsia"/>
                    </w:rPr>
                    <w:t>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pPr>
                    <w:pStyle w:val="42"/>
                    <w:jc w:val="both"/>
                  </w:pPr>
                  <w:r>
                    <w:rPr>
                      <w:rFonts w:hint="eastAsia"/>
                    </w:rPr>
                    <w:t>严把项目准入关口，对不符合要求的高耗能、高排放、低水平项目坚决不予准入。除在安全或者产业布局等方面有特殊要求的项目外，新建有污染物排放的工业项目应当进入工业集聚区。鼓励现有工业项目、化工项目分别搬入工业集聚区、化工产业集聚区。</w:t>
                  </w:r>
                </w:p>
                <w:p>
                  <w:pPr>
                    <w:pStyle w:val="42"/>
                    <w:jc w:val="both"/>
                  </w:pPr>
                  <w:r>
                    <w:rPr>
                      <w:rFonts w:hint="eastAsia"/>
                    </w:rPr>
                    <w:t>新建、扩建有色金属冶炼、电镀、铅蓄电池等企业应布设在依法合规设立并经过规划环评的产业园区。</w:t>
                  </w:r>
                </w:p>
                <w:p>
                  <w:pPr>
                    <w:pStyle w:val="42"/>
                    <w:jc w:val="both"/>
                  </w:pPr>
                  <w:r>
                    <w:rPr>
                      <w:rFonts w:hint="eastAsia"/>
                    </w:rPr>
                    <w:t>有效规范空间开发秩序，合理控制空间开发强度，切实将各类开发活动限制在资源环境承载能力之内，为构建高效协调可持续的国土空间开发格局奠定坚实基础。</w:t>
                  </w:r>
                </w:p>
                <w:p>
                  <w:pPr>
                    <w:pStyle w:val="42"/>
                    <w:jc w:val="both"/>
                  </w:pPr>
                  <w:r>
                    <w:rPr>
                      <w:rFonts w:hint="eastAsia"/>
                      <w:color w:val="0000FF"/>
                    </w:rPr>
                    <w:t xml:space="preserve">第二条 </w:t>
                  </w:r>
                  <w:r>
                    <w:rPr>
                      <w:rFonts w:hint="eastAsia"/>
                    </w:rPr>
                    <w:t>深入贯彻习近平生态文明思想，筑牢长江上游武陵山区重要生态屏障，确保重要生态空间应保尽保，推进城乡产城景融合发展，优化重点区域、流域、产业的空间布局。</w:t>
                  </w:r>
                </w:p>
                <w:p>
                  <w:pPr>
                    <w:pStyle w:val="42"/>
                    <w:jc w:val="both"/>
                  </w:pPr>
                  <w:r>
                    <w:rPr>
                      <w:rFonts w:hint="eastAsia"/>
                      <w:color w:val="0000FF"/>
                    </w:rPr>
                    <w:t xml:space="preserve">第三条 </w:t>
                  </w:r>
                  <w:r>
                    <w:rPr>
                      <w:rFonts w:hint="eastAsia"/>
                    </w:rPr>
                    <w:t>严格执行《酉阳土家族苗族自治县人民政府办公室转发&lt;重庆市国家重点生态功能区产业准入负面清单（试行）&gt;的通知》（酉阳府办〔2018〕34号），促进产业绿色发展。</w:t>
                  </w:r>
                </w:p>
                <w:p>
                  <w:pPr>
                    <w:pStyle w:val="42"/>
                    <w:jc w:val="both"/>
                  </w:pPr>
                  <w:r>
                    <w:rPr>
                      <w:rFonts w:hint="eastAsia"/>
                      <w:color w:val="0000FF"/>
                    </w:rPr>
                    <w:t xml:space="preserve">第四条 </w:t>
                  </w:r>
                  <w:r>
                    <w:rPr>
                      <w:rFonts w:hint="eastAsia"/>
                    </w:rPr>
                    <w:t>涉及环境防护距离的工业企业或项目应通过选址或调整布局原则上将环境防护距离控制在园区边界或用地红线内，提前合理规划项目地块布置、预防环境风险。</w:t>
                  </w:r>
                </w:p>
              </w:tc>
              <w:tc>
                <w:tcPr>
                  <w:tcW w:w="1397" w:type="dxa"/>
                  <w:vAlign w:val="center"/>
                </w:tcPr>
                <w:p>
                  <w:pPr>
                    <w:pStyle w:val="42"/>
                    <w:rPr>
                      <w:bCs/>
                    </w:rPr>
                  </w:pPr>
                  <w:r>
                    <w:rPr>
                      <w:rFonts w:hint="eastAsia"/>
                    </w:rPr>
                    <w:t>项目为</w:t>
                  </w:r>
                  <w:r>
                    <w:rPr>
                      <w:rFonts w:hint="eastAsia"/>
                      <w:color w:val="0000FF"/>
                    </w:rPr>
                    <w:t>建筑石料用</w:t>
                  </w:r>
                  <w:r>
                    <w:rPr>
                      <w:rFonts w:hint="eastAsia"/>
                    </w:rPr>
                    <w:t>灰岩开采加工项目，距离最近的河流为阿蓬江，距离约4.63km，不处于</w:t>
                  </w:r>
                  <w:r>
                    <w:rPr>
                      <w:rFonts w:hint="eastAsia"/>
                      <w:bCs/>
                    </w:rPr>
                    <w:t>长江干流3km及其重要支流1km范围内；</w:t>
                  </w:r>
                </w:p>
                <w:p>
                  <w:pPr>
                    <w:pStyle w:val="42"/>
                  </w:pPr>
                  <w:r>
                    <w:t>项目矿权为</w:t>
                  </w:r>
                  <w:r>
                    <w:rPr>
                      <w:rFonts w:hint="eastAsia"/>
                    </w:rPr>
                    <w:t>《</w:t>
                  </w:r>
                  <w:r>
                    <w:t>重庆市酉阳土家族苗族自治县矿产资源总体规划（2021-2025年）</w:t>
                  </w:r>
                  <w:r>
                    <w:rPr>
                      <w:rFonts w:hint="eastAsia"/>
                    </w:rPr>
                    <w:t>》</w:t>
                  </w:r>
                  <w:r>
                    <w:t>中规划矿权，</w:t>
                  </w:r>
                  <w:r>
                    <w:rPr>
                      <w:rFonts w:hint="eastAsia"/>
                    </w:rPr>
                    <w:t>位于合规规划区范围内，开发强度受到规划区总体控制；</w:t>
                  </w:r>
                </w:p>
                <w:p>
                  <w:pPr>
                    <w:pStyle w:val="42"/>
                  </w:pPr>
                  <w:r>
                    <w:t>项目建成后将打造为绿色矿山。</w:t>
                  </w:r>
                </w:p>
                <w:p>
                  <w:pPr>
                    <w:pStyle w:val="42"/>
                  </w:pPr>
                  <w:r>
                    <w:rPr>
                      <w:rFonts w:hint="eastAsia"/>
                    </w:rPr>
                    <w:t>项目为土砂石开采项目，清洁水平不低于国内先进水平，符合《重庆市国家重点生态功能区产业准入负面清单》的管控要求；项目不设置环境防护距离。</w:t>
                  </w:r>
                </w:p>
              </w:tc>
              <w:tc>
                <w:tcPr>
                  <w:tcW w:w="65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Merge w:val="continue"/>
                  <w:vAlign w:val="center"/>
                </w:tcPr>
                <w:p>
                  <w:pPr>
                    <w:pStyle w:val="42"/>
                  </w:pPr>
                </w:p>
              </w:tc>
              <w:tc>
                <w:tcPr>
                  <w:tcW w:w="970" w:type="dxa"/>
                  <w:vAlign w:val="center"/>
                </w:tcPr>
                <w:p>
                  <w:pPr>
                    <w:pStyle w:val="42"/>
                  </w:pPr>
                  <w:r>
                    <w:t>污染物排放管控</w:t>
                  </w:r>
                </w:p>
              </w:tc>
              <w:tc>
                <w:tcPr>
                  <w:tcW w:w="4980" w:type="dxa"/>
                  <w:gridSpan w:val="2"/>
                  <w:vAlign w:val="center"/>
                </w:tcPr>
                <w:p>
                  <w:pPr>
                    <w:pStyle w:val="42"/>
                    <w:jc w:val="both"/>
                    <w:rPr>
                      <w:color w:val="0000FF"/>
                    </w:rPr>
                  </w:pPr>
                  <w:r>
                    <w:rPr>
                      <w:rFonts w:hint="eastAsia"/>
                      <w:color w:val="0000FF"/>
                    </w:rPr>
                    <w:t>第五条 执行重点管控单元市级总体要求第八条、第十条、第十一条、第十三条、第十四条、第十五条，如下：</w:t>
                  </w:r>
                </w:p>
                <w:p>
                  <w:pPr>
                    <w:pStyle w:val="42"/>
                    <w:jc w:val="both"/>
                    <w:rPr>
                      <w:color w:val="0000FF"/>
                    </w:rPr>
                  </w:pPr>
                  <w:r>
                    <w:rPr>
                      <w:rFonts w:hint="eastAsia"/>
                      <w:color w:val="0000FF"/>
                    </w:rPr>
                    <w:t>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p>
                  <w:pPr>
                    <w:pStyle w:val="42"/>
                    <w:jc w:val="both"/>
                    <w:rPr>
                      <w:color w:val="0000FF"/>
                    </w:rPr>
                  </w:pPr>
                  <w:r>
                    <w:rPr>
                      <w:rFonts w:hint="eastAsia"/>
                      <w:color w:val="0000FF"/>
                    </w:rPr>
                    <w:t>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p>
                  <w:pPr>
                    <w:pStyle w:val="42"/>
                    <w:jc w:val="both"/>
                    <w:rPr>
                      <w:color w:val="0000FF"/>
                    </w:rPr>
                  </w:pPr>
                  <w:r>
                    <w:rPr>
                      <w:rFonts w:hint="eastAsia"/>
                      <w:color w:val="0000FF"/>
                    </w:rPr>
                    <w:t>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p>
                  <w:pPr>
                    <w:pStyle w:val="42"/>
                    <w:jc w:val="both"/>
                    <w:rPr>
                      <w:color w:val="0000FF"/>
                    </w:rPr>
                  </w:pPr>
                  <w:r>
                    <w:rPr>
                      <w:rFonts w:hint="eastAsia"/>
                      <w:color w:val="0000FF"/>
                    </w:rPr>
                    <w:t>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p>
                  <w:pPr>
                    <w:pStyle w:val="42"/>
                    <w:jc w:val="both"/>
                  </w:pPr>
                  <w:r>
                    <w:rPr>
                      <w:rFonts w:hint="eastAsia"/>
                    </w:rPr>
                    <w:t>固体废物污染环境防治坚持减量化、资源化和无害化的原则。产生工业固体废物的单位应当建立健全工业固体废物产生、收集、贮存、运输、利用、处置全过程的污染环境防治责任制度，建立工业固体废物管理台账。</w:t>
                  </w:r>
                </w:p>
                <w:p>
                  <w:pPr>
                    <w:pStyle w:val="42"/>
                    <w:jc w:val="both"/>
                  </w:pPr>
                  <w:r>
                    <w:rPr>
                      <w:rFonts w:hint="eastAsia"/>
                      <w:color w:val="0000FF"/>
                    </w:rPr>
                    <w:t>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1397" w:type="dxa"/>
                  <w:vAlign w:val="center"/>
                </w:tcPr>
                <w:p>
                  <w:pPr>
                    <w:pStyle w:val="42"/>
                  </w:pPr>
                  <w:r>
                    <w:rPr>
                      <w:rFonts w:hint="eastAsia"/>
                      <w:color w:val="0000FF"/>
                    </w:rPr>
                    <w:t>项目为非金属矿采选加工业，不涉及。</w:t>
                  </w:r>
                  <w:r>
                    <w:rPr>
                      <w:rFonts w:hint="eastAsia"/>
                    </w:rPr>
                    <w:t>项目产生的固废将分类收集、暂存、处置，并设置固废台账，做到全时段管理。</w:t>
                  </w:r>
                </w:p>
              </w:tc>
              <w:tc>
                <w:tcPr>
                  <w:tcW w:w="65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Merge w:val="continue"/>
                  <w:vAlign w:val="center"/>
                </w:tcPr>
                <w:p>
                  <w:pPr>
                    <w:pStyle w:val="42"/>
                  </w:pPr>
                </w:p>
              </w:tc>
              <w:tc>
                <w:tcPr>
                  <w:tcW w:w="970" w:type="dxa"/>
                  <w:vAlign w:val="center"/>
                </w:tcPr>
                <w:p>
                  <w:pPr>
                    <w:pStyle w:val="42"/>
                  </w:pPr>
                  <w:r>
                    <w:rPr>
                      <w:color w:val="0000FF"/>
                    </w:rPr>
                    <w:t>污染物排放管控</w:t>
                  </w:r>
                </w:p>
              </w:tc>
              <w:tc>
                <w:tcPr>
                  <w:tcW w:w="4980" w:type="dxa"/>
                  <w:gridSpan w:val="2"/>
                  <w:vAlign w:val="center"/>
                </w:tcPr>
                <w:p>
                  <w:pPr>
                    <w:pStyle w:val="42"/>
                    <w:jc w:val="both"/>
                    <w:rPr>
                      <w:color w:val="0000FF"/>
                    </w:rPr>
                  </w:pPr>
                  <w:r>
                    <w:rPr>
                      <w:rFonts w:hint="eastAsia"/>
                      <w:color w:val="0000FF"/>
                    </w:rPr>
                    <w:t>第六条小坝新城、菖蒲盖片区新建生活污水处理厂全部按照《城镇污水处理厂污染物排放标准》（</w:t>
                  </w:r>
                  <w:r>
                    <w:rPr>
                      <w:color w:val="0000FF"/>
                    </w:rPr>
                    <w:t>GB18918-2002</w:t>
                  </w:r>
                  <w:r>
                    <w:rPr>
                      <w:rFonts w:hint="eastAsia"/>
                      <w:color w:val="0000FF"/>
                    </w:rPr>
                    <w:t>）一级</w:t>
                  </w:r>
                  <w:r>
                    <w:rPr>
                      <w:color w:val="0000FF"/>
                    </w:rPr>
                    <w:t>A</w:t>
                  </w:r>
                  <w:r>
                    <w:rPr>
                      <w:rFonts w:hint="eastAsia"/>
                      <w:color w:val="0000FF"/>
                    </w:rPr>
                    <w:t>标及以上排放标准设计、施工、验收，小坝新城城市生活污水处理厂尾水排放去向合理论证，严禁直接排入暗河。建制乡镇生活污水处理设施出水水质不得低于《城镇污水处理厂污染物排放标准》（</w:t>
                  </w:r>
                  <w:r>
                    <w:rPr>
                      <w:color w:val="0000FF"/>
                    </w:rPr>
                    <w:t>GB18918-2002</w:t>
                  </w:r>
                  <w:r>
                    <w:rPr>
                      <w:rFonts w:hint="eastAsia"/>
                      <w:color w:val="0000FF"/>
                    </w:rPr>
                    <w:t>）一级</w:t>
                  </w:r>
                  <w:r>
                    <w:rPr>
                      <w:color w:val="0000FF"/>
                    </w:rPr>
                    <w:t>B</w:t>
                  </w:r>
                  <w:r>
                    <w:rPr>
                      <w:rFonts w:hint="eastAsia"/>
                      <w:color w:val="0000FF"/>
                    </w:rPr>
                    <w:t>标排放标准，麻旺、龙潭、板溪等重点镇结合城市发展和污水负荷情况推进生活污水处理设施提标改造。加快完善小坝、龙潭、麻旺、板溪、菖蒲等重点片区雨污管网建设，对新建的排水管网，全部按照雨污分流模式实施建设；对现有截留制排水管网实施雨污分流改造，针对无法彻底雨污分流的区域，尊重现实合理保留截留制区域，提高截留倍数。</w:t>
                  </w:r>
                </w:p>
                <w:p>
                  <w:pPr>
                    <w:pStyle w:val="42"/>
                    <w:jc w:val="both"/>
                    <w:rPr>
                      <w:color w:val="0000FF"/>
                    </w:rPr>
                  </w:pPr>
                  <w:r>
                    <w:rPr>
                      <w:rFonts w:hint="eastAsia"/>
                      <w:color w:val="0000FF"/>
                    </w:rPr>
                    <w:t>第七条采取封禁治理、生态修复、坡面综合治理、人工造林、封山育林等措施，推进龚滩镇、龙潭镇、酉酬镇、酉水河镇、黑水镇、泔溪镇、腴地乡、庙溪乡、车田乡、清泉乡、两罾乡、天馆乡、可大乡等石漠化主要分布区域的综合治理。</w:t>
                  </w:r>
                </w:p>
              </w:tc>
              <w:tc>
                <w:tcPr>
                  <w:tcW w:w="1397" w:type="dxa"/>
                  <w:vAlign w:val="center"/>
                </w:tcPr>
                <w:p>
                  <w:pPr>
                    <w:pStyle w:val="42"/>
                  </w:pPr>
                  <w:r>
                    <w:rPr>
                      <w:rFonts w:hint="eastAsia"/>
                      <w:color w:val="0000FF"/>
                    </w:rPr>
                    <w:t>项目为非金属矿采选加工业，位于双泉乡，不属于石漠化地区，不涉及。</w:t>
                  </w:r>
                </w:p>
              </w:tc>
              <w:tc>
                <w:tcPr>
                  <w:tcW w:w="657" w:type="dxa"/>
                  <w:vAlign w:val="center"/>
                </w:tcPr>
                <w:p>
                  <w:pPr>
                    <w:pStyle w:val="42"/>
                  </w:pPr>
                  <w:r>
                    <w:rPr>
                      <w:color w:val="0000FF"/>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9" w:hRule="atLeast"/>
              </w:trPr>
              <w:tc>
                <w:tcPr>
                  <w:tcW w:w="1270" w:type="dxa"/>
                  <w:gridSpan w:val="2"/>
                  <w:vMerge w:val="continue"/>
                  <w:vAlign w:val="center"/>
                </w:tcPr>
                <w:p>
                  <w:pPr>
                    <w:pStyle w:val="42"/>
                  </w:pPr>
                </w:p>
              </w:tc>
              <w:tc>
                <w:tcPr>
                  <w:tcW w:w="970" w:type="dxa"/>
                  <w:vMerge w:val="restart"/>
                  <w:vAlign w:val="center"/>
                </w:tcPr>
                <w:p>
                  <w:pPr>
                    <w:pStyle w:val="42"/>
                  </w:pPr>
                  <w:r>
                    <w:t>环境风险防控</w:t>
                  </w:r>
                </w:p>
              </w:tc>
              <w:tc>
                <w:tcPr>
                  <w:tcW w:w="4980" w:type="dxa"/>
                  <w:gridSpan w:val="2"/>
                  <w:vAlign w:val="center"/>
                </w:tcPr>
                <w:p>
                  <w:pPr>
                    <w:pStyle w:val="42"/>
                    <w:jc w:val="both"/>
                  </w:pPr>
                  <w:r>
                    <w:rPr>
                      <w:rFonts w:hint="eastAsia"/>
                      <w:color w:val="0000FF"/>
                    </w:rPr>
                    <w:t>第八条 电解锰渣场地块限制作为工业用地，不再新设电解锰渣场，通知和公告场地潜在风险。限制渣场影响区域地下水作为饮用水和农业灌溉水。实施防渗改造，对导流涵洞、导排渠、排水沟等截水设施进行修缮和维护，确保渗滤液全收集处置。完善渣场监测体系，定期开展渣场地下水、土壤等监测。</w:t>
                  </w:r>
                </w:p>
              </w:tc>
              <w:tc>
                <w:tcPr>
                  <w:tcW w:w="1397" w:type="dxa"/>
                  <w:vAlign w:val="center"/>
                </w:tcPr>
                <w:p>
                  <w:pPr>
                    <w:pStyle w:val="42"/>
                  </w:pPr>
                  <w:r>
                    <w:rPr>
                      <w:rFonts w:hint="eastAsia"/>
                      <w:color w:val="0000FF"/>
                    </w:rPr>
                    <w:t>项目为非金属矿采选加工业，不涉及。</w:t>
                  </w:r>
                </w:p>
              </w:tc>
              <w:tc>
                <w:tcPr>
                  <w:tcW w:w="657" w:type="dxa"/>
                  <w:vAlign w:val="center"/>
                </w:tcPr>
                <w:p>
                  <w:pPr>
                    <w:pStyle w:val="42"/>
                  </w:pPr>
                  <w:r>
                    <w:rPr>
                      <w:color w:val="0000FF"/>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6" w:hRule="atLeast"/>
              </w:trPr>
              <w:tc>
                <w:tcPr>
                  <w:tcW w:w="1270" w:type="dxa"/>
                  <w:gridSpan w:val="2"/>
                  <w:vMerge w:val="continue"/>
                  <w:vAlign w:val="center"/>
                </w:tcPr>
                <w:p>
                  <w:pPr>
                    <w:pStyle w:val="42"/>
                  </w:pPr>
                </w:p>
              </w:tc>
              <w:tc>
                <w:tcPr>
                  <w:tcW w:w="970" w:type="dxa"/>
                  <w:vMerge w:val="continue"/>
                  <w:vAlign w:val="center"/>
                </w:tcPr>
                <w:p>
                  <w:pPr>
                    <w:pStyle w:val="42"/>
                  </w:pPr>
                </w:p>
              </w:tc>
              <w:tc>
                <w:tcPr>
                  <w:tcW w:w="4980" w:type="dxa"/>
                  <w:gridSpan w:val="2"/>
                  <w:vAlign w:val="center"/>
                </w:tcPr>
                <w:p>
                  <w:pPr>
                    <w:pStyle w:val="42"/>
                    <w:jc w:val="both"/>
                    <w:rPr>
                      <w:color w:val="0000FF"/>
                    </w:rPr>
                  </w:pPr>
                  <w:r>
                    <w:rPr>
                      <w:rFonts w:hint="eastAsia"/>
                      <w:color w:val="0000FF"/>
                    </w:rPr>
                    <w:t>第九条 深入开展行政区域、重点流域、重点饮用水源、重点渣场等突发环境事件风险评估，建立区域突发环境事件风险评估数据信息获取与动态更新机制。</w:t>
                  </w:r>
                  <w:r>
                    <w:t>落实企业突发环境事件风险评估制度，推进突发环境事件风险分类分级管理，严格监管重大突发环境事件风险企业。</w:t>
                  </w:r>
                </w:p>
              </w:tc>
              <w:tc>
                <w:tcPr>
                  <w:tcW w:w="1397" w:type="dxa"/>
                  <w:vAlign w:val="center"/>
                </w:tcPr>
                <w:p>
                  <w:pPr>
                    <w:pStyle w:val="42"/>
                  </w:pPr>
                  <w:r>
                    <w:rPr>
                      <w:rFonts w:hint="eastAsia"/>
                    </w:rPr>
                    <w:t>项目为</w:t>
                  </w:r>
                  <w:r>
                    <w:rPr>
                      <w:rFonts w:hint="eastAsia"/>
                      <w:color w:val="0000FF"/>
                    </w:rPr>
                    <w:t>建筑石料用</w:t>
                  </w:r>
                  <w:r>
                    <w:rPr>
                      <w:rFonts w:hint="eastAsia"/>
                    </w:rPr>
                    <w:t>灰岩矿山，设置危废贮存点收集储存设备维护保养废油，</w:t>
                  </w:r>
                  <w:r>
                    <w:rPr>
                      <w:rFonts w:hint="eastAsia"/>
                      <w:color w:val="0000FF"/>
                    </w:rPr>
                    <w:t>并做好“六防”</w:t>
                  </w:r>
                  <w:r>
                    <w:rPr>
                      <w:bCs/>
                      <w:color w:val="0000FF"/>
                      <w:szCs w:val="21"/>
                    </w:rPr>
                    <w:t>（防风、防雨、防晒、防渗、防漏、防腐）</w:t>
                  </w:r>
                  <w:r>
                    <w:rPr>
                      <w:rFonts w:hint="eastAsia"/>
                      <w:color w:val="0000FF"/>
                    </w:rPr>
                    <w:t>措施</w:t>
                  </w:r>
                  <w:r>
                    <w:rPr>
                      <w:bCs/>
                      <w:color w:val="0000FF"/>
                    </w:rPr>
                    <w:t>及泄漏物收集措施</w:t>
                  </w:r>
                  <w:r>
                    <w:rPr>
                      <w:rFonts w:hint="eastAsia"/>
                      <w:bCs/>
                      <w:color w:val="0000FF"/>
                    </w:rPr>
                    <w:t>；</w:t>
                  </w:r>
                  <w:r>
                    <w:rPr>
                      <w:rFonts w:hint="eastAsia"/>
                    </w:rPr>
                    <w:t>设置柴油罐区储存柴油，</w:t>
                  </w:r>
                  <w:r>
                    <w:rPr>
                      <w:rFonts w:hint="eastAsia"/>
                      <w:color w:val="0000FF"/>
                    </w:rPr>
                    <w:t>并</w:t>
                  </w:r>
                  <w:r>
                    <w:rPr>
                      <w:rFonts w:hint="eastAsia"/>
                    </w:rPr>
                    <w:t>做好</w:t>
                  </w:r>
                  <w:r>
                    <w:rPr>
                      <w:rFonts w:hint="eastAsia"/>
                      <w:color w:val="0000FF"/>
                    </w:rPr>
                    <w:t>防雨、防渗漏</w:t>
                  </w:r>
                  <w:r>
                    <w:rPr>
                      <w:rFonts w:hint="eastAsia"/>
                    </w:rPr>
                    <w:t>措施。</w:t>
                  </w:r>
                </w:p>
              </w:tc>
              <w:tc>
                <w:tcPr>
                  <w:tcW w:w="65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Merge w:val="continue"/>
                  <w:vAlign w:val="center"/>
                </w:tcPr>
                <w:p>
                  <w:pPr>
                    <w:pStyle w:val="42"/>
                  </w:pPr>
                </w:p>
              </w:tc>
              <w:tc>
                <w:tcPr>
                  <w:tcW w:w="970" w:type="dxa"/>
                  <w:vMerge w:val="continue"/>
                  <w:vAlign w:val="center"/>
                </w:tcPr>
                <w:p>
                  <w:pPr>
                    <w:pStyle w:val="42"/>
                  </w:pPr>
                </w:p>
              </w:tc>
              <w:tc>
                <w:tcPr>
                  <w:tcW w:w="4980" w:type="dxa"/>
                  <w:gridSpan w:val="2"/>
                  <w:vAlign w:val="center"/>
                </w:tcPr>
                <w:p>
                  <w:pPr>
                    <w:pStyle w:val="42"/>
                    <w:jc w:val="both"/>
                    <w:rPr>
                      <w:color w:val="0000FF"/>
                    </w:rPr>
                  </w:pPr>
                  <w:r>
                    <w:rPr>
                      <w:rFonts w:hint="eastAsia"/>
                      <w:color w:val="0000FF"/>
                    </w:rPr>
                    <w:t>第十条 工业园区内的企业破产或关闭后，土壤污染状况调查表明超过风险管控标准的，在不改变用地性质（仍为工业用地）、落实好风险管控措施且可以安全利用的前提下，可以引进新的工业项目。但在土地使用权转让或者租赁过程中，应当将土壤污染调查的主要结果作为土地使用权转让或者租赁合同的附件，利于后期区分土壤污染责任。土地实际使用人在后续使用过程中应确保风险管控措施持续有效，采取日常监测等措施，确保污染不扩散。</w:t>
                  </w:r>
                </w:p>
                <w:p>
                  <w:pPr>
                    <w:pStyle w:val="42"/>
                    <w:jc w:val="both"/>
                    <w:rPr>
                      <w:color w:val="0000FF"/>
                    </w:rPr>
                  </w:pPr>
                  <w:r>
                    <w:rPr>
                      <w:rFonts w:hint="eastAsia"/>
                      <w:color w:val="0000FF"/>
                    </w:rPr>
                    <w:t>第十一条 工业用地性质发生改变，须开展土壤环境风险评估工作，若存在污染，须开展土壤修复工作。</w:t>
                  </w:r>
                </w:p>
              </w:tc>
              <w:tc>
                <w:tcPr>
                  <w:tcW w:w="1397" w:type="dxa"/>
                  <w:vAlign w:val="center"/>
                </w:tcPr>
                <w:p>
                  <w:pPr>
                    <w:pStyle w:val="42"/>
                  </w:pPr>
                  <w:r>
                    <w:rPr>
                      <w:rFonts w:hint="eastAsia"/>
                      <w:color w:val="0000FF"/>
                    </w:rPr>
                    <w:t>项目为非金属矿采选加工业，不处于工业园区，工业场地</w:t>
                  </w:r>
                </w:p>
              </w:tc>
              <w:tc>
                <w:tcPr>
                  <w:tcW w:w="657" w:type="dxa"/>
                  <w:vAlign w:val="center"/>
                </w:tcPr>
                <w:p>
                  <w:pPr>
                    <w:pStyle w:val="42"/>
                  </w:pPr>
                  <w:r>
                    <w:rPr>
                      <w:color w:val="0000FF"/>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Merge w:val="continue"/>
                  <w:vAlign w:val="center"/>
                </w:tcPr>
                <w:p>
                  <w:pPr>
                    <w:pStyle w:val="42"/>
                  </w:pPr>
                </w:p>
              </w:tc>
              <w:tc>
                <w:tcPr>
                  <w:tcW w:w="970" w:type="dxa"/>
                  <w:vAlign w:val="center"/>
                </w:tcPr>
                <w:p>
                  <w:pPr>
                    <w:pStyle w:val="42"/>
                  </w:pPr>
                  <w:r>
                    <w:t>资源利用效率</w:t>
                  </w:r>
                </w:p>
              </w:tc>
              <w:tc>
                <w:tcPr>
                  <w:tcW w:w="4980" w:type="dxa"/>
                  <w:gridSpan w:val="2"/>
                  <w:vAlign w:val="center"/>
                </w:tcPr>
                <w:p>
                  <w:pPr>
                    <w:pStyle w:val="42"/>
                    <w:jc w:val="both"/>
                    <w:rPr>
                      <w:color w:val="0000FF"/>
                    </w:rPr>
                  </w:pPr>
                  <w:r>
                    <w:rPr>
                      <w:rFonts w:hint="eastAsia"/>
                      <w:color w:val="0000FF"/>
                    </w:rPr>
                    <w:t>第十二条 执行重点管控单元市级总体要求第十八条、第十九条、第二十条、第二十一条，如下：</w:t>
                  </w:r>
                </w:p>
                <w:p>
                  <w:pPr>
                    <w:pStyle w:val="42"/>
                    <w:jc w:val="both"/>
                    <w:rPr>
                      <w:color w:val="0000FF"/>
                    </w:rPr>
                  </w:pPr>
                  <w:r>
                    <w:rPr>
                      <w:rFonts w:hint="eastAsia"/>
                      <w:color w:val="0000FF"/>
                    </w:rPr>
                    <w:t>实施能源领域碳达峰碳中和行动，科学有序推动能源生产消费方式绿色低碳变革。实施可再生能源替代，减少化石能源消费。加强产业布局和能耗“双控”政策衔接，促进重点用能领域用能结构优化和能效提升。</w:t>
                  </w:r>
                </w:p>
                <w:p>
                  <w:pPr>
                    <w:pStyle w:val="42"/>
                    <w:jc w:val="both"/>
                    <w:rPr>
                      <w:color w:val="0000FF"/>
                    </w:rPr>
                  </w:pPr>
                  <w:r>
                    <w:rPr>
                      <w:rFonts w:hint="eastAsia"/>
                      <w:color w:val="0000FF"/>
                    </w:rPr>
                    <w:t>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p>
                  <w:pPr>
                    <w:pStyle w:val="42"/>
                    <w:jc w:val="both"/>
                    <w:rPr>
                      <w:color w:val="0000FF"/>
                    </w:rPr>
                  </w:pPr>
                  <w:r>
                    <w:rPr>
                      <w:rFonts w:hint="eastAsia"/>
                      <w:color w:val="0000FF"/>
                    </w:rPr>
                    <w:t>新建、扩建“两高”项目应采用先进适用的工艺技术和装备，单位产品物耗、能耗、水耗等达到清洁生产先进水平。</w:t>
                  </w:r>
                </w:p>
                <w:p>
                  <w:pPr>
                    <w:pStyle w:val="42"/>
                    <w:jc w:val="both"/>
                    <w:rPr>
                      <w:color w:val="0000FF"/>
                    </w:rPr>
                  </w:pPr>
                  <w:r>
                    <w:rPr>
                      <w:rFonts w:hint="eastAsia"/>
                    </w:rPr>
                    <w:t>推进企业内部工业用水循环利用、园区内企业间用水系统集成优化。</w:t>
                  </w:r>
                  <w:r>
                    <w:rPr>
                      <w:rFonts w:hint="eastAsia"/>
                      <w:color w:val="0000FF"/>
                    </w:rPr>
                    <w:t>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p>
                  <w:pPr>
                    <w:pStyle w:val="42"/>
                    <w:jc w:val="both"/>
                    <w:rPr>
                      <w:color w:val="0000FF"/>
                    </w:rPr>
                  </w:pPr>
                  <w:r>
                    <w:rPr>
                      <w:rFonts w:hint="eastAsia"/>
                      <w:color w:val="0000FF"/>
                    </w:rPr>
                    <w:t>第十三条 加快推进节水配套设施建设，加强再生水、雨水等非常规水多元、梯级和安全利用；结合现有污水处理设施提标升级扩能改造，系统规划城镇污水再生利用设施，新建小坝新城污水处理厂应配套建设再生水利用设施，钟多污水处理设施完善再生水利用设施；进一步扩大再生水利用范围、利用量和完善再生水管网“末梢”，逐步提升再生水利用率。</w:t>
                  </w:r>
                </w:p>
                <w:p>
                  <w:pPr>
                    <w:pStyle w:val="42"/>
                    <w:jc w:val="both"/>
                  </w:pPr>
                  <w:r>
                    <w:rPr>
                      <w:rFonts w:hint="eastAsia"/>
                      <w:color w:val="0000FF"/>
                    </w:rPr>
                    <w:t>第十四条 根据城区建设推进情况，适时扩大高污染燃料禁燃区范围，优先将小坝新城纳入高污染燃料禁燃区，禁燃区内禁止新建、改扩建采用高污染燃料的项目和设施。</w:t>
                  </w:r>
                </w:p>
              </w:tc>
              <w:tc>
                <w:tcPr>
                  <w:tcW w:w="1397" w:type="dxa"/>
                  <w:vAlign w:val="center"/>
                </w:tcPr>
                <w:p>
                  <w:pPr>
                    <w:pStyle w:val="42"/>
                  </w:pPr>
                  <w:r>
                    <w:rPr>
                      <w:rFonts w:hint="eastAsia"/>
                      <w:color w:val="0000FF"/>
                    </w:rPr>
                    <w:t>项目为非金属矿采选加工业，</w:t>
                  </w:r>
                  <w:r>
                    <w:t>项目采用电能，</w:t>
                  </w:r>
                  <w:r>
                    <w:rPr>
                      <w:rFonts w:hint="eastAsia"/>
                    </w:rPr>
                    <w:t>针对车辆冲洗废水沉淀后回用</w:t>
                  </w:r>
                  <w:r>
                    <w:t>。</w:t>
                  </w:r>
                </w:p>
              </w:tc>
              <w:tc>
                <w:tcPr>
                  <w:tcW w:w="65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445" w:type="dxa"/>
                  <w:vMerge w:val="restart"/>
                  <w:vAlign w:val="center"/>
                </w:tcPr>
                <w:p>
                  <w:pPr>
                    <w:pStyle w:val="42"/>
                  </w:pPr>
                  <w:r>
                    <w:t>单元管控要求</w:t>
                  </w:r>
                </w:p>
              </w:tc>
              <w:tc>
                <w:tcPr>
                  <w:tcW w:w="825" w:type="dxa"/>
                  <w:vMerge w:val="restart"/>
                  <w:vAlign w:val="center"/>
                </w:tcPr>
                <w:p>
                  <w:pPr>
                    <w:pStyle w:val="42"/>
                  </w:pPr>
                  <w:r>
                    <w:t>一般管控单元1</w:t>
                  </w:r>
                </w:p>
              </w:tc>
              <w:tc>
                <w:tcPr>
                  <w:tcW w:w="970" w:type="dxa"/>
                  <w:vAlign w:val="center"/>
                </w:tcPr>
                <w:p>
                  <w:pPr>
                    <w:pStyle w:val="42"/>
                  </w:pPr>
                  <w:r>
                    <w:t>空间布局约束</w:t>
                  </w:r>
                </w:p>
              </w:tc>
              <w:tc>
                <w:tcPr>
                  <w:tcW w:w="4980" w:type="dxa"/>
                  <w:gridSpan w:val="2"/>
                  <w:vAlign w:val="center"/>
                </w:tcPr>
                <w:p>
                  <w:pPr>
                    <w:pStyle w:val="42"/>
                    <w:jc w:val="both"/>
                  </w:pPr>
                  <w:r>
                    <w:t>/</w:t>
                  </w:r>
                </w:p>
              </w:tc>
              <w:tc>
                <w:tcPr>
                  <w:tcW w:w="1397" w:type="dxa"/>
                  <w:vAlign w:val="center"/>
                </w:tcPr>
                <w:p>
                  <w:pPr>
                    <w:pStyle w:val="42"/>
                  </w:pPr>
                  <w:r>
                    <w:t>/</w:t>
                  </w:r>
                </w:p>
              </w:tc>
              <w:tc>
                <w:tcPr>
                  <w:tcW w:w="65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445" w:type="dxa"/>
                  <w:vMerge w:val="continue"/>
                  <w:vAlign w:val="center"/>
                </w:tcPr>
                <w:p>
                  <w:pPr>
                    <w:pStyle w:val="42"/>
                  </w:pPr>
                </w:p>
              </w:tc>
              <w:tc>
                <w:tcPr>
                  <w:tcW w:w="825" w:type="dxa"/>
                  <w:vMerge w:val="continue"/>
                  <w:vAlign w:val="center"/>
                </w:tcPr>
                <w:p>
                  <w:pPr>
                    <w:pStyle w:val="42"/>
                  </w:pPr>
                </w:p>
              </w:tc>
              <w:tc>
                <w:tcPr>
                  <w:tcW w:w="970" w:type="dxa"/>
                  <w:vAlign w:val="center"/>
                </w:tcPr>
                <w:p>
                  <w:pPr>
                    <w:pStyle w:val="42"/>
                  </w:pPr>
                  <w:r>
                    <w:t>污染物排放管控</w:t>
                  </w:r>
                </w:p>
              </w:tc>
              <w:tc>
                <w:tcPr>
                  <w:tcW w:w="4980" w:type="dxa"/>
                  <w:gridSpan w:val="2"/>
                  <w:vAlign w:val="center"/>
                </w:tcPr>
                <w:p>
                  <w:pPr>
                    <w:pStyle w:val="42"/>
                    <w:jc w:val="both"/>
                  </w:pPr>
                  <w:r>
                    <w:rPr>
                      <w:rFonts w:hint="eastAsia"/>
                    </w:rPr>
                    <w:t>1.片区推广种养循环技术，发展以林下养殖、林产品采集加工和森林景观利用为主要内容的林下经济，开展林果、林药、林菌、林禽、林畜、林花、林草、林菜、林蜂等多种经营，通过异位发酵床处理等方式，实现有机肥还田。</w:t>
                  </w:r>
                </w:p>
                <w:p>
                  <w:pPr>
                    <w:pStyle w:val="42"/>
                    <w:jc w:val="both"/>
                    <w:rPr>
                      <w:rFonts w:eastAsia="等线"/>
                    </w:rPr>
                  </w:pPr>
                  <w:r>
                    <w:rPr>
                      <w:rFonts w:hint="eastAsia"/>
                    </w:rPr>
                    <w:t>2.确保苍岭镇榨菜企业稳定运行废水治理设施，严格落实“售榨菜交废水”“收原料收废水”等制度，对榨菜废水进行收集处理，确保榨菜废水排放满足《重庆市榨菜行业水污染物排放标准》等相关标准。</w:t>
                  </w:r>
                </w:p>
              </w:tc>
              <w:tc>
                <w:tcPr>
                  <w:tcW w:w="1397" w:type="dxa"/>
                  <w:vAlign w:val="center"/>
                </w:tcPr>
                <w:p>
                  <w:pPr>
                    <w:pStyle w:val="42"/>
                  </w:pPr>
                  <w:r>
                    <w:t>项目不涉及。</w:t>
                  </w:r>
                </w:p>
              </w:tc>
              <w:tc>
                <w:tcPr>
                  <w:tcW w:w="65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445" w:type="dxa"/>
                  <w:vMerge w:val="continue"/>
                  <w:vAlign w:val="center"/>
                </w:tcPr>
                <w:p>
                  <w:pPr>
                    <w:pStyle w:val="42"/>
                  </w:pPr>
                </w:p>
              </w:tc>
              <w:tc>
                <w:tcPr>
                  <w:tcW w:w="825" w:type="dxa"/>
                  <w:vMerge w:val="continue"/>
                  <w:vAlign w:val="center"/>
                </w:tcPr>
                <w:p>
                  <w:pPr>
                    <w:pStyle w:val="42"/>
                  </w:pPr>
                </w:p>
              </w:tc>
              <w:tc>
                <w:tcPr>
                  <w:tcW w:w="970" w:type="dxa"/>
                  <w:vAlign w:val="center"/>
                </w:tcPr>
                <w:p>
                  <w:pPr>
                    <w:pStyle w:val="42"/>
                  </w:pPr>
                  <w:r>
                    <w:t>环境风险防控</w:t>
                  </w:r>
                </w:p>
              </w:tc>
              <w:tc>
                <w:tcPr>
                  <w:tcW w:w="4980" w:type="dxa"/>
                  <w:gridSpan w:val="2"/>
                  <w:vAlign w:val="center"/>
                </w:tcPr>
                <w:p>
                  <w:pPr>
                    <w:pStyle w:val="42"/>
                    <w:jc w:val="both"/>
                  </w:pPr>
                  <w:r>
                    <w:t>/</w:t>
                  </w:r>
                </w:p>
              </w:tc>
              <w:tc>
                <w:tcPr>
                  <w:tcW w:w="1397" w:type="dxa"/>
                  <w:vAlign w:val="center"/>
                </w:tcPr>
                <w:p>
                  <w:pPr>
                    <w:pStyle w:val="42"/>
                  </w:pPr>
                  <w:r>
                    <w:t>/</w:t>
                  </w:r>
                </w:p>
              </w:tc>
              <w:tc>
                <w:tcPr>
                  <w:tcW w:w="65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445" w:type="dxa"/>
                  <w:vMerge w:val="continue"/>
                  <w:vAlign w:val="center"/>
                </w:tcPr>
                <w:p>
                  <w:pPr>
                    <w:pStyle w:val="42"/>
                  </w:pPr>
                </w:p>
              </w:tc>
              <w:tc>
                <w:tcPr>
                  <w:tcW w:w="825" w:type="dxa"/>
                  <w:vMerge w:val="continue"/>
                  <w:vAlign w:val="center"/>
                </w:tcPr>
                <w:p>
                  <w:pPr>
                    <w:pStyle w:val="42"/>
                  </w:pPr>
                </w:p>
              </w:tc>
              <w:tc>
                <w:tcPr>
                  <w:tcW w:w="970" w:type="dxa"/>
                  <w:vAlign w:val="center"/>
                </w:tcPr>
                <w:p>
                  <w:pPr>
                    <w:pStyle w:val="42"/>
                  </w:pPr>
                  <w:r>
                    <w:t>资源利用效率</w:t>
                  </w:r>
                </w:p>
              </w:tc>
              <w:tc>
                <w:tcPr>
                  <w:tcW w:w="4980" w:type="dxa"/>
                  <w:gridSpan w:val="2"/>
                  <w:vAlign w:val="center"/>
                </w:tcPr>
                <w:p>
                  <w:pPr>
                    <w:pStyle w:val="42"/>
                    <w:jc w:val="both"/>
                  </w:pPr>
                  <w:r>
                    <w:t>/</w:t>
                  </w:r>
                </w:p>
              </w:tc>
              <w:tc>
                <w:tcPr>
                  <w:tcW w:w="1397" w:type="dxa"/>
                  <w:vAlign w:val="center"/>
                </w:tcPr>
                <w:p>
                  <w:pPr>
                    <w:pStyle w:val="42"/>
                  </w:pPr>
                  <w:r>
                    <w:t>/</w:t>
                  </w:r>
                </w:p>
              </w:tc>
              <w:tc>
                <w:tcPr>
                  <w:tcW w:w="657" w:type="dxa"/>
                  <w:vAlign w:val="center"/>
                </w:tcPr>
                <w:p>
                  <w:pPr>
                    <w:pStyle w:val="42"/>
                  </w:pPr>
                  <w:r>
                    <w:t>符合</w:t>
                  </w:r>
                </w:p>
              </w:tc>
            </w:tr>
          </w:tbl>
          <w:p>
            <w:pPr>
              <w:autoSpaceDE w:val="0"/>
              <w:autoSpaceDN w:val="0"/>
              <w:adjustRightInd w:val="0"/>
              <w:snapToGrid w:val="0"/>
              <w:spacing w:line="360" w:lineRule="auto"/>
              <w:ind w:firstLine="480" w:firstLineChars="200"/>
              <w:rPr>
                <w:kern w:val="0"/>
                <w:sz w:val="24"/>
              </w:rPr>
            </w:pPr>
            <w:r>
              <w:rPr>
                <w:kern w:val="0"/>
                <w:sz w:val="24"/>
              </w:rPr>
              <w:t>综上分析，拟建项目与区</w:t>
            </w:r>
            <w:r>
              <w:rPr>
                <w:rFonts w:ascii="宋体" w:hAnsi="宋体"/>
                <w:kern w:val="0"/>
                <w:sz w:val="24"/>
              </w:rPr>
              <w:t>域“三线一单”管</w:t>
            </w:r>
            <w:r>
              <w:rPr>
                <w:kern w:val="0"/>
                <w:sz w:val="24"/>
              </w:rPr>
              <w:t>控要求是相符合的。</w:t>
            </w:r>
          </w:p>
        </w:tc>
      </w:tr>
    </w:tbl>
    <w:p/>
    <w:p>
      <w:pPr>
        <w:rPr>
          <w:rFonts w:eastAsia="黑体"/>
          <w:sz w:val="30"/>
        </w:rPr>
        <w:sectPr>
          <w:pgSz w:w="11906" w:h="16838"/>
          <w:pgMar w:top="1440" w:right="1080" w:bottom="1440" w:left="1080" w:header="851" w:footer="1077" w:gutter="0"/>
          <w:cols w:space="720" w:num="1"/>
          <w:docGrid w:linePitch="312" w:charSpace="0"/>
        </w:sectPr>
      </w:pPr>
    </w:p>
    <w:p>
      <w:pPr>
        <w:pStyle w:val="13"/>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二、建设内容</w:t>
      </w: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2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97" w:hRule="atLeast"/>
          <w:jc w:val="center"/>
        </w:trPr>
        <w:tc>
          <w:tcPr>
            <w:tcW w:w="456" w:type="dxa"/>
            <w:vAlign w:val="center"/>
          </w:tcPr>
          <w:p>
            <w:pPr>
              <w:adjustRightInd w:val="0"/>
              <w:snapToGrid w:val="0"/>
              <w:jc w:val="center"/>
              <w:rPr>
                <w:kern w:val="0"/>
                <w:sz w:val="24"/>
              </w:rPr>
            </w:pPr>
            <w:r>
              <w:rPr>
                <w:kern w:val="0"/>
                <w:sz w:val="24"/>
              </w:rPr>
              <w:t>地理位置</w:t>
            </w:r>
          </w:p>
        </w:tc>
        <w:tc>
          <w:tcPr>
            <w:tcW w:w="9270" w:type="dxa"/>
          </w:tcPr>
          <w:p>
            <w:pPr>
              <w:adjustRightInd w:val="0"/>
              <w:snapToGrid w:val="0"/>
              <w:spacing w:line="360" w:lineRule="auto"/>
              <w:ind w:firstLine="480" w:firstLineChars="200"/>
              <w:rPr>
                <w:kern w:val="0"/>
                <w:sz w:val="24"/>
              </w:rPr>
            </w:pPr>
            <w:r>
              <w:rPr>
                <w:kern w:val="0"/>
                <w:sz w:val="24"/>
              </w:rPr>
              <w:t>酉阳土家族苗族自治县位于渝鄂湘黔四省市接合部，东邻湖南省龙山县，南与秀山县、贵州省松桃、印江县接壤，西与贵州沿河县隔江（乌江）相望，西北与彭水县，正北与黔江区、湖北省咸丰、来凤县相连。东西宽98.3</w:t>
            </w:r>
            <w:r>
              <w:rPr>
                <w:rFonts w:hint="eastAsia"/>
                <w:kern w:val="0"/>
                <w:sz w:val="24"/>
              </w:rPr>
              <w:t>km</w:t>
            </w:r>
            <w:r>
              <w:rPr>
                <w:kern w:val="0"/>
                <w:sz w:val="24"/>
              </w:rPr>
              <w:t>，南北长119.7</w:t>
            </w:r>
            <w:r>
              <w:rPr>
                <w:rFonts w:hint="eastAsia"/>
                <w:kern w:val="0"/>
                <w:sz w:val="24"/>
              </w:rPr>
              <w:t>km</w:t>
            </w:r>
            <w:r>
              <w:rPr>
                <w:kern w:val="0"/>
                <w:sz w:val="24"/>
              </w:rPr>
              <w:t>，幅员面积5173</w:t>
            </w:r>
            <w:r>
              <w:rPr>
                <w:rFonts w:hint="eastAsia"/>
                <w:kern w:val="0"/>
                <w:sz w:val="24"/>
              </w:rPr>
              <w:t>km</w:t>
            </w:r>
            <w:r>
              <w:rPr>
                <w:rFonts w:hint="eastAsia"/>
                <w:kern w:val="0"/>
                <w:sz w:val="24"/>
                <w:vertAlign w:val="superscript"/>
              </w:rPr>
              <w:t>2</w:t>
            </w:r>
            <w:r>
              <w:rPr>
                <w:rFonts w:hint="eastAsia"/>
                <w:kern w:val="0"/>
                <w:sz w:val="24"/>
              </w:rPr>
              <w:t>。截至2024年，酉阳县辖2个街道、19个镇、18个乡，常住人口59.98万人。</w:t>
            </w:r>
          </w:p>
          <w:p>
            <w:pPr>
              <w:adjustRightInd w:val="0"/>
              <w:snapToGrid w:val="0"/>
              <w:spacing w:line="360" w:lineRule="auto"/>
              <w:ind w:firstLine="480" w:firstLineChars="200"/>
              <w:rPr>
                <w:kern w:val="0"/>
                <w:sz w:val="24"/>
              </w:rPr>
            </w:pPr>
            <w:r>
              <w:rPr>
                <w:rFonts w:hint="eastAsia"/>
                <w:kern w:val="0"/>
                <w:sz w:val="24"/>
              </w:rPr>
              <w:t>双泉乡地处酉阳县西北部，东接花田乡，南与宜居乡接壤，西邻苍岭镇，北靠黔江区阿蓬江镇，距县政府驻地60km，总面积148km</w:t>
            </w:r>
            <w:r>
              <w:rPr>
                <w:rFonts w:hint="eastAsia"/>
                <w:kern w:val="0"/>
                <w:sz w:val="24"/>
                <w:vertAlign w:val="superscript"/>
              </w:rPr>
              <w:t>2</w:t>
            </w:r>
            <w:r>
              <w:rPr>
                <w:rFonts w:hint="eastAsia"/>
                <w:kern w:val="0"/>
                <w:sz w:val="24"/>
              </w:rPr>
              <w:t>，下辖6个行政村。</w:t>
            </w:r>
          </w:p>
          <w:p>
            <w:pPr>
              <w:adjustRightInd w:val="0"/>
              <w:snapToGrid w:val="0"/>
              <w:spacing w:line="360" w:lineRule="auto"/>
              <w:ind w:firstLine="480" w:firstLineChars="200"/>
              <w:rPr>
                <w:kern w:val="0"/>
                <w:sz w:val="24"/>
              </w:rPr>
            </w:pPr>
            <w:r>
              <w:rPr>
                <w:kern w:val="0"/>
                <w:sz w:val="24"/>
              </w:rPr>
              <w:t>拟建项目位于重庆市酉阳土家族苗族自治县双泉乡永祥村一组，项目地理位置详见附图1。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19" w:hRule="atLeast"/>
          <w:jc w:val="center"/>
        </w:trPr>
        <w:tc>
          <w:tcPr>
            <w:tcW w:w="456" w:type="dxa"/>
            <w:vAlign w:val="center"/>
          </w:tcPr>
          <w:p>
            <w:pPr>
              <w:adjustRightInd w:val="0"/>
              <w:snapToGrid w:val="0"/>
              <w:jc w:val="center"/>
              <w:rPr>
                <w:kern w:val="0"/>
                <w:sz w:val="24"/>
              </w:rPr>
            </w:pPr>
            <w:r>
              <w:rPr>
                <w:kern w:val="0"/>
                <w:sz w:val="24"/>
              </w:rPr>
              <w:t>项目组成及规模</w:t>
            </w:r>
          </w:p>
        </w:tc>
        <w:tc>
          <w:tcPr>
            <w:tcW w:w="9270" w:type="dxa"/>
          </w:tcPr>
          <w:p>
            <w:pPr>
              <w:adjustRightInd w:val="0"/>
              <w:snapToGrid w:val="0"/>
              <w:spacing w:line="360" w:lineRule="auto"/>
              <w:ind w:firstLine="562" w:firstLineChars="200"/>
              <w:rPr>
                <w:b/>
                <w:kern w:val="0"/>
                <w:sz w:val="28"/>
                <w:szCs w:val="28"/>
              </w:rPr>
            </w:pPr>
            <w:r>
              <w:rPr>
                <w:b/>
                <w:kern w:val="0"/>
                <w:sz w:val="28"/>
                <w:szCs w:val="28"/>
              </w:rPr>
              <w:t>2.1、项目历史沿革介绍</w:t>
            </w:r>
          </w:p>
          <w:p>
            <w:pPr>
              <w:pStyle w:val="11"/>
              <w:tabs>
                <w:tab w:val="right" w:pos="8641"/>
              </w:tabs>
              <w:spacing w:line="360" w:lineRule="auto"/>
              <w:ind w:firstLine="482"/>
              <w:jc w:val="both"/>
              <w:rPr>
                <w:bCs/>
                <w:color w:val="0000FF"/>
                <w:sz w:val="24"/>
              </w:rPr>
            </w:pPr>
            <w:r>
              <w:rPr>
                <w:rFonts w:hint="eastAsia" w:ascii="宋体" w:hAnsi="宋体" w:cs="宋体"/>
                <w:sz w:val="24"/>
                <w:szCs w:val="24"/>
              </w:rPr>
              <w:t>酉阳县陆合矿业有限责任公司“大堡坡沟采石场项目”</w:t>
            </w:r>
            <w:r>
              <w:rPr>
                <w:rFonts w:hint="eastAsia"/>
                <w:bCs/>
                <w:sz w:val="24"/>
              </w:rPr>
              <w:t>位于</w:t>
            </w:r>
            <w:r>
              <w:rPr>
                <w:kern w:val="0"/>
                <w:sz w:val="24"/>
              </w:rPr>
              <w:t>重庆市酉阳土家族苗族自治县双泉乡永祥村一组</w:t>
            </w:r>
            <w:r>
              <w:rPr>
                <w:rFonts w:hint="eastAsia"/>
                <w:bCs/>
                <w:sz w:val="24"/>
              </w:rPr>
              <w:t>，该采矿场经过酉阳土家族苗族自治县规资局、林业局、安监局等部门审查批准，办理了采矿证、安全生产许可证及林业手续等，并于2014年8月建成投产。该采矿场最初矿区范围1.5hm</w:t>
            </w:r>
            <w:r>
              <w:rPr>
                <w:rFonts w:hint="eastAsia"/>
                <w:bCs/>
                <w:sz w:val="24"/>
                <w:vertAlign w:val="superscript"/>
              </w:rPr>
              <w:t>2</w:t>
            </w:r>
            <w:r>
              <w:rPr>
                <w:rFonts w:hint="eastAsia"/>
                <w:bCs/>
                <w:sz w:val="24"/>
              </w:rPr>
              <w:t>，开采规模为20万t/a，开采标高+820m~+750m，开采矿种为建筑石料用灰岩，矿层为</w:t>
            </w:r>
            <w:r>
              <w:rPr>
                <w:bCs/>
                <w:sz w:val="24"/>
              </w:rPr>
              <w:t>三叠系下统嘉陵江组一段（T</w:t>
            </w:r>
            <w:r>
              <w:rPr>
                <w:bCs/>
                <w:sz w:val="24"/>
                <w:vertAlign w:val="subscript"/>
              </w:rPr>
              <w:t>1</w:t>
            </w:r>
            <w:r>
              <w:rPr>
                <w:bCs/>
                <w:sz w:val="24"/>
              </w:rPr>
              <w:t>j</w:t>
            </w:r>
            <w:r>
              <w:rPr>
                <w:bCs/>
                <w:sz w:val="24"/>
                <w:vertAlign w:val="superscript"/>
              </w:rPr>
              <w:t>1</w:t>
            </w:r>
            <w:r>
              <w:rPr>
                <w:bCs/>
                <w:sz w:val="24"/>
              </w:rPr>
              <w:t>）</w:t>
            </w:r>
            <w:r>
              <w:rPr>
                <w:rFonts w:hint="eastAsia"/>
                <w:bCs/>
                <w:sz w:val="24"/>
              </w:rPr>
              <w:t>，矿区开采的灰岩毛石料均运至矿区东南侧工业广场内</w:t>
            </w:r>
            <w:r>
              <w:rPr>
                <w:bCs/>
                <w:sz w:val="24"/>
              </w:rPr>
              <w:t>加工，后车运外卖至</w:t>
            </w:r>
            <w:r>
              <w:rPr>
                <w:rFonts w:hint="eastAsia"/>
                <w:bCs/>
                <w:sz w:val="24"/>
              </w:rPr>
              <w:t>酉阳县及周边区县市政工地</w:t>
            </w:r>
            <w:r>
              <w:rPr>
                <w:bCs/>
                <w:sz w:val="24"/>
              </w:rPr>
              <w:t>作建筑</w:t>
            </w:r>
            <w:r>
              <w:rPr>
                <w:rFonts w:hint="eastAsia"/>
                <w:bCs/>
                <w:sz w:val="24"/>
              </w:rPr>
              <w:t>砂</w:t>
            </w:r>
            <w:r>
              <w:rPr>
                <w:bCs/>
                <w:sz w:val="24"/>
              </w:rPr>
              <w:t>碎石。</w:t>
            </w:r>
            <w:r>
              <w:rPr>
                <w:rFonts w:hint="eastAsia"/>
                <w:bCs/>
                <w:sz w:val="24"/>
              </w:rPr>
              <w:t>2015年11月2日，该采矿场办理了环评手续，</w:t>
            </w:r>
            <w:r>
              <w:rPr>
                <w:bCs/>
                <w:sz w:val="24"/>
              </w:rPr>
              <w:t>取得了</w:t>
            </w:r>
            <w:r>
              <w:rPr>
                <w:rFonts w:hint="eastAsia"/>
                <w:bCs/>
                <w:sz w:val="24"/>
              </w:rPr>
              <w:t>酉阳土家族苗族自治县</w:t>
            </w:r>
            <w:r>
              <w:rPr>
                <w:bCs/>
                <w:sz w:val="24"/>
              </w:rPr>
              <w:t>生态环境局下发的环评批准书</w:t>
            </w:r>
            <w:r>
              <w:rPr>
                <w:rFonts w:hint="eastAsia"/>
                <w:bCs/>
                <w:sz w:val="24"/>
              </w:rPr>
              <w:t>“</w:t>
            </w:r>
            <w:r>
              <w:rPr>
                <w:bCs/>
                <w:sz w:val="24"/>
              </w:rPr>
              <w:t>渝（</w:t>
            </w:r>
            <w:r>
              <w:rPr>
                <w:rFonts w:hint="eastAsia"/>
                <w:bCs/>
                <w:sz w:val="24"/>
              </w:rPr>
              <w:t>酉</w:t>
            </w:r>
            <w:r>
              <w:rPr>
                <w:bCs/>
                <w:sz w:val="24"/>
              </w:rPr>
              <w:t>）环准</w:t>
            </w:r>
            <w:r>
              <w:rPr>
                <w:rFonts w:hint="eastAsia"/>
                <w:bCs/>
                <w:sz w:val="24"/>
              </w:rPr>
              <w:t>〔</w:t>
            </w:r>
            <w:r>
              <w:rPr>
                <w:bCs/>
                <w:sz w:val="24"/>
              </w:rPr>
              <w:t>201</w:t>
            </w:r>
            <w:r>
              <w:rPr>
                <w:rFonts w:hint="eastAsia"/>
                <w:bCs/>
                <w:sz w:val="24"/>
              </w:rPr>
              <w:t>5〕90</w:t>
            </w:r>
            <w:r>
              <w:rPr>
                <w:bCs/>
                <w:sz w:val="24"/>
              </w:rPr>
              <w:t>号</w:t>
            </w:r>
            <w:r>
              <w:rPr>
                <w:rFonts w:hint="eastAsia"/>
                <w:bCs/>
                <w:sz w:val="24"/>
              </w:rPr>
              <w:t>”。</w:t>
            </w:r>
            <w:r>
              <w:rPr>
                <w:rFonts w:hint="eastAsia"/>
                <w:bCs/>
                <w:color w:val="0000FF"/>
                <w:sz w:val="24"/>
              </w:rPr>
              <w:t>之后，矿山断续开采，但未办理环保竣工验收手续。</w:t>
            </w:r>
          </w:p>
          <w:p>
            <w:pPr>
              <w:pStyle w:val="11"/>
              <w:tabs>
                <w:tab w:val="right" w:pos="8641"/>
              </w:tabs>
              <w:spacing w:line="360" w:lineRule="auto"/>
              <w:ind w:firstLine="482"/>
              <w:jc w:val="both"/>
              <w:rPr>
                <w:bCs/>
                <w:sz w:val="24"/>
              </w:rPr>
            </w:pPr>
            <w:r>
              <w:rPr>
                <w:rFonts w:hint="eastAsia"/>
                <w:bCs/>
                <w:color w:val="0000FF"/>
                <w:sz w:val="24"/>
              </w:rPr>
              <w:t>至2016年6月，</w:t>
            </w:r>
            <w:r>
              <w:rPr>
                <w:rFonts w:hint="eastAsia"/>
                <w:bCs/>
                <w:sz w:val="24"/>
              </w:rPr>
              <w:t>该矿山</w:t>
            </w:r>
            <w:r>
              <w:rPr>
                <w:rFonts w:hint="eastAsia"/>
                <w:bCs/>
                <w:color w:val="0000FF"/>
                <w:sz w:val="24"/>
              </w:rPr>
              <w:t>进行</w:t>
            </w:r>
            <w:r>
              <w:rPr>
                <w:rFonts w:hint="eastAsia"/>
                <w:bCs/>
                <w:sz w:val="24"/>
              </w:rPr>
              <w:t>“增资扩界”，即实施“</w:t>
            </w:r>
            <w:r>
              <w:rPr>
                <w:rFonts w:hint="eastAsia" w:ascii="宋体" w:hAnsi="宋体" w:cs="宋体"/>
                <w:sz w:val="24"/>
                <w:szCs w:val="24"/>
              </w:rPr>
              <w:t>大堡沟采石场项目</w:t>
            </w:r>
            <w:r>
              <w:rPr>
                <w:rFonts w:hint="eastAsia"/>
                <w:bCs/>
                <w:sz w:val="24"/>
              </w:rPr>
              <w:t>”（以下简称“原项目”），在</w:t>
            </w:r>
            <w:r>
              <w:rPr>
                <w:rFonts w:hint="eastAsia"/>
                <w:bCs/>
                <w:color w:val="0000FF"/>
                <w:sz w:val="24"/>
              </w:rPr>
              <w:t>最初</w:t>
            </w:r>
            <w:r>
              <w:rPr>
                <w:rFonts w:hint="eastAsia"/>
                <w:bCs/>
                <w:sz w:val="24"/>
              </w:rPr>
              <w:t>矿区的基础上进行了扩界，矿区范围扩大至</w:t>
            </w:r>
            <w:r>
              <w:rPr>
                <w:bCs/>
                <w:sz w:val="24"/>
              </w:rPr>
              <w:t>4</w:t>
            </w:r>
            <w:r>
              <w:rPr>
                <w:rFonts w:hint="eastAsia"/>
                <w:bCs/>
                <w:sz w:val="24"/>
              </w:rPr>
              <w:t>.</w:t>
            </w:r>
            <w:r>
              <w:rPr>
                <w:bCs/>
                <w:sz w:val="24"/>
              </w:rPr>
              <w:t>36</w:t>
            </w:r>
            <w:r>
              <w:rPr>
                <w:rFonts w:hint="eastAsia"/>
                <w:bCs/>
                <w:sz w:val="24"/>
              </w:rPr>
              <w:t>20hm</w:t>
            </w:r>
            <w:r>
              <w:rPr>
                <w:rFonts w:hint="eastAsia"/>
                <w:bCs/>
                <w:sz w:val="24"/>
                <w:vertAlign w:val="superscript"/>
              </w:rPr>
              <w:t>2</w:t>
            </w:r>
            <w:r>
              <w:rPr>
                <w:rFonts w:hint="eastAsia"/>
                <w:bCs/>
                <w:sz w:val="24"/>
              </w:rPr>
              <w:t>，开采标高调整为+853m～+750m，其他均保持不变。</w:t>
            </w:r>
            <w:r>
              <w:rPr>
                <w:rFonts w:hint="eastAsia"/>
                <w:bCs/>
                <w:color w:val="0000FF"/>
                <w:sz w:val="24"/>
              </w:rPr>
              <w:t>因原项目涉及“未批先建”等环保违规行为，其被列入2016年度酉阳县“四清四治”专项活动整治名单，对此，</w:t>
            </w:r>
            <w:r>
              <w:rPr>
                <w:rFonts w:hint="eastAsia"/>
                <w:bCs/>
                <w:sz w:val="24"/>
              </w:rPr>
              <w:t>该采矿场于</w:t>
            </w:r>
            <w:r>
              <w:rPr>
                <w:rFonts w:hint="eastAsia"/>
                <w:bCs/>
                <w:color w:val="0000FF"/>
                <w:sz w:val="24"/>
              </w:rPr>
              <w:t>2017年6月12日</w:t>
            </w:r>
            <w:r>
              <w:rPr>
                <w:rFonts w:hint="eastAsia"/>
                <w:bCs/>
                <w:sz w:val="24"/>
              </w:rPr>
              <w:t>提交了原项目的“现状环境影响评估报告”，并依规于至酉阳土家族苗族自治县</w:t>
            </w:r>
            <w:r>
              <w:rPr>
                <w:bCs/>
                <w:sz w:val="24"/>
              </w:rPr>
              <w:t>生态环境局</w:t>
            </w:r>
            <w:r>
              <w:rPr>
                <w:rFonts w:hint="eastAsia"/>
                <w:bCs/>
                <w:sz w:val="24"/>
              </w:rPr>
              <w:t>备案，备案文号“渝（酉阳）环违评估备〔2017〕18号”。此后，该采矿场一直处于断续开采。</w:t>
            </w:r>
            <w:r>
              <w:rPr>
                <w:rFonts w:hint="eastAsia"/>
                <w:bCs/>
                <w:color w:val="0000FF"/>
                <w:sz w:val="24"/>
              </w:rPr>
              <w:t>2020年6月8日，该采矿场办理了原项目排污登记手续，登记编号：91500242691216555G001X，见附件22。</w:t>
            </w:r>
          </w:p>
          <w:p>
            <w:pPr>
              <w:pStyle w:val="11"/>
              <w:tabs>
                <w:tab w:val="right" w:pos="8641"/>
              </w:tabs>
              <w:spacing w:line="360" w:lineRule="auto"/>
              <w:ind w:firstLine="482"/>
              <w:jc w:val="both"/>
              <w:rPr>
                <w:bCs/>
                <w:sz w:val="24"/>
              </w:rPr>
            </w:pPr>
            <w:r>
              <w:rPr>
                <w:rFonts w:hint="eastAsia"/>
                <w:bCs/>
                <w:color w:val="0000FF"/>
                <w:sz w:val="24"/>
              </w:rPr>
              <w:t>此外，原项目因矿区灰岩资源出让的方式为协议出让，但其矿石品质已达到水泥用灰岩标准，水泥用灰岩资源价款高于建筑石料用灰岩，依当时规定，酉阳自治县规资局以水泥用灰岩资源价格予以出让，并将其矿种变更为水泥用灰岩，同时明确矿山实际矿种仍为建筑石料用灰岩，见附件2、附件4、附件17。此项规定导致企业实际矿种与证载矿种不一致，属政策更迭导致的遗留问题。</w:t>
            </w:r>
          </w:p>
          <w:p>
            <w:pPr>
              <w:pStyle w:val="11"/>
              <w:tabs>
                <w:tab w:val="right" w:pos="8641"/>
              </w:tabs>
              <w:spacing w:line="360" w:lineRule="auto"/>
              <w:ind w:firstLine="482"/>
              <w:jc w:val="both"/>
              <w:rPr>
                <w:kern w:val="0"/>
                <w:sz w:val="24"/>
              </w:rPr>
            </w:pPr>
            <w:r>
              <w:rPr>
                <w:kern w:val="0"/>
                <w:sz w:val="24"/>
              </w:rPr>
              <w:t>酉阳县</w:t>
            </w:r>
            <w:r>
              <w:rPr>
                <w:rFonts w:hint="eastAsia"/>
                <w:kern w:val="0"/>
                <w:sz w:val="24"/>
              </w:rPr>
              <w:t>“</w:t>
            </w:r>
            <w:r>
              <w:rPr>
                <w:kern w:val="0"/>
                <w:sz w:val="24"/>
              </w:rPr>
              <w:t>十四五</w:t>
            </w:r>
            <w:r>
              <w:rPr>
                <w:rFonts w:hint="eastAsia"/>
                <w:kern w:val="0"/>
                <w:sz w:val="24"/>
              </w:rPr>
              <w:t>”</w:t>
            </w:r>
            <w:r>
              <w:rPr>
                <w:kern w:val="0"/>
                <w:sz w:val="24"/>
              </w:rPr>
              <w:t>矿产资源总体规划及其规划环评发布实施，该文件指</w:t>
            </w:r>
            <w:r>
              <w:rPr>
                <w:rFonts w:ascii="宋体" w:hAnsi="宋体"/>
                <w:kern w:val="0"/>
                <w:sz w:val="24"/>
              </w:rPr>
              <w:t>出“酉阳县</w:t>
            </w:r>
            <w:r>
              <w:rPr>
                <w:kern w:val="0"/>
                <w:sz w:val="24"/>
              </w:rPr>
              <w:t>大中型矿山比例相对较低，仅</w:t>
            </w:r>
            <w:r>
              <w:rPr>
                <w:rFonts w:hint="eastAsia"/>
                <w:kern w:val="0"/>
                <w:sz w:val="24"/>
              </w:rPr>
              <w:t>28</w:t>
            </w:r>
            <w:r>
              <w:rPr>
                <w:kern w:val="0"/>
                <w:sz w:val="24"/>
              </w:rPr>
              <w:t>%，需进一</w:t>
            </w:r>
            <w:r>
              <w:rPr>
                <w:rFonts w:ascii="宋体" w:hAnsi="宋体"/>
                <w:kern w:val="0"/>
                <w:sz w:val="24"/>
              </w:rPr>
              <w:t>步提高”</w:t>
            </w:r>
            <w:r>
              <w:rPr>
                <w:rFonts w:hint="eastAsia"/>
                <w:kern w:val="0"/>
                <w:sz w:val="24"/>
              </w:rPr>
              <w:t>。为响应政策，同时基于该采矿场现有138.9万t可采储量未予开采的实际情况，该</w:t>
            </w:r>
            <w:r>
              <w:rPr>
                <w:rFonts w:hint="eastAsia"/>
                <w:bCs/>
                <w:sz w:val="24"/>
              </w:rPr>
              <w:t>采矿场拟扩大</w:t>
            </w:r>
            <w:r>
              <w:rPr>
                <w:rFonts w:hint="eastAsia"/>
                <w:kern w:val="0"/>
                <w:sz w:val="24"/>
              </w:rPr>
              <w:t>开采规模，将生产规模扩大至51</w:t>
            </w:r>
            <w:r>
              <w:rPr>
                <w:rFonts w:hint="eastAsia"/>
                <w:bCs/>
                <w:sz w:val="24"/>
              </w:rPr>
              <w:t>万t/a，即实施“</w:t>
            </w:r>
            <w:r>
              <w:rPr>
                <w:sz w:val="24"/>
              </w:rPr>
              <w:t>酉阳县陆合矿业有限责任公司双泉乡大堡坡采石场扩建项目</w:t>
            </w:r>
            <w:r>
              <w:rPr>
                <w:rFonts w:hint="eastAsia"/>
                <w:bCs/>
                <w:sz w:val="24"/>
              </w:rPr>
              <w:t>”（以下简称“拟建项目”）</w:t>
            </w:r>
            <w:r>
              <w:rPr>
                <w:rFonts w:hint="eastAsia"/>
                <w:kern w:val="0"/>
                <w:sz w:val="24"/>
              </w:rPr>
              <w:t>。县发改委、县规资局、县生态环境局等相关主管部门均已批复同意</w:t>
            </w:r>
            <w:r>
              <w:rPr>
                <w:rFonts w:hint="eastAsia"/>
                <w:bCs/>
                <w:sz w:val="24"/>
              </w:rPr>
              <w:t>拟建项目实施</w:t>
            </w:r>
            <w:r>
              <w:rPr>
                <w:rFonts w:hint="eastAsia"/>
                <w:kern w:val="0"/>
                <w:sz w:val="24"/>
              </w:rPr>
              <w:t>。</w:t>
            </w:r>
          </w:p>
          <w:p>
            <w:pPr>
              <w:pStyle w:val="11"/>
              <w:tabs>
                <w:tab w:val="right" w:pos="8641"/>
              </w:tabs>
              <w:spacing w:line="360" w:lineRule="auto"/>
              <w:ind w:firstLine="482"/>
              <w:jc w:val="both"/>
              <w:rPr>
                <w:color w:val="0000FF"/>
                <w:kern w:val="0"/>
                <w:sz w:val="24"/>
              </w:rPr>
            </w:pPr>
            <w:r>
              <w:rPr>
                <w:rFonts w:hint="eastAsia"/>
                <w:kern w:val="0"/>
                <w:sz w:val="24"/>
              </w:rPr>
              <w:t>2025年6月27日，</w:t>
            </w:r>
            <w:r>
              <w:rPr>
                <w:rFonts w:hint="eastAsia"/>
                <w:bCs/>
                <w:sz w:val="24"/>
              </w:rPr>
              <w:t>该采矿场委外编制了拟建项目的</w:t>
            </w:r>
            <w:r>
              <w:rPr>
                <w:rFonts w:ascii="宋体" w:hAnsi="宋体"/>
                <w:bCs/>
                <w:sz w:val="24"/>
              </w:rPr>
              <w:t>“开发利用方案”</w:t>
            </w:r>
            <w:r>
              <w:rPr>
                <w:bCs/>
                <w:sz w:val="24"/>
              </w:rPr>
              <w:t>，并通过了审查，</w:t>
            </w:r>
            <w:r>
              <w:rPr>
                <w:rFonts w:hint="eastAsia"/>
                <w:bCs/>
                <w:sz w:val="24"/>
              </w:rPr>
              <w:t>见</w:t>
            </w:r>
            <w:r>
              <w:rPr>
                <w:bCs/>
                <w:sz w:val="24"/>
              </w:rPr>
              <w:t>附件</w:t>
            </w:r>
            <w:r>
              <w:rPr>
                <w:rFonts w:hint="eastAsia"/>
                <w:bCs/>
                <w:sz w:val="24"/>
              </w:rPr>
              <w:t>7</w:t>
            </w:r>
            <w:r>
              <w:rPr>
                <w:bCs/>
                <w:sz w:val="24"/>
              </w:rPr>
              <w:t>。</w:t>
            </w:r>
            <w:r>
              <w:rPr>
                <w:rFonts w:hint="eastAsia"/>
                <w:color w:val="0000FF"/>
                <w:kern w:val="0"/>
                <w:sz w:val="24"/>
              </w:rPr>
              <w:t>2025年9月16日，</w:t>
            </w:r>
            <w:r>
              <w:rPr>
                <w:rFonts w:hint="eastAsia"/>
                <w:bCs/>
                <w:color w:val="0000FF"/>
                <w:sz w:val="24"/>
              </w:rPr>
              <w:t>该采矿场办理了拟建项目排污登记手续，见附件22。</w:t>
            </w:r>
          </w:p>
          <w:p>
            <w:pPr>
              <w:pStyle w:val="11"/>
              <w:tabs>
                <w:tab w:val="right" w:pos="8641"/>
              </w:tabs>
              <w:spacing w:line="360" w:lineRule="auto"/>
              <w:ind w:firstLine="482"/>
              <w:jc w:val="both"/>
              <w:rPr>
                <w:bCs/>
                <w:sz w:val="24"/>
              </w:rPr>
            </w:pPr>
            <w:r>
              <w:rPr>
                <w:bCs/>
                <w:sz w:val="24"/>
              </w:rPr>
              <w:t>根据</w:t>
            </w:r>
            <w:r>
              <w:rPr>
                <w:rFonts w:ascii="宋体" w:hAnsi="宋体"/>
                <w:bCs/>
                <w:sz w:val="24"/>
              </w:rPr>
              <w:t>“开发利用方案”</w:t>
            </w:r>
            <w:r>
              <w:rPr>
                <w:bCs/>
                <w:sz w:val="24"/>
              </w:rPr>
              <w:t>，</w:t>
            </w:r>
            <w:r>
              <w:rPr>
                <w:rFonts w:hint="eastAsia"/>
                <w:bCs/>
                <w:sz w:val="24"/>
              </w:rPr>
              <w:t>矿区</w:t>
            </w:r>
            <w:r>
              <w:rPr>
                <w:bCs/>
                <w:sz w:val="24"/>
              </w:rPr>
              <w:t>开采规模由20万t/a扩大至51万t/a</w:t>
            </w:r>
            <w:r>
              <w:rPr>
                <w:rFonts w:hint="eastAsia"/>
                <w:bCs/>
                <w:sz w:val="24"/>
              </w:rPr>
              <w:t>；</w:t>
            </w:r>
            <w:r>
              <w:rPr>
                <w:rFonts w:hint="eastAsia"/>
                <w:bCs/>
                <w:color w:val="0000FF"/>
                <w:sz w:val="24"/>
              </w:rPr>
              <w:t>并</w:t>
            </w:r>
            <w:r>
              <w:rPr>
                <w:rFonts w:hint="eastAsia"/>
                <w:bCs/>
                <w:sz w:val="24"/>
              </w:rPr>
              <w:t>对</w:t>
            </w:r>
            <w:r>
              <w:rPr>
                <w:rFonts w:hint="eastAsia"/>
                <w:bCs/>
                <w:color w:val="0000FF"/>
                <w:sz w:val="24"/>
              </w:rPr>
              <w:t>工业广场</w:t>
            </w:r>
            <w:r>
              <w:rPr>
                <w:rFonts w:hint="eastAsia"/>
                <w:bCs/>
                <w:sz w:val="24"/>
              </w:rPr>
              <w:t>现有生产设备进行升级改造，</w:t>
            </w:r>
            <w:r>
              <w:rPr>
                <w:rFonts w:hint="eastAsia"/>
                <w:bCs/>
                <w:color w:val="0000FF"/>
                <w:sz w:val="24"/>
              </w:rPr>
              <w:t>使其建筑石料</w:t>
            </w:r>
            <w:r>
              <w:rPr>
                <w:rFonts w:hint="eastAsia"/>
                <w:bCs/>
                <w:sz w:val="24"/>
              </w:rPr>
              <w:t>产能同步提升至</w:t>
            </w:r>
            <w:r>
              <w:rPr>
                <w:bCs/>
                <w:sz w:val="24"/>
              </w:rPr>
              <w:t>51万t/a</w:t>
            </w:r>
            <w:r>
              <w:rPr>
                <w:rFonts w:hint="eastAsia"/>
                <w:bCs/>
                <w:sz w:val="24"/>
              </w:rPr>
              <w:t>；</w:t>
            </w:r>
            <w:r>
              <w:rPr>
                <w:rFonts w:hint="eastAsia"/>
                <w:bCs/>
                <w:color w:val="0000FF"/>
                <w:sz w:val="24"/>
              </w:rPr>
              <w:t>在工业广场北部规划设置1个排土场，将原项目排土场规划为弃渣场；</w:t>
            </w:r>
            <w:r>
              <w:rPr>
                <w:rFonts w:hint="eastAsia"/>
                <w:bCs/>
                <w:sz w:val="24"/>
              </w:rPr>
              <w:t>但矿区</w:t>
            </w:r>
            <w:r>
              <w:rPr>
                <w:bCs/>
                <w:sz w:val="24"/>
              </w:rPr>
              <w:t>采面布置、开采开拓方式、生活设施设置情况均未发生变化。</w:t>
            </w:r>
          </w:p>
          <w:p>
            <w:pPr>
              <w:adjustRightInd w:val="0"/>
              <w:snapToGrid w:val="0"/>
              <w:spacing w:line="360" w:lineRule="auto"/>
              <w:ind w:firstLine="482"/>
              <w:rPr>
                <w:kern w:val="0"/>
                <w:sz w:val="24"/>
              </w:rPr>
            </w:pPr>
            <w:r>
              <w:rPr>
                <w:bCs/>
                <w:sz w:val="24"/>
              </w:rPr>
              <w:t>根据《中华人民共和国环境影响评价法》、《建设项目环境保护管理条例》（国务院令第682号）等有关规定，</w:t>
            </w:r>
            <w:r>
              <w:rPr>
                <w:rFonts w:hint="eastAsia"/>
                <w:bCs/>
                <w:sz w:val="24"/>
              </w:rPr>
              <w:t>该采矿场扩大开采规模、工业广场设备调整及产能增加，属于扩建项目，</w:t>
            </w:r>
            <w:r>
              <w:rPr>
                <w:bCs/>
                <w:sz w:val="24"/>
              </w:rPr>
              <w:t>应进行环境影响评价。</w:t>
            </w:r>
            <w:r>
              <w:rPr>
                <w:rFonts w:hint="eastAsia"/>
                <w:bCs/>
                <w:sz w:val="24"/>
              </w:rPr>
              <w:t>此外，该项目（拟建项目）</w:t>
            </w:r>
            <w:r>
              <w:rPr>
                <w:kern w:val="0"/>
                <w:sz w:val="24"/>
              </w:rPr>
              <w:t>为石灰岩开采</w:t>
            </w:r>
            <w:r>
              <w:rPr>
                <w:rFonts w:hint="eastAsia"/>
                <w:kern w:val="0"/>
                <w:sz w:val="24"/>
              </w:rPr>
              <w:t>及加工</w:t>
            </w:r>
            <w:r>
              <w:rPr>
                <w:kern w:val="0"/>
                <w:sz w:val="24"/>
              </w:rPr>
              <w:t>，对照《建设项目环境影响评价分类管理名录》（2021年版），属于</w:t>
            </w:r>
            <w:r>
              <w:rPr>
                <w:rFonts w:ascii="宋体" w:hAnsi="宋体"/>
                <w:kern w:val="0"/>
                <w:sz w:val="24"/>
              </w:rPr>
              <w:t>“</w:t>
            </w:r>
            <w:r>
              <w:rPr>
                <w:kern w:val="0"/>
                <w:sz w:val="24"/>
              </w:rPr>
              <w:t>八、非金属矿采选业 11 土砂石开采</w:t>
            </w:r>
            <w:r>
              <w:rPr>
                <w:rFonts w:ascii="宋体" w:hAnsi="宋体"/>
                <w:kern w:val="0"/>
                <w:sz w:val="24"/>
              </w:rPr>
              <w:t>”</w:t>
            </w:r>
            <w:r>
              <w:rPr>
                <w:kern w:val="0"/>
                <w:sz w:val="24"/>
              </w:rPr>
              <w:t>。其中：</w:t>
            </w:r>
            <w:r>
              <w:rPr>
                <w:rFonts w:ascii="宋体" w:hAnsi="宋体"/>
                <w:kern w:val="0"/>
                <w:sz w:val="24"/>
              </w:rPr>
              <w:t>“</w:t>
            </w:r>
            <w:r>
              <w:rPr>
                <w:kern w:val="0"/>
                <w:sz w:val="24"/>
              </w:rPr>
              <w:t>涉及环境敏感区的（不含单独的矿石破碎、集运；不含矿区修复治理工程）</w:t>
            </w:r>
            <w:r>
              <w:rPr>
                <w:rFonts w:ascii="宋体" w:hAnsi="宋体"/>
                <w:kern w:val="0"/>
                <w:sz w:val="24"/>
              </w:rPr>
              <w:t>”</w:t>
            </w:r>
            <w:r>
              <w:rPr>
                <w:kern w:val="0"/>
                <w:sz w:val="24"/>
              </w:rPr>
              <w:t>类别的应编制环境影响报告书，</w:t>
            </w:r>
            <w:r>
              <w:rPr>
                <w:rFonts w:ascii="宋体" w:hAnsi="宋体"/>
                <w:kern w:val="0"/>
                <w:sz w:val="24"/>
              </w:rPr>
              <w:t>“其他”类</w:t>
            </w:r>
            <w:r>
              <w:rPr>
                <w:kern w:val="0"/>
                <w:sz w:val="24"/>
              </w:rPr>
              <w:t>别的应编制环境影响报告表。</w:t>
            </w:r>
          </w:p>
          <w:p>
            <w:pPr>
              <w:adjustRightInd w:val="0"/>
              <w:snapToGrid w:val="0"/>
              <w:spacing w:line="360" w:lineRule="auto"/>
              <w:ind w:firstLine="482"/>
              <w:rPr>
                <w:kern w:val="0"/>
                <w:sz w:val="24"/>
              </w:rPr>
            </w:pPr>
            <w:r>
              <w:rPr>
                <w:kern w:val="0"/>
                <w:sz w:val="24"/>
              </w:rPr>
              <w:t>经调查，拟建项目环境影响范围（生态评价范围，声、大气、水环境保护目标调查范围）内不涉及国家公园、自然保护区、风景名胜区、世界文化和自然遗产地、海洋特别保护区、饮用水水源保护区、生态保护红线管控范围、基本草原、重要水生生物的自然产卵场、索饵场、越冬场和洄游通道、沙化土地封禁保护区等该名录对应的环境敏感区。属于</w:t>
            </w:r>
            <w:r>
              <w:rPr>
                <w:rFonts w:ascii="宋体" w:hAnsi="宋体"/>
                <w:kern w:val="0"/>
                <w:sz w:val="24"/>
              </w:rPr>
              <w:t>“其他”类</w:t>
            </w:r>
            <w:r>
              <w:rPr>
                <w:kern w:val="0"/>
                <w:sz w:val="24"/>
              </w:rPr>
              <w:t>别，应编制环境影响报告表。</w:t>
            </w:r>
          </w:p>
          <w:p>
            <w:pPr>
              <w:adjustRightInd w:val="0"/>
              <w:snapToGrid w:val="0"/>
              <w:spacing w:line="360" w:lineRule="auto"/>
              <w:ind w:firstLine="562" w:firstLineChars="200"/>
              <w:rPr>
                <w:b/>
                <w:kern w:val="0"/>
                <w:sz w:val="28"/>
                <w:szCs w:val="28"/>
              </w:rPr>
            </w:pPr>
            <w:r>
              <w:rPr>
                <w:rFonts w:hint="eastAsia"/>
                <w:b/>
                <w:kern w:val="0"/>
                <w:sz w:val="28"/>
                <w:szCs w:val="28"/>
              </w:rPr>
              <w:t>2.2、原项目工程概况</w:t>
            </w:r>
          </w:p>
          <w:p>
            <w:pPr>
              <w:adjustRightInd w:val="0"/>
              <w:snapToGrid w:val="0"/>
              <w:spacing w:line="360" w:lineRule="auto"/>
              <w:ind w:firstLine="482" w:firstLineChars="200"/>
              <w:rPr>
                <w:b/>
                <w:kern w:val="0"/>
                <w:sz w:val="24"/>
              </w:rPr>
            </w:pPr>
            <w:r>
              <w:rPr>
                <w:b/>
                <w:kern w:val="0"/>
                <w:sz w:val="24"/>
              </w:rPr>
              <w:t>（1）</w:t>
            </w:r>
            <w:r>
              <w:rPr>
                <w:rFonts w:hint="eastAsia"/>
                <w:b/>
                <w:kern w:val="0"/>
                <w:sz w:val="24"/>
              </w:rPr>
              <w:t>原项目</w:t>
            </w:r>
            <w:r>
              <w:rPr>
                <w:b/>
                <w:kern w:val="0"/>
                <w:sz w:val="24"/>
              </w:rPr>
              <w:t>基本情况</w:t>
            </w:r>
          </w:p>
          <w:p>
            <w:pPr>
              <w:adjustRightInd w:val="0"/>
              <w:snapToGrid w:val="0"/>
              <w:spacing w:line="360" w:lineRule="auto"/>
              <w:ind w:firstLine="480" w:firstLineChars="200"/>
              <w:rPr>
                <w:kern w:val="0"/>
                <w:sz w:val="24"/>
              </w:rPr>
            </w:pPr>
            <w:r>
              <w:rPr>
                <w:kern w:val="0"/>
                <w:sz w:val="24"/>
              </w:rPr>
              <w:t>项目名称：</w:t>
            </w:r>
            <w:r>
              <w:rPr>
                <w:rFonts w:hint="eastAsia" w:ascii="宋体" w:hAnsi="宋体" w:cs="宋体"/>
                <w:sz w:val="24"/>
              </w:rPr>
              <w:t>大堡坡沟采石场项目</w:t>
            </w:r>
            <w:r>
              <w:rPr>
                <w:kern w:val="0"/>
                <w:sz w:val="24"/>
              </w:rPr>
              <w:t>。</w:t>
            </w:r>
          </w:p>
          <w:p>
            <w:pPr>
              <w:adjustRightInd w:val="0"/>
              <w:snapToGrid w:val="0"/>
              <w:spacing w:line="360" w:lineRule="auto"/>
              <w:ind w:firstLine="480" w:firstLineChars="200"/>
              <w:rPr>
                <w:kern w:val="0"/>
                <w:sz w:val="24"/>
              </w:rPr>
            </w:pPr>
            <w:r>
              <w:rPr>
                <w:kern w:val="0"/>
                <w:sz w:val="24"/>
              </w:rPr>
              <w:t>建设单位：</w:t>
            </w:r>
            <w:r>
              <w:rPr>
                <w:rFonts w:hint="eastAsia"/>
                <w:kern w:val="0"/>
                <w:sz w:val="24"/>
              </w:rPr>
              <w:t>酉阳县陆合矿业有限责任公司</w:t>
            </w:r>
            <w:r>
              <w:rPr>
                <w:kern w:val="0"/>
                <w:sz w:val="24"/>
              </w:rPr>
              <w:t>。</w:t>
            </w:r>
          </w:p>
          <w:p>
            <w:pPr>
              <w:adjustRightInd w:val="0"/>
              <w:snapToGrid w:val="0"/>
              <w:spacing w:line="360" w:lineRule="auto"/>
              <w:ind w:firstLine="480" w:firstLineChars="200"/>
              <w:rPr>
                <w:kern w:val="0"/>
                <w:sz w:val="24"/>
              </w:rPr>
            </w:pPr>
            <w:r>
              <w:rPr>
                <w:kern w:val="0"/>
                <w:sz w:val="24"/>
              </w:rPr>
              <w:t>项目性质：</w:t>
            </w:r>
            <w:r>
              <w:rPr>
                <w:rFonts w:hint="eastAsia"/>
                <w:kern w:val="0"/>
                <w:sz w:val="24"/>
              </w:rPr>
              <w:t>扩建</w:t>
            </w:r>
            <w:r>
              <w:rPr>
                <w:kern w:val="0"/>
                <w:sz w:val="24"/>
              </w:rPr>
              <w:t>。</w:t>
            </w:r>
          </w:p>
          <w:p>
            <w:pPr>
              <w:adjustRightInd w:val="0"/>
              <w:snapToGrid w:val="0"/>
              <w:spacing w:line="360" w:lineRule="auto"/>
              <w:ind w:firstLine="480" w:firstLineChars="200"/>
              <w:rPr>
                <w:kern w:val="0"/>
                <w:sz w:val="24"/>
              </w:rPr>
            </w:pPr>
            <w:r>
              <w:rPr>
                <w:kern w:val="0"/>
                <w:sz w:val="24"/>
              </w:rPr>
              <w:t>矿区面积：4.3620hm</w:t>
            </w:r>
            <w:r>
              <w:rPr>
                <w:kern w:val="0"/>
                <w:sz w:val="24"/>
                <w:vertAlign w:val="superscript"/>
              </w:rPr>
              <w:t>2</w:t>
            </w:r>
            <w:r>
              <w:rPr>
                <w:kern w:val="0"/>
                <w:sz w:val="24"/>
              </w:rPr>
              <w:t>。</w:t>
            </w:r>
          </w:p>
          <w:p>
            <w:pPr>
              <w:adjustRightInd w:val="0"/>
              <w:snapToGrid w:val="0"/>
              <w:spacing w:line="360" w:lineRule="auto"/>
              <w:ind w:firstLine="480" w:firstLineChars="200"/>
              <w:rPr>
                <w:kern w:val="0"/>
                <w:sz w:val="24"/>
              </w:rPr>
            </w:pPr>
            <w:r>
              <w:rPr>
                <w:kern w:val="0"/>
                <w:sz w:val="24"/>
              </w:rPr>
              <w:t>建设规模：矿山开采及碎石加工生产规模20万t/a。</w:t>
            </w:r>
          </w:p>
          <w:p>
            <w:pPr>
              <w:adjustRightInd w:val="0"/>
              <w:snapToGrid w:val="0"/>
              <w:spacing w:line="360" w:lineRule="auto"/>
              <w:ind w:firstLine="480" w:firstLineChars="200"/>
              <w:rPr>
                <w:kern w:val="0"/>
                <w:sz w:val="24"/>
              </w:rPr>
            </w:pPr>
            <w:r>
              <w:rPr>
                <w:kern w:val="0"/>
                <w:sz w:val="24"/>
              </w:rPr>
              <w:t>开采、开拓方式：露天开采、爆破落矿、公路运输开拓。</w:t>
            </w:r>
          </w:p>
          <w:p>
            <w:pPr>
              <w:adjustRightInd w:val="0"/>
              <w:snapToGrid w:val="0"/>
              <w:spacing w:line="360" w:lineRule="auto"/>
              <w:ind w:firstLine="480" w:firstLineChars="200"/>
              <w:rPr>
                <w:kern w:val="0"/>
                <w:sz w:val="24"/>
              </w:rPr>
            </w:pPr>
            <w:r>
              <w:rPr>
                <w:kern w:val="0"/>
                <w:sz w:val="24"/>
              </w:rPr>
              <w:t>劳动定员及工作制度：共计</w:t>
            </w:r>
            <w:r>
              <w:rPr>
                <w:rFonts w:hint="eastAsia"/>
                <w:sz w:val="24"/>
              </w:rPr>
              <w:t>11</w:t>
            </w:r>
            <w:r>
              <w:rPr>
                <w:sz w:val="24"/>
              </w:rPr>
              <w:t>人，其中：</w:t>
            </w:r>
            <w:r>
              <w:rPr>
                <w:rFonts w:hint="eastAsia"/>
                <w:sz w:val="24"/>
              </w:rPr>
              <w:t>2</w:t>
            </w:r>
            <w:r>
              <w:rPr>
                <w:sz w:val="24"/>
              </w:rPr>
              <w:t>人为管理人员，</w:t>
            </w:r>
            <w:r>
              <w:rPr>
                <w:rFonts w:hint="eastAsia"/>
                <w:sz w:val="24"/>
              </w:rPr>
              <w:t>9</w:t>
            </w:r>
            <w:r>
              <w:rPr>
                <w:sz w:val="24"/>
              </w:rPr>
              <w:t>人为生产工人</w:t>
            </w:r>
            <w:r>
              <w:rPr>
                <w:rFonts w:hint="eastAsia"/>
                <w:kern w:val="0"/>
                <w:sz w:val="24"/>
              </w:rPr>
              <w:t>；</w:t>
            </w:r>
            <w:r>
              <w:rPr>
                <w:sz w:val="24"/>
              </w:rPr>
              <w:t>年工作</w:t>
            </w:r>
            <w:r>
              <w:rPr>
                <w:rFonts w:hint="eastAsia"/>
                <w:sz w:val="24"/>
              </w:rPr>
              <w:t>3</w:t>
            </w:r>
            <w:r>
              <w:rPr>
                <w:sz w:val="24"/>
              </w:rPr>
              <w:t>00天，每天</w:t>
            </w:r>
            <w:r>
              <w:rPr>
                <w:rFonts w:hint="eastAsia"/>
                <w:sz w:val="24"/>
              </w:rPr>
              <w:t>1</w:t>
            </w:r>
            <w:r>
              <w:rPr>
                <w:sz w:val="24"/>
              </w:rPr>
              <w:t>班，每班8小时，夜间不生产</w:t>
            </w:r>
            <w:r>
              <w:rPr>
                <w:kern w:val="0"/>
                <w:sz w:val="24"/>
              </w:rPr>
              <w:t>。</w:t>
            </w:r>
          </w:p>
          <w:p>
            <w:pPr>
              <w:adjustRightInd w:val="0"/>
              <w:snapToGrid w:val="0"/>
              <w:spacing w:line="360" w:lineRule="auto"/>
              <w:ind w:firstLine="482" w:firstLineChars="200"/>
              <w:rPr>
                <w:b/>
                <w:kern w:val="0"/>
                <w:sz w:val="24"/>
              </w:rPr>
            </w:pPr>
            <w:r>
              <w:rPr>
                <w:b/>
                <w:kern w:val="0"/>
                <w:sz w:val="24"/>
              </w:rPr>
              <w:t>（2）原项目环保手续办理情况简述</w:t>
            </w:r>
          </w:p>
          <w:p>
            <w:pPr>
              <w:adjustRightInd w:val="0"/>
              <w:snapToGrid w:val="0"/>
              <w:spacing w:line="360" w:lineRule="auto"/>
              <w:ind w:firstLine="480" w:firstLineChars="200"/>
              <w:rPr>
                <w:bCs/>
                <w:sz w:val="24"/>
              </w:rPr>
            </w:pPr>
            <w:r>
              <w:rPr>
                <w:kern w:val="0"/>
                <w:sz w:val="24"/>
              </w:rPr>
              <w:t>经调查，原项目</w:t>
            </w:r>
            <w:r>
              <w:rPr>
                <w:rFonts w:hint="eastAsia"/>
                <w:kern w:val="0"/>
                <w:sz w:val="24"/>
              </w:rPr>
              <w:t>已</w:t>
            </w:r>
            <w:r>
              <w:rPr>
                <w:rFonts w:hint="eastAsia"/>
                <w:bCs/>
                <w:sz w:val="24"/>
              </w:rPr>
              <w:t>于2017年6月12日提交了“现状环境影响评估报告”，并依规至酉阳土家族苗族自治县</w:t>
            </w:r>
            <w:r>
              <w:rPr>
                <w:bCs/>
                <w:sz w:val="24"/>
              </w:rPr>
              <w:t>生态环境局</w:t>
            </w:r>
            <w:r>
              <w:rPr>
                <w:rFonts w:hint="eastAsia"/>
                <w:bCs/>
                <w:sz w:val="24"/>
              </w:rPr>
              <w:t>备案，备案文号为“渝（酉阳）环违评估备</w:t>
            </w:r>
            <w:r>
              <w:rPr>
                <w:bCs/>
                <w:sz w:val="24"/>
              </w:rPr>
              <w:t>〔</w:t>
            </w:r>
            <w:r>
              <w:rPr>
                <w:rFonts w:hint="eastAsia"/>
                <w:bCs/>
                <w:sz w:val="24"/>
              </w:rPr>
              <w:t>2017</w:t>
            </w:r>
            <w:r>
              <w:rPr>
                <w:bCs/>
                <w:sz w:val="24"/>
              </w:rPr>
              <w:t>〕</w:t>
            </w:r>
            <w:r>
              <w:rPr>
                <w:rFonts w:hint="eastAsia"/>
                <w:bCs/>
                <w:sz w:val="24"/>
              </w:rPr>
              <w:t>18号”</w:t>
            </w:r>
            <w:r>
              <w:rPr>
                <w:bCs/>
                <w:sz w:val="24"/>
              </w:rPr>
              <w:t>。</w:t>
            </w:r>
          </w:p>
          <w:p>
            <w:pPr>
              <w:adjustRightInd w:val="0"/>
              <w:snapToGrid w:val="0"/>
              <w:spacing w:line="360" w:lineRule="auto"/>
              <w:ind w:firstLine="482" w:firstLineChars="200"/>
              <w:rPr>
                <w:b/>
                <w:kern w:val="0"/>
                <w:sz w:val="24"/>
              </w:rPr>
            </w:pPr>
            <w:r>
              <w:rPr>
                <w:rFonts w:hint="eastAsia"/>
                <w:b/>
                <w:kern w:val="0"/>
                <w:sz w:val="24"/>
              </w:rPr>
              <w:t>（3）</w:t>
            </w:r>
            <w:r>
              <w:rPr>
                <w:b/>
                <w:kern w:val="0"/>
                <w:sz w:val="24"/>
              </w:rPr>
              <w:t>原项目矿区范围</w:t>
            </w:r>
          </w:p>
          <w:p>
            <w:pPr>
              <w:adjustRightInd w:val="0"/>
              <w:snapToGrid w:val="0"/>
              <w:spacing w:line="360" w:lineRule="auto"/>
              <w:ind w:firstLine="480" w:firstLineChars="200"/>
              <w:rPr>
                <w:kern w:val="0"/>
                <w:sz w:val="24"/>
              </w:rPr>
            </w:pPr>
            <w:r>
              <w:rPr>
                <w:rFonts w:hint="eastAsia"/>
                <w:kern w:val="0"/>
                <w:sz w:val="24"/>
              </w:rPr>
              <w:t>原项目</w:t>
            </w:r>
            <w:r>
              <w:rPr>
                <w:kern w:val="0"/>
                <w:sz w:val="24"/>
              </w:rPr>
              <w:t>矿区范围详见表2-2所示。</w:t>
            </w:r>
          </w:p>
          <w:p>
            <w:pPr>
              <w:adjustRightInd w:val="0"/>
              <w:snapToGrid w:val="0"/>
              <w:jc w:val="center"/>
              <w:rPr>
                <w:b/>
                <w:kern w:val="0"/>
                <w:sz w:val="24"/>
              </w:rPr>
            </w:pPr>
            <w:r>
              <w:rPr>
                <w:b/>
                <w:kern w:val="0"/>
                <w:sz w:val="24"/>
              </w:rPr>
              <w:t>表2-2   原项目矿区范围拐点坐标</w:t>
            </w:r>
          </w:p>
          <w:tbl>
            <w:tblPr>
              <w:tblStyle w:val="15"/>
              <w:tblW w:w="904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7"/>
              <w:gridCol w:w="1702"/>
              <w:gridCol w:w="1981"/>
              <w:gridCol w:w="895"/>
              <w:gridCol w:w="1818"/>
              <w:gridCol w:w="1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tblHeader/>
                <w:jc w:val="center"/>
              </w:trPr>
              <w:tc>
                <w:tcPr>
                  <w:tcW w:w="747" w:type="dxa"/>
                  <w:vMerge w:val="restart"/>
                  <w:vAlign w:val="center"/>
                </w:tcPr>
                <w:p>
                  <w:pPr>
                    <w:adjustRightInd w:val="0"/>
                    <w:snapToGrid w:val="0"/>
                    <w:jc w:val="center"/>
                    <w:rPr>
                      <w:sz w:val="22"/>
                      <w:szCs w:val="22"/>
                    </w:rPr>
                  </w:pPr>
                  <w:r>
                    <w:rPr>
                      <w:sz w:val="22"/>
                      <w:szCs w:val="22"/>
                    </w:rPr>
                    <w:t>拐点</w:t>
                  </w:r>
                </w:p>
                <w:p>
                  <w:pPr>
                    <w:adjustRightInd w:val="0"/>
                    <w:snapToGrid w:val="0"/>
                    <w:jc w:val="center"/>
                    <w:rPr>
                      <w:sz w:val="22"/>
                      <w:szCs w:val="22"/>
                    </w:rPr>
                  </w:pPr>
                  <w:r>
                    <w:rPr>
                      <w:sz w:val="22"/>
                      <w:szCs w:val="22"/>
                    </w:rPr>
                    <w:t>编号</w:t>
                  </w:r>
                </w:p>
              </w:tc>
              <w:tc>
                <w:tcPr>
                  <w:tcW w:w="3683" w:type="dxa"/>
                  <w:gridSpan w:val="2"/>
                  <w:tcBorders>
                    <w:bottom w:val="single" w:color="auto" w:sz="4" w:space="0"/>
                    <w:right w:val="single" w:color="auto" w:sz="4" w:space="0"/>
                  </w:tcBorders>
                  <w:vAlign w:val="center"/>
                </w:tcPr>
                <w:p>
                  <w:pPr>
                    <w:adjustRightInd w:val="0"/>
                    <w:snapToGrid w:val="0"/>
                    <w:jc w:val="center"/>
                    <w:rPr>
                      <w:sz w:val="22"/>
                      <w:szCs w:val="22"/>
                    </w:rPr>
                  </w:pPr>
                  <w:r>
                    <w:rPr>
                      <w:sz w:val="22"/>
                      <w:szCs w:val="22"/>
                    </w:rPr>
                    <w:t>2000国家大地坐标系</w:t>
                  </w:r>
                </w:p>
              </w:tc>
              <w:tc>
                <w:tcPr>
                  <w:tcW w:w="895" w:type="dxa"/>
                  <w:vMerge w:val="restart"/>
                  <w:tcBorders>
                    <w:left w:val="single" w:color="auto" w:sz="4" w:space="0"/>
                    <w:right w:val="single" w:color="auto" w:sz="4" w:space="0"/>
                  </w:tcBorders>
                  <w:vAlign w:val="center"/>
                </w:tcPr>
                <w:p>
                  <w:pPr>
                    <w:adjustRightInd w:val="0"/>
                    <w:snapToGrid w:val="0"/>
                    <w:jc w:val="center"/>
                    <w:rPr>
                      <w:sz w:val="22"/>
                      <w:szCs w:val="22"/>
                    </w:rPr>
                  </w:pPr>
                  <w:r>
                    <w:rPr>
                      <w:sz w:val="22"/>
                      <w:szCs w:val="22"/>
                    </w:rPr>
                    <w:t>拐点</w:t>
                  </w:r>
                </w:p>
                <w:p>
                  <w:pPr>
                    <w:adjustRightInd w:val="0"/>
                    <w:snapToGrid w:val="0"/>
                    <w:jc w:val="center"/>
                    <w:rPr>
                      <w:sz w:val="22"/>
                      <w:szCs w:val="22"/>
                    </w:rPr>
                  </w:pPr>
                  <w:r>
                    <w:rPr>
                      <w:sz w:val="22"/>
                      <w:szCs w:val="22"/>
                    </w:rPr>
                    <w:t>编号</w:t>
                  </w:r>
                </w:p>
              </w:tc>
              <w:tc>
                <w:tcPr>
                  <w:tcW w:w="3719" w:type="dxa"/>
                  <w:gridSpan w:val="2"/>
                  <w:tcBorders>
                    <w:left w:val="single" w:color="auto" w:sz="4" w:space="0"/>
                    <w:bottom w:val="single" w:color="auto" w:sz="4" w:space="0"/>
                  </w:tcBorders>
                  <w:vAlign w:val="center"/>
                </w:tcPr>
                <w:p>
                  <w:pPr>
                    <w:adjustRightInd w:val="0"/>
                    <w:snapToGrid w:val="0"/>
                    <w:jc w:val="center"/>
                    <w:rPr>
                      <w:sz w:val="22"/>
                      <w:szCs w:val="22"/>
                    </w:rPr>
                  </w:pPr>
                  <w:r>
                    <w:rPr>
                      <w:sz w:val="22"/>
                      <w:szCs w:val="22"/>
                    </w:rPr>
                    <w:t>2000国家大地坐标系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1" w:hRule="atLeast"/>
                <w:tblHeader/>
                <w:jc w:val="center"/>
              </w:trPr>
              <w:tc>
                <w:tcPr>
                  <w:tcW w:w="747" w:type="dxa"/>
                  <w:vMerge w:val="continue"/>
                  <w:vAlign w:val="center"/>
                </w:tcPr>
                <w:p>
                  <w:pPr>
                    <w:adjustRightInd w:val="0"/>
                    <w:snapToGrid w:val="0"/>
                    <w:jc w:val="center"/>
                    <w:rPr>
                      <w:sz w:val="22"/>
                      <w:szCs w:val="22"/>
                    </w:rPr>
                  </w:pPr>
                </w:p>
              </w:tc>
              <w:tc>
                <w:tcPr>
                  <w:tcW w:w="1702" w:type="dxa"/>
                  <w:tcBorders>
                    <w:top w:val="single" w:color="auto" w:sz="4" w:space="0"/>
                  </w:tcBorders>
                  <w:vAlign w:val="center"/>
                </w:tcPr>
                <w:p>
                  <w:pPr>
                    <w:adjustRightInd w:val="0"/>
                    <w:snapToGrid w:val="0"/>
                    <w:jc w:val="center"/>
                    <w:rPr>
                      <w:sz w:val="22"/>
                      <w:szCs w:val="22"/>
                    </w:rPr>
                  </w:pPr>
                  <w:r>
                    <w:rPr>
                      <w:sz w:val="22"/>
                      <w:szCs w:val="22"/>
                    </w:rPr>
                    <w:t>X</w:t>
                  </w:r>
                </w:p>
              </w:tc>
              <w:tc>
                <w:tcPr>
                  <w:tcW w:w="1981" w:type="dxa"/>
                  <w:tcBorders>
                    <w:top w:val="single" w:color="auto" w:sz="4" w:space="0"/>
                    <w:right w:val="single" w:color="auto" w:sz="4" w:space="0"/>
                  </w:tcBorders>
                  <w:vAlign w:val="center"/>
                </w:tcPr>
                <w:p>
                  <w:pPr>
                    <w:adjustRightInd w:val="0"/>
                    <w:snapToGrid w:val="0"/>
                    <w:jc w:val="center"/>
                    <w:rPr>
                      <w:sz w:val="22"/>
                      <w:szCs w:val="22"/>
                    </w:rPr>
                  </w:pPr>
                  <w:r>
                    <w:rPr>
                      <w:sz w:val="22"/>
                      <w:szCs w:val="22"/>
                    </w:rPr>
                    <w:t>Y</w:t>
                  </w:r>
                </w:p>
              </w:tc>
              <w:tc>
                <w:tcPr>
                  <w:tcW w:w="895" w:type="dxa"/>
                  <w:vMerge w:val="continue"/>
                  <w:tcBorders>
                    <w:left w:val="single" w:color="auto" w:sz="4" w:space="0"/>
                    <w:right w:val="single" w:color="auto" w:sz="4" w:space="0"/>
                  </w:tcBorders>
                  <w:vAlign w:val="center"/>
                </w:tcPr>
                <w:p>
                  <w:pPr>
                    <w:adjustRightInd w:val="0"/>
                    <w:snapToGrid w:val="0"/>
                    <w:jc w:val="center"/>
                    <w:rPr>
                      <w:sz w:val="22"/>
                      <w:szCs w:val="22"/>
                    </w:rPr>
                  </w:pPr>
                </w:p>
              </w:tc>
              <w:tc>
                <w:tcPr>
                  <w:tcW w:w="1818" w:type="dxa"/>
                  <w:tcBorders>
                    <w:top w:val="single" w:color="auto" w:sz="4" w:space="0"/>
                    <w:left w:val="single" w:color="auto" w:sz="4" w:space="0"/>
                    <w:right w:val="single" w:color="auto" w:sz="4" w:space="0"/>
                  </w:tcBorders>
                  <w:vAlign w:val="center"/>
                </w:tcPr>
                <w:p>
                  <w:pPr>
                    <w:adjustRightInd w:val="0"/>
                    <w:snapToGrid w:val="0"/>
                    <w:jc w:val="center"/>
                    <w:rPr>
                      <w:sz w:val="22"/>
                      <w:szCs w:val="22"/>
                    </w:rPr>
                  </w:pPr>
                  <w:r>
                    <w:rPr>
                      <w:sz w:val="22"/>
                      <w:szCs w:val="22"/>
                    </w:rPr>
                    <w:t>X</w:t>
                  </w:r>
                </w:p>
              </w:tc>
              <w:tc>
                <w:tcPr>
                  <w:tcW w:w="1901" w:type="dxa"/>
                  <w:tcBorders>
                    <w:top w:val="single" w:color="auto" w:sz="4" w:space="0"/>
                    <w:left w:val="single" w:color="auto" w:sz="4" w:space="0"/>
                  </w:tcBorders>
                  <w:vAlign w:val="center"/>
                </w:tcPr>
                <w:p>
                  <w:pPr>
                    <w:adjustRightInd w:val="0"/>
                    <w:snapToGrid w:val="0"/>
                    <w:jc w:val="center"/>
                    <w:rPr>
                      <w:sz w:val="22"/>
                      <w:szCs w:val="22"/>
                    </w:rPr>
                  </w:pPr>
                  <w:r>
                    <w:rPr>
                      <w:sz w:val="22"/>
                      <w:szCs w:val="22"/>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7" w:hRule="atLeast"/>
                <w:jc w:val="center"/>
              </w:trPr>
              <w:tc>
                <w:tcPr>
                  <w:tcW w:w="747" w:type="dxa"/>
                  <w:vAlign w:val="center"/>
                </w:tcPr>
                <w:p>
                  <w:pPr>
                    <w:adjustRightInd w:val="0"/>
                    <w:snapToGrid w:val="0"/>
                    <w:jc w:val="center"/>
                    <w:rPr>
                      <w:sz w:val="22"/>
                      <w:szCs w:val="22"/>
                    </w:rPr>
                  </w:pPr>
                  <w:r>
                    <w:rPr>
                      <w:sz w:val="22"/>
                      <w:szCs w:val="22"/>
                    </w:rPr>
                    <w:t>1</w:t>
                  </w:r>
                </w:p>
              </w:tc>
              <w:tc>
                <w:tcPr>
                  <w:tcW w:w="1702" w:type="dxa"/>
                  <w:vAlign w:val="center"/>
                </w:tcPr>
                <w:p>
                  <w:pPr>
                    <w:adjustRightInd w:val="0"/>
                    <w:snapToGrid w:val="0"/>
                    <w:jc w:val="center"/>
                    <w:rPr>
                      <w:sz w:val="22"/>
                      <w:szCs w:val="22"/>
                    </w:rPr>
                  </w:pPr>
                  <w:r>
                    <w:rPr>
                      <w:sz w:val="22"/>
                      <w:szCs w:val="22"/>
                    </w:rPr>
                    <w:t>3213507.70</w:t>
                  </w:r>
                </w:p>
              </w:tc>
              <w:tc>
                <w:tcPr>
                  <w:tcW w:w="1981" w:type="dxa"/>
                  <w:tcBorders>
                    <w:right w:val="single" w:color="auto" w:sz="4" w:space="0"/>
                  </w:tcBorders>
                  <w:vAlign w:val="center"/>
                </w:tcPr>
                <w:p>
                  <w:pPr>
                    <w:adjustRightInd w:val="0"/>
                    <w:snapToGrid w:val="0"/>
                    <w:jc w:val="center"/>
                    <w:rPr>
                      <w:sz w:val="22"/>
                      <w:szCs w:val="22"/>
                    </w:rPr>
                  </w:pPr>
                  <w:r>
                    <w:rPr>
                      <w:sz w:val="22"/>
                      <w:szCs w:val="22"/>
                    </w:rPr>
                    <w:t>36563948.50</w:t>
                  </w:r>
                </w:p>
              </w:tc>
              <w:tc>
                <w:tcPr>
                  <w:tcW w:w="895"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5</w:t>
                  </w:r>
                </w:p>
              </w:tc>
              <w:tc>
                <w:tcPr>
                  <w:tcW w:w="1818"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3213718.70</w:t>
                  </w:r>
                </w:p>
              </w:tc>
              <w:tc>
                <w:tcPr>
                  <w:tcW w:w="1901" w:type="dxa"/>
                  <w:tcBorders>
                    <w:left w:val="single" w:color="auto" w:sz="4" w:space="0"/>
                  </w:tcBorders>
                  <w:vAlign w:val="center"/>
                </w:tcPr>
                <w:p>
                  <w:pPr>
                    <w:adjustRightInd w:val="0"/>
                    <w:snapToGrid w:val="0"/>
                    <w:jc w:val="center"/>
                    <w:rPr>
                      <w:sz w:val="22"/>
                      <w:szCs w:val="22"/>
                    </w:rPr>
                  </w:pPr>
                  <w:r>
                    <w:rPr>
                      <w:sz w:val="22"/>
                      <w:szCs w:val="22"/>
                    </w:rPr>
                    <w:t>36563852.50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7" w:hRule="atLeast"/>
                <w:jc w:val="center"/>
              </w:trPr>
              <w:tc>
                <w:tcPr>
                  <w:tcW w:w="747" w:type="dxa"/>
                  <w:vAlign w:val="center"/>
                </w:tcPr>
                <w:p>
                  <w:pPr>
                    <w:adjustRightInd w:val="0"/>
                    <w:snapToGrid w:val="0"/>
                    <w:jc w:val="center"/>
                    <w:rPr>
                      <w:sz w:val="22"/>
                      <w:szCs w:val="22"/>
                    </w:rPr>
                  </w:pPr>
                  <w:r>
                    <w:rPr>
                      <w:sz w:val="22"/>
                      <w:szCs w:val="22"/>
                    </w:rPr>
                    <w:t>2</w:t>
                  </w:r>
                </w:p>
              </w:tc>
              <w:tc>
                <w:tcPr>
                  <w:tcW w:w="1702" w:type="dxa"/>
                  <w:vAlign w:val="center"/>
                </w:tcPr>
                <w:p>
                  <w:pPr>
                    <w:adjustRightInd w:val="0"/>
                    <w:snapToGrid w:val="0"/>
                    <w:jc w:val="center"/>
                    <w:rPr>
                      <w:sz w:val="22"/>
                      <w:szCs w:val="22"/>
                    </w:rPr>
                  </w:pPr>
                  <w:r>
                    <w:rPr>
                      <w:sz w:val="22"/>
                      <w:szCs w:val="22"/>
                    </w:rPr>
                    <w:t>3213597.70</w:t>
                  </w:r>
                </w:p>
              </w:tc>
              <w:tc>
                <w:tcPr>
                  <w:tcW w:w="1981" w:type="dxa"/>
                  <w:tcBorders>
                    <w:right w:val="single" w:color="auto" w:sz="4" w:space="0"/>
                  </w:tcBorders>
                  <w:vAlign w:val="center"/>
                </w:tcPr>
                <w:p>
                  <w:pPr>
                    <w:adjustRightInd w:val="0"/>
                    <w:snapToGrid w:val="0"/>
                    <w:jc w:val="center"/>
                    <w:rPr>
                      <w:sz w:val="22"/>
                      <w:szCs w:val="22"/>
                    </w:rPr>
                  </w:pPr>
                  <w:r>
                    <w:rPr>
                      <w:sz w:val="22"/>
                      <w:szCs w:val="22"/>
                    </w:rPr>
                    <w:t>36564034.50</w:t>
                  </w:r>
                </w:p>
              </w:tc>
              <w:tc>
                <w:tcPr>
                  <w:tcW w:w="895"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6</w:t>
                  </w:r>
                </w:p>
              </w:tc>
              <w:tc>
                <w:tcPr>
                  <w:tcW w:w="1818"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3213616.70</w:t>
                  </w:r>
                </w:p>
              </w:tc>
              <w:tc>
                <w:tcPr>
                  <w:tcW w:w="1901" w:type="dxa"/>
                  <w:tcBorders>
                    <w:left w:val="single" w:color="auto" w:sz="4" w:space="0"/>
                  </w:tcBorders>
                  <w:vAlign w:val="center"/>
                </w:tcPr>
                <w:p>
                  <w:pPr>
                    <w:adjustRightInd w:val="0"/>
                    <w:snapToGrid w:val="0"/>
                    <w:jc w:val="center"/>
                    <w:rPr>
                      <w:sz w:val="22"/>
                      <w:szCs w:val="22"/>
                    </w:rPr>
                  </w:pPr>
                  <w:r>
                    <w:rPr>
                      <w:sz w:val="22"/>
                      <w:szCs w:val="22"/>
                    </w:rPr>
                    <w:t>36563802.50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7" w:hRule="atLeast"/>
                <w:jc w:val="center"/>
              </w:trPr>
              <w:tc>
                <w:tcPr>
                  <w:tcW w:w="747" w:type="dxa"/>
                  <w:vAlign w:val="center"/>
                </w:tcPr>
                <w:p>
                  <w:pPr>
                    <w:adjustRightInd w:val="0"/>
                    <w:snapToGrid w:val="0"/>
                    <w:jc w:val="center"/>
                    <w:rPr>
                      <w:sz w:val="22"/>
                      <w:szCs w:val="22"/>
                    </w:rPr>
                  </w:pPr>
                  <w:r>
                    <w:rPr>
                      <w:sz w:val="22"/>
                      <w:szCs w:val="22"/>
                    </w:rPr>
                    <w:t>3</w:t>
                  </w:r>
                </w:p>
              </w:tc>
              <w:tc>
                <w:tcPr>
                  <w:tcW w:w="1702" w:type="dxa"/>
                  <w:vAlign w:val="center"/>
                </w:tcPr>
                <w:p>
                  <w:pPr>
                    <w:adjustRightInd w:val="0"/>
                    <w:snapToGrid w:val="0"/>
                    <w:jc w:val="center"/>
                    <w:rPr>
                      <w:sz w:val="22"/>
                      <w:szCs w:val="22"/>
                    </w:rPr>
                  </w:pPr>
                  <w:r>
                    <w:rPr>
                      <w:sz w:val="22"/>
                      <w:szCs w:val="22"/>
                    </w:rPr>
                    <w:t>3213693.70</w:t>
                  </w:r>
                </w:p>
              </w:tc>
              <w:tc>
                <w:tcPr>
                  <w:tcW w:w="1981" w:type="dxa"/>
                  <w:tcBorders>
                    <w:right w:val="single" w:color="auto" w:sz="4" w:space="0"/>
                  </w:tcBorders>
                  <w:vAlign w:val="center"/>
                </w:tcPr>
                <w:p>
                  <w:pPr>
                    <w:adjustRightInd w:val="0"/>
                    <w:snapToGrid w:val="0"/>
                    <w:jc w:val="center"/>
                    <w:rPr>
                      <w:sz w:val="22"/>
                      <w:szCs w:val="22"/>
                    </w:rPr>
                  </w:pPr>
                  <w:r>
                    <w:rPr>
                      <w:sz w:val="22"/>
                      <w:szCs w:val="22"/>
                    </w:rPr>
                    <w:t>36564049.50</w:t>
                  </w:r>
                </w:p>
              </w:tc>
              <w:tc>
                <w:tcPr>
                  <w:tcW w:w="895"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7</w:t>
                  </w:r>
                </w:p>
              </w:tc>
              <w:tc>
                <w:tcPr>
                  <w:tcW w:w="1818"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3213522.70</w:t>
                  </w:r>
                </w:p>
              </w:tc>
              <w:tc>
                <w:tcPr>
                  <w:tcW w:w="1901" w:type="dxa"/>
                  <w:tcBorders>
                    <w:left w:val="single" w:color="auto" w:sz="4" w:space="0"/>
                  </w:tcBorders>
                  <w:vAlign w:val="center"/>
                </w:tcPr>
                <w:p>
                  <w:pPr>
                    <w:adjustRightInd w:val="0"/>
                    <w:snapToGrid w:val="0"/>
                    <w:jc w:val="center"/>
                    <w:rPr>
                      <w:sz w:val="22"/>
                      <w:szCs w:val="22"/>
                    </w:rPr>
                  </w:pPr>
                  <w:r>
                    <w:rPr>
                      <w:sz w:val="22"/>
                      <w:szCs w:val="22"/>
                    </w:rPr>
                    <w:t>36563830.50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7" w:hRule="atLeast"/>
                <w:jc w:val="center"/>
              </w:trPr>
              <w:tc>
                <w:tcPr>
                  <w:tcW w:w="747" w:type="dxa"/>
                  <w:vAlign w:val="center"/>
                </w:tcPr>
                <w:p>
                  <w:pPr>
                    <w:adjustRightInd w:val="0"/>
                    <w:snapToGrid w:val="0"/>
                    <w:jc w:val="center"/>
                    <w:rPr>
                      <w:sz w:val="22"/>
                      <w:szCs w:val="22"/>
                    </w:rPr>
                  </w:pPr>
                  <w:r>
                    <w:rPr>
                      <w:sz w:val="22"/>
                      <w:szCs w:val="22"/>
                    </w:rPr>
                    <w:t>4</w:t>
                  </w:r>
                </w:p>
              </w:tc>
              <w:tc>
                <w:tcPr>
                  <w:tcW w:w="1702" w:type="dxa"/>
                  <w:vAlign w:val="center"/>
                </w:tcPr>
                <w:p>
                  <w:pPr>
                    <w:adjustRightInd w:val="0"/>
                    <w:snapToGrid w:val="0"/>
                    <w:jc w:val="center"/>
                    <w:rPr>
                      <w:sz w:val="22"/>
                      <w:szCs w:val="22"/>
                    </w:rPr>
                  </w:pPr>
                  <w:r>
                    <w:rPr>
                      <w:sz w:val="22"/>
                      <w:szCs w:val="22"/>
                    </w:rPr>
                    <w:t>3213759.70</w:t>
                  </w:r>
                </w:p>
              </w:tc>
              <w:tc>
                <w:tcPr>
                  <w:tcW w:w="1981" w:type="dxa"/>
                  <w:tcBorders>
                    <w:right w:val="single" w:color="auto" w:sz="4" w:space="0"/>
                  </w:tcBorders>
                  <w:vAlign w:val="center"/>
                </w:tcPr>
                <w:p>
                  <w:pPr>
                    <w:adjustRightInd w:val="0"/>
                    <w:snapToGrid w:val="0"/>
                    <w:jc w:val="center"/>
                    <w:rPr>
                      <w:sz w:val="22"/>
                      <w:szCs w:val="22"/>
                    </w:rPr>
                  </w:pPr>
                  <w:r>
                    <w:rPr>
                      <w:sz w:val="22"/>
                      <w:szCs w:val="22"/>
                    </w:rPr>
                    <w:t>36563935.50</w:t>
                  </w:r>
                </w:p>
              </w:tc>
              <w:tc>
                <w:tcPr>
                  <w:tcW w:w="895" w:type="dxa"/>
                  <w:tcBorders>
                    <w:left w:val="single" w:color="auto" w:sz="4" w:space="0"/>
                    <w:right w:val="single" w:color="auto" w:sz="4" w:space="0"/>
                  </w:tcBorders>
                  <w:vAlign w:val="center"/>
                </w:tcPr>
                <w:p>
                  <w:pPr>
                    <w:adjustRightInd w:val="0"/>
                    <w:snapToGrid w:val="0"/>
                    <w:jc w:val="center"/>
                    <w:rPr>
                      <w:sz w:val="22"/>
                      <w:szCs w:val="22"/>
                    </w:rPr>
                  </w:pPr>
                </w:p>
              </w:tc>
              <w:tc>
                <w:tcPr>
                  <w:tcW w:w="1818" w:type="dxa"/>
                  <w:tcBorders>
                    <w:left w:val="single" w:color="auto" w:sz="4" w:space="0"/>
                    <w:right w:val="single" w:color="auto" w:sz="4" w:space="0"/>
                  </w:tcBorders>
                  <w:vAlign w:val="center"/>
                </w:tcPr>
                <w:p>
                  <w:pPr>
                    <w:adjustRightInd w:val="0"/>
                    <w:snapToGrid w:val="0"/>
                    <w:jc w:val="center"/>
                    <w:rPr>
                      <w:sz w:val="22"/>
                      <w:szCs w:val="22"/>
                    </w:rPr>
                  </w:pPr>
                </w:p>
              </w:tc>
              <w:tc>
                <w:tcPr>
                  <w:tcW w:w="1901" w:type="dxa"/>
                  <w:tcBorders>
                    <w:left w:val="single" w:color="auto" w:sz="4" w:space="0"/>
                  </w:tcBorders>
                  <w:vAlign w:val="center"/>
                </w:tcPr>
                <w:p>
                  <w:pPr>
                    <w:adjustRightInd w:val="0"/>
                    <w:snapToGrid w:val="0"/>
                    <w:jc w:val="center"/>
                    <w:rPr>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7" w:hRule="atLeast"/>
                <w:jc w:val="center"/>
              </w:trPr>
              <w:tc>
                <w:tcPr>
                  <w:tcW w:w="9044" w:type="dxa"/>
                  <w:gridSpan w:val="6"/>
                  <w:vAlign w:val="center"/>
                </w:tcPr>
                <w:p>
                  <w:pPr>
                    <w:adjustRightInd w:val="0"/>
                    <w:snapToGrid w:val="0"/>
                    <w:ind w:firstLine="440" w:firstLineChars="200"/>
                    <w:rPr>
                      <w:sz w:val="22"/>
                      <w:szCs w:val="22"/>
                    </w:rPr>
                  </w:pPr>
                  <w:r>
                    <w:rPr>
                      <w:rFonts w:hint="eastAsia"/>
                      <w:sz w:val="22"/>
                      <w:szCs w:val="22"/>
                    </w:rPr>
                    <w:t>备注：</w:t>
                  </w:r>
                  <w:r>
                    <w:rPr>
                      <w:sz w:val="22"/>
                      <w:szCs w:val="22"/>
                    </w:rPr>
                    <w:t>矿区面积：4.3620hm</w:t>
                  </w:r>
                  <w:r>
                    <w:rPr>
                      <w:sz w:val="22"/>
                      <w:szCs w:val="22"/>
                      <w:vertAlign w:val="superscript"/>
                    </w:rPr>
                    <w:t>2</w:t>
                  </w:r>
                  <w:r>
                    <w:rPr>
                      <w:rFonts w:hint="eastAsia"/>
                      <w:sz w:val="22"/>
                      <w:szCs w:val="22"/>
                    </w:rPr>
                    <w:t>；</w:t>
                  </w:r>
                  <w:r>
                    <w:rPr>
                      <w:sz w:val="22"/>
                      <w:szCs w:val="22"/>
                    </w:rPr>
                    <w:t>开采标高：+853m～+750m</w:t>
                  </w:r>
                  <w:r>
                    <w:rPr>
                      <w:rFonts w:hint="eastAsia"/>
                      <w:sz w:val="22"/>
                      <w:szCs w:val="22"/>
                    </w:rPr>
                    <w:t>；</w:t>
                  </w:r>
                  <w:r>
                    <w:rPr>
                      <w:sz w:val="22"/>
                      <w:szCs w:val="22"/>
                    </w:rPr>
                    <w:t>开采矿种</w:t>
                  </w:r>
                  <w:r>
                    <w:rPr>
                      <w:rFonts w:hint="eastAsia"/>
                      <w:sz w:val="22"/>
                      <w:szCs w:val="22"/>
                    </w:rPr>
                    <w:t>：</w:t>
                  </w:r>
                  <w:r>
                    <w:rPr>
                      <w:bCs/>
                      <w:sz w:val="22"/>
                      <w:szCs w:val="22"/>
                    </w:rPr>
                    <w:t>三叠系下统嘉陵江组一段（T</w:t>
                  </w:r>
                  <w:r>
                    <w:rPr>
                      <w:bCs/>
                      <w:sz w:val="22"/>
                      <w:szCs w:val="22"/>
                      <w:vertAlign w:val="subscript"/>
                    </w:rPr>
                    <w:t>1</w:t>
                  </w:r>
                  <w:r>
                    <w:rPr>
                      <w:bCs/>
                      <w:sz w:val="22"/>
                      <w:szCs w:val="22"/>
                    </w:rPr>
                    <w:t>j</w:t>
                  </w:r>
                  <w:r>
                    <w:rPr>
                      <w:bCs/>
                      <w:sz w:val="22"/>
                      <w:szCs w:val="22"/>
                      <w:vertAlign w:val="superscript"/>
                    </w:rPr>
                    <w:t>1</w:t>
                  </w:r>
                  <w:r>
                    <w:rPr>
                      <w:bCs/>
                      <w:sz w:val="22"/>
                      <w:szCs w:val="22"/>
                    </w:rPr>
                    <w:t>）</w:t>
                  </w:r>
                  <w:r>
                    <w:rPr>
                      <w:rFonts w:hint="eastAsia"/>
                      <w:bCs/>
                      <w:color w:val="0000FF"/>
                      <w:sz w:val="22"/>
                      <w:szCs w:val="22"/>
                    </w:rPr>
                    <w:t>建筑石料用</w:t>
                  </w:r>
                  <w:r>
                    <w:rPr>
                      <w:rFonts w:hint="eastAsia"/>
                      <w:bCs/>
                      <w:sz w:val="22"/>
                      <w:szCs w:val="22"/>
                    </w:rPr>
                    <w:t>灰岩</w:t>
                  </w:r>
                  <w:r>
                    <w:rPr>
                      <w:rFonts w:hint="eastAsia"/>
                      <w:sz w:val="22"/>
                      <w:szCs w:val="22"/>
                    </w:rPr>
                    <w:t>；</w:t>
                  </w:r>
                  <w:r>
                    <w:rPr>
                      <w:sz w:val="22"/>
                      <w:szCs w:val="22"/>
                    </w:rPr>
                    <w:t>生产规模</w:t>
                  </w:r>
                  <w:r>
                    <w:rPr>
                      <w:rFonts w:hint="eastAsia"/>
                      <w:sz w:val="22"/>
                      <w:szCs w:val="22"/>
                    </w:rPr>
                    <w:t>：</w:t>
                  </w:r>
                  <w:r>
                    <w:rPr>
                      <w:sz w:val="22"/>
                      <w:szCs w:val="22"/>
                    </w:rPr>
                    <w:t>20万t/a</w:t>
                  </w:r>
                  <w:r>
                    <w:rPr>
                      <w:rFonts w:hint="eastAsia"/>
                      <w:sz w:val="22"/>
                      <w:szCs w:val="22"/>
                    </w:rPr>
                    <w:t>。</w:t>
                  </w:r>
                </w:p>
              </w:tc>
            </w:tr>
          </w:tbl>
          <w:p>
            <w:pPr>
              <w:adjustRightInd w:val="0"/>
              <w:snapToGrid w:val="0"/>
              <w:spacing w:line="360" w:lineRule="auto"/>
              <w:ind w:firstLine="482" w:firstLineChars="200"/>
              <w:rPr>
                <w:b/>
                <w:kern w:val="0"/>
                <w:sz w:val="24"/>
              </w:rPr>
            </w:pPr>
            <w:r>
              <w:rPr>
                <w:b/>
                <w:kern w:val="0"/>
                <w:sz w:val="24"/>
              </w:rPr>
              <w:t>（</w:t>
            </w:r>
            <w:r>
              <w:rPr>
                <w:rFonts w:hint="eastAsia"/>
                <w:b/>
                <w:kern w:val="0"/>
                <w:sz w:val="24"/>
              </w:rPr>
              <w:t>4</w:t>
            </w:r>
            <w:r>
              <w:rPr>
                <w:b/>
                <w:kern w:val="0"/>
                <w:sz w:val="24"/>
              </w:rPr>
              <w:t>）原项目组成情况</w:t>
            </w:r>
          </w:p>
          <w:p>
            <w:pPr>
              <w:adjustRightInd w:val="0"/>
              <w:snapToGrid w:val="0"/>
              <w:spacing w:line="360" w:lineRule="auto"/>
              <w:ind w:firstLine="480" w:firstLineChars="200"/>
              <w:rPr>
                <w:kern w:val="0"/>
                <w:sz w:val="24"/>
              </w:rPr>
            </w:pPr>
            <w:r>
              <w:rPr>
                <w:kern w:val="0"/>
                <w:sz w:val="24"/>
              </w:rPr>
              <w:t>经调查，</w:t>
            </w:r>
            <w:r>
              <w:rPr>
                <w:rFonts w:hint="eastAsia"/>
                <w:kern w:val="0"/>
                <w:sz w:val="24"/>
              </w:rPr>
              <w:t>原项目目前处于正常投产状态</w:t>
            </w:r>
            <w:r>
              <w:rPr>
                <w:kern w:val="0"/>
                <w:sz w:val="24"/>
              </w:rPr>
              <w:t>。根据现场踏勘调查</w:t>
            </w:r>
            <w:r>
              <w:rPr>
                <w:rFonts w:hint="eastAsia"/>
                <w:kern w:val="0"/>
                <w:sz w:val="24"/>
              </w:rPr>
              <w:t>并结合《大堡坡沟采石场项目现状环境影响评估报告》</w:t>
            </w:r>
            <w:r>
              <w:rPr>
                <w:kern w:val="0"/>
                <w:sz w:val="24"/>
              </w:rPr>
              <w:t>，</w:t>
            </w:r>
            <w:r>
              <w:rPr>
                <w:rFonts w:hint="eastAsia"/>
                <w:kern w:val="0"/>
                <w:sz w:val="24"/>
              </w:rPr>
              <w:t>原项目</w:t>
            </w:r>
            <w:r>
              <w:rPr>
                <w:kern w:val="0"/>
                <w:sz w:val="24"/>
              </w:rPr>
              <w:t>主要建设内容包括开采区、工业广场和办公生活区等，原项目主要组成及现状情况见表2-</w:t>
            </w:r>
            <w:r>
              <w:rPr>
                <w:rFonts w:hint="eastAsia"/>
                <w:kern w:val="0"/>
                <w:sz w:val="24"/>
              </w:rPr>
              <w:t>3</w:t>
            </w:r>
            <w:r>
              <w:rPr>
                <w:kern w:val="0"/>
                <w:sz w:val="24"/>
              </w:rPr>
              <w:t>所示。</w:t>
            </w:r>
          </w:p>
          <w:p>
            <w:pPr>
              <w:adjustRightInd w:val="0"/>
              <w:snapToGrid w:val="0"/>
              <w:jc w:val="center"/>
              <w:rPr>
                <w:kern w:val="0"/>
                <w:sz w:val="24"/>
              </w:rPr>
            </w:pPr>
            <w:r>
              <w:rPr>
                <w:b/>
                <w:kern w:val="0"/>
                <w:sz w:val="24"/>
              </w:rPr>
              <w:t>表2-</w:t>
            </w:r>
            <w:r>
              <w:rPr>
                <w:rFonts w:hint="eastAsia"/>
                <w:b/>
                <w:kern w:val="0"/>
                <w:sz w:val="24"/>
              </w:rPr>
              <w:t>3</w:t>
            </w:r>
            <w:r>
              <w:rPr>
                <w:b/>
                <w:kern w:val="0"/>
                <w:sz w:val="24"/>
              </w:rPr>
              <w:t xml:space="preserve">  原项目组成情况一览表</w:t>
            </w:r>
          </w:p>
          <w:tbl>
            <w:tblPr>
              <w:tblStyle w:val="15"/>
              <w:tblW w:w="90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426"/>
              <w:gridCol w:w="427"/>
              <w:gridCol w:w="959"/>
              <w:gridCol w:w="4115"/>
              <w:gridCol w:w="3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Align w:val="center"/>
                </w:tcPr>
                <w:p>
                  <w:pPr>
                    <w:pStyle w:val="42"/>
                  </w:pPr>
                  <w:r>
                    <w:t>分类</w:t>
                  </w:r>
                </w:p>
              </w:tc>
              <w:tc>
                <w:tcPr>
                  <w:tcW w:w="1386" w:type="dxa"/>
                  <w:gridSpan w:val="2"/>
                  <w:vAlign w:val="center"/>
                </w:tcPr>
                <w:p>
                  <w:pPr>
                    <w:pStyle w:val="42"/>
                  </w:pPr>
                  <w:r>
                    <w:t>项目组成</w:t>
                  </w:r>
                </w:p>
              </w:tc>
              <w:tc>
                <w:tcPr>
                  <w:tcW w:w="4115" w:type="dxa"/>
                  <w:vAlign w:val="center"/>
                </w:tcPr>
                <w:p>
                  <w:pPr>
                    <w:pStyle w:val="42"/>
                  </w:pPr>
                  <w:r>
                    <w:rPr>
                      <w:rFonts w:hint="eastAsia"/>
                    </w:rPr>
                    <w:t>现状环境影响评估报告中</w:t>
                  </w:r>
                  <w:r>
                    <w:t>工程建设内容</w:t>
                  </w:r>
                </w:p>
              </w:tc>
              <w:tc>
                <w:tcPr>
                  <w:tcW w:w="3117" w:type="dxa"/>
                  <w:vAlign w:val="center"/>
                </w:tcPr>
                <w:p>
                  <w:pPr>
                    <w:pStyle w:val="42"/>
                  </w:pPr>
                  <w:r>
                    <w:t>现状及与拟建项目依托</w:t>
                  </w:r>
                  <w:r>
                    <w:rPr>
                      <w:rFonts w:hint="eastAsia"/>
                    </w:rPr>
                    <w:t>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restart"/>
                  <w:vAlign w:val="center"/>
                </w:tcPr>
                <w:p>
                  <w:pPr>
                    <w:pStyle w:val="42"/>
                  </w:pPr>
                  <w:r>
                    <w:t>主体工程</w:t>
                  </w:r>
                </w:p>
              </w:tc>
              <w:tc>
                <w:tcPr>
                  <w:tcW w:w="1386" w:type="dxa"/>
                  <w:gridSpan w:val="2"/>
                  <w:vAlign w:val="center"/>
                </w:tcPr>
                <w:p>
                  <w:pPr>
                    <w:pStyle w:val="42"/>
                  </w:pPr>
                  <w:r>
                    <w:t>开采区</w:t>
                  </w:r>
                </w:p>
              </w:tc>
              <w:tc>
                <w:tcPr>
                  <w:tcW w:w="4115" w:type="dxa"/>
                  <w:vAlign w:val="center"/>
                </w:tcPr>
                <w:p>
                  <w:pPr>
                    <w:pStyle w:val="42"/>
                    <w:ind w:firstLine="420" w:firstLineChars="200"/>
                    <w:jc w:val="both"/>
                  </w:pPr>
                  <w:r>
                    <w:t>矿区</w:t>
                  </w:r>
                  <w:r>
                    <w:rPr>
                      <w:rFonts w:hint="eastAsia"/>
                    </w:rPr>
                    <w:t>全部规划为开采区，</w:t>
                  </w:r>
                  <w:r>
                    <w:t>面积4.3620hm</w:t>
                  </w:r>
                  <w:r>
                    <w:rPr>
                      <w:vertAlign w:val="superscript"/>
                    </w:rPr>
                    <w:t>2</w:t>
                  </w:r>
                  <w:r>
                    <w:t>，开采规模20万</w:t>
                  </w:r>
                  <w:r>
                    <w:rPr>
                      <w:rFonts w:hint="eastAsia"/>
                    </w:rPr>
                    <w:t>t</w:t>
                  </w:r>
                  <w:r>
                    <w:t>/a</w:t>
                  </w:r>
                  <w:r>
                    <w:rPr>
                      <w:rFonts w:hint="eastAsia"/>
                    </w:rPr>
                    <w:t>，矿区内共设1个采区，</w:t>
                  </w:r>
                  <w:r>
                    <w:t>开采标高</w:t>
                  </w:r>
                  <w:r>
                    <w:rPr>
                      <w:rFonts w:hint="eastAsia"/>
                    </w:rPr>
                    <w:t>+853m～+750m</w:t>
                  </w:r>
                  <w:r>
                    <w:t>，</w:t>
                  </w:r>
                  <w:r>
                    <w:rPr>
                      <w:rFonts w:hint="eastAsia"/>
                    </w:rPr>
                    <w:t>采高103m，</w:t>
                  </w:r>
                  <w:r>
                    <w:t>台阶高度10m，共</w:t>
                  </w:r>
                  <w:r>
                    <w:rPr>
                      <w:rFonts w:hint="eastAsia"/>
                    </w:rPr>
                    <w:t>10</w:t>
                  </w:r>
                  <w:r>
                    <w:t>个开采台阶，矿山从上至下台阶式开采。</w:t>
                  </w:r>
                </w:p>
              </w:tc>
              <w:tc>
                <w:tcPr>
                  <w:tcW w:w="3117" w:type="dxa"/>
                  <w:vAlign w:val="center"/>
                </w:tcPr>
                <w:p>
                  <w:pPr>
                    <w:pStyle w:val="42"/>
                  </w:pPr>
                  <w:r>
                    <w:rPr>
                      <w:rFonts w:hint="eastAsia"/>
                    </w:rPr>
                    <w:t>正在开采，未按设计</w:t>
                  </w:r>
                  <w:r>
                    <w:t>从上至下</w:t>
                  </w:r>
                  <w:r>
                    <w:rPr>
                      <w:rFonts w:hint="eastAsia"/>
                    </w:rPr>
                    <w:t>、分</w:t>
                  </w:r>
                  <w:r>
                    <w:t>台阶</w:t>
                  </w:r>
                  <w:r>
                    <w:rPr>
                      <w:rFonts w:hint="eastAsia"/>
                    </w:rPr>
                    <w:t>依次</w:t>
                  </w:r>
                  <w:r>
                    <w:t>开采</w:t>
                  </w:r>
                  <w:r>
                    <w:rPr>
                      <w:rFonts w:hint="eastAsia"/>
                    </w:rPr>
                    <w:t>，已开采扰动面积3.03</w:t>
                  </w:r>
                  <w:r>
                    <w:t>hm</w:t>
                  </w:r>
                  <w:r>
                    <w:rPr>
                      <w:vertAlign w:val="superscript"/>
                    </w:rPr>
                    <w:t>2</w:t>
                  </w:r>
                  <w:r>
                    <w:t>，</w:t>
                  </w:r>
                  <w:r>
                    <w:rPr>
                      <w:rFonts w:hint="eastAsia"/>
                    </w:rPr>
                    <w:t>仅大致形成+791m、+764m两个开采台阶，开采区域中部已形成长95m、高61m的工作边坡，已开采区域资源均未探底，未形成终了边坡，场内运输道路正在使用，现阶段均无需复绿。拟建项目仅扩大开采规模，将严格按设计在此基础上继续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1386" w:type="dxa"/>
                  <w:gridSpan w:val="2"/>
                  <w:vAlign w:val="center"/>
                </w:tcPr>
                <w:p>
                  <w:pPr>
                    <w:pStyle w:val="42"/>
                  </w:pPr>
                  <w:r>
                    <w:t>工业广场</w:t>
                  </w:r>
                </w:p>
              </w:tc>
              <w:tc>
                <w:tcPr>
                  <w:tcW w:w="4115" w:type="dxa"/>
                  <w:vAlign w:val="center"/>
                </w:tcPr>
                <w:p>
                  <w:pPr>
                    <w:pStyle w:val="42"/>
                    <w:ind w:firstLine="420" w:firstLineChars="200"/>
                    <w:jc w:val="both"/>
                  </w:pPr>
                  <w:r>
                    <w:t>位于矿区</w:t>
                  </w:r>
                  <w:r>
                    <w:rPr>
                      <w:rFonts w:hint="eastAsia"/>
                    </w:rPr>
                    <w:t>外西南侧90m</w:t>
                  </w:r>
                  <w:r>
                    <w:t>较平坦处，占地面积7040m</w:t>
                  </w:r>
                  <w:r>
                    <w:rPr>
                      <w:vertAlign w:val="superscript"/>
                    </w:rPr>
                    <w:t>2</w:t>
                  </w:r>
                  <w:r>
                    <w:t>，主要建设有加工区、生活区及配套设施。</w:t>
                  </w:r>
                  <w:r>
                    <w:rPr>
                      <w:rFonts w:hint="eastAsia"/>
                    </w:rPr>
                    <w:t>其中</w:t>
                  </w:r>
                  <w:r>
                    <w:t>：</w:t>
                  </w:r>
                  <w:r>
                    <w:rPr>
                      <w:rFonts w:hint="eastAsia"/>
                    </w:rPr>
                    <w:t>加工区东</w:t>
                  </w:r>
                  <w:r>
                    <w:t>建设有</w:t>
                  </w:r>
                  <w:r>
                    <w:rPr>
                      <w:rFonts w:hint="eastAsia"/>
                    </w:rPr>
                    <w:t>1200</w:t>
                  </w:r>
                  <w:r>
                    <w:t>m</w:t>
                  </w:r>
                  <w:r>
                    <w:rPr>
                      <w:vertAlign w:val="superscript"/>
                    </w:rPr>
                    <w:t>2</w:t>
                  </w:r>
                  <w:r>
                    <w:t>破碎站，内置一条20万t/a的破碎筛分生产线</w:t>
                  </w:r>
                  <w:r>
                    <w:rPr>
                      <w:rFonts w:hint="eastAsia"/>
                    </w:rPr>
                    <w:t>；西</w:t>
                  </w:r>
                  <w:r>
                    <w:t>部设置</w:t>
                  </w:r>
                  <w:r>
                    <w:rPr>
                      <w:rFonts w:hint="eastAsia"/>
                      <w:szCs w:val="21"/>
                    </w:rPr>
                    <w:t>800</w:t>
                  </w:r>
                  <w:r>
                    <w:t>m</w:t>
                  </w:r>
                  <w:r>
                    <w:rPr>
                      <w:vertAlign w:val="superscript"/>
                    </w:rPr>
                    <w:t>2</w:t>
                  </w:r>
                  <w:r>
                    <w:rPr>
                      <w:rFonts w:hint="eastAsia"/>
                    </w:rPr>
                    <w:t>成品堆场；加工区上设档雨棚</w:t>
                  </w:r>
                  <w:r>
                    <w:t>。</w:t>
                  </w:r>
                </w:p>
              </w:tc>
              <w:tc>
                <w:tcPr>
                  <w:tcW w:w="3117" w:type="dxa"/>
                  <w:vAlign w:val="center"/>
                </w:tcPr>
                <w:p>
                  <w:pPr>
                    <w:pStyle w:val="42"/>
                  </w:pPr>
                  <w:r>
                    <w:rPr>
                      <w:rFonts w:hint="eastAsia"/>
                    </w:rPr>
                    <w:t>加工区生产设备可正常使用；</w:t>
                  </w:r>
                  <w:r>
                    <w:rPr>
                      <w:szCs w:val="21"/>
                    </w:rPr>
                    <w:t>一破设备进料口</w:t>
                  </w:r>
                  <w:r>
                    <w:rPr>
                      <w:rFonts w:hint="eastAsia"/>
                      <w:szCs w:val="21"/>
                    </w:rPr>
                    <w:t>挡雨棚坏损后未修复，现为露天卸料；加工区</w:t>
                  </w:r>
                  <w:r>
                    <w:rPr>
                      <w:szCs w:val="21"/>
                    </w:rPr>
                    <w:t>喷淋（雾）装置</w:t>
                  </w:r>
                  <w:r>
                    <w:rPr>
                      <w:rFonts w:hint="eastAsia"/>
                      <w:szCs w:val="21"/>
                    </w:rPr>
                    <w:t>已坏损；成品砂石于加工区外露天堆料，堆料面积约3100m</w:t>
                  </w:r>
                  <w:r>
                    <w:rPr>
                      <w:rFonts w:hint="eastAsia"/>
                      <w:szCs w:val="21"/>
                      <w:vertAlign w:val="superscript"/>
                    </w:rPr>
                    <w:t>2</w:t>
                  </w:r>
                  <w:r>
                    <w:rPr>
                      <w:rFonts w:hint="eastAsia"/>
                      <w:szCs w:val="21"/>
                    </w:rPr>
                    <w:t>。</w:t>
                  </w:r>
                  <w:r>
                    <w:rPr>
                      <w:rFonts w:hint="eastAsia"/>
                    </w:rPr>
                    <w:t>拟建项目将根据现有环保规定对工业广场进行绿色升级改造。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restart"/>
                  <w:vAlign w:val="center"/>
                </w:tcPr>
                <w:p>
                  <w:pPr>
                    <w:pStyle w:val="42"/>
                  </w:pPr>
                  <w:r>
                    <w:t>辅助工程</w:t>
                  </w:r>
                </w:p>
              </w:tc>
              <w:tc>
                <w:tcPr>
                  <w:tcW w:w="1386" w:type="dxa"/>
                  <w:gridSpan w:val="2"/>
                  <w:vAlign w:val="center"/>
                </w:tcPr>
                <w:p>
                  <w:pPr>
                    <w:pStyle w:val="42"/>
                  </w:pPr>
                  <w:r>
                    <w:t>办公</w:t>
                  </w:r>
                  <w:r>
                    <w:rPr>
                      <w:rFonts w:hint="eastAsia"/>
                    </w:rPr>
                    <w:t>楼</w:t>
                  </w:r>
                </w:p>
              </w:tc>
              <w:tc>
                <w:tcPr>
                  <w:tcW w:w="4115" w:type="dxa"/>
                  <w:vAlign w:val="center"/>
                </w:tcPr>
                <w:p>
                  <w:pPr>
                    <w:pStyle w:val="42"/>
                    <w:jc w:val="both"/>
                  </w:pPr>
                  <w:r>
                    <w:t>位于</w:t>
                  </w:r>
                  <w:r>
                    <w:rPr>
                      <w:rFonts w:hint="eastAsia"/>
                    </w:rPr>
                    <w:t>工业广场南部</w:t>
                  </w:r>
                  <w:r>
                    <w:t>，</w:t>
                  </w:r>
                  <w:r>
                    <w:rPr>
                      <w:rFonts w:hint="eastAsia"/>
                    </w:rPr>
                    <w:t>占地面积约190</w:t>
                  </w:r>
                  <w:r>
                    <w:t>m</w:t>
                  </w:r>
                  <w:r>
                    <w:rPr>
                      <w:vertAlign w:val="superscript"/>
                    </w:rPr>
                    <w:t>2</w:t>
                  </w:r>
                  <w:r>
                    <w:rPr>
                      <w:rFonts w:hint="eastAsia"/>
                    </w:rPr>
                    <w:t>，1F砖混结构，</w:t>
                  </w:r>
                  <w:r>
                    <w:t>设置</w:t>
                  </w:r>
                  <w:r>
                    <w:rPr>
                      <w:rFonts w:hint="eastAsia"/>
                    </w:rPr>
                    <w:t>有</w:t>
                  </w:r>
                  <w:r>
                    <w:t>员工办公室、会议室，用于员工日常办公、接待。</w:t>
                  </w:r>
                  <w:r>
                    <w:rPr>
                      <w:rFonts w:hint="eastAsia"/>
                    </w:rPr>
                    <w:t>厂区不包食宿，不设食堂、宿舍。</w:t>
                  </w:r>
                </w:p>
              </w:tc>
              <w:tc>
                <w:tcPr>
                  <w:tcW w:w="3117" w:type="dxa"/>
                  <w:vAlign w:val="center"/>
                </w:tcPr>
                <w:p>
                  <w:pPr>
                    <w:pStyle w:val="42"/>
                  </w:pPr>
                  <w:r>
                    <w:rPr>
                      <w:rFonts w:hint="eastAsia"/>
                    </w:rPr>
                    <w:t>拟建项目继续使用。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1386" w:type="dxa"/>
                  <w:gridSpan w:val="2"/>
                  <w:vAlign w:val="center"/>
                </w:tcPr>
                <w:p>
                  <w:pPr>
                    <w:pStyle w:val="42"/>
                  </w:pPr>
                  <w:r>
                    <w:rPr>
                      <w:rFonts w:hint="eastAsia"/>
                    </w:rPr>
                    <w:t>地磅秤</w:t>
                  </w:r>
                </w:p>
              </w:tc>
              <w:tc>
                <w:tcPr>
                  <w:tcW w:w="4115" w:type="dxa"/>
                  <w:vAlign w:val="center"/>
                </w:tcPr>
                <w:p>
                  <w:pPr>
                    <w:pStyle w:val="42"/>
                    <w:ind w:firstLine="420" w:firstLineChars="200"/>
                    <w:jc w:val="both"/>
                  </w:pPr>
                  <w:r>
                    <w:rPr>
                      <w:rFonts w:hint="eastAsia"/>
                    </w:rPr>
                    <w:t>1台，</w:t>
                  </w:r>
                  <w:r>
                    <w:t>位于办公</w:t>
                  </w:r>
                  <w:r>
                    <w:rPr>
                      <w:rFonts w:hint="eastAsia"/>
                    </w:rPr>
                    <w:t>楼北侧约9m</w:t>
                  </w:r>
                  <w:r>
                    <w:t>，占地面积</w:t>
                  </w:r>
                  <w:r>
                    <w:rPr>
                      <w:rFonts w:hint="eastAsia"/>
                    </w:rPr>
                    <w:t>75</w:t>
                  </w:r>
                  <w:r>
                    <w:t>m</w:t>
                  </w:r>
                  <w:r>
                    <w:rPr>
                      <w:vertAlign w:val="superscript"/>
                    </w:rPr>
                    <w:t>2</w:t>
                  </w:r>
                  <w:r>
                    <w:t>。</w:t>
                  </w:r>
                </w:p>
              </w:tc>
              <w:tc>
                <w:tcPr>
                  <w:tcW w:w="3117" w:type="dxa"/>
                  <w:vAlign w:val="center"/>
                </w:tcPr>
                <w:p>
                  <w:pPr>
                    <w:pStyle w:val="42"/>
                  </w:pPr>
                  <w:r>
                    <w:rPr>
                      <w:rFonts w:hint="eastAsia"/>
                    </w:rPr>
                    <w:t>拟建项目继续使用。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restart"/>
                  <w:vAlign w:val="center"/>
                </w:tcPr>
                <w:p>
                  <w:pPr>
                    <w:pStyle w:val="42"/>
                  </w:pPr>
                  <w:r>
                    <w:t>公用工程</w:t>
                  </w:r>
                </w:p>
              </w:tc>
              <w:tc>
                <w:tcPr>
                  <w:tcW w:w="1386" w:type="dxa"/>
                  <w:gridSpan w:val="2"/>
                  <w:vAlign w:val="center"/>
                </w:tcPr>
                <w:p>
                  <w:pPr>
                    <w:pStyle w:val="42"/>
                  </w:pPr>
                  <w:r>
                    <w:t>供水系统</w:t>
                  </w:r>
                </w:p>
              </w:tc>
              <w:tc>
                <w:tcPr>
                  <w:tcW w:w="4115" w:type="dxa"/>
                  <w:vAlign w:val="center"/>
                </w:tcPr>
                <w:p>
                  <w:pPr>
                    <w:pStyle w:val="42"/>
                    <w:ind w:firstLine="420" w:firstLineChars="200"/>
                    <w:jc w:val="both"/>
                  </w:pPr>
                  <w:r>
                    <w:rPr>
                      <w:rFonts w:hint="eastAsia"/>
                    </w:rPr>
                    <w:t>生活用水采用当地自来水。</w:t>
                  </w:r>
                </w:p>
              </w:tc>
              <w:tc>
                <w:tcPr>
                  <w:tcW w:w="3117" w:type="dxa"/>
                  <w:vAlign w:val="center"/>
                </w:tcPr>
                <w:p>
                  <w:pPr>
                    <w:pStyle w:val="42"/>
                  </w:pPr>
                  <w:r>
                    <w:rPr>
                      <w:rFonts w:hint="eastAsia"/>
                    </w:rPr>
                    <w:t>拟建项目继续使用。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1386" w:type="dxa"/>
                  <w:gridSpan w:val="2"/>
                  <w:vAlign w:val="center"/>
                </w:tcPr>
                <w:p>
                  <w:pPr>
                    <w:pStyle w:val="42"/>
                  </w:pPr>
                  <w:r>
                    <w:t>供电系统</w:t>
                  </w:r>
                </w:p>
              </w:tc>
              <w:tc>
                <w:tcPr>
                  <w:tcW w:w="4115" w:type="dxa"/>
                  <w:vAlign w:val="center"/>
                </w:tcPr>
                <w:p>
                  <w:pPr>
                    <w:pStyle w:val="42"/>
                    <w:ind w:firstLine="420" w:firstLineChars="200"/>
                    <w:jc w:val="both"/>
                  </w:pPr>
                  <w:r>
                    <w:t>采用当地农村电网供电，电压等级为10kV，配备有变压器</w:t>
                  </w:r>
                  <w:r>
                    <w:rPr>
                      <w:rFonts w:hint="eastAsia"/>
                    </w:rPr>
                    <w:t>1</w:t>
                  </w:r>
                  <w:r>
                    <w:t>台，配电房位于</w:t>
                  </w:r>
                  <w:r>
                    <w:rPr>
                      <w:rFonts w:hint="eastAsia"/>
                    </w:rPr>
                    <w:t>卸料口西侧</w:t>
                  </w:r>
                  <w:r>
                    <w:t>。其单机用电功率较大，当地电网供电稳定，停电时停产不影响安全，不设置备用电源。</w:t>
                  </w:r>
                </w:p>
              </w:tc>
              <w:tc>
                <w:tcPr>
                  <w:tcW w:w="3117" w:type="dxa"/>
                  <w:vAlign w:val="center"/>
                </w:tcPr>
                <w:p>
                  <w:pPr>
                    <w:pStyle w:val="42"/>
                  </w:pPr>
                  <w:r>
                    <w:rPr>
                      <w:rFonts w:hint="eastAsia"/>
                    </w:rPr>
                    <w:t>拟建项目继续使用。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1386" w:type="dxa"/>
                  <w:gridSpan w:val="2"/>
                  <w:vAlign w:val="center"/>
                </w:tcPr>
                <w:p>
                  <w:pPr>
                    <w:pStyle w:val="42"/>
                  </w:pPr>
                  <w:r>
                    <w:rPr>
                      <w:rFonts w:hint="eastAsia"/>
                    </w:rPr>
                    <w:t>空压机房</w:t>
                  </w:r>
                </w:p>
              </w:tc>
              <w:tc>
                <w:tcPr>
                  <w:tcW w:w="4115" w:type="dxa"/>
                  <w:vAlign w:val="center"/>
                </w:tcPr>
                <w:p>
                  <w:pPr>
                    <w:pStyle w:val="42"/>
                    <w:ind w:firstLine="420" w:firstLineChars="200"/>
                    <w:jc w:val="both"/>
                  </w:pPr>
                  <w:r>
                    <w:rPr>
                      <w:rFonts w:hint="eastAsia"/>
                    </w:rPr>
                    <w:t>位于矿区西北侧，占地17m</w:t>
                  </w:r>
                  <w:r>
                    <w:rPr>
                      <w:rFonts w:hint="eastAsia"/>
                      <w:vertAlign w:val="superscript"/>
                    </w:rPr>
                    <w:t>2</w:t>
                  </w:r>
                  <w:r>
                    <w:rPr>
                      <w:rFonts w:hint="eastAsia"/>
                    </w:rPr>
                    <w:t>，1F砖混结构，内置螺杆式空压机1台，配备1个1.5m</w:t>
                  </w:r>
                  <w:r>
                    <w:rPr>
                      <w:rFonts w:hint="eastAsia"/>
                      <w:vertAlign w:val="superscript"/>
                    </w:rPr>
                    <w:t>3</w:t>
                  </w:r>
                  <w:r>
                    <w:rPr>
                      <w:rFonts w:hint="eastAsia"/>
                    </w:rPr>
                    <w:t>气罐。</w:t>
                  </w:r>
                </w:p>
              </w:tc>
              <w:tc>
                <w:tcPr>
                  <w:tcW w:w="3117" w:type="dxa"/>
                  <w:vAlign w:val="center"/>
                </w:tcPr>
                <w:p>
                  <w:pPr>
                    <w:pStyle w:val="42"/>
                  </w:pPr>
                  <w:r>
                    <w:rPr>
                      <w:rFonts w:hint="eastAsia"/>
                    </w:rPr>
                    <w:t>拟建项目继续使用。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restart"/>
                  <w:vAlign w:val="center"/>
                </w:tcPr>
                <w:p>
                  <w:pPr>
                    <w:pStyle w:val="42"/>
                  </w:pPr>
                  <w:r>
                    <w:t>储运工程</w:t>
                  </w:r>
                </w:p>
              </w:tc>
              <w:tc>
                <w:tcPr>
                  <w:tcW w:w="427" w:type="dxa"/>
                  <w:vMerge w:val="restart"/>
                  <w:vAlign w:val="center"/>
                </w:tcPr>
                <w:p>
                  <w:pPr>
                    <w:pStyle w:val="42"/>
                  </w:pPr>
                  <w:r>
                    <w:t>运输通道</w:t>
                  </w:r>
                </w:p>
              </w:tc>
              <w:tc>
                <w:tcPr>
                  <w:tcW w:w="959" w:type="dxa"/>
                  <w:vAlign w:val="center"/>
                </w:tcPr>
                <w:p>
                  <w:pPr>
                    <w:pStyle w:val="42"/>
                  </w:pPr>
                  <w:r>
                    <w:t>场内运输道路</w:t>
                  </w:r>
                </w:p>
              </w:tc>
              <w:tc>
                <w:tcPr>
                  <w:tcW w:w="4115" w:type="dxa"/>
                  <w:vAlign w:val="center"/>
                </w:tcPr>
                <w:p>
                  <w:pPr>
                    <w:pStyle w:val="42"/>
                    <w:ind w:firstLine="420" w:firstLineChars="200"/>
                    <w:jc w:val="both"/>
                  </w:pPr>
                  <w:r>
                    <w:rPr>
                      <w:rFonts w:hint="eastAsia"/>
                    </w:rPr>
                    <w:t>卸料口至</w:t>
                  </w:r>
                  <w:r>
                    <w:t>采区</w:t>
                  </w:r>
                  <w:r>
                    <w:rPr>
                      <w:rFonts w:hint="eastAsia"/>
                    </w:rPr>
                    <w:t>、排土场</w:t>
                  </w:r>
                  <w:r>
                    <w:t>内修建运输道路，路宽约</w:t>
                  </w:r>
                  <w:r>
                    <w:rPr>
                      <w:rFonts w:hint="eastAsia"/>
                    </w:rPr>
                    <w:t>10</w:t>
                  </w:r>
                  <w:r>
                    <w:t>m，泥石路，长约</w:t>
                  </w:r>
                  <w:r>
                    <w:rPr>
                      <w:rFonts w:hint="eastAsia"/>
                    </w:rPr>
                    <w:t>11</w:t>
                  </w:r>
                  <w:r>
                    <w:t>00m，主要用于采区开采毛石</w:t>
                  </w:r>
                  <w:r>
                    <w:rPr>
                      <w:rFonts w:hint="eastAsia"/>
                    </w:rPr>
                    <w:t>料及剥离物的转运</w:t>
                  </w:r>
                  <w:r>
                    <w:t>。</w:t>
                  </w:r>
                </w:p>
              </w:tc>
              <w:tc>
                <w:tcPr>
                  <w:tcW w:w="3117" w:type="dxa"/>
                  <w:vAlign w:val="center"/>
                </w:tcPr>
                <w:p>
                  <w:pPr>
                    <w:pStyle w:val="42"/>
                  </w:pPr>
                  <w:r>
                    <w:rPr>
                      <w:rFonts w:hint="eastAsia"/>
                    </w:rPr>
                    <w:t>路况一般，为减少矿区外用地，拟建项目设计重新规划场内运输道路。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427" w:type="dxa"/>
                  <w:vMerge w:val="continue"/>
                  <w:vAlign w:val="center"/>
                </w:tcPr>
                <w:p>
                  <w:pPr>
                    <w:pStyle w:val="42"/>
                  </w:pPr>
                </w:p>
              </w:tc>
              <w:tc>
                <w:tcPr>
                  <w:tcW w:w="959" w:type="dxa"/>
                  <w:vAlign w:val="center"/>
                </w:tcPr>
                <w:p>
                  <w:pPr>
                    <w:pStyle w:val="42"/>
                  </w:pPr>
                  <w:r>
                    <w:t>场外运输道路</w:t>
                  </w:r>
                </w:p>
              </w:tc>
              <w:tc>
                <w:tcPr>
                  <w:tcW w:w="4115" w:type="dxa"/>
                  <w:vAlign w:val="center"/>
                </w:tcPr>
                <w:p>
                  <w:pPr>
                    <w:pStyle w:val="42"/>
                    <w:ind w:firstLine="420" w:firstLineChars="200"/>
                    <w:jc w:val="both"/>
                  </w:pPr>
                  <w:r>
                    <w:t>工业广场</w:t>
                  </w:r>
                  <w:r>
                    <w:rPr>
                      <w:rFonts w:hint="eastAsia"/>
                    </w:rPr>
                    <w:t>西</w:t>
                  </w:r>
                  <w:r>
                    <w:t>侧紧邻村道，路宽约</w:t>
                  </w:r>
                  <w:r>
                    <w:rPr>
                      <w:rFonts w:hint="eastAsia"/>
                    </w:rPr>
                    <w:t>6</w:t>
                  </w:r>
                  <w:r>
                    <w:t>m，水泥路</w:t>
                  </w:r>
                  <w:r>
                    <w:rPr>
                      <w:rFonts w:hint="eastAsia"/>
                    </w:rPr>
                    <w:t>。沿该村道西行256m可与S525省道相接。</w:t>
                  </w:r>
                  <w:r>
                    <w:t>原项目成品砂石料的外运依托该道路。</w:t>
                  </w:r>
                </w:p>
              </w:tc>
              <w:tc>
                <w:tcPr>
                  <w:tcW w:w="3117" w:type="dxa"/>
                  <w:vAlign w:val="center"/>
                </w:tcPr>
                <w:p>
                  <w:pPr>
                    <w:pStyle w:val="42"/>
                  </w:pPr>
                  <w:r>
                    <w:t>拟建项目依托使用</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1386" w:type="dxa"/>
                  <w:gridSpan w:val="2"/>
                  <w:vAlign w:val="center"/>
                </w:tcPr>
                <w:p>
                  <w:pPr>
                    <w:pStyle w:val="42"/>
                  </w:pPr>
                  <w:r>
                    <w:rPr>
                      <w:rFonts w:hint="eastAsia"/>
                    </w:rPr>
                    <w:t>成品堆场</w:t>
                  </w:r>
                </w:p>
              </w:tc>
              <w:tc>
                <w:tcPr>
                  <w:tcW w:w="4115" w:type="dxa"/>
                  <w:vAlign w:val="center"/>
                </w:tcPr>
                <w:p>
                  <w:pPr>
                    <w:pStyle w:val="42"/>
                    <w:ind w:firstLine="420" w:firstLineChars="200"/>
                    <w:jc w:val="both"/>
                  </w:pPr>
                  <w:r>
                    <w:t>位于</w:t>
                  </w:r>
                  <w:r>
                    <w:rPr>
                      <w:rFonts w:hint="eastAsia"/>
                    </w:rPr>
                    <w:t>加工区西部（</w:t>
                  </w:r>
                  <w:r>
                    <w:t>破碎站</w:t>
                  </w:r>
                  <w:r>
                    <w:rPr>
                      <w:rFonts w:hint="eastAsia"/>
                    </w:rPr>
                    <w:t>西</w:t>
                  </w:r>
                  <w:r>
                    <w:t>侧</w:t>
                  </w:r>
                  <w:r>
                    <w:rPr>
                      <w:rFonts w:hint="eastAsia"/>
                    </w:rPr>
                    <w:t>）</w:t>
                  </w:r>
                  <w:r>
                    <w:t>，占地约</w:t>
                  </w:r>
                  <w:r>
                    <w:rPr>
                      <w:rFonts w:hint="eastAsia"/>
                    </w:rPr>
                    <w:t>8</w:t>
                  </w:r>
                  <w:r>
                    <w:t>00m</w:t>
                  </w:r>
                  <w:r>
                    <w:rPr>
                      <w:vertAlign w:val="superscript"/>
                    </w:rPr>
                    <w:t>2</w:t>
                  </w:r>
                  <w:r>
                    <w:t>，</w:t>
                  </w:r>
                  <w:r>
                    <w:rPr>
                      <w:rFonts w:hint="eastAsia"/>
                    </w:rPr>
                    <w:t>上设档雨棚</w:t>
                  </w:r>
                  <w:r>
                    <w:t>，</w:t>
                  </w:r>
                  <w:r>
                    <w:rPr>
                      <w:rFonts w:hint="eastAsia"/>
                    </w:rPr>
                    <w:t>场内灵活设置3个堆场，分别堆存3种不同粒径的砂石，</w:t>
                  </w:r>
                  <w:r>
                    <w:t>堆料</w:t>
                  </w:r>
                  <w:r>
                    <w:rPr>
                      <w:rFonts w:hint="eastAsia"/>
                    </w:rPr>
                    <w:t>区</w:t>
                  </w:r>
                  <w:r>
                    <w:t>内的产品通过铲车装车后外运。</w:t>
                  </w:r>
                </w:p>
              </w:tc>
              <w:tc>
                <w:tcPr>
                  <w:tcW w:w="3117" w:type="dxa"/>
                  <w:vAlign w:val="center"/>
                </w:tcPr>
                <w:p>
                  <w:pPr>
                    <w:pStyle w:val="42"/>
                  </w:pPr>
                  <w:r>
                    <w:rPr>
                      <w:rFonts w:hint="eastAsia"/>
                      <w:szCs w:val="21"/>
                    </w:rPr>
                    <w:t>成品砂石于加工区外露天堆料，堆料面积约3100m</w:t>
                  </w:r>
                  <w:r>
                    <w:rPr>
                      <w:rFonts w:hint="eastAsia"/>
                      <w:szCs w:val="21"/>
                      <w:vertAlign w:val="superscript"/>
                    </w:rPr>
                    <w:t>2</w:t>
                  </w:r>
                  <w:r>
                    <w:rPr>
                      <w:rFonts w:hint="eastAsia"/>
                      <w:szCs w:val="21"/>
                    </w:rPr>
                    <w:t>。</w:t>
                  </w:r>
                  <w:r>
                    <w:rPr>
                      <w:rFonts w:hint="eastAsia"/>
                    </w:rPr>
                    <w:t>拟建项目将根据现有环保规定对成品堆场进行升级改造成成品仓库。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1386" w:type="dxa"/>
                  <w:gridSpan w:val="2"/>
                  <w:vAlign w:val="center"/>
                </w:tcPr>
                <w:p>
                  <w:pPr>
                    <w:pStyle w:val="42"/>
                  </w:pPr>
                  <w:r>
                    <w:t>排土场</w:t>
                  </w:r>
                </w:p>
              </w:tc>
              <w:tc>
                <w:tcPr>
                  <w:tcW w:w="4115" w:type="dxa"/>
                  <w:vAlign w:val="center"/>
                </w:tcPr>
                <w:p>
                  <w:pPr>
                    <w:pStyle w:val="42"/>
                    <w:ind w:firstLine="420" w:firstLineChars="200"/>
                    <w:jc w:val="both"/>
                  </w:pPr>
                  <w:r>
                    <w:rPr>
                      <w:rFonts w:hint="eastAsia"/>
                    </w:rPr>
                    <w:t>位于矿区外南侧，占地1419</w:t>
                  </w:r>
                  <w:r>
                    <w:t>m</w:t>
                  </w:r>
                  <w:r>
                    <w:rPr>
                      <w:vertAlign w:val="superscript"/>
                    </w:rPr>
                    <w:t>2</w:t>
                  </w:r>
                  <w:r>
                    <w:rPr>
                      <w:rFonts w:hint="eastAsia"/>
                    </w:rPr>
                    <w:t>，设计堆存高度15m，锥形堆高，5m一个台阶，台阶坡度≤45°，最大设计堆存容量7095m</w:t>
                  </w:r>
                  <w:r>
                    <w:rPr>
                      <w:rFonts w:hint="eastAsia"/>
                      <w:vertAlign w:val="superscript"/>
                    </w:rPr>
                    <w:t>3</w:t>
                  </w:r>
                  <w:r>
                    <w:rPr>
                      <w:rFonts w:hint="eastAsia"/>
                    </w:rPr>
                    <w:t>，用于</w:t>
                  </w:r>
                  <w:r>
                    <w:t>临时</w:t>
                  </w:r>
                  <w:r>
                    <w:rPr>
                      <w:rFonts w:hint="eastAsia"/>
                    </w:rPr>
                    <w:t>分区</w:t>
                  </w:r>
                  <w:r>
                    <w:t>堆存</w:t>
                  </w:r>
                  <w:r>
                    <w:rPr>
                      <w:rFonts w:hint="eastAsia"/>
                    </w:rPr>
                    <w:t>采区</w:t>
                  </w:r>
                  <w:r>
                    <w:t>剥离表土</w:t>
                  </w:r>
                  <w:r>
                    <w:rPr>
                      <w:rFonts w:hint="eastAsia"/>
                    </w:rPr>
                    <w:t>、风化废石</w:t>
                  </w:r>
                  <w:r>
                    <w:t>，后期用于采空区复垦</w:t>
                  </w:r>
                  <w:r>
                    <w:rPr>
                      <w:rFonts w:hint="eastAsia"/>
                    </w:rPr>
                    <w:t>。</w:t>
                  </w:r>
                </w:p>
              </w:tc>
              <w:tc>
                <w:tcPr>
                  <w:tcW w:w="3117" w:type="dxa"/>
                  <w:vAlign w:val="center"/>
                </w:tcPr>
                <w:p>
                  <w:pPr>
                    <w:pStyle w:val="42"/>
                  </w:pPr>
                  <w:r>
                    <w:rPr>
                      <w:rFonts w:hint="eastAsia"/>
                    </w:rPr>
                    <w:t>场内未堆存表土，暂存有少量风化废石，堆高1~6m，约2500m</w:t>
                  </w:r>
                  <w:r>
                    <w:rPr>
                      <w:rFonts w:hint="eastAsia"/>
                      <w:vertAlign w:val="superscript"/>
                    </w:rPr>
                    <w:t>3</w:t>
                  </w:r>
                  <w:r>
                    <w:rPr>
                      <w:rFonts w:hint="eastAsia"/>
                    </w:rPr>
                    <w:t>。将</w:t>
                  </w:r>
                  <w:r>
                    <w:rPr>
                      <w:rFonts w:hint="eastAsia"/>
                      <w:color w:val="0000FF"/>
                    </w:rPr>
                    <w:t>作为拟建项目弃渣场</w:t>
                  </w:r>
                  <w:r>
                    <w:rPr>
                      <w:rFonts w:hint="eastAsia"/>
                    </w:rPr>
                    <w:t>继续使用。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restart"/>
                  <w:vAlign w:val="center"/>
                </w:tcPr>
                <w:p>
                  <w:pPr>
                    <w:pStyle w:val="42"/>
                  </w:pPr>
                  <w:r>
                    <w:t>环保工程</w:t>
                  </w:r>
                </w:p>
              </w:tc>
              <w:tc>
                <w:tcPr>
                  <w:tcW w:w="427" w:type="dxa"/>
                  <w:vMerge w:val="restart"/>
                  <w:vAlign w:val="center"/>
                </w:tcPr>
                <w:p>
                  <w:pPr>
                    <w:pStyle w:val="42"/>
                  </w:pPr>
                  <w:r>
                    <w:t>废水</w:t>
                  </w:r>
                </w:p>
              </w:tc>
              <w:tc>
                <w:tcPr>
                  <w:tcW w:w="959" w:type="dxa"/>
                  <w:vAlign w:val="center"/>
                </w:tcPr>
                <w:p>
                  <w:pPr>
                    <w:pStyle w:val="42"/>
                  </w:pPr>
                  <w:r>
                    <w:rPr>
                      <w:rFonts w:hint="eastAsia"/>
                    </w:rPr>
                    <w:t>卫生间+</w:t>
                  </w:r>
                  <w:r>
                    <w:t>化粪池</w:t>
                  </w:r>
                </w:p>
              </w:tc>
              <w:tc>
                <w:tcPr>
                  <w:tcW w:w="4115" w:type="dxa"/>
                  <w:vAlign w:val="center"/>
                </w:tcPr>
                <w:p>
                  <w:pPr>
                    <w:pStyle w:val="42"/>
                    <w:ind w:firstLine="420" w:firstLineChars="200"/>
                    <w:jc w:val="both"/>
                  </w:pPr>
                  <w:r>
                    <w:rPr>
                      <w:rFonts w:hint="eastAsia"/>
                    </w:rPr>
                    <w:t>设卫生间1间，</w:t>
                  </w:r>
                  <w:r>
                    <w:t>位于</w:t>
                  </w:r>
                  <w:r>
                    <w:rPr>
                      <w:rFonts w:hint="eastAsia"/>
                    </w:rPr>
                    <w:t>办公楼东侧4m处</w:t>
                  </w:r>
                  <w:r>
                    <w:t>，</w:t>
                  </w:r>
                  <w:r>
                    <w:rPr>
                      <w:rFonts w:hint="eastAsia"/>
                    </w:rPr>
                    <w:t>占地13m</w:t>
                  </w:r>
                  <w:r>
                    <w:rPr>
                      <w:rFonts w:hint="eastAsia"/>
                      <w:vertAlign w:val="superscript"/>
                    </w:rPr>
                    <w:t>2</w:t>
                  </w:r>
                  <w:r>
                    <w:rPr>
                      <w:rFonts w:hint="eastAsia"/>
                    </w:rPr>
                    <w:t>。化粪池位于卫生间下方，</w:t>
                  </w:r>
                  <w:r>
                    <w:t>容积30m</w:t>
                  </w:r>
                  <w:r>
                    <w:rPr>
                      <w:vertAlign w:val="superscript"/>
                    </w:rPr>
                    <w:t>3</w:t>
                  </w:r>
                  <w:r>
                    <w:t>。</w:t>
                  </w:r>
                </w:p>
              </w:tc>
              <w:tc>
                <w:tcPr>
                  <w:tcW w:w="3117" w:type="dxa"/>
                  <w:vAlign w:val="center"/>
                </w:tcPr>
                <w:p>
                  <w:pPr>
                    <w:pStyle w:val="42"/>
                  </w:pPr>
                  <w:r>
                    <w:t>拟建项目</w:t>
                  </w:r>
                  <w:r>
                    <w:rPr>
                      <w:rFonts w:hint="eastAsia"/>
                    </w:rPr>
                    <w:t>继续</w:t>
                  </w:r>
                  <w:r>
                    <w:t>使用</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427" w:type="dxa"/>
                  <w:vMerge w:val="continue"/>
                  <w:vAlign w:val="center"/>
                </w:tcPr>
                <w:p>
                  <w:pPr>
                    <w:pStyle w:val="42"/>
                  </w:pPr>
                </w:p>
              </w:tc>
              <w:tc>
                <w:tcPr>
                  <w:tcW w:w="959" w:type="dxa"/>
                  <w:vAlign w:val="center"/>
                </w:tcPr>
                <w:p>
                  <w:pPr>
                    <w:pStyle w:val="42"/>
                    <w:rPr>
                      <w:szCs w:val="21"/>
                    </w:rPr>
                  </w:pPr>
                  <w:r>
                    <w:rPr>
                      <w:rFonts w:hint="eastAsia"/>
                    </w:rPr>
                    <w:t>截排水沟、雨水沉淀池</w:t>
                  </w:r>
                </w:p>
              </w:tc>
              <w:tc>
                <w:tcPr>
                  <w:tcW w:w="4115" w:type="dxa"/>
                  <w:vAlign w:val="center"/>
                </w:tcPr>
                <w:p>
                  <w:pPr>
                    <w:pStyle w:val="42"/>
                    <w:ind w:firstLine="420" w:firstLineChars="200"/>
                    <w:jc w:val="both"/>
                  </w:pPr>
                  <w:r>
                    <w:rPr>
                      <w:rFonts w:hint="eastAsia"/>
                    </w:rPr>
                    <w:t>沿矿区、工业广场及排土场周边修建截、排水沟，排水沟末端设置2个总容积约为50m</w:t>
                  </w:r>
                  <w:r>
                    <w:rPr>
                      <w:rFonts w:hint="eastAsia"/>
                      <w:vertAlign w:val="superscript"/>
                    </w:rPr>
                    <w:t>3</w:t>
                  </w:r>
                  <w:r>
                    <w:rPr>
                      <w:rFonts w:hint="eastAsia"/>
                    </w:rPr>
                    <w:t>的沉淀池，收集处理厂区初期雨水，后期澄清雨水直接导排出场地。</w:t>
                  </w:r>
                </w:p>
              </w:tc>
              <w:tc>
                <w:tcPr>
                  <w:tcW w:w="3117" w:type="dxa"/>
                  <w:vAlign w:val="center"/>
                </w:tcPr>
                <w:p>
                  <w:pPr>
                    <w:pStyle w:val="42"/>
                  </w:pPr>
                  <w:r>
                    <w:rPr>
                      <w:rFonts w:hint="eastAsia"/>
                    </w:rPr>
                    <w:t>因采矿活动，场内历史修建的截排水沟、雨水沉淀池均已损毁。</w:t>
                  </w:r>
                  <w:r>
                    <w:t>拟建项目</w:t>
                  </w:r>
                  <w:r>
                    <w:rPr>
                      <w:rFonts w:hint="eastAsia"/>
                    </w:rPr>
                    <w:t>重新规划。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427" w:type="dxa"/>
                  <w:vMerge w:val="restart"/>
                  <w:vAlign w:val="center"/>
                </w:tcPr>
                <w:p>
                  <w:pPr>
                    <w:pStyle w:val="42"/>
                  </w:pPr>
                  <w:r>
                    <w:t>废气</w:t>
                  </w:r>
                </w:p>
              </w:tc>
              <w:tc>
                <w:tcPr>
                  <w:tcW w:w="959" w:type="dxa"/>
                  <w:vAlign w:val="center"/>
                </w:tcPr>
                <w:p>
                  <w:pPr>
                    <w:pStyle w:val="45"/>
                    <w:snapToGrid w:val="0"/>
                    <w:spacing w:line="240" w:lineRule="auto"/>
                    <w:ind w:firstLine="0" w:firstLineChars="0"/>
                    <w:jc w:val="center"/>
                    <w:rPr>
                      <w:rFonts w:ascii="Times New Roman"/>
                      <w:sz w:val="21"/>
                      <w:szCs w:val="21"/>
                    </w:rPr>
                  </w:pPr>
                  <w:r>
                    <w:rPr>
                      <w:rFonts w:hint="eastAsia" w:ascii="Times New Roman"/>
                      <w:sz w:val="21"/>
                      <w:szCs w:val="21"/>
                    </w:rPr>
                    <w:t>喷淋（雾）设备</w:t>
                  </w:r>
                </w:p>
              </w:tc>
              <w:tc>
                <w:tcPr>
                  <w:tcW w:w="4115" w:type="dxa"/>
                  <w:vAlign w:val="center"/>
                </w:tcPr>
                <w:p>
                  <w:pPr>
                    <w:pStyle w:val="42"/>
                    <w:ind w:firstLine="420" w:firstLineChars="200"/>
                    <w:jc w:val="both"/>
                  </w:pPr>
                  <w:r>
                    <w:rPr>
                      <w:szCs w:val="21"/>
                    </w:rPr>
                    <w:t>破碎站一破设备进料口、主要生产设备周边</w:t>
                  </w:r>
                  <w:r>
                    <w:rPr>
                      <w:rFonts w:hint="eastAsia"/>
                      <w:szCs w:val="21"/>
                    </w:rPr>
                    <w:t>、</w:t>
                  </w:r>
                  <w:r>
                    <w:rPr>
                      <w:szCs w:val="21"/>
                    </w:rPr>
                    <w:t>堆料场下料区（装车点）等区域设置喷淋（雾）装置喷雾抑尘</w:t>
                  </w:r>
                </w:p>
              </w:tc>
              <w:tc>
                <w:tcPr>
                  <w:tcW w:w="3117" w:type="dxa"/>
                  <w:vAlign w:val="center"/>
                </w:tcPr>
                <w:p>
                  <w:pPr>
                    <w:pStyle w:val="42"/>
                  </w:pPr>
                  <w:r>
                    <w:rPr>
                      <w:rFonts w:hint="eastAsia"/>
                      <w:szCs w:val="21"/>
                    </w:rPr>
                    <w:t>已坏损，</w:t>
                  </w:r>
                  <w:r>
                    <w:t>拟建项目</w:t>
                  </w:r>
                  <w:r>
                    <w:rPr>
                      <w:rFonts w:hint="eastAsia"/>
                    </w:rPr>
                    <w:t>修复重建。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427" w:type="dxa"/>
                  <w:vMerge w:val="continue"/>
                  <w:vAlign w:val="center"/>
                </w:tcPr>
                <w:p>
                  <w:pPr>
                    <w:pStyle w:val="42"/>
                  </w:pPr>
                </w:p>
              </w:tc>
              <w:tc>
                <w:tcPr>
                  <w:tcW w:w="959" w:type="dxa"/>
                  <w:vAlign w:val="center"/>
                </w:tcPr>
                <w:p>
                  <w:pPr>
                    <w:pStyle w:val="45"/>
                    <w:snapToGrid w:val="0"/>
                    <w:spacing w:line="240" w:lineRule="auto"/>
                    <w:ind w:firstLine="0" w:firstLineChars="0"/>
                    <w:jc w:val="center"/>
                    <w:rPr>
                      <w:rFonts w:ascii="Times New Roman"/>
                      <w:sz w:val="21"/>
                      <w:szCs w:val="21"/>
                    </w:rPr>
                  </w:pPr>
                  <w:r>
                    <w:rPr>
                      <w:rFonts w:ascii="Times New Roman"/>
                      <w:sz w:val="21"/>
                      <w:szCs w:val="21"/>
                    </w:rPr>
                    <w:t>抑尘措施</w:t>
                  </w:r>
                </w:p>
              </w:tc>
              <w:tc>
                <w:tcPr>
                  <w:tcW w:w="4115" w:type="dxa"/>
                  <w:vAlign w:val="center"/>
                </w:tcPr>
                <w:p>
                  <w:pPr>
                    <w:pStyle w:val="45"/>
                    <w:snapToGrid w:val="0"/>
                    <w:spacing w:line="240" w:lineRule="auto"/>
                    <w:ind w:firstLine="420"/>
                    <w:rPr>
                      <w:rFonts w:ascii="Times New Roman"/>
                      <w:sz w:val="21"/>
                      <w:szCs w:val="21"/>
                    </w:rPr>
                  </w:pPr>
                  <w:r>
                    <w:rPr>
                      <w:rFonts w:hint="eastAsia" w:ascii="Times New Roman"/>
                      <w:sz w:val="21"/>
                      <w:szCs w:val="21"/>
                    </w:rPr>
                    <w:t>加工区上设档雨棚，</w:t>
                  </w:r>
                  <w:r>
                    <w:rPr>
                      <w:rFonts w:ascii="Times New Roman"/>
                      <w:sz w:val="21"/>
                      <w:szCs w:val="21"/>
                    </w:rPr>
                    <w:t>钻机上配备捕尘装置</w:t>
                  </w:r>
                  <w:r>
                    <w:rPr>
                      <w:rFonts w:hint="eastAsia" w:ascii="Times New Roman"/>
                      <w:sz w:val="21"/>
                      <w:szCs w:val="21"/>
                    </w:rPr>
                    <w:t>。</w:t>
                  </w:r>
                </w:p>
              </w:tc>
              <w:tc>
                <w:tcPr>
                  <w:tcW w:w="3117" w:type="dxa"/>
                  <w:vAlign w:val="center"/>
                </w:tcPr>
                <w:p>
                  <w:pPr>
                    <w:pStyle w:val="42"/>
                  </w:pPr>
                  <w:r>
                    <w:t>拟建项目</w:t>
                  </w:r>
                  <w:r>
                    <w:rPr>
                      <w:rFonts w:hint="eastAsia"/>
                    </w:rPr>
                    <w:t>将</w:t>
                  </w:r>
                  <w:r>
                    <w:rPr>
                      <w:rFonts w:hint="eastAsia"/>
                      <w:szCs w:val="21"/>
                    </w:rPr>
                    <w:t>加工区升级为</w:t>
                  </w:r>
                  <w:r>
                    <w:t>密闭厂房</w:t>
                  </w:r>
                  <w:r>
                    <w:rPr>
                      <w:rFonts w:hint="eastAsia"/>
                    </w:rPr>
                    <w:t>，</w:t>
                  </w:r>
                  <w:r>
                    <w:rPr>
                      <w:szCs w:val="21"/>
                    </w:rPr>
                    <w:t>钻机捕尘装置</w:t>
                  </w:r>
                  <w:r>
                    <w:rPr>
                      <w:rFonts w:hint="eastAsia"/>
                    </w:rPr>
                    <w:t>继续</w:t>
                  </w:r>
                  <w:r>
                    <w:t>使用</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427" w:type="dxa"/>
                  <w:vMerge w:val="restart"/>
                  <w:vAlign w:val="center"/>
                </w:tcPr>
                <w:p>
                  <w:pPr>
                    <w:pStyle w:val="42"/>
                  </w:pPr>
                  <w:r>
                    <w:t>固废</w:t>
                  </w:r>
                </w:p>
              </w:tc>
              <w:tc>
                <w:tcPr>
                  <w:tcW w:w="959" w:type="dxa"/>
                  <w:vAlign w:val="center"/>
                </w:tcPr>
                <w:p>
                  <w:pPr>
                    <w:pStyle w:val="42"/>
                    <w:rPr>
                      <w:color w:val="0000FF"/>
                    </w:rPr>
                  </w:pPr>
                  <w:r>
                    <w:rPr>
                      <w:color w:val="0000FF"/>
                    </w:rPr>
                    <w:t>危废贮存点</w:t>
                  </w:r>
                </w:p>
              </w:tc>
              <w:tc>
                <w:tcPr>
                  <w:tcW w:w="4115" w:type="dxa"/>
                  <w:vAlign w:val="center"/>
                </w:tcPr>
                <w:p>
                  <w:pPr>
                    <w:pStyle w:val="42"/>
                    <w:ind w:firstLine="420" w:firstLineChars="200"/>
                    <w:jc w:val="both"/>
                    <w:rPr>
                      <w:color w:val="0000FF"/>
                    </w:rPr>
                  </w:pPr>
                  <w:r>
                    <w:rPr>
                      <w:rFonts w:hint="eastAsia"/>
                      <w:color w:val="0000FF"/>
                    </w:rPr>
                    <w:t>1间，位于办公楼1F西部区域，面积</w:t>
                  </w:r>
                  <w:r>
                    <w:rPr>
                      <w:color w:val="0000FF"/>
                    </w:rPr>
                    <w:t>约8m</w:t>
                  </w:r>
                  <w:r>
                    <w:rPr>
                      <w:color w:val="0000FF"/>
                      <w:vertAlign w:val="superscript"/>
                    </w:rPr>
                    <w:t>2</w:t>
                  </w:r>
                  <w:r>
                    <w:rPr>
                      <w:color w:val="0000FF"/>
                    </w:rPr>
                    <w:t>，</w:t>
                  </w:r>
                  <w:r>
                    <w:rPr>
                      <w:rFonts w:hint="eastAsia"/>
                      <w:color w:val="0000FF"/>
                    </w:rPr>
                    <w:t>用于</w:t>
                  </w:r>
                  <w:r>
                    <w:rPr>
                      <w:color w:val="0000FF"/>
                      <w:szCs w:val="21"/>
                    </w:rPr>
                    <w:t>临时收集暂存</w:t>
                  </w:r>
                  <w:r>
                    <w:rPr>
                      <w:rFonts w:hint="eastAsia"/>
                      <w:color w:val="0000FF"/>
                      <w:szCs w:val="21"/>
                    </w:rPr>
                    <w:t>设备</w:t>
                  </w:r>
                  <w:r>
                    <w:rPr>
                      <w:color w:val="0000FF"/>
                    </w:rPr>
                    <w:t>保养</w:t>
                  </w:r>
                  <w:r>
                    <w:rPr>
                      <w:rFonts w:hint="eastAsia"/>
                      <w:color w:val="0000FF"/>
                    </w:rPr>
                    <w:t>废油及</w:t>
                  </w:r>
                  <w:r>
                    <w:rPr>
                      <w:bCs/>
                      <w:color w:val="0000FF"/>
                    </w:rPr>
                    <w:t>含油抹布及劳保用品</w:t>
                  </w:r>
                  <w:r>
                    <w:rPr>
                      <w:color w:val="0000FF"/>
                      <w:szCs w:val="21"/>
                    </w:rPr>
                    <w:t>。</w:t>
                  </w:r>
                </w:p>
              </w:tc>
              <w:tc>
                <w:tcPr>
                  <w:tcW w:w="3117" w:type="dxa"/>
                  <w:vAlign w:val="center"/>
                </w:tcPr>
                <w:p>
                  <w:pPr>
                    <w:pStyle w:val="42"/>
                  </w:pPr>
                  <w:r>
                    <w:rPr>
                      <w:color w:val="0000FF"/>
                    </w:rPr>
                    <w:t>拟建项目</w:t>
                  </w:r>
                  <w:r>
                    <w:rPr>
                      <w:rFonts w:hint="eastAsia"/>
                      <w:color w:val="0000FF"/>
                    </w:rPr>
                    <w:t>继续</w:t>
                  </w:r>
                  <w:r>
                    <w:rPr>
                      <w:color w:val="0000FF"/>
                    </w:rPr>
                    <w:t>使用</w:t>
                  </w:r>
                  <w:r>
                    <w:rPr>
                      <w:rFonts w:hint="eastAsia"/>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427" w:type="dxa"/>
                  <w:vMerge w:val="continue"/>
                  <w:vAlign w:val="center"/>
                </w:tcPr>
                <w:p>
                  <w:pPr>
                    <w:pStyle w:val="42"/>
                  </w:pPr>
                </w:p>
              </w:tc>
              <w:tc>
                <w:tcPr>
                  <w:tcW w:w="959" w:type="dxa"/>
                  <w:vAlign w:val="center"/>
                </w:tcPr>
                <w:p>
                  <w:pPr>
                    <w:pStyle w:val="42"/>
                  </w:pPr>
                  <w:r>
                    <w:t>垃圾桶</w:t>
                  </w:r>
                </w:p>
              </w:tc>
              <w:tc>
                <w:tcPr>
                  <w:tcW w:w="4115" w:type="dxa"/>
                  <w:vAlign w:val="center"/>
                </w:tcPr>
                <w:p>
                  <w:pPr>
                    <w:pStyle w:val="42"/>
                    <w:ind w:firstLine="420" w:firstLineChars="200"/>
                    <w:jc w:val="both"/>
                  </w:pPr>
                  <w:r>
                    <w:t>在</w:t>
                  </w:r>
                  <w:r>
                    <w:rPr>
                      <w:rFonts w:hint="eastAsia"/>
                    </w:rPr>
                    <w:t>办公楼</w:t>
                  </w:r>
                  <w:r>
                    <w:t>配置若干</w:t>
                  </w:r>
                  <w:r>
                    <w:rPr>
                      <w:szCs w:val="21"/>
                    </w:rPr>
                    <w:t>垃圾桶，</w:t>
                  </w:r>
                  <w:r>
                    <w:rPr>
                      <w:rFonts w:hint="eastAsia"/>
                      <w:szCs w:val="21"/>
                    </w:rPr>
                    <w:t>用于</w:t>
                  </w:r>
                  <w:r>
                    <w:t>收集职工生活垃圾</w:t>
                  </w:r>
                  <w:r>
                    <w:rPr>
                      <w:szCs w:val="21"/>
                    </w:rPr>
                    <w:t>。</w:t>
                  </w:r>
                </w:p>
              </w:tc>
              <w:tc>
                <w:tcPr>
                  <w:tcW w:w="3117" w:type="dxa"/>
                  <w:vAlign w:val="center"/>
                </w:tcPr>
                <w:p>
                  <w:pPr>
                    <w:pStyle w:val="42"/>
                  </w:pPr>
                  <w:r>
                    <w:t>拟建项目</w:t>
                  </w:r>
                  <w:r>
                    <w:rPr>
                      <w:rFonts w:hint="eastAsia"/>
                    </w:rPr>
                    <w:t>继续</w:t>
                  </w:r>
                  <w:r>
                    <w:t>使用</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427" w:type="dxa"/>
                  <w:vAlign w:val="center"/>
                </w:tcPr>
                <w:p>
                  <w:pPr>
                    <w:pStyle w:val="42"/>
                    <w:rPr>
                      <w:color w:val="0000FF"/>
                    </w:rPr>
                  </w:pPr>
                  <w:r>
                    <w:rPr>
                      <w:color w:val="0000FF"/>
                    </w:rPr>
                    <w:t>环境风险</w:t>
                  </w:r>
                </w:p>
              </w:tc>
              <w:tc>
                <w:tcPr>
                  <w:tcW w:w="959" w:type="dxa"/>
                  <w:vAlign w:val="center"/>
                </w:tcPr>
                <w:p>
                  <w:pPr>
                    <w:pStyle w:val="42"/>
                    <w:rPr>
                      <w:color w:val="0000FF"/>
                    </w:rPr>
                  </w:pPr>
                  <w:r>
                    <w:rPr>
                      <w:rFonts w:hint="eastAsia"/>
                      <w:color w:val="0000FF"/>
                    </w:rPr>
                    <w:t>危废贮存点环境风险防范工程</w:t>
                  </w:r>
                </w:p>
              </w:tc>
              <w:tc>
                <w:tcPr>
                  <w:tcW w:w="4115" w:type="dxa"/>
                  <w:vAlign w:val="center"/>
                </w:tcPr>
                <w:p>
                  <w:pPr>
                    <w:pStyle w:val="42"/>
                    <w:ind w:firstLine="420" w:firstLineChars="200"/>
                    <w:jc w:val="both"/>
                    <w:rPr>
                      <w:color w:val="0000FF"/>
                    </w:rPr>
                  </w:pPr>
                  <w:r>
                    <w:rPr>
                      <w:color w:val="0000FF"/>
                    </w:rPr>
                    <w:t>危废贮存点</w:t>
                  </w:r>
                  <w:r>
                    <w:rPr>
                      <w:rFonts w:hint="eastAsia"/>
                      <w:bCs/>
                      <w:color w:val="0000FF"/>
                    </w:rPr>
                    <w:t>按规定</w:t>
                  </w:r>
                  <w:r>
                    <w:rPr>
                      <w:bCs/>
                      <w:color w:val="0000FF"/>
                    </w:rPr>
                    <w:t>采取</w:t>
                  </w:r>
                  <w:r>
                    <w:rPr>
                      <w:rFonts w:ascii="宋体" w:hAnsi="宋体"/>
                      <w:bCs/>
                      <w:color w:val="0000FF"/>
                    </w:rPr>
                    <w:t>“六防”</w:t>
                  </w:r>
                  <w:r>
                    <w:rPr>
                      <w:bCs/>
                      <w:color w:val="0000FF"/>
                    </w:rPr>
                    <w:t>（防风、防雨、防晒、防渗、防漏、防腐）措施及泄漏物收集措施</w:t>
                  </w:r>
                  <w:r>
                    <w:rPr>
                      <w:rFonts w:hint="eastAsia"/>
                      <w:bCs/>
                      <w:color w:val="0000FF"/>
                    </w:rPr>
                    <w:t>，</w:t>
                  </w:r>
                  <w:r>
                    <w:rPr>
                      <w:color w:val="0000FF"/>
                    </w:rPr>
                    <w:t>配备干粉灭火器、消防沙、隔油栏、吸油毡等应急物资</w:t>
                  </w:r>
                  <w:r>
                    <w:rPr>
                      <w:rFonts w:hint="eastAsia"/>
                      <w:color w:val="0000FF"/>
                    </w:rPr>
                    <w:t>并设置警示标识</w:t>
                  </w:r>
                  <w:r>
                    <w:rPr>
                      <w:color w:val="0000FF"/>
                    </w:rPr>
                    <w:t>。</w:t>
                  </w:r>
                </w:p>
              </w:tc>
              <w:tc>
                <w:tcPr>
                  <w:tcW w:w="3117" w:type="dxa"/>
                  <w:vAlign w:val="center"/>
                </w:tcPr>
                <w:p>
                  <w:pPr>
                    <w:pStyle w:val="42"/>
                    <w:rPr>
                      <w:color w:val="0000FF"/>
                    </w:rPr>
                  </w:pPr>
                  <w:r>
                    <w:rPr>
                      <w:color w:val="0000FF"/>
                    </w:rPr>
                    <w:t>拟建项目</w:t>
                  </w:r>
                  <w:r>
                    <w:rPr>
                      <w:rFonts w:hint="eastAsia"/>
                      <w:color w:val="0000FF"/>
                    </w:rPr>
                    <w:t>继续</w:t>
                  </w:r>
                  <w:r>
                    <w:rPr>
                      <w:color w:val="0000FF"/>
                    </w:rPr>
                    <w:t>使用</w:t>
                  </w:r>
                  <w:r>
                    <w:rPr>
                      <w:rFonts w:hint="eastAsia"/>
                      <w:color w:val="0000FF"/>
                    </w:rPr>
                    <w:t>。</w:t>
                  </w:r>
                </w:p>
              </w:tc>
            </w:tr>
          </w:tbl>
          <w:p>
            <w:pPr>
              <w:adjustRightInd w:val="0"/>
              <w:snapToGrid w:val="0"/>
              <w:spacing w:line="360" w:lineRule="auto"/>
              <w:ind w:firstLine="482" w:firstLineChars="200"/>
              <w:rPr>
                <w:b/>
                <w:kern w:val="0"/>
                <w:sz w:val="24"/>
              </w:rPr>
            </w:pPr>
            <w:r>
              <w:rPr>
                <w:b/>
                <w:kern w:val="0"/>
                <w:sz w:val="24"/>
              </w:rPr>
              <w:t>（</w:t>
            </w:r>
            <w:r>
              <w:rPr>
                <w:rFonts w:hint="eastAsia"/>
                <w:b/>
                <w:kern w:val="0"/>
                <w:sz w:val="24"/>
              </w:rPr>
              <w:t>5</w:t>
            </w:r>
            <w:r>
              <w:rPr>
                <w:b/>
                <w:kern w:val="0"/>
                <w:sz w:val="24"/>
              </w:rPr>
              <w:t>）生产设备</w:t>
            </w:r>
          </w:p>
          <w:p>
            <w:pPr>
              <w:adjustRightInd w:val="0"/>
              <w:snapToGrid w:val="0"/>
              <w:spacing w:line="360" w:lineRule="auto"/>
              <w:ind w:firstLine="480" w:firstLineChars="200"/>
              <w:rPr>
                <w:kern w:val="0"/>
                <w:sz w:val="24"/>
              </w:rPr>
            </w:pPr>
            <w:r>
              <w:rPr>
                <w:kern w:val="0"/>
                <w:sz w:val="24"/>
              </w:rPr>
              <w:t>原有项目生产设备详见表2-</w:t>
            </w:r>
            <w:r>
              <w:rPr>
                <w:rFonts w:hint="eastAsia"/>
                <w:kern w:val="0"/>
                <w:sz w:val="24"/>
              </w:rPr>
              <w:t>4</w:t>
            </w:r>
            <w:r>
              <w:rPr>
                <w:kern w:val="0"/>
                <w:sz w:val="24"/>
              </w:rPr>
              <w:t>。</w:t>
            </w:r>
          </w:p>
          <w:p>
            <w:pPr>
              <w:adjustRightInd w:val="0"/>
              <w:snapToGrid w:val="0"/>
              <w:jc w:val="center"/>
              <w:rPr>
                <w:b/>
                <w:kern w:val="0"/>
                <w:sz w:val="24"/>
              </w:rPr>
            </w:pPr>
            <w:r>
              <w:rPr>
                <w:b/>
                <w:kern w:val="0"/>
                <w:sz w:val="24"/>
              </w:rPr>
              <w:t>表2-</w:t>
            </w:r>
            <w:r>
              <w:rPr>
                <w:rFonts w:hint="eastAsia"/>
                <w:b/>
                <w:kern w:val="0"/>
                <w:sz w:val="24"/>
              </w:rPr>
              <w:t>4</w:t>
            </w:r>
            <w:r>
              <w:rPr>
                <w:b/>
                <w:kern w:val="0"/>
                <w:sz w:val="24"/>
              </w:rPr>
              <w:t xml:space="preserve">  </w:t>
            </w:r>
            <w:r>
              <w:rPr>
                <w:rFonts w:hint="eastAsia"/>
                <w:b/>
                <w:kern w:val="0"/>
                <w:sz w:val="24"/>
              </w:rPr>
              <w:t>原有项目</w:t>
            </w:r>
            <w:r>
              <w:rPr>
                <w:b/>
                <w:kern w:val="0"/>
                <w:sz w:val="24"/>
              </w:rPr>
              <w:t>主要生产设备一览表</w:t>
            </w:r>
          </w:p>
          <w:tbl>
            <w:tblPr>
              <w:tblStyle w:val="15"/>
              <w:tblW w:w="903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19"/>
              <w:gridCol w:w="1090"/>
              <w:gridCol w:w="1555"/>
              <w:gridCol w:w="2296"/>
              <w:gridCol w:w="992"/>
              <w:gridCol w:w="850"/>
              <w:gridCol w:w="15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trPr>
              <w:tc>
                <w:tcPr>
                  <w:tcW w:w="719" w:type="dxa"/>
                  <w:vAlign w:val="center"/>
                </w:tcPr>
                <w:p>
                  <w:pPr>
                    <w:pStyle w:val="42"/>
                  </w:pPr>
                  <w:r>
                    <w:t>序号</w:t>
                  </w:r>
                </w:p>
              </w:tc>
              <w:tc>
                <w:tcPr>
                  <w:tcW w:w="1090" w:type="dxa"/>
                  <w:vAlign w:val="center"/>
                </w:tcPr>
                <w:p>
                  <w:pPr>
                    <w:pStyle w:val="42"/>
                  </w:pPr>
                  <w:r>
                    <w:t>安装地点</w:t>
                  </w:r>
                </w:p>
              </w:tc>
              <w:tc>
                <w:tcPr>
                  <w:tcW w:w="1555" w:type="dxa"/>
                  <w:vAlign w:val="center"/>
                </w:tcPr>
                <w:p>
                  <w:pPr>
                    <w:pStyle w:val="42"/>
                  </w:pPr>
                  <w:r>
                    <w:t>设备名称</w:t>
                  </w:r>
                </w:p>
              </w:tc>
              <w:tc>
                <w:tcPr>
                  <w:tcW w:w="2296" w:type="dxa"/>
                  <w:vAlign w:val="center"/>
                </w:tcPr>
                <w:p>
                  <w:pPr>
                    <w:pStyle w:val="42"/>
                  </w:pPr>
                  <w:r>
                    <w:t>规格及型号</w:t>
                  </w:r>
                </w:p>
              </w:tc>
              <w:tc>
                <w:tcPr>
                  <w:tcW w:w="992" w:type="dxa"/>
                  <w:vAlign w:val="center"/>
                </w:tcPr>
                <w:p>
                  <w:pPr>
                    <w:pStyle w:val="42"/>
                  </w:pPr>
                  <w:r>
                    <w:t>单位</w:t>
                  </w:r>
                </w:p>
              </w:tc>
              <w:tc>
                <w:tcPr>
                  <w:tcW w:w="850" w:type="dxa"/>
                  <w:vAlign w:val="center"/>
                </w:tcPr>
                <w:p>
                  <w:pPr>
                    <w:pStyle w:val="42"/>
                  </w:pPr>
                  <w:r>
                    <w:t>数量</w:t>
                  </w:r>
                </w:p>
              </w:tc>
              <w:tc>
                <w:tcPr>
                  <w:tcW w:w="1536" w:type="dxa"/>
                  <w:vAlign w:val="center"/>
                </w:tcPr>
                <w:p>
                  <w:pPr>
                    <w:pStyle w:val="42"/>
                  </w:pPr>
                  <w: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719" w:type="dxa"/>
                  <w:vAlign w:val="center"/>
                </w:tcPr>
                <w:p>
                  <w:pPr>
                    <w:pStyle w:val="42"/>
                  </w:pPr>
                  <w:r>
                    <w:t>1</w:t>
                  </w:r>
                </w:p>
              </w:tc>
              <w:tc>
                <w:tcPr>
                  <w:tcW w:w="1090" w:type="dxa"/>
                  <w:vMerge w:val="restart"/>
                  <w:vAlign w:val="center"/>
                </w:tcPr>
                <w:p>
                  <w:pPr>
                    <w:pStyle w:val="42"/>
                  </w:pPr>
                  <w:r>
                    <w:t>开采区</w:t>
                  </w:r>
                </w:p>
                <w:p>
                  <w:pPr>
                    <w:pStyle w:val="42"/>
                  </w:pPr>
                  <w:r>
                    <w:t>设备</w:t>
                  </w:r>
                </w:p>
              </w:tc>
              <w:tc>
                <w:tcPr>
                  <w:tcW w:w="1555" w:type="dxa"/>
                  <w:vAlign w:val="center"/>
                </w:tcPr>
                <w:p>
                  <w:pPr>
                    <w:pStyle w:val="42"/>
                  </w:pPr>
                  <w:r>
                    <w:t>铲车</w:t>
                  </w:r>
                </w:p>
              </w:tc>
              <w:tc>
                <w:tcPr>
                  <w:tcW w:w="2296" w:type="dxa"/>
                  <w:vAlign w:val="center"/>
                </w:tcPr>
                <w:p>
                  <w:pPr>
                    <w:pStyle w:val="42"/>
                  </w:pPr>
                  <w:r>
                    <w:t>SL50W-2型</w:t>
                  </w:r>
                  <w:r>
                    <w:rPr>
                      <w:rFonts w:hint="eastAsia"/>
                    </w:rPr>
                    <w:t>、</w:t>
                  </w:r>
                  <w:r>
                    <w:rPr>
                      <w:rFonts w:hint="eastAsia" w:ascii="宋体" w:hAnsi="宋体" w:cs="宋体"/>
                      <w:szCs w:val="21"/>
                    </w:rPr>
                    <w:t>斗容</w:t>
                  </w:r>
                  <w:r>
                    <w:rPr>
                      <w:szCs w:val="21"/>
                    </w:rPr>
                    <w:t>3m</w:t>
                  </w:r>
                  <w:r>
                    <w:rPr>
                      <w:rFonts w:hint="eastAsia" w:eastAsiaTheme="minorEastAsia"/>
                      <w:szCs w:val="21"/>
                      <w:vertAlign w:val="superscript"/>
                    </w:rPr>
                    <w:t>3</w:t>
                  </w:r>
                </w:p>
              </w:tc>
              <w:tc>
                <w:tcPr>
                  <w:tcW w:w="992" w:type="dxa"/>
                  <w:vAlign w:val="center"/>
                </w:tcPr>
                <w:p>
                  <w:pPr>
                    <w:pStyle w:val="42"/>
                  </w:pPr>
                  <w:r>
                    <w:t>台</w:t>
                  </w:r>
                </w:p>
              </w:tc>
              <w:tc>
                <w:tcPr>
                  <w:tcW w:w="850" w:type="dxa"/>
                  <w:vAlign w:val="center"/>
                </w:tcPr>
                <w:p>
                  <w:pPr>
                    <w:pStyle w:val="42"/>
                  </w:pPr>
                  <w:r>
                    <w:rPr>
                      <w:rFonts w:hint="eastAsia"/>
                    </w:rPr>
                    <w:t>1</w:t>
                  </w:r>
                </w:p>
              </w:tc>
              <w:tc>
                <w:tcPr>
                  <w:tcW w:w="1536" w:type="dxa"/>
                  <w:vMerge w:val="restart"/>
                  <w:vAlign w:val="center"/>
                </w:tcPr>
                <w:p>
                  <w:pPr>
                    <w:pStyle w:val="42"/>
                  </w:pPr>
                  <w:r>
                    <w:rPr>
                      <w:rFonts w:hint="eastAsia"/>
                    </w:rPr>
                    <w:t>结构性能良好，拟建项目拟继续使用。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719" w:type="dxa"/>
                  <w:vAlign w:val="center"/>
                </w:tcPr>
                <w:p>
                  <w:pPr>
                    <w:pStyle w:val="42"/>
                  </w:pPr>
                  <w:r>
                    <w:rPr>
                      <w:rFonts w:hint="eastAsia"/>
                    </w:rPr>
                    <w:t>2</w:t>
                  </w:r>
                </w:p>
              </w:tc>
              <w:tc>
                <w:tcPr>
                  <w:tcW w:w="1090" w:type="dxa"/>
                  <w:vMerge w:val="continue"/>
                  <w:vAlign w:val="center"/>
                </w:tcPr>
                <w:p>
                  <w:pPr>
                    <w:pStyle w:val="42"/>
                  </w:pPr>
                </w:p>
              </w:tc>
              <w:tc>
                <w:tcPr>
                  <w:tcW w:w="1555" w:type="dxa"/>
                  <w:vAlign w:val="center"/>
                </w:tcPr>
                <w:p>
                  <w:pPr>
                    <w:pStyle w:val="42"/>
                  </w:pPr>
                  <w:r>
                    <w:t>挖掘机</w:t>
                  </w:r>
                </w:p>
              </w:tc>
              <w:tc>
                <w:tcPr>
                  <w:tcW w:w="2296" w:type="dxa"/>
                  <w:vAlign w:val="center"/>
                </w:tcPr>
                <w:p>
                  <w:pPr>
                    <w:pStyle w:val="42"/>
                  </w:pPr>
                  <w:r>
                    <w:t>CAT329-D、日立330</w:t>
                  </w:r>
                </w:p>
              </w:tc>
              <w:tc>
                <w:tcPr>
                  <w:tcW w:w="992" w:type="dxa"/>
                  <w:vAlign w:val="center"/>
                </w:tcPr>
                <w:p>
                  <w:pPr>
                    <w:pStyle w:val="42"/>
                  </w:pPr>
                  <w:r>
                    <w:t>台</w:t>
                  </w:r>
                </w:p>
              </w:tc>
              <w:tc>
                <w:tcPr>
                  <w:tcW w:w="850" w:type="dxa"/>
                  <w:vAlign w:val="center"/>
                </w:tcPr>
                <w:p>
                  <w:pPr>
                    <w:pStyle w:val="42"/>
                  </w:pPr>
                  <w:r>
                    <w:rPr>
                      <w:rFonts w:hint="eastAsia"/>
                    </w:rPr>
                    <w:t>2</w:t>
                  </w:r>
                </w:p>
              </w:tc>
              <w:tc>
                <w:tcPr>
                  <w:tcW w:w="1536" w:type="dxa"/>
                  <w:vMerge w:val="continue"/>
                  <w:vAlign w:val="center"/>
                </w:tcPr>
                <w:p>
                  <w:pPr>
                    <w:pStyle w:val="4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719" w:type="dxa"/>
                  <w:vAlign w:val="center"/>
                </w:tcPr>
                <w:p>
                  <w:pPr>
                    <w:pStyle w:val="42"/>
                  </w:pPr>
                  <w:r>
                    <w:rPr>
                      <w:rFonts w:hint="eastAsia"/>
                    </w:rPr>
                    <w:t>3</w:t>
                  </w:r>
                </w:p>
              </w:tc>
              <w:tc>
                <w:tcPr>
                  <w:tcW w:w="1090" w:type="dxa"/>
                  <w:vMerge w:val="continue"/>
                  <w:vAlign w:val="center"/>
                </w:tcPr>
                <w:p>
                  <w:pPr>
                    <w:pStyle w:val="42"/>
                  </w:pPr>
                </w:p>
              </w:tc>
              <w:tc>
                <w:tcPr>
                  <w:tcW w:w="1555" w:type="dxa"/>
                  <w:vAlign w:val="center"/>
                </w:tcPr>
                <w:p>
                  <w:pPr>
                    <w:pStyle w:val="42"/>
                  </w:pPr>
                  <w:r>
                    <w:rPr>
                      <w:rFonts w:hint="eastAsia"/>
                    </w:rPr>
                    <w:t>钻机</w:t>
                  </w:r>
                </w:p>
              </w:tc>
              <w:tc>
                <w:tcPr>
                  <w:tcW w:w="2296" w:type="dxa"/>
                  <w:vAlign w:val="center"/>
                </w:tcPr>
                <w:p>
                  <w:pPr>
                    <w:pStyle w:val="42"/>
                  </w:pPr>
                  <w:r>
                    <w:t>90</w:t>
                  </w:r>
                </w:p>
              </w:tc>
              <w:tc>
                <w:tcPr>
                  <w:tcW w:w="992" w:type="dxa"/>
                  <w:vAlign w:val="center"/>
                </w:tcPr>
                <w:p>
                  <w:pPr>
                    <w:pStyle w:val="42"/>
                  </w:pPr>
                  <w:r>
                    <w:t>台</w:t>
                  </w:r>
                </w:p>
              </w:tc>
              <w:tc>
                <w:tcPr>
                  <w:tcW w:w="850" w:type="dxa"/>
                  <w:vAlign w:val="center"/>
                </w:tcPr>
                <w:p>
                  <w:pPr>
                    <w:pStyle w:val="42"/>
                  </w:pPr>
                  <w:r>
                    <w:t>1</w:t>
                  </w:r>
                </w:p>
              </w:tc>
              <w:tc>
                <w:tcPr>
                  <w:tcW w:w="1536" w:type="dxa"/>
                  <w:vMerge w:val="continue"/>
                  <w:vAlign w:val="center"/>
                </w:tcPr>
                <w:p>
                  <w:pPr>
                    <w:pStyle w:val="4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719" w:type="dxa"/>
                  <w:vAlign w:val="center"/>
                </w:tcPr>
                <w:p>
                  <w:pPr>
                    <w:pStyle w:val="42"/>
                  </w:pPr>
                  <w:r>
                    <w:rPr>
                      <w:rFonts w:hint="eastAsia"/>
                    </w:rPr>
                    <w:t>4</w:t>
                  </w:r>
                </w:p>
              </w:tc>
              <w:tc>
                <w:tcPr>
                  <w:tcW w:w="1090" w:type="dxa"/>
                  <w:vMerge w:val="continue"/>
                  <w:vAlign w:val="center"/>
                </w:tcPr>
                <w:p>
                  <w:pPr>
                    <w:pStyle w:val="42"/>
                  </w:pPr>
                </w:p>
              </w:tc>
              <w:tc>
                <w:tcPr>
                  <w:tcW w:w="1555" w:type="dxa"/>
                  <w:vAlign w:val="center"/>
                </w:tcPr>
                <w:p>
                  <w:pPr>
                    <w:pStyle w:val="42"/>
                  </w:pPr>
                  <w:r>
                    <w:rPr>
                      <w:rFonts w:hint="eastAsia"/>
                    </w:rPr>
                    <w:t>空压机</w:t>
                  </w:r>
                </w:p>
              </w:tc>
              <w:tc>
                <w:tcPr>
                  <w:tcW w:w="2296" w:type="dxa"/>
                  <w:vAlign w:val="center"/>
                </w:tcPr>
                <w:p>
                  <w:pPr>
                    <w:pStyle w:val="42"/>
                  </w:pPr>
                </w:p>
              </w:tc>
              <w:tc>
                <w:tcPr>
                  <w:tcW w:w="992" w:type="dxa"/>
                  <w:vAlign w:val="center"/>
                </w:tcPr>
                <w:p>
                  <w:pPr>
                    <w:pStyle w:val="42"/>
                  </w:pPr>
                  <w:r>
                    <w:t>台</w:t>
                  </w:r>
                </w:p>
              </w:tc>
              <w:tc>
                <w:tcPr>
                  <w:tcW w:w="850" w:type="dxa"/>
                  <w:vAlign w:val="center"/>
                </w:tcPr>
                <w:p>
                  <w:pPr>
                    <w:pStyle w:val="42"/>
                  </w:pPr>
                  <w:r>
                    <w:t>1</w:t>
                  </w:r>
                </w:p>
              </w:tc>
              <w:tc>
                <w:tcPr>
                  <w:tcW w:w="1536" w:type="dxa"/>
                  <w:vMerge w:val="continue"/>
                  <w:vAlign w:val="center"/>
                </w:tcPr>
                <w:p>
                  <w:pPr>
                    <w:pStyle w:val="4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719" w:type="dxa"/>
                  <w:vAlign w:val="center"/>
                </w:tcPr>
                <w:p>
                  <w:pPr>
                    <w:pStyle w:val="42"/>
                  </w:pPr>
                  <w:r>
                    <w:rPr>
                      <w:rFonts w:hint="eastAsia"/>
                    </w:rPr>
                    <w:t>5</w:t>
                  </w:r>
                </w:p>
              </w:tc>
              <w:tc>
                <w:tcPr>
                  <w:tcW w:w="1090" w:type="dxa"/>
                  <w:vMerge w:val="continue"/>
                  <w:vAlign w:val="center"/>
                </w:tcPr>
                <w:p>
                  <w:pPr>
                    <w:pStyle w:val="42"/>
                  </w:pPr>
                </w:p>
              </w:tc>
              <w:tc>
                <w:tcPr>
                  <w:tcW w:w="1555" w:type="dxa"/>
                  <w:vAlign w:val="center"/>
                </w:tcPr>
                <w:p>
                  <w:pPr>
                    <w:pStyle w:val="42"/>
                  </w:pPr>
                  <w:r>
                    <w:rPr>
                      <w:rFonts w:hint="eastAsia"/>
                    </w:rPr>
                    <w:t>内转</w:t>
                  </w:r>
                  <w:r>
                    <w:t>运输车</w:t>
                  </w:r>
                </w:p>
              </w:tc>
              <w:tc>
                <w:tcPr>
                  <w:tcW w:w="2296" w:type="dxa"/>
                  <w:vAlign w:val="center"/>
                </w:tcPr>
                <w:p>
                  <w:pPr>
                    <w:pStyle w:val="42"/>
                  </w:pPr>
                  <w:r>
                    <w:t>载重</w:t>
                  </w:r>
                  <w:r>
                    <w:rPr>
                      <w:rFonts w:hint="eastAsia"/>
                    </w:rPr>
                    <w:t>2</w:t>
                  </w:r>
                  <w:r>
                    <w:t>0t</w:t>
                  </w:r>
                </w:p>
              </w:tc>
              <w:tc>
                <w:tcPr>
                  <w:tcW w:w="992" w:type="dxa"/>
                  <w:vAlign w:val="center"/>
                </w:tcPr>
                <w:p>
                  <w:pPr>
                    <w:pStyle w:val="42"/>
                  </w:pPr>
                  <w:r>
                    <w:t>辆</w:t>
                  </w:r>
                </w:p>
              </w:tc>
              <w:tc>
                <w:tcPr>
                  <w:tcW w:w="850" w:type="dxa"/>
                  <w:vAlign w:val="center"/>
                </w:tcPr>
                <w:p>
                  <w:pPr>
                    <w:pStyle w:val="42"/>
                  </w:pPr>
                  <w:r>
                    <w:rPr>
                      <w:rFonts w:hint="eastAsia"/>
                    </w:rPr>
                    <w:t>2</w:t>
                  </w:r>
                </w:p>
              </w:tc>
              <w:tc>
                <w:tcPr>
                  <w:tcW w:w="1536" w:type="dxa"/>
                  <w:vMerge w:val="continue"/>
                  <w:vAlign w:val="center"/>
                </w:tcPr>
                <w:p>
                  <w:pPr>
                    <w:pStyle w:val="4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719" w:type="dxa"/>
                  <w:vAlign w:val="center"/>
                </w:tcPr>
                <w:p>
                  <w:pPr>
                    <w:pStyle w:val="42"/>
                  </w:pPr>
                  <w:r>
                    <w:rPr>
                      <w:rFonts w:hint="eastAsia"/>
                    </w:rPr>
                    <w:t>6</w:t>
                  </w:r>
                </w:p>
              </w:tc>
              <w:tc>
                <w:tcPr>
                  <w:tcW w:w="1090" w:type="dxa"/>
                  <w:vMerge w:val="restart"/>
                  <w:vAlign w:val="center"/>
                </w:tcPr>
                <w:p>
                  <w:pPr>
                    <w:pStyle w:val="42"/>
                  </w:pPr>
                  <w:r>
                    <w:rPr>
                      <w:rFonts w:hint="eastAsia"/>
                    </w:rPr>
                    <w:t>破碎站</w:t>
                  </w:r>
                </w:p>
                <w:p>
                  <w:pPr>
                    <w:pStyle w:val="42"/>
                  </w:pPr>
                  <w:r>
                    <w:t>设备</w:t>
                  </w:r>
                </w:p>
              </w:tc>
              <w:tc>
                <w:tcPr>
                  <w:tcW w:w="1555" w:type="dxa"/>
                  <w:vAlign w:val="center"/>
                </w:tcPr>
                <w:p>
                  <w:pPr>
                    <w:pStyle w:val="42"/>
                  </w:pPr>
                  <w:r>
                    <w:rPr>
                      <w:rFonts w:hint="eastAsia"/>
                    </w:rPr>
                    <w:t>振动</w:t>
                  </w:r>
                  <w:r>
                    <w:t>给料机</w:t>
                  </w:r>
                </w:p>
              </w:tc>
              <w:tc>
                <w:tcPr>
                  <w:tcW w:w="2296" w:type="dxa"/>
                  <w:vAlign w:val="center"/>
                </w:tcPr>
                <w:p>
                  <w:pPr>
                    <w:pStyle w:val="42"/>
                  </w:pPr>
                  <w:r>
                    <w:rPr>
                      <w:rFonts w:hint="eastAsia"/>
                    </w:rPr>
                    <w:t>5*9</w:t>
                  </w:r>
                </w:p>
              </w:tc>
              <w:tc>
                <w:tcPr>
                  <w:tcW w:w="992" w:type="dxa"/>
                  <w:vAlign w:val="center"/>
                </w:tcPr>
                <w:p>
                  <w:pPr>
                    <w:pStyle w:val="42"/>
                  </w:pPr>
                  <w:r>
                    <w:t>台</w:t>
                  </w:r>
                </w:p>
              </w:tc>
              <w:tc>
                <w:tcPr>
                  <w:tcW w:w="850" w:type="dxa"/>
                  <w:vAlign w:val="center"/>
                </w:tcPr>
                <w:p>
                  <w:pPr>
                    <w:pStyle w:val="42"/>
                  </w:pPr>
                  <w:r>
                    <w:t>1</w:t>
                  </w:r>
                </w:p>
              </w:tc>
              <w:tc>
                <w:tcPr>
                  <w:tcW w:w="1536" w:type="dxa"/>
                  <w:vMerge w:val="continue"/>
                  <w:tcBorders>
                    <w:bottom w:val="single" w:color="auto" w:sz="4" w:space="0"/>
                  </w:tcBorders>
                  <w:vAlign w:val="center"/>
                </w:tcPr>
                <w:p>
                  <w:pPr>
                    <w:pStyle w:val="4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719" w:type="dxa"/>
                  <w:vAlign w:val="center"/>
                </w:tcPr>
                <w:p>
                  <w:pPr>
                    <w:pStyle w:val="42"/>
                  </w:pPr>
                  <w:r>
                    <w:rPr>
                      <w:rFonts w:hint="eastAsia"/>
                    </w:rPr>
                    <w:t>7</w:t>
                  </w:r>
                </w:p>
              </w:tc>
              <w:tc>
                <w:tcPr>
                  <w:tcW w:w="1090" w:type="dxa"/>
                  <w:vMerge w:val="continue"/>
                  <w:vAlign w:val="center"/>
                </w:tcPr>
                <w:p>
                  <w:pPr>
                    <w:pStyle w:val="42"/>
                  </w:pPr>
                </w:p>
              </w:tc>
              <w:tc>
                <w:tcPr>
                  <w:tcW w:w="1555" w:type="dxa"/>
                  <w:vAlign w:val="center"/>
                </w:tcPr>
                <w:p>
                  <w:pPr>
                    <w:pStyle w:val="42"/>
                  </w:pPr>
                  <w:r>
                    <w:t>鄂式破碎机</w:t>
                  </w:r>
                </w:p>
              </w:tc>
              <w:tc>
                <w:tcPr>
                  <w:tcW w:w="2296" w:type="dxa"/>
                  <w:vAlign w:val="center"/>
                </w:tcPr>
                <w:p>
                  <w:pPr>
                    <w:pStyle w:val="42"/>
                  </w:pPr>
                  <w:r>
                    <w:rPr>
                      <w:color w:val="0000FF"/>
                    </w:rPr>
                    <w:t>XY750×1060</w:t>
                  </w:r>
                  <w:r>
                    <w:rPr>
                      <w:rFonts w:hint="eastAsia"/>
                      <w:color w:val="0000FF"/>
                    </w:rPr>
                    <w:t>、</w:t>
                  </w:r>
                  <w:r>
                    <w:rPr>
                      <w:rFonts w:hint="eastAsia"/>
                      <w:color w:val="0000FF"/>
                      <w:szCs w:val="21"/>
                    </w:rPr>
                    <w:t>电机功率95kw、最大台时产能85</w:t>
                  </w:r>
                  <w:r>
                    <w:rPr>
                      <w:color w:val="0000FF"/>
                      <w:szCs w:val="21"/>
                    </w:rPr>
                    <w:t>t/h</w:t>
                  </w:r>
                  <w:r>
                    <w:rPr>
                      <w:rFonts w:hint="eastAsia"/>
                      <w:color w:val="0000FF"/>
                      <w:szCs w:val="21"/>
                    </w:rPr>
                    <w:t>、</w:t>
                  </w:r>
                  <w:r>
                    <w:rPr>
                      <w:rFonts w:hint="eastAsia"/>
                      <w:szCs w:val="21"/>
                    </w:rPr>
                    <w:t>给料粒径≤800mm、出料粒径≤100mm</w:t>
                  </w:r>
                </w:p>
              </w:tc>
              <w:tc>
                <w:tcPr>
                  <w:tcW w:w="992" w:type="dxa"/>
                  <w:vAlign w:val="center"/>
                </w:tcPr>
                <w:p>
                  <w:pPr>
                    <w:pStyle w:val="42"/>
                  </w:pPr>
                  <w:r>
                    <w:t>台</w:t>
                  </w:r>
                </w:p>
              </w:tc>
              <w:tc>
                <w:tcPr>
                  <w:tcW w:w="850" w:type="dxa"/>
                  <w:vAlign w:val="center"/>
                </w:tcPr>
                <w:p>
                  <w:pPr>
                    <w:pStyle w:val="42"/>
                  </w:pPr>
                  <w:r>
                    <w:t>1</w:t>
                  </w:r>
                </w:p>
              </w:tc>
              <w:tc>
                <w:tcPr>
                  <w:tcW w:w="1536" w:type="dxa"/>
                  <w:vMerge w:val="restart"/>
                  <w:tcBorders>
                    <w:top w:val="single" w:color="auto" w:sz="4" w:space="0"/>
                  </w:tcBorders>
                  <w:vAlign w:val="center"/>
                </w:tcPr>
                <w:p>
                  <w:pPr>
                    <w:pStyle w:val="42"/>
                  </w:pPr>
                  <w:r>
                    <w:rPr>
                      <w:rFonts w:hint="eastAsia"/>
                      <w:color w:val="0000FF"/>
                    </w:rPr>
                    <w:t>产能不足，拟建项目拟更换。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719" w:type="dxa"/>
                  <w:vAlign w:val="center"/>
                </w:tcPr>
                <w:p>
                  <w:pPr>
                    <w:pStyle w:val="42"/>
                  </w:pPr>
                  <w:r>
                    <w:rPr>
                      <w:rFonts w:hint="eastAsia"/>
                    </w:rPr>
                    <w:t>8</w:t>
                  </w:r>
                </w:p>
              </w:tc>
              <w:tc>
                <w:tcPr>
                  <w:tcW w:w="1090" w:type="dxa"/>
                  <w:vMerge w:val="continue"/>
                  <w:vAlign w:val="center"/>
                </w:tcPr>
                <w:p>
                  <w:pPr>
                    <w:pStyle w:val="42"/>
                  </w:pPr>
                </w:p>
              </w:tc>
              <w:tc>
                <w:tcPr>
                  <w:tcW w:w="1555" w:type="dxa"/>
                  <w:vAlign w:val="center"/>
                </w:tcPr>
                <w:p>
                  <w:pPr>
                    <w:pStyle w:val="42"/>
                  </w:pPr>
                  <w:r>
                    <w:rPr>
                      <w:rFonts w:hint="eastAsia"/>
                    </w:rPr>
                    <w:t>反击式破碎机</w:t>
                  </w:r>
                </w:p>
              </w:tc>
              <w:tc>
                <w:tcPr>
                  <w:tcW w:w="2296" w:type="dxa"/>
                  <w:vAlign w:val="center"/>
                </w:tcPr>
                <w:p>
                  <w:pPr>
                    <w:pStyle w:val="42"/>
                  </w:pPr>
                  <w:r>
                    <w:rPr>
                      <w:rFonts w:hint="eastAsia"/>
                      <w:color w:val="0000FF"/>
                    </w:rPr>
                    <w:t>NP1007</w:t>
                  </w:r>
                  <w:r>
                    <w:rPr>
                      <w:rFonts w:hint="eastAsia"/>
                    </w:rPr>
                    <w:t>、电机功率80kw</w:t>
                  </w:r>
                  <w:r>
                    <w:rPr>
                      <w:rFonts w:hint="eastAsia"/>
                      <w:szCs w:val="21"/>
                    </w:rPr>
                    <w:t>、最大台时产能</w:t>
                  </w:r>
                  <w:r>
                    <w:rPr>
                      <w:rFonts w:hint="eastAsia"/>
                      <w:color w:val="0000FF"/>
                      <w:szCs w:val="21"/>
                    </w:rPr>
                    <w:t>110</w:t>
                  </w:r>
                  <w:r>
                    <w:rPr>
                      <w:color w:val="0000FF"/>
                      <w:szCs w:val="21"/>
                    </w:rPr>
                    <w:t>t/h</w:t>
                  </w:r>
                  <w:r>
                    <w:rPr>
                      <w:rFonts w:hint="eastAsia"/>
                      <w:szCs w:val="21"/>
                    </w:rPr>
                    <w:t>、给料粒径≤750mm、出料粒径≤100mm</w:t>
                  </w:r>
                </w:p>
              </w:tc>
              <w:tc>
                <w:tcPr>
                  <w:tcW w:w="992" w:type="dxa"/>
                  <w:vAlign w:val="center"/>
                </w:tcPr>
                <w:p>
                  <w:pPr>
                    <w:pStyle w:val="42"/>
                  </w:pPr>
                  <w:r>
                    <w:t>台</w:t>
                  </w:r>
                </w:p>
              </w:tc>
              <w:tc>
                <w:tcPr>
                  <w:tcW w:w="850" w:type="dxa"/>
                  <w:vAlign w:val="center"/>
                </w:tcPr>
                <w:p>
                  <w:pPr>
                    <w:pStyle w:val="42"/>
                  </w:pPr>
                  <w:r>
                    <w:t>1</w:t>
                  </w:r>
                </w:p>
              </w:tc>
              <w:tc>
                <w:tcPr>
                  <w:tcW w:w="1536" w:type="dxa"/>
                  <w:vMerge w:val="continue"/>
                  <w:vAlign w:val="center"/>
                </w:tcPr>
                <w:p>
                  <w:pPr>
                    <w:pStyle w:val="4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719" w:type="dxa"/>
                  <w:vAlign w:val="center"/>
                </w:tcPr>
                <w:p>
                  <w:pPr>
                    <w:pStyle w:val="42"/>
                  </w:pPr>
                  <w:r>
                    <w:rPr>
                      <w:rFonts w:hint="eastAsia"/>
                    </w:rPr>
                    <w:t>9</w:t>
                  </w:r>
                </w:p>
              </w:tc>
              <w:tc>
                <w:tcPr>
                  <w:tcW w:w="1090" w:type="dxa"/>
                  <w:vMerge w:val="continue"/>
                  <w:vAlign w:val="center"/>
                </w:tcPr>
                <w:p>
                  <w:pPr>
                    <w:pStyle w:val="42"/>
                  </w:pPr>
                </w:p>
              </w:tc>
              <w:tc>
                <w:tcPr>
                  <w:tcW w:w="1555" w:type="dxa"/>
                  <w:vAlign w:val="center"/>
                </w:tcPr>
                <w:p>
                  <w:pPr>
                    <w:pStyle w:val="42"/>
                  </w:pPr>
                  <w:r>
                    <w:t>振动筛</w:t>
                  </w:r>
                </w:p>
              </w:tc>
              <w:tc>
                <w:tcPr>
                  <w:tcW w:w="2296" w:type="dxa"/>
                  <w:vAlign w:val="center"/>
                </w:tcPr>
                <w:p>
                  <w:pPr>
                    <w:pStyle w:val="42"/>
                  </w:pPr>
                  <w:r>
                    <w:rPr>
                      <w:color w:val="0000FF"/>
                    </w:rPr>
                    <w:t>3YZS</w:t>
                  </w:r>
                  <w:r>
                    <w:rPr>
                      <w:rFonts w:hint="eastAsia"/>
                      <w:color w:val="0000FF"/>
                    </w:rPr>
                    <w:t>1548、</w:t>
                  </w:r>
                  <w:r>
                    <w:rPr>
                      <w:rFonts w:hint="eastAsia"/>
                    </w:rPr>
                    <w:t>电机功率45kw、</w:t>
                  </w:r>
                  <w:r>
                    <w:rPr>
                      <w:rFonts w:hint="eastAsia"/>
                      <w:color w:val="0000FF"/>
                      <w:szCs w:val="21"/>
                    </w:rPr>
                    <w:t>最大台时产能110</w:t>
                  </w:r>
                  <w:r>
                    <w:rPr>
                      <w:color w:val="0000FF"/>
                      <w:szCs w:val="21"/>
                    </w:rPr>
                    <w:t>t/h</w:t>
                  </w:r>
                </w:p>
              </w:tc>
              <w:tc>
                <w:tcPr>
                  <w:tcW w:w="992" w:type="dxa"/>
                  <w:vAlign w:val="center"/>
                </w:tcPr>
                <w:p>
                  <w:pPr>
                    <w:pStyle w:val="42"/>
                  </w:pPr>
                  <w:r>
                    <w:t>台</w:t>
                  </w:r>
                </w:p>
              </w:tc>
              <w:tc>
                <w:tcPr>
                  <w:tcW w:w="850" w:type="dxa"/>
                  <w:vAlign w:val="center"/>
                </w:tcPr>
                <w:p>
                  <w:pPr>
                    <w:pStyle w:val="42"/>
                  </w:pPr>
                  <w:r>
                    <w:rPr>
                      <w:rFonts w:hint="eastAsia"/>
                    </w:rPr>
                    <w:t>1</w:t>
                  </w:r>
                </w:p>
              </w:tc>
              <w:tc>
                <w:tcPr>
                  <w:tcW w:w="1536" w:type="dxa"/>
                  <w:vMerge w:val="continue"/>
                  <w:vAlign w:val="center"/>
                </w:tcPr>
                <w:p>
                  <w:pPr>
                    <w:pStyle w:val="4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719" w:type="dxa"/>
                  <w:vAlign w:val="center"/>
                </w:tcPr>
                <w:p>
                  <w:pPr>
                    <w:pStyle w:val="42"/>
                  </w:pPr>
                  <w:r>
                    <w:rPr>
                      <w:rFonts w:hint="eastAsia"/>
                    </w:rPr>
                    <w:t>10</w:t>
                  </w:r>
                </w:p>
              </w:tc>
              <w:tc>
                <w:tcPr>
                  <w:tcW w:w="1090" w:type="dxa"/>
                  <w:vAlign w:val="center"/>
                </w:tcPr>
                <w:p>
                  <w:pPr>
                    <w:pStyle w:val="42"/>
                  </w:pPr>
                  <w:r>
                    <w:rPr>
                      <w:rFonts w:hint="eastAsia"/>
                    </w:rPr>
                    <w:t>空压机房设备</w:t>
                  </w:r>
                </w:p>
              </w:tc>
              <w:tc>
                <w:tcPr>
                  <w:tcW w:w="1555" w:type="dxa"/>
                  <w:vAlign w:val="center"/>
                </w:tcPr>
                <w:p>
                  <w:pPr>
                    <w:pStyle w:val="42"/>
                  </w:pPr>
                  <w:r>
                    <w:rPr>
                      <w:rFonts w:hint="eastAsia"/>
                    </w:rPr>
                    <w:t>螺杆式空压机</w:t>
                  </w:r>
                </w:p>
              </w:tc>
              <w:tc>
                <w:tcPr>
                  <w:tcW w:w="2296" w:type="dxa"/>
                  <w:vAlign w:val="center"/>
                </w:tcPr>
                <w:p>
                  <w:pPr>
                    <w:pStyle w:val="42"/>
                  </w:pPr>
                  <w:r>
                    <w:rPr>
                      <w:rFonts w:hint="eastAsia"/>
                    </w:rPr>
                    <w:t>2m</w:t>
                  </w:r>
                  <w:r>
                    <w:rPr>
                      <w:rFonts w:hint="eastAsia"/>
                      <w:vertAlign w:val="superscript"/>
                    </w:rPr>
                    <w:t>3</w:t>
                  </w:r>
                  <w:r>
                    <w:rPr>
                      <w:rFonts w:hint="eastAsia"/>
                    </w:rPr>
                    <w:t>/min，气罐1.5m</w:t>
                  </w:r>
                  <w:r>
                    <w:rPr>
                      <w:rFonts w:hint="eastAsia"/>
                      <w:vertAlign w:val="superscript"/>
                    </w:rPr>
                    <w:t>3</w:t>
                  </w:r>
                </w:p>
              </w:tc>
              <w:tc>
                <w:tcPr>
                  <w:tcW w:w="992" w:type="dxa"/>
                  <w:vAlign w:val="center"/>
                </w:tcPr>
                <w:p>
                  <w:pPr>
                    <w:pStyle w:val="42"/>
                  </w:pPr>
                  <w:r>
                    <w:t>台</w:t>
                  </w:r>
                </w:p>
              </w:tc>
              <w:tc>
                <w:tcPr>
                  <w:tcW w:w="850" w:type="dxa"/>
                  <w:vAlign w:val="center"/>
                </w:tcPr>
                <w:p>
                  <w:pPr>
                    <w:pStyle w:val="42"/>
                  </w:pPr>
                  <w:r>
                    <w:rPr>
                      <w:rFonts w:hint="eastAsia"/>
                    </w:rPr>
                    <w:t>1</w:t>
                  </w:r>
                </w:p>
              </w:tc>
              <w:tc>
                <w:tcPr>
                  <w:tcW w:w="1536" w:type="dxa"/>
                  <w:vAlign w:val="center"/>
                </w:tcPr>
                <w:p>
                  <w:pPr>
                    <w:pStyle w:val="42"/>
                  </w:pPr>
                  <w:r>
                    <w:rPr>
                      <w:rFonts w:hint="eastAsia"/>
                    </w:rPr>
                    <w:t>结构性能良好，拟建项目拟继续使用。</w:t>
                  </w:r>
                </w:p>
              </w:tc>
            </w:tr>
          </w:tbl>
          <w:p>
            <w:pPr>
              <w:adjustRightInd w:val="0"/>
              <w:snapToGrid w:val="0"/>
              <w:spacing w:line="360" w:lineRule="auto"/>
              <w:ind w:firstLine="482" w:firstLineChars="200"/>
              <w:rPr>
                <w:b/>
                <w:kern w:val="0"/>
                <w:sz w:val="24"/>
              </w:rPr>
            </w:pPr>
            <w:r>
              <w:rPr>
                <w:b/>
                <w:kern w:val="0"/>
                <w:sz w:val="24"/>
              </w:rPr>
              <w:t>（</w:t>
            </w:r>
            <w:r>
              <w:rPr>
                <w:rFonts w:hint="eastAsia"/>
                <w:b/>
                <w:kern w:val="0"/>
                <w:sz w:val="24"/>
              </w:rPr>
              <w:t>6</w:t>
            </w:r>
            <w:r>
              <w:rPr>
                <w:b/>
                <w:kern w:val="0"/>
                <w:sz w:val="24"/>
              </w:rPr>
              <w:t>）原项目产品方案</w:t>
            </w:r>
          </w:p>
          <w:p>
            <w:pPr>
              <w:adjustRightInd w:val="0"/>
              <w:snapToGrid w:val="0"/>
              <w:spacing w:line="360" w:lineRule="auto"/>
              <w:ind w:firstLine="480" w:firstLineChars="200"/>
              <w:rPr>
                <w:kern w:val="0"/>
                <w:sz w:val="24"/>
              </w:rPr>
            </w:pPr>
            <w:r>
              <w:rPr>
                <w:kern w:val="0"/>
                <w:sz w:val="24"/>
              </w:rPr>
              <w:t>原有项目产品方案详见表2-</w:t>
            </w:r>
            <w:r>
              <w:rPr>
                <w:rFonts w:hint="eastAsia"/>
                <w:kern w:val="0"/>
                <w:sz w:val="24"/>
              </w:rPr>
              <w:t>5</w:t>
            </w:r>
            <w:r>
              <w:rPr>
                <w:kern w:val="0"/>
                <w:sz w:val="24"/>
              </w:rPr>
              <w:t>。</w:t>
            </w:r>
          </w:p>
          <w:p>
            <w:pPr>
              <w:adjustRightInd w:val="0"/>
              <w:snapToGrid w:val="0"/>
              <w:jc w:val="center"/>
              <w:rPr>
                <w:b/>
                <w:kern w:val="0"/>
                <w:sz w:val="24"/>
              </w:rPr>
            </w:pPr>
            <w:r>
              <w:rPr>
                <w:b/>
                <w:kern w:val="0"/>
                <w:sz w:val="24"/>
              </w:rPr>
              <w:t>表2-</w:t>
            </w:r>
            <w:r>
              <w:rPr>
                <w:rFonts w:hint="eastAsia"/>
                <w:b/>
                <w:kern w:val="0"/>
                <w:sz w:val="24"/>
              </w:rPr>
              <w:t>5</w:t>
            </w:r>
            <w:r>
              <w:rPr>
                <w:b/>
                <w:kern w:val="0"/>
                <w:sz w:val="24"/>
              </w:rPr>
              <w:t xml:space="preserve">  产品方案表</w:t>
            </w:r>
          </w:p>
          <w:tbl>
            <w:tblPr>
              <w:tblStyle w:val="15"/>
              <w:tblW w:w="903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1"/>
              <w:gridCol w:w="1893"/>
              <w:gridCol w:w="2482"/>
              <w:gridCol w:w="32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1411" w:type="dxa"/>
                  <w:vAlign w:val="center"/>
                </w:tcPr>
                <w:p>
                  <w:pPr>
                    <w:pStyle w:val="42"/>
                  </w:pPr>
                  <w:r>
                    <w:t>序号</w:t>
                  </w:r>
                </w:p>
              </w:tc>
              <w:tc>
                <w:tcPr>
                  <w:tcW w:w="1893" w:type="dxa"/>
                  <w:vAlign w:val="center"/>
                </w:tcPr>
                <w:p>
                  <w:pPr>
                    <w:pStyle w:val="42"/>
                  </w:pPr>
                  <w:r>
                    <w:t>产品类型</w:t>
                  </w:r>
                </w:p>
              </w:tc>
              <w:tc>
                <w:tcPr>
                  <w:tcW w:w="2482" w:type="dxa"/>
                  <w:vAlign w:val="center"/>
                </w:tcPr>
                <w:p>
                  <w:pPr>
                    <w:pStyle w:val="42"/>
                  </w:pPr>
                  <w:r>
                    <w:t>规格</w:t>
                  </w:r>
                </w:p>
              </w:tc>
              <w:tc>
                <w:tcPr>
                  <w:tcW w:w="3252" w:type="dxa"/>
                  <w:vAlign w:val="center"/>
                </w:tcPr>
                <w:p>
                  <w:pPr>
                    <w:pStyle w:val="42"/>
                  </w:pPr>
                  <w:r>
                    <w:t>产量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1411" w:type="dxa"/>
                  <w:vAlign w:val="center"/>
                </w:tcPr>
                <w:p>
                  <w:pPr>
                    <w:pStyle w:val="42"/>
                  </w:pPr>
                  <w:r>
                    <w:t>1</w:t>
                  </w:r>
                </w:p>
              </w:tc>
              <w:tc>
                <w:tcPr>
                  <w:tcW w:w="1893" w:type="dxa"/>
                  <w:vAlign w:val="center"/>
                </w:tcPr>
                <w:p>
                  <w:pPr>
                    <w:pStyle w:val="42"/>
                  </w:pPr>
                  <w:r>
                    <w:rPr>
                      <w:rFonts w:hint="eastAsia" w:ascii="宋体" w:hAnsi="宋体" w:cs="宋体"/>
                      <w:snapToGrid w:val="0"/>
                      <w:spacing w:val="4"/>
                      <w:kern w:val="0"/>
                      <w:szCs w:val="21"/>
                    </w:rPr>
                    <w:t>粗</w:t>
                  </w:r>
                  <w:r>
                    <w:rPr>
                      <w:rFonts w:hint="eastAsia"/>
                      <w:szCs w:val="21"/>
                    </w:rPr>
                    <w:t>砂</w:t>
                  </w:r>
                </w:p>
              </w:tc>
              <w:tc>
                <w:tcPr>
                  <w:tcW w:w="2482" w:type="dxa"/>
                  <w:vAlign w:val="center"/>
                </w:tcPr>
                <w:p>
                  <w:pPr>
                    <w:pStyle w:val="42"/>
                  </w:pPr>
                  <w:r>
                    <w:rPr>
                      <w:rFonts w:hint="eastAsia"/>
                    </w:rPr>
                    <w:t>0～3</w:t>
                  </w:r>
                  <w:r>
                    <w:t>mm</w:t>
                  </w:r>
                </w:p>
              </w:tc>
              <w:tc>
                <w:tcPr>
                  <w:tcW w:w="3252" w:type="dxa"/>
                  <w:vAlign w:val="center"/>
                </w:tcPr>
                <w:p>
                  <w:pPr>
                    <w:pStyle w:val="42"/>
                  </w:pPr>
                  <w:r>
                    <w:rPr>
                      <w:rFonts w:hint="eastAsia"/>
                    </w:rPr>
                    <w:t>2</w:t>
                  </w:r>
                  <w:r>
                    <w:t>万</w:t>
                  </w:r>
                  <w:r>
                    <w:rPr>
                      <w:rFonts w:hint="eastAsia"/>
                    </w:rPr>
                    <w:t>t</w:t>
                  </w:r>
                  <w:r>
                    <w:t>/</w:t>
                  </w:r>
                  <w:r>
                    <w:rPr>
                      <w:rFonts w:hint="eastAsia"/>
                    </w:rPr>
                    <w: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1411" w:type="dxa"/>
                  <w:vAlign w:val="center"/>
                </w:tcPr>
                <w:p>
                  <w:pPr>
                    <w:pStyle w:val="42"/>
                  </w:pPr>
                  <w:r>
                    <w:t>2</w:t>
                  </w:r>
                </w:p>
              </w:tc>
              <w:tc>
                <w:tcPr>
                  <w:tcW w:w="1893" w:type="dxa"/>
                  <w:vAlign w:val="center"/>
                </w:tcPr>
                <w:p>
                  <w:pPr>
                    <w:pStyle w:val="42"/>
                  </w:pPr>
                  <w:r>
                    <w:rPr>
                      <w:rFonts w:hint="eastAsia"/>
                    </w:rPr>
                    <w:t>中粗</w:t>
                  </w:r>
                  <w:r>
                    <w:rPr>
                      <w:rFonts w:hint="eastAsia"/>
                      <w:szCs w:val="21"/>
                    </w:rPr>
                    <w:t>砂</w:t>
                  </w:r>
                </w:p>
              </w:tc>
              <w:tc>
                <w:tcPr>
                  <w:tcW w:w="2482" w:type="dxa"/>
                  <w:vAlign w:val="center"/>
                </w:tcPr>
                <w:p>
                  <w:pPr>
                    <w:pStyle w:val="42"/>
                  </w:pPr>
                  <w:r>
                    <w:rPr>
                      <w:rFonts w:hint="eastAsia"/>
                    </w:rPr>
                    <w:t>3～5</w:t>
                  </w:r>
                  <w:r>
                    <w:t>mm</w:t>
                  </w:r>
                </w:p>
              </w:tc>
              <w:tc>
                <w:tcPr>
                  <w:tcW w:w="3252" w:type="dxa"/>
                  <w:vAlign w:val="center"/>
                </w:tcPr>
                <w:p>
                  <w:pPr>
                    <w:pStyle w:val="42"/>
                  </w:pPr>
                  <w:r>
                    <w:rPr>
                      <w:rFonts w:hint="eastAsia"/>
                    </w:rPr>
                    <w:t>4</w:t>
                  </w:r>
                  <w:r>
                    <w:t>万</w:t>
                  </w:r>
                  <w:r>
                    <w:rPr>
                      <w:rFonts w:hint="eastAsia"/>
                    </w:rPr>
                    <w:t>t</w:t>
                  </w:r>
                  <w:r>
                    <w:t>/</w:t>
                  </w:r>
                  <w:r>
                    <w:rPr>
                      <w:rFonts w:hint="eastAsia"/>
                    </w:rPr>
                    <w: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1411" w:type="dxa"/>
                  <w:vAlign w:val="center"/>
                </w:tcPr>
                <w:p>
                  <w:pPr>
                    <w:pStyle w:val="42"/>
                  </w:pPr>
                  <w:r>
                    <w:t>3</w:t>
                  </w:r>
                </w:p>
              </w:tc>
              <w:tc>
                <w:tcPr>
                  <w:tcW w:w="1893" w:type="dxa"/>
                  <w:vAlign w:val="center"/>
                </w:tcPr>
                <w:p>
                  <w:pPr>
                    <w:pStyle w:val="42"/>
                  </w:pPr>
                  <w:r>
                    <w:t>石子</w:t>
                  </w:r>
                </w:p>
              </w:tc>
              <w:tc>
                <w:tcPr>
                  <w:tcW w:w="2482" w:type="dxa"/>
                  <w:vAlign w:val="center"/>
                </w:tcPr>
                <w:p>
                  <w:pPr>
                    <w:pStyle w:val="42"/>
                  </w:pPr>
                  <w:r>
                    <w:rPr>
                      <w:rFonts w:hint="eastAsia"/>
                    </w:rPr>
                    <w:t>5～31.5</w:t>
                  </w:r>
                  <w:r>
                    <w:t>mm</w:t>
                  </w:r>
                </w:p>
              </w:tc>
              <w:tc>
                <w:tcPr>
                  <w:tcW w:w="3252" w:type="dxa"/>
                  <w:vAlign w:val="center"/>
                </w:tcPr>
                <w:p>
                  <w:pPr>
                    <w:pStyle w:val="42"/>
                  </w:pPr>
                  <w:r>
                    <w:rPr>
                      <w:rFonts w:hint="eastAsia"/>
                    </w:rPr>
                    <w:t>14</w:t>
                  </w:r>
                  <w:r>
                    <w:t>万</w:t>
                  </w:r>
                  <w:r>
                    <w:rPr>
                      <w:rFonts w:hint="eastAsia"/>
                    </w:rPr>
                    <w:t>t</w:t>
                  </w:r>
                  <w:r>
                    <w:t>/</w:t>
                  </w:r>
                  <w:r>
                    <w:rPr>
                      <w:rFonts w:hint="eastAsia"/>
                    </w:rPr>
                    <w: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1411" w:type="dxa"/>
                  <w:vAlign w:val="center"/>
                </w:tcPr>
                <w:p>
                  <w:pPr>
                    <w:pStyle w:val="42"/>
                  </w:pPr>
                  <w:r>
                    <w:t>合计</w:t>
                  </w:r>
                </w:p>
              </w:tc>
              <w:tc>
                <w:tcPr>
                  <w:tcW w:w="1893" w:type="dxa"/>
                  <w:vAlign w:val="center"/>
                </w:tcPr>
                <w:p>
                  <w:pPr>
                    <w:pStyle w:val="42"/>
                  </w:pPr>
                  <w:r>
                    <w:t>/</w:t>
                  </w:r>
                </w:p>
              </w:tc>
              <w:tc>
                <w:tcPr>
                  <w:tcW w:w="2482" w:type="dxa"/>
                  <w:vAlign w:val="center"/>
                </w:tcPr>
                <w:p>
                  <w:pPr>
                    <w:pStyle w:val="42"/>
                  </w:pPr>
                  <w:r>
                    <w:t>/</w:t>
                  </w:r>
                </w:p>
              </w:tc>
              <w:tc>
                <w:tcPr>
                  <w:tcW w:w="3252" w:type="dxa"/>
                  <w:vAlign w:val="center"/>
                </w:tcPr>
                <w:p>
                  <w:pPr>
                    <w:pStyle w:val="42"/>
                  </w:pPr>
                  <w:r>
                    <w:rPr>
                      <w:rFonts w:hint="eastAsia"/>
                    </w:rPr>
                    <w:t>20</w:t>
                  </w:r>
                  <w:r>
                    <w:t>万</w:t>
                  </w:r>
                  <w:r>
                    <w:rPr>
                      <w:rFonts w:hint="eastAsia"/>
                    </w:rPr>
                    <w:t>t</w:t>
                  </w:r>
                  <w:r>
                    <w:t>/</w:t>
                  </w:r>
                  <w:r>
                    <w:rPr>
                      <w:rFonts w:hint="eastAsia"/>
                    </w:rPr>
                    <w:t>a</w:t>
                  </w:r>
                </w:p>
              </w:tc>
            </w:tr>
          </w:tbl>
          <w:p>
            <w:pPr>
              <w:adjustRightInd w:val="0"/>
              <w:snapToGrid w:val="0"/>
              <w:spacing w:line="360" w:lineRule="auto"/>
              <w:ind w:firstLine="482" w:firstLineChars="200"/>
              <w:rPr>
                <w:b/>
                <w:kern w:val="0"/>
                <w:sz w:val="24"/>
              </w:rPr>
            </w:pPr>
            <w:r>
              <w:rPr>
                <w:rFonts w:hint="eastAsia"/>
                <w:b/>
                <w:kern w:val="0"/>
                <w:sz w:val="24"/>
              </w:rPr>
              <w:t>（7</w:t>
            </w:r>
            <w:r>
              <w:rPr>
                <w:b/>
                <w:kern w:val="0"/>
                <w:sz w:val="24"/>
              </w:rPr>
              <w:t>）原项目</w:t>
            </w:r>
            <w:r>
              <w:rPr>
                <w:rFonts w:hint="eastAsia"/>
                <w:b/>
                <w:kern w:val="0"/>
                <w:sz w:val="24"/>
              </w:rPr>
              <w:t>生产工艺流程</w:t>
            </w:r>
          </w:p>
          <w:p>
            <w:pPr>
              <w:adjustRightInd w:val="0"/>
              <w:snapToGrid w:val="0"/>
              <w:spacing w:line="360" w:lineRule="auto"/>
              <w:ind w:firstLine="480" w:firstLineChars="200"/>
              <w:rPr>
                <w:bCs/>
                <w:sz w:val="24"/>
              </w:rPr>
            </w:pPr>
            <w:r>
              <w:rPr>
                <w:rFonts w:hint="eastAsia"/>
                <w:bCs/>
                <w:sz w:val="24"/>
              </w:rPr>
              <w:t>原项目采区开采工艺、工业广场碎石加工工艺分别见图2-1、图2-2。</w:t>
            </w:r>
          </w:p>
          <w:p>
            <w:pPr>
              <w:adjustRightInd w:val="0"/>
              <w:snapToGrid w:val="0"/>
              <w:spacing w:line="360" w:lineRule="auto"/>
              <w:ind w:firstLine="480" w:firstLineChars="200"/>
              <w:rPr>
                <w:bCs/>
                <w:sz w:val="24"/>
              </w:rPr>
            </w:pPr>
            <w:r>
              <w:rPr>
                <w:rFonts w:hint="eastAsia"/>
                <w:bCs/>
                <w:sz w:val="24"/>
              </w:rPr>
              <w:t>①采区矿石开采工艺</w:t>
            </w:r>
          </w:p>
          <w:p>
            <w:pPr>
              <w:adjustRightInd w:val="0"/>
              <w:snapToGrid w:val="0"/>
              <w:spacing w:line="360" w:lineRule="auto"/>
              <w:jc w:val="center"/>
              <w:rPr>
                <w:bCs/>
                <w:sz w:val="24"/>
              </w:rPr>
            </w:pPr>
            <w:r>
              <w:object>
                <v:shape id="_x0000_i1025" o:spt="75" type="#_x0000_t75" style="height:217.6pt;width:261.15pt;" o:ole="t" filled="f" o:preferrelative="t" stroked="f" coordsize="21600,21600">
                  <v:path/>
                  <v:fill on="f" focussize="0,0"/>
                  <v:stroke on="f" joinstyle="miter"/>
                  <v:imagedata r:id="rId7" o:title=""/>
                  <o:lock v:ext="edit" aspectratio="t"/>
                  <w10:wrap type="none"/>
                  <w10:anchorlock/>
                </v:shape>
                <o:OLEObject Type="Embed" ProgID="Visio.Drawing.15" ShapeID="_x0000_i1025" DrawAspect="Content" ObjectID="_1468075725" r:id="rId6">
                  <o:LockedField>false</o:LockedField>
                </o:OLEObject>
              </w:object>
            </w:r>
          </w:p>
          <w:p>
            <w:pPr>
              <w:adjustRightInd w:val="0"/>
              <w:snapToGrid w:val="0"/>
              <w:spacing w:line="360" w:lineRule="auto"/>
              <w:jc w:val="center"/>
              <w:rPr>
                <w:b/>
                <w:kern w:val="0"/>
                <w:sz w:val="24"/>
              </w:rPr>
            </w:pPr>
            <w:r>
              <w:rPr>
                <w:b/>
                <w:kern w:val="0"/>
                <w:sz w:val="24"/>
              </w:rPr>
              <w:t>图</w:t>
            </w:r>
            <w:r>
              <w:rPr>
                <w:rFonts w:hint="eastAsia"/>
                <w:b/>
                <w:kern w:val="0"/>
                <w:sz w:val="24"/>
              </w:rPr>
              <w:t>2-1</w:t>
            </w:r>
            <w:r>
              <w:rPr>
                <w:b/>
                <w:kern w:val="0"/>
                <w:sz w:val="24"/>
              </w:rPr>
              <w:t xml:space="preserve">  原项目采区采矿工艺及产污流程图</w:t>
            </w:r>
          </w:p>
          <w:p>
            <w:pPr>
              <w:adjustRightInd w:val="0"/>
              <w:snapToGrid w:val="0"/>
              <w:spacing w:line="360" w:lineRule="auto"/>
              <w:ind w:firstLine="480" w:firstLineChars="200"/>
              <w:rPr>
                <w:bCs/>
                <w:sz w:val="24"/>
              </w:rPr>
            </w:pPr>
            <w:r>
              <w:rPr>
                <w:rFonts w:hint="eastAsia" w:ascii="宋体" w:hAnsi="宋体" w:cs="宋体"/>
                <w:kern w:val="0"/>
                <w:sz w:val="24"/>
              </w:rPr>
              <w:t>②</w:t>
            </w:r>
            <w:r>
              <w:rPr>
                <w:kern w:val="0"/>
                <w:sz w:val="24"/>
              </w:rPr>
              <w:t>工业广场碎石加工工艺</w:t>
            </w:r>
          </w:p>
          <w:p>
            <w:pPr>
              <w:adjustRightInd w:val="0"/>
              <w:snapToGrid w:val="0"/>
              <w:spacing w:line="360" w:lineRule="auto"/>
              <w:jc w:val="center"/>
              <w:rPr>
                <w:bCs/>
                <w:sz w:val="24"/>
              </w:rPr>
            </w:pPr>
            <w:r>
              <w:rPr>
                <w:rFonts w:hint="eastAsia"/>
              </w:rPr>
              <w:object>
                <v:shape id="_x0000_i1026" o:spt="75" type="#_x0000_t75" style="height:387.4pt;width:390.65pt;" o:ole="t" filled="f" o:preferrelative="t" stroked="f" coordsize="21600,21600">
                  <v:path/>
                  <v:fill on="f" focussize="0,0"/>
                  <v:stroke on="f" joinstyle="miter"/>
                  <v:imagedata r:id="rId9" o:title=""/>
                  <o:lock v:ext="edit" aspectratio="t"/>
                  <w10:wrap type="none"/>
                  <w10:anchorlock/>
                </v:shape>
                <o:OLEObject Type="Embed" ProgID="Visio.Drawing.15" ShapeID="_x0000_i1026" DrawAspect="Content" ObjectID="_1468075726" r:id="rId8">
                  <o:LockedField>false</o:LockedField>
                </o:OLEObject>
              </w:object>
            </w:r>
          </w:p>
          <w:p>
            <w:pPr>
              <w:adjustRightInd w:val="0"/>
              <w:snapToGrid w:val="0"/>
              <w:spacing w:line="360" w:lineRule="auto"/>
              <w:jc w:val="center"/>
              <w:rPr>
                <w:kern w:val="0"/>
                <w:sz w:val="24"/>
              </w:rPr>
            </w:pPr>
            <w:r>
              <w:rPr>
                <w:b/>
                <w:kern w:val="0"/>
                <w:sz w:val="24"/>
              </w:rPr>
              <w:t>图</w:t>
            </w:r>
            <w:r>
              <w:rPr>
                <w:rFonts w:hint="eastAsia"/>
                <w:b/>
                <w:kern w:val="0"/>
                <w:sz w:val="24"/>
              </w:rPr>
              <w:t>2-2</w:t>
            </w:r>
            <w:r>
              <w:rPr>
                <w:b/>
                <w:kern w:val="0"/>
                <w:sz w:val="24"/>
              </w:rPr>
              <w:t xml:space="preserve">  原项目工业广场碎石加工工艺及产污流程图</w:t>
            </w:r>
          </w:p>
          <w:p>
            <w:pPr>
              <w:adjustRightInd w:val="0"/>
              <w:snapToGrid w:val="0"/>
              <w:spacing w:line="360" w:lineRule="auto"/>
              <w:ind w:firstLine="562" w:firstLineChars="200"/>
              <w:rPr>
                <w:b/>
                <w:kern w:val="0"/>
                <w:sz w:val="28"/>
                <w:szCs w:val="28"/>
              </w:rPr>
            </w:pPr>
            <w:r>
              <w:rPr>
                <w:b/>
                <w:kern w:val="0"/>
                <w:sz w:val="28"/>
                <w:szCs w:val="28"/>
              </w:rPr>
              <w:t>2.</w:t>
            </w:r>
            <w:r>
              <w:rPr>
                <w:rFonts w:hint="eastAsia"/>
                <w:b/>
                <w:kern w:val="0"/>
                <w:sz w:val="28"/>
                <w:szCs w:val="28"/>
              </w:rPr>
              <w:t>3</w:t>
            </w:r>
            <w:r>
              <w:rPr>
                <w:b/>
                <w:kern w:val="0"/>
                <w:sz w:val="28"/>
                <w:szCs w:val="28"/>
              </w:rPr>
              <w:t>、</w:t>
            </w:r>
            <w:r>
              <w:rPr>
                <w:rFonts w:hint="eastAsia"/>
                <w:b/>
                <w:kern w:val="0"/>
                <w:sz w:val="28"/>
                <w:szCs w:val="28"/>
              </w:rPr>
              <w:t>拟建项目工程</w:t>
            </w:r>
            <w:r>
              <w:rPr>
                <w:b/>
                <w:kern w:val="0"/>
                <w:sz w:val="28"/>
                <w:szCs w:val="28"/>
              </w:rPr>
              <w:t>概况</w:t>
            </w:r>
          </w:p>
          <w:p>
            <w:pPr>
              <w:adjustRightInd w:val="0"/>
              <w:snapToGrid w:val="0"/>
              <w:spacing w:line="360" w:lineRule="auto"/>
              <w:ind w:firstLine="482" w:firstLineChars="200"/>
              <w:rPr>
                <w:b/>
                <w:kern w:val="0"/>
                <w:sz w:val="24"/>
              </w:rPr>
            </w:pPr>
            <w:r>
              <w:rPr>
                <w:b/>
                <w:kern w:val="0"/>
                <w:sz w:val="24"/>
              </w:rPr>
              <w:t>（1）拟建项目基本情况</w:t>
            </w:r>
          </w:p>
          <w:p>
            <w:pPr>
              <w:adjustRightInd w:val="0"/>
              <w:snapToGrid w:val="0"/>
              <w:spacing w:line="360" w:lineRule="auto"/>
              <w:ind w:firstLine="480" w:firstLineChars="200"/>
              <w:rPr>
                <w:kern w:val="0"/>
                <w:sz w:val="24"/>
              </w:rPr>
            </w:pPr>
            <w:r>
              <w:rPr>
                <w:kern w:val="0"/>
                <w:sz w:val="24"/>
              </w:rPr>
              <w:t>项目名称：酉阳县陆合矿业有限责任公司双泉乡大堡坡采石场扩建项目（补）。</w:t>
            </w:r>
          </w:p>
          <w:p>
            <w:pPr>
              <w:adjustRightInd w:val="0"/>
              <w:snapToGrid w:val="0"/>
              <w:spacing w:line="360" w:lineRule="auto"/>
              <w:ind w:firstLine="480" w:firstLineChars="200"/>
              <w:rPr>
                <w:kern w:val="0"/>
                <w:sz w:val="24"/>
              </w:rPr>
            </w:pPr>
            <w:r>
              <w:rPr>
                <w:kern w:val="0"/>
                <w:sz w:val="24"/>
              </w:rPr>
              <w:t>建设单位：酉阳县陆合矿业有限责任公司。</w:t>
            </w:r>
          </w:p>
          <w:p>
            <w:pPr>
              <w:adjustRightInd w:val="0"/>
              <w:snapToGrid w:val="0"/>
              <w:spacing w:line="360" w:lineRule="auto"/>
              <w:ind w:firstLine="480" w:firstLineChars="200"/>
              <w:rPr>
                <w:kern w:val="0"/>
                <w:sz w:val="24"/>
              </w:rPr>
            </w:pPr>
            <w:r>
              <w:rPr>
                <w:kern w:val="0"/>
                <w:sz w:val="24"/>
              </w:rPr>
              <w:t>项目性质：扩建。</w:t>
            </w:r>
          </w:p>
          <w:p>
            <w:pPr>
              <w:adjustRightInd w:val="0"/>
              <w:snapToGrid w:val="0"/>
              <w:spacing w:line="360" w:lineRule="auto"/>
              <w:ind w:firstLine="480" w:firstLineChars="200"/>
              <w:rPr>
                <w:kern w:val="0"/>
                <w:sz w:val="24"/>
              </w:rPr>
            </w:pPr>
            <w:r>
              <w:rPr>
                <w:kern w:val="0"/>
                <w:sz w:val="24"/>
              </w:rPr>
              <w:t>建设地点：重庆市酉阳土家族苗族自治县双泉乡永祥村一组。</w:t>
            </w:r>
          </w:p>
          <w:p>
            <w:pPr>
              <w:adjustRightInd w:val="0"/>
              <w:snapToGrid w:val="0"/>
              <w:spacing w:line="360" w:lineRule="auto"/>
              <w:ind w:firstLine="480" w:firstLineChars="200"/>
              <w:rPr>
                <w:kern w:val="0"/>
                <w:sz w:val="24"/>
              </w:rPr>
            </w:pPr>
            <w:r>
              <w:rPr>
                <w:rFonts w:hint="eastAsia"/>
                <w:kern w:val="0"/>
                <w:sz w:val="24"/>
              </w:rPr>
              <w:t>占地</w:t>
            </w:r>
            <w:r>
              <w:rPr>
                <w:kern w:val="0"/>
                <w:sz w:val="24"/>
              </w:rPr>
              <w:t>面积：</w:t>
            </w:r>
            <w:r>
              <w:rPr>
                <w:rFonts w:hint="eastAsia"/>
                <w:kern w:val="0"/>
                <w:sz w:val="24"/>
              </w:rPr>
              <w:t>总占地面积</w:t>
            </w:r>
            <w:r>
              <w:rPr>
                <w:kern w:val="0"/>
                <w:sz w:val="24"/>
              </w:rPr>
              <w:t>6.9742</w:t>
            </w:r>
            <w:r>
              <w:rPr>
                <w:rFonts w:hint="eastAsia"/>
                <w:kern w:val="0"/>
                <w:sz w:val="24"/>
              </w:rPr>
              <w:t>hm</w:t>
            </w:r>
            <w:r>
              <w:rPr>
                <w:rFonts w:hint="eastAsia"/>
                <w:kern w:val="0"/>
                <w:sz w:val="24"/>
                <w:vertAlign w:val="superscript"/>
              </w:rPr>
              <w:t>2</w:t>
            </w:r>
            <w:r>
              <w:rPr>
                <w:rFonts w:hint="eastAsia"/>
                <w:kern w:val="0"/>
                <w:sz w:val="24"/>
              </w:rPr>
              <w:t>（其中：矿区</w:t>
            </w:r>
            <w:r>
              <w:rPr>
                <w:kern w:val="0"/>
                <w:sz w:val="24"/>
              </w:rPr>
              <w:t>4.3620hm</w:t>
            </w:r>
            <w:r>
              <w:rPr>
                <w:kern w:val="0"/>
                <w:sz w:val="24"/>
                <w:vertAlign w:val="superscript"/>
              </w:rPr>
              <w:t>2</w:t>
            </w:r>
            <w:r>
              <w:rPr>
                <w:rFonts w:hint="eastAsia"/>
                <w:kern w:val="0"/>
                <w:sz w:val="24"/>
              </w:rPr>
              <w:t>、工业广场0.</w:t>
            </w:r>
            <w:r>
              <w:rPr>
                <w:kern w:val="0"/>
                <w:sz w:val="24"/>
              </w:rPr>
              <w:t>704hm</w:t>
            </w:r>
            <w:r>
              <w:rPr>
                <w:kern w:val="0"/>
                <w:sz w:val="24"/>
                <w:vertAlign w:val="superscript"/>
              </w:rPr>
              <w:t>2</w:t>
            </w:r>
            <w:r>
              <w:rPr>
                <w:rFonts w:hint="eastAsia"/>
                <w:kern w:val="0"/>
                <w:sz w:val="24"/>
              </w:rPr>
              <w:t>）。</w:t>
            </w:r>
          </w:p>
          <w:p>
            <w:pPr>
              <w:adjustRightInd w:val="0"/>
              <w:snapToGrid w:val="0"/>
              <w:spacing w:line="360" w:lineRule="auto"/>
              <w:ind w:firstLine="480" w:firstLineChars="200"/>
              <w:rPr>
                <w:kern w:val="0"/>
                <w:sz w:val="24"/>
              </w:rPr>
            </w:pPr>
            <w:r>
              <w:rPr>
                <w:kern w:val="0"/>
                <w:sz w:val="24"/>
              </w:rPr>
              <w:t>建设规模：采区</w:t>
            </w:r>
            <w:r>
              <w:rPr>
                <w:rFonts w:hint="eastAsia"/>
                <w:color w:val="0000FF"/>
                <w:kern w:val="0"/>
                <w:sz w:val="24"/>
              </w:rPr>
              <w:t>建筑石料用</w:t>
            </w:r>
            <w:r>
              <w:rPr>
                <w:kern w:val="0"/>
                <w:sz w:val="24"/>
              </w:rPr>
              <w:t>灰岩开采规模51万t/a、工业广场</w:t>
            </w:r>
            <w:r>
              <w:rPr>
                <w:rFonts w:hint="eastAsia"/>
                <w:color w:val="0000FF"/>
                <w:kern w:val="0"/>
                <w:sz w:val="24"/>
              </w:rPr>
              <w:t>建筑石料</w:t>
            </w:r>
            <w:r>
              <w:rPr>
                <w:rFonts w:hint="eastAsia"/>
                <w:kern w:val="0"/>
                <w:sz w:val="24"/>
              </w:rPr>
              <w:t>加工规模</w:t>
            </w:r>
            <w:r>
              <w:rPr>
                <w:kern w:val="0"/>
                <w:sz w:val="24"/>
              </w:rPr>
              <w:t>51万t/a。</w:t>
            </w:r>
          </w:p>
          <w:p>
            <w:pPr>
              <w:adjustRightInd w:val="0"/>
              <w:snapToGrid w:val="0"/>
              <w:spacing w:line="360" w:lineRule="auto"/>
              <w:ind w:firstLine="480" w:firstLineChars="200"/>
              <w:rPr>
                <w:kern w:val="0"/>
                <w:sz w:val="24"/>
              </w:rPr>
            </w:pPr>
            <w:r>
              <w:rPr>
                <w:kern w:val="0"/>
                <w:sz w:val="24"/>
              </w:rPr>
              <w:t>矿石储量：采区内可采储量为138.9万t。</w:t>
            </w:r>
          </w:p>
          <w:p>
            <w:pPr>
              <w:adjustRightInd w:val="0"/>
              <w:snapToGrid w:val="0"/>
              <w:spacing w:line="360" w:lineRule="auto"/>
              <w:ind w:firstLine="480" w:firstLineChars="200"/>
              <w:rPr>
                <w:kern w:val="0"/>
                <w:sz w:val="24"/>
              </w:rPr>
            </w:pPr>
            <w:r>
              <w:rPr>
                <w:kern w:val="0"/>
                <w:sz w:val="24"/>
              </w:rPr>
              <w:t>开采方式：露天开采，公路开拓运输，爆破落矿。</w:t>
            </w:r>
          </w:p>
          <w:p>
            <w:pPr>
              <w:adjustRightInd w:val="0"/>
              <w:snapToGrid w:val="0"/>
              <w:spacing w:line="360" w:lineRule="auto"/>
              <w:ind w:firstLine="480" w:firstLineChars="200"/>
              <w:rPr>
                <w:kern w:val="0"/>
                <w:sz w:val="24"/>
              </w:rPr>
            </w:pPr>
            <w:r>
              <w:rPr>
                <w:kern w:val="0"/>
                <w:sz w:val="24"/>
              </w:rPr>
              <w:t>服务年限：</w:t>
            </w:r>
            <w:r>
              <w:rPr>
                <w:rFonts w:hint="eastAsia"/>
                <w:kern w:val="0"/>
                <w:sz w:val="24"/>
              </w:rPr>
              <w:t>2.7a</w:t>
            </w:r>
            <w:r>
              <w:rPr>
                <w:kern w:val="0"/>
                <w:sz w:val="24"/>
              </w:rPr>
              <w:t>。</w:t>
            </w:r>
          </w:p>
          <w:p>
            <w:pPr>
              <w:adjustRightInd w:val="0"/>
              <w:snapToGrid w:val="0"/>
              <w:spacing w:line="360" w:lineRule="auto"/>
              <w:ind w:firstLine="480" w:firstLineChars="200"/>
              <w:rPr>
                <w:kern w:val="0"/>
                <w:sz w:val="24"/>
              </w:rPr>
            </w:pPr>
            <w:r>
              <w:rPr>
                <w:kern w:val="0"/>
                <w:sz w:val="24"/>
              </w:rPr>
              <w:t>产品方案：</w:t>
            </w:r>
            <w:r>
              <w:rPr>
                <w:rFonts w:hint="eastAsia"/>
                <w:color w:val="0000FF"/>
                <w:kern w:val="0"/>
                <w:sz w:val="24"/>
              </w:rPr>
              <w:t>建筑用砂碎石（粗砂、中粗砂、石子）（证载矿种水泥用灰岩、实际用途为建筑石料用灰岩）</w:t>
            </w:r>
            <w:r>
              <w:rPr>
                <w:kern w:val="0"/>
                <w:sz w:val="24"/>
              </w:rPr>
              <w:t>。</w:t>
            </w:r>
          </w:p>
          <w:p>
            <w:pPr>
              <w:adjustRightInd w:val="0"/>
              <w:snapToGrid w:val="0"/>
              <w:spacing w:line="360" w:lineRule="auto"/>
              <w:ind w:firstLine="480" w:firstLineChars="200"/>
              <w:rPr>
                <w:kern w:val="0"/>
                <w:sz w:val="24"/>
              </w:rPr>
            </w:pPr>
            <w:r>
              <w:rPr>
                <w:kern w:val="0"/>
                <w:sz w:val="24"/>
              </w:rPr>
              <w:t>工程投资：项目工程总投资2500万元，其中环保投资180万元，占总投资的7.20%。</w:t>
            </w:r>
          </w:p>
          <w:p>
            <w:pPr>
              <w:adjustRightInd w:val="0"/>
              <w:snapToGrid w:val="0"/>
              <w:spacing w:line="360" w:lineRule="auto"/>
              <w:ind w:firstLine="480" w:firstLineChars="200"/>
              <w:rPr>
                <w:kern w:val="0"/>
                <w:sz w:val="24"/>
              </w:rPr>
            </w:pPr>
            <w:r>
              <w:rPr>
                <w:kern w:val="0"/>
                <w:sz w:val="24"/>
              </w:rPr>
              <w:t>施工工期：</w:t>
            </w:r>
            <w:r>
              <w:rPr>
                <w:rFonts w:hint="eastAsia"/>
                <w:kern w:val="0"/>
                <w:sz w:val="24"/>
              </w:rPr>
              <w:t>6</w:t>
            </w:r>
            <w:r>
              <w:rPr>
                <w:kern w:val="0"/>
                <w:sz w:val="24"/>
              </w:rPr>
              <w:t>个月。</w:t>
            </w:r>
          </w:p>
          <w:p>
            <w:pPr>
              <w:adjustRightInd w:val="0"/>
              <w:snapToGrid w:val="0"/>
              <w:spacing w:line="360" w:lineRule="auto"/>
              <w:ind w:firstLine="482" w:firstLineChars="200"/>
              <w:rPr>
                <w:b/>
                <w:kern w:val="0"/>
                <w:sz w:val="24"/>
              </w:rPr>
            </w:pPr>
            <w:r>
              <w:rPr>
                <w:b/>
                <w:kern w:val="0"/>
                <w:sz w:val="24"/>
              </w:rPr>
              <w:t>（2）拟建项目开采范围及资源概况</w:t>
            </w:r>
          </w:p>
          <w:p>
            <w:pPr>
              <w:adjustRightInd w:val="0"/>
              <w:snapToGrid w:val="0"/>
              <w:spacing w:line="360" w:lineRule="auto"/>
              <w:ind w:firstLine="482" w:firstLineChars="200"/>
              <w:rPr>
                <w:b/>
                <w:kern w:val="0"/>
                <w:sz w:val="24"/>
              </w:rPr>
            </w:pPr>
            <w:r>
              <w:rPr>
                <w:b/>
                <w:kern w:val="0"/>
                <w:sz w:val="24"/>
              </w:rPr>
              <w:t>1）矿区（采区）范围</w:t>
            </w:r>
          </w:p>
          <w:p>
            <w:pPr>
              <w:adjustRightInd w:val="0"/>
              <w:snapToGrid w:val="0"/>
              <w:spacing w:line="360" w:lineRule="auto"/>
              <w:ind w:firstLine="480" w:firstLineChars="200"/>
              <w:rPr>
                <w:kern w:val="0"/>
                <w:sz w:val="24"/>
              </w:rPr>
            </w:pPr>
            <w:r>
              <w:rPr>
                <w:kern w:val="0"/>
                <w:sz w:val="24"/>
              </w:rPr>
              <w:t>根据</w:t>
            </w:r>
            <w:r>
              <w:rPr>
                <w:rFonts w:ascii="宋体" w:hAnsi="宋体"/>
                <w:kern w:val="0"/>
                <w:sz w:val="24"/>
              </w:rPr>
              <w:t>“开发利用方案”</w:t>
            </w:r>
            <w:r>
              <w:rPr>
                <w:kern w:val="0"/>
                <w:sz w:val="24"/>
              </w:rPr>
              <w:t>，拟建项目</w:t>
            </w:r>
            <w:r>
              <w:rPr>
                <w:rFonts w:hint="eastAsia"/>
                <w:kern w:val="0"/>
                <w:sz w:val="24"/>
              </w:rPr>
              <w:t>矿区范围与原项目保持一致，</w:t>
            </w:r>
            <w:r>
              <w:rPr>
                <w:kern w:val="0"/>
                <w:sz w:val="24"/>
              </w:rPr>
              <w:t>矿区范围由</w:t>
            </w:r>
            <w:r>
              <w:rPr>
                <w:rFonts w:hint="eastAsia"/>
                <w:kern w:val="0"/>
                <w:sz w:val="24"/>
              </w:rPr>
              <w:t>7</w:t>
            </w:r>
            <w:r>
              <w:rPr>
                <w:kern w:val="0"/>
                <w:sz w:val="24"/>
              </w:rPr>
              <w:t>个拐点圈闭，</w:t>
            </w:r>
            <w:r>
              <w:rPr>
                <w:rFonts w:hint="eastAsia"/>
                <w:kern w:val="0"/>
                <w:sz w:val="24"/>
              </w:rPr>
              <w:t>近似正</w:t>
            </w:r>
            <w:r>
              <w:rPr>
                <w:rFonts w:hint="eastAsia"/>
                <w:sz w:val="24"/>
              </w:rPr>
              <w:t>七边形，长度约520m，宽度约407m，</w:t>
            </w:r>
            <w:r>
              <w:rPr>
                <w:kern w:val="0"/>
                <w:sz w:val="24"/>
              </w:rPr>
              <w:t>面积4.3620hm</w:t>
            </w:r>
            <w:r>
              <w:rPr>
                <w:kern w:val="0"/>
                <w:sz w:val="24"/>
                <w:vertAlign w:val="superscript"/>
              </w:rPr>
              <w:t>2</w:t>
            </w:r>
            <w:r>
              <w:rPr>
                <w:rFonts w:hint="eastAsia"/>
                <w:kern w:val="0"/>
                <w:sz w:val="24"/>
              </w:rPr>
              <w:t>。</w:t>
            </w:r>
            <w:r>
              <w:rPr>
                <w:kern w:val="0"/>
                <w:sz w:val="24"/>
              </w:rPr>
              <w:t>矿区范围拐点坐标详见表2-</w:t>
            </w:r>
            <w:r>
              <w:rPr>
                <w:rFonts w:hint="eastAsia"/>
                <w:kern w:val="0"/>
                <w:sz w:val="24"/>
              </w:rPr>
              <w:t>6</w:t>
            </w:r>
            <w:r>
              <w:rPr>
                <w:kern w:val="0"/>
                <w:sz w:val="24"/>
              </w:rPr>
              <w:t>。</w:t>
            </w:r>
          </w:p>
          <w:p>
            <w:pPr>
              <w:adjustRightInd w:val="0"/>
              <w:snapToGrid w:val="0"/>
              <w:jc w:val="center"/>
              <w:rPr>
                <w:b/>
                <w:kern w:val="0"/>
                <w:sz w:val="24"/>
              </w:rPr>
            </w:pPr>
            <w:r>
              <w:rPr>
                <w:b/>
                <w:kern w:val="0"/>
                <w:sz w:val="24"/>
              </w:rPr>
              <w:t>表2-</w:t>
            </w:r>
            <w:r>
              <w:rPr>
                <w:rFonts w:hint="eastAsia"/>
                <w:b/>
                <w:kern w:val="0"/>
                <w:sz w:val="24"/>
              </w:rPr>
              <w:t>6</w:t>
            </w:r>
            <w:r>
              <w:rPr>
                <w:b/>
                <w:kern w:val="0"/>
                <w:sz w:val="24"/>
              </w:rPr>
              <w:t xml:space="preserve">   拟建项目矿区范围拐点坐标</w:t>
            </w:r>
          </w:p>
          <w:tbl>
            <w:tblPr>
              <w:tblStyle w:val="15"/>
              <w:tblW w:w="904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7"/>
              <w:gridCol w:w="1702"/>
              <w:gridCol w:w="1981"/>
              <w:gridCol w:w="895"/>
              <w:gridCol w:w="1818"/>
              <w:gridCol w:w="1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tblHeader/>
                <w:jc w:val="center"/>
              </w:trPr>
              <w:tc>
                <w:tcPr>
                  <w:tcW w:w="747" w:type="dxa"/>
                  <w:vMerge w:val="restart"/>
                  <w:vAlign w:val="center"/>
                </w:tcPr>
                <w:p>
                  <w:pPr>
                    <w:adjustRightInd w:val="0"/>
                    <w:snapToGrid w:val="0"/>
                    <w:jc w:val="center"/>
                    <w:rPr>
                      <w:sz w:val="22"/>
                      <w:szCs w:val="22"/>
                    </w:rPr>
                  </w:pPr>
                  <w:r>
                    <w:rPr>
                      <w:sz w:val="22"/>
                      <w:szCs w:val="22"/>
                    </w:rPr>
                    <w:t>拐点</w:t>
                  </w:r>
                </w:p>
                <w:p>
                  <w:pPr>
                    <w:adjustRightInd w:val="0"/>
                    <w:snapToGrid w:val="0"/>
                    <w:jc w:val="center"/>
                    <w:rPr>
                      <w:sz w:val="22"/>
                      <w:szCs w:val="22"/>
                    </w:rPr>
                  </w:pPr>
                  <w:r>
                    <w:rPr>
                      <w:sz w:val="22"/>
                      <w:szCs w:val="22"/>
                    </w:rPr>
                    <w:t>编号</w:t>
                  </w:r>
                </w:p>
              </w:tc>
              <w:tc>
                <w:tcPr>
                  <w:tcW w:w="3683" w:type="dxa"/>
                  <w:gridSpan w:val="2"/>
                  <w:tcBorders>
                    <w:bottom w:val="single" w:color="auto" w:sz="4" w:space="0"/>
                    <w:right w:val="single" w:color="auto" w:sz="4" w:space="0"/>
                  </w:tcBorders>
                  <w:vAlign w:val="center"/>
                </w:tcPr>
                <w:p>
                  <w:pPr>
                    <w:adjustRightInd w:val="0"/>
                    <w:snapToGrid w:val="0"/>
                    <w:jc w:val="center"/>
                    <w:rPr>
                      <w:sz w:val="22"/>
                      <w:szCs w:val="22"/>
                    </w:rPr>
                  </w:pPr>
                  <w:r>
                    <w:rPr>
                      <w:sz w:val="22"/>
                      <w:szCs w:val="22"/>
                    </w:rPr>
                    <w:t>2000国家大地坐标系</w:t>
                  </w:r>
                </w:p>
              </w:tc>
              <w:tc>
                <w:tcPr>
                  <w:tcW w:w="895" w:type="dxa"/>
                  <w:vMerge w:val="restart"/>
                  <w:tcBorders>
                    <w:left w:val="single" w:color="auto" w:sz="4" w:space="0"/>
                    <w:right w:val="single" w:color="auto" w:sz="4" w:space="0"/>
                  </w:tcBorders>
                  <w:vAlign w:val="center"/>
                </w:tcPr>
                <w:p>
                  <w:pPr>
                    <w:adjustRightInd w:val="0"/>
                    <w:snapToGrid w:val="0"/>
                    <w:jc w:val="center"/>
                    <w:rPr>
                      <w:sz w:val="22"/>
                      <w:szCs w:val="22"/>
                    </w:rPr>
                  </w:pPr>
                  <w:r>
                    <w:rPr>
                      <w:sz w:val="22"/>
                      <w:szCs w:val="22"/>
                    </w:rPr>
                    <w:t>拐点</w:t>
                  </w:r>
                </w:p>
                <w:p>
                  <w:pPr>
                    <w:adjustRightInd w:val="0"/>
                    <w:snapToGrid w:val="0"/>
                    <w:jc w:val="center"/>
                    <w:rPr>
                      <w:sz w:val="22"/>
                      <w:szCs w:val="22"/>
                    </w:rPr>
                  </w:pPr>
                  <w:r>
                    <w:rPr>
                      <w:sz w:val="22"/>
                      <w:szCs w:val="22"/>
                    </w:rPr>
                    <w:t>编号</w:t>
                  </w:r>
                </w:p>
              </w:tc>
              <w:tc>
                <w:tcPr>
                  <w:tcW w:w="3719" w:type="dxa"/>
                  <w:gridSpan w:val="2"/>
                  <w:tcBorders>
                    <w:left w:val="single" w:color="auto" w:sz="4" w:space="0"/>
                    <w:bottom w:val="single" w:color="auto" w:sz="4" w:space="0"/>
                  </w:tcBorders>
                  <w:vAlign w:val="center"/>
                </w:tcPr>
                <w:p>
                  <w:pPr>
                    <w:adjustRightInd w:val="0"/>
                    <w:snapToGrid w:val="0"/>
                    <w:jc w:val="center"/>
                    <w:rPr>
                      <w:sz w:val="22"/>
                      <w:szCs w:val="22"/>
                    </w:rPr>
                  </w:pPr>
                  <w:r>
                    <w:rPr>
                      <w:sz w:val="22"/>
                      <w:szCs w:val="22"/>
                    </w:rPr>
                    <w:t>2000国家大地坐标系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1" w:hRule="atLeast"/>
                <w:tblHeader/>
                <w:jc w:val="center"/>
              </w:trPr>
              <w:tc>
                <w:tcPr>
                  <w:tcW w:w="747" w:type="dxa"/>
                  <w:vMerge w:val="continue"/>
                  <w:vAlign w:val="center"/>
                </w:tcPr>
                <w:p>
                  <w:pPr>
                    <w:adjustRightInd w:val="0"/>
                    <w:snapToGrid w:val="0"/>
                    <w:jc w:val="center"/>
                    <w:rPr>
                      <w:sz w:val="22"/>
                      <w:szCs w:val="22"/>
                    </w:rPr>
                  </w:pPr>
                </w:p>
              </w:tc>
              <w:tc>
                <w:tcPr>
                  <w:tcW w:w="1702" w:type="dxa"/>
                  <w:tcBorders>
                    <w:top w:val="single" w:color="auto" w:sz="4" w:space="0"/>
                  </w:tcBorders>
                  <w:vAlign w:val="center"/>
                </w:tcPr>
                <w:p>
                  <w:pPr>
                    <w:adjustRightInd w:val="0"/>
                    <w:snapToGrid w:val="0"/>
                    <w:jc w:val="center"/>
                    <w:rPr>
                      <w:sz w:val="22"/>
                      <w:szCs w:val="22"/>
                    </w:rPr>
                  </w:pPr>
                  <w:r>
                    <w:rPr>
                      <w:sz w:val="22"/>
                      <w:szCs w:val="22"/>
                    </w:rPr>
                    <w:t>X</w:t>
                  </w:r>
                </w:p>
              </w:tc>
              <w:tc>
                <w:tcPr>
                  <w:tcW w:w="1981" w:type="dxa"/>
                  <w:tcBorders>
                    <w:top w:val="single" w:color="auto" w:sz="4" w:space="0"/>
                    <w:right w:val="single" w:color="auto" w:sz="4" w:space="0"/>
                  </w:tcBorders>
                  <w:vAlign w:val="center"/>
                </w:tcPr>
                <w:p>
                  <w:pPr>
                    <w:adjustRightInd w:val="0"/>
                    <w:snapToGrid w:val="0"/>
                    <w:jc w:val="center"/>
                    <w:rPr>
                      <w:sz w:val="22"/>
                      <w:szCs w:val="22"/>
                    </w:rPr>
                  </w:pPr>
                  <w:r>
                    <w:rPr>
                      <w:sz w:val="22"/>
                      <w:szCs w:val="22"/>
                    </w:rPr>
                    <w:t>Y</w:t>
                  </w:r>
                </w:p>
              </w:tc>
              <w:tc>
                <w:tcPr>
                  <w:tcW w:w="895" w:type="dxa"/>
                  <w:vMerge w:val="continue"/>
                  <w:tcBorders>
                    <w:left w:val="single" w:color="auto" w:sz="4" w:space="0"/>
                    <w:right w:val="single" w:color="auto" w:sz="4" w:space="0"/>
                  </w:tcBorders>
                  <w:vAlign w:val="center"/>
                </w:tcPr>
                <w:p>
                  <w:pPr>
                    <w:adjustRightInd w:val="0"/>
                    <w:snapToGrid w:val="0"/>
                    <w:jc w:val="center"/>
                    <w:rPr>
                      <w:sz w:val="22"/>
                      <w:szCs w:val="22"/>
                    </w:rPr>
                  </w:pPr>
                </w:p>
              </w:tc>
              <w:tc>
                <w:tcPr>
                  <w:tcW w:w="1818" w:type="dxa"/>
                  <w:tcBorders>
                    <w:top w:val="single" w:color="auto" w:sz="4" w:space="0"/>
                    <w:left w:val="single" w:color="auto" w:sz="4" w:space="0"/>
                    <w:right w:val="single" w:color="auto" w:sz="4" w:space="0"/>
                  </w:tcBorders>
                  <w:vAlign w:val="center"/>
                </w:tcPr>
                <w:p>
                  <w:pPr>
                    <w:adjustRightInd w:val="0"/>
                    <w:snapToGrid w:val="0"/>
                    <w:jc w:val="center"/>
                    <w:rPr>
                      <w:sz w:val="22"/>
                      <w:szCs w:val="22"/>
                    </w:rPr>
                  </w:pPr>
                  <w:r>
                    <w:rPr>
                      <w:sz w:val="22"/>
                      <w:szCs w:val="22"/>
                    </w:rPr>
                    <w:t>X</w:t>
                  </w:r>
                </w:p>
              </w:tc>
              <w:tc>
                <w:tcPr>
                  <w:tcW w:w="1901" w:type="dxa"/>
                  <w:tcBorders>
                    <w:top w:val="single" w:color="auto" w:sz="4" w:space="0"/>
                    <w:left w:val="single" w:color="auto" w:sz="4" w:space="0"/>
                  </w:tcBorders>
                  <w:vAlign w:val="center"/>
                </w:tcPr>
                <w:p>
                  <w:pPr>
                    <w:adjustRightInd w:val="0"/>
                    <w:snapToGrid w:val="0"/>
                    <w:jc w:val="center"/>
                    <w:rPr>
                      <w:sz w:val="22"/>
                      <w:szCs w:val="22"/>
                    </w:rPr>
                  </w:pPr>
                  <w:r>
                    <w:rPr>
                      <w:sz w:val="22"/>
                      <w:szCs w:val="22"/>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7" w:hRule="atLeast"/>
                <w:jc w:val="center"/>
              </w:trPr>
              <w:tc>
                <w:tcPr>
                  <w:tcW w:w="747" w:type="dxa"/>
                  <w:vAlign w:val="center"/>
                </w:tcPr>
                <w:p>
                  <w:pPr>
                    <w:adjustRightInd w:val="0"/>
                    <w:snapToGrid w:val="0"/>
                    <w:jc w:val="center"/>
                    <w:rPr>
                      <w:sz w:val="22"/>
                      <w:szCs w:val="22"/>
                    </w:rPr>
                  </w:pPr>
                  <w:r>
                    <w:rPr>
                      <w:sz w:val="22"/>
                      <w:szCs w:val="22"/>
                    </w:rPr>
                    <w:t>1</w:t>
                  </w:r>
                </w:p>
              </w:tc>
              <w:tc>
                <w:tcPr>
                  <w:tcW w:w="1702" w:type="dxa"/>
                  <w:vAlign w:val="center"/>
                </w:tcPr>
                <w:p>
                  <w:pPr>
                    <w:adjustRightInd w:val="0"/>
                    <w:snapToGrid w:val="0"/>
                    <w:jc w:val="center"/>
                    <w:rPr>
                      <w:sz w:val="22"/>
                      <w:szCs w:val="22"/>
                    </w:rPr>
                  </w:pPr>
                  <w:r>
                    <w:rPr>
                      <w:sz w:val="22"/>
                      <w:szCs w:val="22"/>
                    </w:rPr>
                    <w:t>3213507.70</w:t>
                  </w:r>
                </w:p>
              </w:tc>
              <w:tc>
                <w:tcPr>
                  <w:tcW w:w="1981" w:type="dxa"/>
                  <w:tcBorders>
                    <w:right w:val="single" w:color="auto" w:sz="4" w:space="0"/>
                  </w:tcBorders>
                  <w:vAlign w:val="center"/>
                </w:tcPr>
                <w:p>
                  <w:pPr>
                    <w:adjustRightInd w:val="0"/>
                    <w:snapToGrid w:val="0"/>
                    <w:jc w:val="center"/>
                    <w:rPr>
                      <w:sz w:val="22"/>
                      <w:szCs w:val="22"/>
                    </w:rPr>
                  </w:pPr>
                  <w:r>
                    <w:rPr>
                      <w:sz w:val="22"/>
                      <w:szCs w:val="22"/>
                    </w:rPr>
                    <w:t>36563948.50</w:t>
                  </w:r>
                </w:p>
              </w:tc>
              <w:tc>
                <w:tcPr>
                  <w:tcW w:w="895"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5</w:t>
                  </w:r>
                </w:p>
              </w:tc>
              <w:tc>
                <w:tcPr>
                  <w:tcW w:w="1818"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3213718.70</w:t>
                  </w:r>
                </w:p>
              </w:tc>
              <w:tc>
                <w:tcPr>
                  <w:tcW w:w="1901" w:type="dxa"/>
                  <w:tcBorders>
                    <w:left w:val="single" w:color="auto" w:sz="4" w:space="0"/>
                  </w:tcBorders>
                  <w:vAlign w:val="center"/>
                </w:tcPr>
                <w:p>
                  <w:pPr>
                    <w:adjustRightInd w:val="0"/>
                    <w:snapToGrid w:val="0"/>
                    <w:jc w:val="center"/>
                    <w:rPr>
                      <w:sz w:val="22"/>
                      <w:szCs w:val="22"/>
                    </w:rPr>
                  </w:pPr>
                  <w:r>
                    <w:rPr>
                      <w:sz w:val="22"/>
                      <w:szCs w:val="22"/>
                    </w:rPr>
                    <w:t>36563852.50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7" w:hRule="atLeast"/>
                <w:jc w:val="center"/>
              </w:trPr>
              <w:tc>
                <w:tcPr>
                  <w:tcW w:w="747" w:type="dxa"/>
                  <w:vAlign w:val="center"/>
                </w:tcPr>
                <w:p>
                  <w:pPr>
                    <w:adjustRightInd w:val="0"/>
                    <w:snapToGrid w:val="0"/>
                    <w:jc w:val="center"/>
                    <w:rPr>
                      <w:sz w:val="22"/>
                      <w:szCs w:val="22"/>
                    </w:rPr>
                  </w:pPr>
                  <w:r>
                    <w:rPr>
                      <w:sz w:val="22"/>
                      <w:szCs w:val="22"/>
                    </w:rPr>
                    <w:t>2</w:t>
                  </w:r>
                </w:p>
              </w:tc>
              <w:tc>
                <w:tcPr>
                  <w:tcW w:w="1702" w:type="dxa"/>
                  <w:vAlign w:val="center"/>
                </w:tcPr>
                <w:p>
                  <w:pPr>
                    <w:adjustRightInd w:val="0"/>
                    <w:snapToGrid w:val="0"/>
                    <w:jc w:val="center"/>
                    <w:rPr>
                      <w:sz w:val="22"/>
                      <w:szCs w:val="22"/>
                    </w:rPr>
                  </w:pPr>
                  <w:r>
                    <w:rPr>
                      <w:sz w:val="22"/>
                      <w:szCs w:val="22"/>
                    </w:rPr>
                    <w:t>3213597.70</w:t>
                  </w:r>
                </w:p>
              </w:tc>
              <w:tc>
                <w:tcPr>
                  <w:tcW w:w="1981" w:type="dxa"/>
                  <w:tcBorders>
                    <w:right w:val="single" w:color="auto" w:sz="4" w:space="0"/>
                  </w:tcBorders>
                  <w:vAlign w:val="center"/>
                </w:tcPr>
                <w:p>
                  <w:pPr>
                    <w:adjustRightInd w:val="0"/>
                    <w:snapToGrid w:val="0"/>
                    <w:jc w:val="center"/>
                    <w:rPr>
                      <w:sz w:val="22"/>
                      <w:szCs w:val="22"/>
                    </w:rPr>
                  </w:pPr>
                  <w:r>
                    <w:rPr>
                      <w:sz w:val="22"/>
                      <w:szCs w:val="22"/>
                    </w:rPr>
                    <w:t>36564034.50</w:t>
                  </w:r>
                </w:p>
              </w:tc>
              <w:tc>
                <w:tcPr>
                  <w:tcW w:w="895"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6</w:t>
                  </w:r>
                </w:p>
              </w:tc>
              <w:tc>
                <w:tcPr>
                  <w:tcW w:w="1818"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3213616.70</w:t>
                  </w:r>
                </w:p>
              </w:tc>
              <w:tc>
                <w:tcPr>
                  <w:tcW w:w="1901" w:type="dxa"/>
                  <w:tcBorders>
                    <w:left w:val="single" w:color="auto" w:sz="4" w:space="0"/>
                  </w:tcBorders>
                  <w:vAlign w:val="center"/>
                </w:tcPr>
                <w:p>
                  <w:pPr>
                    <w:adjustRightInd w:val="0"/>
                    <w:snapToGrid w:val="0"/>
                    <w:jc w:val="center"/>
                    <w:rPr>
                      <w:sz w:val="22"/>
                      <w:szCs w:val="22"/>
                    </w:rPr>
                  </w:pPr>
                  <w:r>
                    <w:rPr>
                      <w:sz w:val="22"/>
                      <w:szCs w:val="22"/>
                    </w:rPr>
                    <w:t>36563802.50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7" w:hRule="atLeast"/>
                <w:jc w:val="center"/>
              </w:trPr>
              <w:tc>
                <w:tcPr>
                  <w:tcW w:w="747" w:type="dxa"/>
                  <w:vAlign w:val="center"/>
                </w:tcPr>
                <w:p>
                  <w:pPr>
                    <w:adjustRightInd w:val="0"/>
                    <w:snapToGrid w:val="0"/>
                    <w:jc w:val="center"/>
                    <w:rPr>
                      <w:sz w:val="22"/>
                      <w:szCs w:val="22"/>
                    </w:rPr>
                  </w:pPr>
                  <w:r>
                    <w:rPr>
                      <w:sz w:val="22"/>
                      <w:szCs w:val="22"/>
                    </w:rPr>
                    <w:t>3</w:t>
                  </w:r>
                </w:p>
              </w:tc>
              <w:tc>
                <w:tcPr>
                  <w:tcW w:w="1702" w:type="dxa"/>
                  <w:vAlign w:val="center"/>
                </w:tcPr>
                <w:p>
                  <w:pPr>
                    <w:adjustRightInd w:val="0"/>
                    <w:snapToGrid w:val="0"/>
                    <w:jc w:val="center"/>
                    <w:rPr>
                      <w:sz w:val="22"/>
                      <w:szCs w:val="22"/>
                    </w:rPr>
                  </w:pPr>
                  <w:r>
                    <w:rPr>
                      <w:sz w:val="22"/>
                      <w:szCs w:val="22"/>
                    </w:rPr>
                    <w:t>3213693.70</w:t>
                  </w:r>
                </w:p>
              </w:tc>
              <w:tc>
                <w:tcPr>
                  <w:tcW w:w="1981" w:type="dxa"/>
                  <w:tcBorders>
                    <w:right w:val="single" w:color="auto" w:sz="4" w:space="0"/>
                  </w:tcBorders>
                  <w:vAlign w:val="center"/>
                </w:tcPr>
                <w:p>
                  <w:pPr>
                    <w:adjustRightInd w:val="0"/>
                    <w:snapToGrid w:val="0"/>
                    <w:jc w:val="center"/>
                    <w:rPr>
                      <w:sz w:val="22"/>
                      <w:szCs w:val="22"/>
                    </w:rPr>
                  </w:pPr>
                  <w:r>
                    <w:rPr>
                      <w:sz w:val="22"/>
                      <w:szCs w:val="22"/>
                    </w:rPr>
                    <w:t>36564049.50</w:t>
                  </w:r>
                </w:p>
              </w:tc>
              <w:tc>
                <w:tcPr>
                  <w:tcW w:w="895"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7</w:t>
                  </w:r>
                </w:p>
              </w:tc>
              <w:tc>
                <w:tcPr>
                  <w:tcW w:w="1818"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3213522.70</w:t>
                  </w:r>
                </w:p>
              </w:tc>
              <w:tc>
                <w:tcPr>
                  <w:tcW w:w="1901" w:type="dxa"/>
                  <w:tcBorders>
                    <w:left w:val="single" w:color="auto" w:sz="4" w:space="0"/>
                  </w:tcBorders>
                  <w:vAlign w:val="center"/>
                </w:tcPr>
                <w:p>
                  <w:pPr>
                    <w:adjustRightInd w:val="0"/>
                    <w:snapToGrid w:val="0"/>
                    <w:jc w:val="center"/>
                    <w:rPr>
                      <w:sz w:val="22"/>
                      <w:szCs w:val="22"/>
                    </w:rPr>
                  </w:pPr>
                  <w:r>
                    <w:rPr>
                      <w:sz w:val="22"/>
                      <w:szCs w:val="22"/>
                    </w:rPr>
                    <w:t>36563830.50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7" w:hRule="atLeast"/>
                <w:jc w:val="center"/>
              </w:trPr>
              <w:tc>
                <w:tcPr>
                  <w:tcW w:w="747" w:type="dxa"/>
                  <w:vAlign w:val="center"/>
                </w:tcPr>
                <w:p>
                  <w:pPr>
                    <w:adjustRightInd w:val="0"/>
                    <w:snapToGrid w:val="0"/>
                    <w:jc w:val="center"/>
                    <w:rPr>
                      <w:sz w:val="22"/>
                      <w:szCs w:val="22"/>
                    </w:rPr>
                  </w:pPr>
                  <w:r>
                    <w:rPr>
                      <w:sz w:val="22"/>
                      <w:szCs w:val="22"/>
                    </w:rPr>
                    <w:t>4</w:t>
                  </w:r>
                </w:p>
              </w:tc>
              <w:tc>
                <w:tcPr>
                  <w:tcW w:w="1702" w:type="dxa"/>
                  <w:vAlign w:val="center"/>
                </w:tcPr>
                <w:p>
                  <w:pPr>
                    <w:adjustRightInd w:val="0"/>
                    <w:snapToGrid w:val="0"/>
                    <w:jc w:val="center"/>
                    <w:rPr>
                      <w:sz w:val="22"/>
                      <w:szCs w:val="22"/>
                    </w:rPr>
                  </w:pPr>
                  <w:r>
                    <w:rPr>
                      <w:sz w:val="22"/>
                      <w:szCs w:val="22"/>
                    </w:rPr>
                    <w:t>3213759.70</w:t>
                  </w:r>
                </w:p>
              </w:tc>
              <w:tc>
                <w:tcPr>
                  <w:tcW w:w="1981" w:type="dxa"/>
                  <w:tcBorders>
                    <w:right w:val="single" w:color="auto" w:sz="4" w:space="0"/>
                  </w:tcBorders>
                  <w:vAlign w:val="center"/>
                </w:tcPr>
                <w:p>
                  <w:pPr>
                    <w:adjustRightInd w:val="0"/>
                    <w:snapToGrid w:val="0"/>
                    <w:jc w:val="center"/>
                    <w:rPr>
                      <w:sz w:val="22"/>
                      <w:szCs w:val="22"/>
                    </w:rPr>
                  </w:pPr>
                  <w:r>
                    <w:rPr>
                      <w:sz w:val="22"/>
                      <w:szCs w:val="22"/>
                    </w:rPr>
                    <w:t>36563935.50</w:t>
                  </w:r>
                </w:p>
              </w:tc>
              <w:tc>
                <w:tcPr>
                  <w:tcW w:w="895" w:type="dxa"/>
                  <w:tcBorders>
                    <w:left w:val="single" w:color="auto" w:sz="4" w:space="0"/>
                    <w:right w:val="single" w:color="auto" w:sz="4" w:space="0"/>
                  </w:tcBorders>
                  <w:vAlign w:val="center"/>
                </w:tcPr>
                <w:p>
                  <w:pPr>
                    <w:adjustRightInd w:val="0"/>
                    <w:snapToGrid w:val="0"/>
                    <w:jc w:val="center"/>
                    <w:rPr>
                      <w:sz w:val="22"/>
                      <w:szCs w:val="22"/>
                    </w:rPr>
                  </w:pPr>
                </w:p>
              </w:tc>
              <w:tc>
                <w:tcPr>
                  <w:tcW w:w="1818" w:type="dxa"/>
                  <w:tcBorders>
                    <w:left w:val="single" w:color="auto" w:sz="4" w:space="0"/>
                    <w:right w:val="single" w:color="auto" w:sz="4" w:space="0"/>
                  </w:tcBorders>
                  <w:vAlign w:val="center"/>
                </w:tcPr>
                <w:p>
                  <w:pPr>
                    <w:adjustRightInd w:val="0"/>
                    <w:snapToGrid w:val="0"/>
                    <w:jc w:val="center"/>
                    <w:rPr>
                      <w:sz w:val="22"/>
                      <w:szCs w:val="22"/>
                    </w:rPr>
                  </w:pPr>
                </w:p>
              </w:tc>
              <w:tc>
                <w:tcPr>
                  <w:tcW w:w="1901" w:type="dxa"/>
                  <w:tcBorders>
                    <w:left w:val="single" w:color="auto" w:sz="4" w:space="0"/>
                  </w:tcBorders>
                  <w:vAlign w:val="center"/>
                </w:tcPr>
                <w:p>
                  <w:pPr>
                    <w:adjustRightInd w:val="0"/>
                    <w:snapToGrid w:val="0"/>
                    <w:jc w:val="center"/>
                    <w:rPr>
                      <w:sz w:val="22"/>
                      <w:szCs w:val="22"/>
                    </w:rPr>
                  </w:pPr>
                </w:p>
              </w:tc>
            </w:tr>
          </w:tbl>
          <w:p>
            <w:pPr>
              <w:adjustRightInd w:val="0"/>
              <w:snapToGrid w:val="0"/>
              <w:spacing w:line="360" w:lineRule="auto"/>
              <w:ind w:firstLine="482" w:firstLineChars="200"/>
              <w:rPr>
                <w:b/>
                <w:kern w:val="0"/>
                <w:sz w:val="24"/>
              </w:rPr>
            </w:pPr>
            <w:r>
              <w:rPr>
                <w:b/>
                <w:kern w:val="0"/>
                <w:sz w:val="24"/>
              </w:rPr>
              <w:t>2）资源储量</w:t>
            </w:r>
          </w:p>
          <w:p>
            <w:pPr>
              <w:adjustRightInd w:val="0"/>
              <w:snapToGrid w:val="0"/>
              <w:spacing w:line="360" w:lineRule="auto"/>
              <w:ind w:firstLine="480" w:firstLineChars="200"/>
              <w:rPr>
                <w:kern w:val="0"/>
                <w:sz w:val="24"/>
              </w:rPr>
            </w:pPr>
            <w:r>
              <w:rPr>
                <w:kern w:val="0"/>
                <w:sz w:val="24"/>
              </w:rPr>
              <w:t>根据拟建</w:t>
            </w:r>
            <w:r>
              <w:rPr>
                <w:rFonts w:ascii="宋体" w:hAnsi="宋体"/>
                <w:kern w:val="0"/>
                <w:sz w:val="24"/>
              </w:rPr>
              <w:t>项目“</w:t>
            </w:r>
            <w:r>
              <w:rPr>
                <w:rFonts w:hint="eastAsia" w:ascii="宋体" w:hAnsi="宋体"/>
                <w:kern w:val="0"/>
                <w:sz w:val="24"/>
              </w:rPr>
              <w:t>开发利用方案</w:t>
            </w:r>
            <w:r>
              <w:rPr>
                <w:rFonts w:ascii="宋体" w:hAnsi="宋体"/>
                <w:kern w:val="0"/>
                <w:sz w:val="24"/>
              </w:rPr>
              <w:t>”估</w:t>
            </w:r>
            <w:r>
              <w:rPr>
                <w:kern w:val="0"/>
                <w:sz w:val="24"/>
              </w:rPr>
              <w:t>算，</w:t>
            </w:r>
            <w:r>
              <w:rPr>
                <w:rFonts w:hint="eastAsia"/>
                <w:kern w:val="0"/>
                <w:sz w:val="24"/>
              </w:rPr>
              <w:t>矿区范围剩余可利用资源量146.17万t，</w:t>
            </w:r>
            <w:r>
              <w:rPr>
                <w:kern w:val="0"/>
                <w:sz w:val="24"/>
              </w:rPr>
              <w:t>矿山回采率95%，</w:t>
            </w:r>
            <w:r>
              <w:rPr>
                <w:rFonts w:hint="eastAsia"/>
                <w:kern w:val="0"/>
                <w:sz w:val="24"/>
              </w:rPr>
              <w:t>则</w:t>
            </w:r>
            <w:r>
              <w:rPr>
                <w:kern w:val="0"/>
                <w:sz w:val="24"/>
              </w:rPr>
              <w:t>可采资源量为</w:t>
            </w:r>
            <w:r>
              <w:rPr>
                <w:rFonts w:hint="eastAsia"/>
                <w:kern w:val="0"/>
                <w:sz w:val="24"/>
              </w:rPr>
              <w:t>138.9万t</w:t>
            </w:r>
            <w:r>
              <w:rPr>
                <w:kern w:val="0"/>
                <w:sz w:val="24"/>
              </w:rPr>
              <w:t>。</w:t>
            </w:r>
          </w:p>
          <w:p>
            <w:pPr>
              <w:adjustRightInd w:val="0"/>
              <w:snapToGrid w:val="0"/>
              <w:spacing w:line="360" w:lineRule="auto"/>
              <w:ind w:firstLine="482" w:firstLineChars="200"/>
              <w:rPr>
                <w:b/>
                <w:kern w:val="0"/>
                <w:sz w:val="24"/>
              </w:rPr>
            </w:pPr>
            <w:r>
              <w:rPr>
                <w:b/>
                <w:kern w:val="0"/>
                <w:sz w:val="24"/>
              </w:rPr>
              <w:t>3）服务年限</w:t>
            </w:r>
          </w:p>
          <w:p>
            <w:pPr>
              <w:adjustRightInd w:val="0"/>
              <w:snapToGrid w:val="0"/>
              <w:spacing w:line="360" w:lineRule="auto"/>
              <w:ind w:firstLine="480" w:firstLineChars="200"/>
              <w:rPr>
                <w:kern w:val="0"/>
                <w:sz w:val="24"/>
              </w:rPr>
            </w:pPr>
            <w:r>
              <w:rPr>
                <w:kern w:val="0"/>
                <w:sz w:val="24"/>
              </w:rPr>
              <w:t>矿山服务年限=可采资源量÷生产规模=</w:t>
            </w:r>
            <w:r>
              <w:rPr>
                <w:rFonts w:hint="eastAsia"/>
                <w:kern w:val="0"/>
                <w:sz w:val="24"/>
              </w:rPr>
              <w:t>138.9</w:t>
            </w:r>
            <w:r>
              <w:rPr>
                <w:kern w:val="0"/>
                <w:sz w:val="24"/>
              </w:rPr>
              <w:t>万t÷51万t≈</w:t>
            </w:r>
            <w:r>
              <w:rPr>
                <w:rFonts w:hint="eastAsia"/>
                <w:kern w:val="0"/>
                <w:sz w:val="24"/>
              </w:rPr>
              <w:t>2.7a</w:t>
            </w:r>
            <w:r>
              <w:rPr>
                <w:kern w:val="0"/>
                <w:sz w:val="24"/>
              </w:rPr>
              <w:t>。</w:t>
            </w:r>
          </w:p>
          <w:p>
            <w:pPr>
              <w:adjustRightInd w:val="0"/>
              <w:snapToGrid w:val="0"/>
              <w:spacing w:line="360" w:lineRule="auto"/>
              <w:ind w:firstLine="482" w:firstLineChars="200"/>
              <w:rPr>
                <w:b/>
                <w:kern w:val="0"/>
                <w:sz w:val="24"/>
              </w:rPr>
            </w:pPr>
            <w:r>
              <w:rPr>
                <w:b/>
                <w:kern w:val="0"/>
                <w:sz w:val="24"/>
              </w:rPr>
              <w:t>4）矿权设置及相邻矿权关系</w:t>
            </w:r>
          </w:p>
          <w:p>
            <w:pPr>
              <w:adjustRightInd w:val="0"/>
              <w:snapToGrid w:val="0"/>
              <w:spacing w:line="360" w:lineRule="auto"/>
              <w:ind w:firstLine="480" w:firstLineChars="200"/>
              <w:rPr>
                <w:kern w:val="0"/>
                <w:sz w:val="24"/>
              </w:rPr>
            </w:pPr>
            <w:r>
              <w:rPr>
                <w:kern w:val="0"/>
                <w:sz w:val="24"/>
              </w:rPr>
              <w:t>根据重庆市酉阳土家族苗族自治县采矿权管理系统查询，矿区范围周边300m范围内无矿权设置，无资源纠纷。</w:t>
            </w:r>
          </w:p>
          <w:p>
            <w:pPr>
              <w:adjustRightInd w:val="0"/>
              <w:snapToGrid w:val="0"/>
              <w:spacing w:line="360" w:lineRule="auto"/>
              <w:ind w:firstLine="482" w:firstLineChars="200"/>
              <w:rPr>
                <w:b/>
                <w:kern w:val="0"/>
                <w:sz w:val="24"/>
              </w:rPr>
            </w:pPr>
            <w:r>
              <w:rPr>
                <w:b/>
                <w:kern w:val="0"/>
                <w:sz w:val="24"/>
              </w:rPr>
              <w:t>5）</w:t>
            </w:r>
            <w:r>
              <w:rPr>
                <w:rFonts w:hint="eastAsia"/>
                <w:b/>
                <w:kern w:val="0"/>
                <w:sz w:val="24"/>
              </w:rPr>
              <w:t>地层</w:t>
            </w:r>
          </w:p>
          <w:p>
            <w:pPr>
              <w:adjustRightInd w:val="0"/>
              <w:snapToGrid w:val="0"/>
              <w:spacing w:line="360" w:lineRule="auto"/>
              <w:ind w:firstLine="480" w:firstLineChars="200"/>
              <w:rPr>
                <w:rFonts w:hint="eastAsia" w:ascii="宋体" w:hAnsi="宋体" w:cs="宋体"/>
                <w:kern w:val="0"/>
                <w:sz w:val="24"/>
              </w:rPr>
            </w:pPr>
            <w:r>
              <w:rPr>
                <w:kern w:val="0"/>
                <w:sz w:val="24"/>
              </w:rPr>
              <w:t>根据拟建</w:t>
            </w:r>
            <w:r>
              <w:rPr>
                <w:rFonts w:ascii="宋体" w:hAnsi="宋体"/>
                <w:kern w:val="0"/>
                <w:sz w:val="24"/>
              </w:rPr>
              <w:t>项目“开发利用方案”</w:t>
            </w:r>
            <w:r>
              <w:rPr>
                <w:kern w:val="0"/>
                <w:sz w:val="24"/>
              </w:rPr>
              <w:t>，</w:t>
            </w:r>
            <w:r>
              <w:rPr>
                <w:rFonts w:hint="eastAsia"/>
                <w:kern w:val="0"/>
                <w:sz w:val="24"/>
              </w:rPr>
              <w:t>矿（采）区范围内地层分布如下：</w:t>
            </w:r>
          </w:p>
          <w:p>
            <w:pPr>
              <w:adjustRightInd w:val="0"/>
              <w:snapToGrid w:val="0"/>
              <w:spacing w:line="360" w:lineRule="auto"/>
              <w:ind w:firstLine="480" w:firstLineChars="200"/>
              <w:rPr>
                <w:kern w:val="0"/>
                <w:sz w:val="24"/>
              </w:rPr>
            </w:pPr>
            <w:r>
              <w:rPr>
                <w:rFonts w:hint="eastAsia" w:ascii="宋体" w:hAnsi="宋体" w:cs="宋体"/>
                <w:kern w:val="0"/>
                <w:sz w:val="24"/>
              </w:rPr>
              <w:t>①</w:t>
            </w:r>
            <w:r>
              <w:rPr>
                <w:rFonts w:hint="eastAsia"/>
                <w:kern w:val="0"/>
                <w:sz w:val="24"/>
              </w:rPr>
              <w:t>矿</w:t>
            </w:r>
            <w:r>
              <w:rPr>
                <w:rFonts w:hint="eastAsia" w:ascii="宋体" w:hAnsi="宋体" w:cs="宋体"/>
                <w:kern w:val="0"/>
                <w:sz w:val="24"/>
              </w:rPr>
              <w:t>区地层</w:t>
            </w:r>
          </w:p>
          <w:p>
            <w:pPr>
              <w:adjustRightInd w:val="0"/>
              <w:snapToGrid w:val="0"/>
              <w:spacing w:line="360" w:lineRule="auto"/>
              <w:ind w:firstLine="480" w:firstLineChars="200"/>
              <w:rPr>
                <w:kern w:val="0"/>
                <w:sz w:val="24"/>
              </w:rPr>
            </w:pPr>
            <w:r>
              <w:rPr>
                <w:rFonts w:hint="eastAsia" w:ascii="宋体" w:hAnsi="宋体" w:cs="宋体"/>
                <w:kern w:val="0"/>
                <w:sz w:val="24"/>
              </w:rPr>
              <w:t>矿区</w:t>
            </w:r>
            <w:r>
              <w:rPr>
                <w:kern w:val="0"/>
                <w:sz w:val="24"/>
              </w:rPr>
              <w:t>范围及周边地层为</w:t>
            </w:r>
            <w:r>
              <w:rPr>
                <w:bCs/>
                <w:kern w:val="0"/>
                <w:sz w:val="24"/>
              </w:rPr>
              <w:t>第四系全新统坡残积土（Q</w:t>
            </w:r>
            <w:r>
              <w:rPr>
                <w:bCs/>
                <w:kern w:val="0"/>
                <w:sz w:val="24"/>
                <w:vertAlign w:val="subscript"/>
              </w:rPr>
              <w:t>4</w:t>
            </w:r>
            <w:r>
              <w:rPr>
                <w:bCs/>
                <w:kern w:val="0"/>
                <w:sz w:val="24"/>
                <w:vertAlign w:val="superscript"/>
              </w:rPr>
              <w:t>el+dl</w:t>
            </w:r>
            <w:r>
              <w:rPr>
                <w:bCs/>
                <w:kern w:val="0"/>
                <w:sz w:val="24"/>
              </w:rPr>
              <w:t>）、</w:t>
            </w:r>
            <w:r>
              <w:rPr>
                <w:rFonts w:hint="eastAsia"/>
                <w:bCs/>
                <w:kern w:val="0"/>
                <w:sz w:val="24"/>
              </w:rPr>
              <w:t>三叠系下统嘉陵江组一段</w:t>
            </w:r>
            <w:r>
              <w:rPr>
                <w:kern w:val="0"/>
                <w:sz w:val="24"/>
              </w:rPr>
              <w:t>（</w:t>
            </w:r>
            <w:r>
              <w:rPr>
                <w:bCs/>
                <w:kern w:val="0"/>
                <w:sz w:val="24"/>
              </w:rPr>
              <w:t>T</w:t>
            </w:r>
            <w:r>
              <w:rPr>
                <w:bCs/>
                <w:kern w:val="0"/>
                <w:sz w:val="24"/>
                <w:vertAlign w:val="subscript"/>
              </w:rPr>
              <w:t>1</w:t>
            </w:r>
            <w:r>
              <w:rPr>
                <w:bCs/>
                <w:kern w:val="0"/>
                <w:sz w:val="24"/>
              </w:rPr>
              <w:t>j</w:t>
            </w:r>
            <w:r>
              <w:rPr>
                <w:bCs/>
                <w:kern w:val="0"/>
                <w:sz w:val="24"/>
                <w:vertAlign w:val="superscript"/>
              </w:rPr>
              <w:t>1</w:t>
            </w:r>
            <w:r>
              <w:rPr>
                <w:kern w:val="0"/>
                <w:sz w:val="24"/>
              </w:rPr>
              <w:t>）</w:t>
            </w:r>
            <w:r>
              <w:rPr>
                <w:rFonts w:hint="eastAsia"/>
                <w:kern w:val="0"/>
                <w:sz w:val="24"/>
              </w:rPr>
              <w:t>，</w:t>
            </w:r>
            <w:r>
              <w:rPr>
                <w:kern w:val="0"/>
                <w:sz w:val="24"/>
              </w:rPr>
              <w:t>现由新到老依次叙述如下：</w:t>
            </w:r>
          </w:p>
          <w:p>
            <w:pPr>
              <w:adjustRightInd w:val="0"/>
              <w:snapToGrid w:val="0"/>
              <w:spacing w:line="360" w:lineRule="auto"/>
              <w:ind w:firstLine="480" w:firstLineChars="200"/>
              <w:rPr>
                <w:kern w:val="0"/>
                <w:sz w:val="24"/>
              </w:rPr>
            </w:pPr>
            <w:r>
              <w:rPr>
                <w:rFonts w:hint="eastAsia"/>
                <w:kern w:val="0"/>
                <w:sz w:val="24"/>
              </w:rPr>
              <w:t>A、</w:t>
            </w:r>
            <w:r>
              <w:rPr>
                <w:kern w:val="0"/>
                <w:sz w:val="24"/>
              </w:rPr>
              <w:t>第四系全新统坡残积（Q</w:t>
            </w:r>
            <w:r>
              <w:rPr>
                <w:kern w:val="0"/>
                <w:sz w:val="24"/>
                <w:vertAlign w:val="subscript"/>
              </w:rPr>
              <w:t>4</w:t>
            </w:r>
            <w:r>
              <w:rPr>
                <w:kern w:val="0"/>
                <w:sz w:val="24"/>
                <w:vertAlign w:val="superscript"/>
              </w:rPr>
              <w:t>el+dl</w:t>
            </w:r>
            <w:r>
              <w:rPr>
                <w:kern w:val="0"/>
                <w:sz w:val="24"/>
              </w:rPr>
              <w:t>）</w:t>
            </w:r>
          </w:p>
          <w:p>
            <w:pPr>
              <w:adjustRightInd w:val="0"/>
              <w:snapToGrid w:val="0"/>
              <w:spacing w:line="360" w:lineRule="auto"/>
              <w:ind w:firstLine="480" w:firstLineChars="200"/>
              <w:rPr>
                <w:kern w:val="0"/>
                <w:sz w:val="24"/>
              </w:rPr>
            </w:pPr>
            <w:r>
              <w:rPr>
                <w:rFonts w:hint="eastAsia"/>
                <w:kern w:val="0"/>
                <w:sz w:val="24"/>
              </w:rPr>
              <w:t>厚0～2.0m，平均1.50m。局部出露于地势低洼及缓坡地带，主要为残、坡积粉质粘土，呈黄褐色、黄灰色，稍湿，可塑～硬塑状，含少量碎石，粒径2mm～25mm，含量12%。摇震无反应，切面光滑，干强度及韧性中等。与下伏岩层呈角度不整合接触</w:t>
            </w:r>
            <w:r>
              <w:rPr>
                <w:kern w:val="0"/>
                <w:sz w:val="24"/>
              </w:rPr>
              <w:t>。</w:t>
            </w:r>
          </w:p>
          <w:p>
            <w:pPr>
              <w:adjustRightInd w:val="0"/>
              <w:snapToGrid w:val="0"/>
              <w:spacing w:line="360" w:lineRule="auto"/>
              <w:ind w:firstLine="480" w:firstLineChars="200"/>
              <w:rPr>
                <w:kern w:val="0"/>
                <w:sz w:val="24"/>
              </w:rPr>
            </w:pPr>
            <w:r>
              <w:rPr>
                <w:rFonts w:hint="eastAsia"/>
                <w:kern w:val="0"/>
                <w:sz w:val="24"/>
              </w:rPr>
              <w:t>B、</w:t>
            </w:r>
            <w:r>
              <w:rPr>
                <w:bCs/>
                <w:kern w:val="0"/>
                <w:sz w:val="24"/>
              </w:rPr>
              <w:t>三叠系下统嘉陵江组一段（T</w:t>
            </w:r>
            <w:r>
              <w:rPr>
                <w:bCs/>
                <w:kern w:val="0"/>
                <w:sz w:val="24"/>
                <w:vertAlign w:val="subscript"/>
              </w:rPr>
              <w:t>1</w:t>
            </w:r>
            <w:r>
              <w:rPr>
                <w:bCs/>
                <w:kern w:val="0"/>
                <w:sz w:val="24"/>
              </w:rPr>
              <w:t>j</w:t>
            </w:r>
            <w:r>
              <w:rPr>
                <w:bCs/>
                <w:kern w:val="0"/>
                <w:sz w:val="24"/>
                <w:vertAlign w:val="superscript"/>
              </w:rPr>
              <w:t>1</w:t>
            </w:r>
            <w:r>
              <w:rPr>
                <w:bCs/>
                <w:kern w:val="0"/>
                <w:sz w:val="24"/>
              </w:rPr>
              <w:t>）</w:t>
            </w:r>
          </w:p>
          <w:p>
            <w:pPr>
              <w:adjustRightInd w:val="0"/>
              <w:snapToGrid w:val="0"/>
              <w:spacing w:line="360" w:lineRule="auto"/>
              <w:ind w:firstLine="480" w:firstLineChars="200"/>
              <w:rPr>
                <w:kern w:val="0"/>
                <w:sz w:val="24"/>
              </w:rPr>
            </w:pPr>
            <w:r>
              <w:rPr>
                <w:rFonts w:hint="eastAsia"/>
                <w:kern w:val="0"/>
                <w:sz w:val="24"/>
              </w:rPr>
              <w:t>厚度220m。灰～灰白色薄～中厚层状粉晶～细晶灰岩，显水平层理、具蠕虫状、缝合线、层纹状构造；方解石脉发育，区内广泛出露，为矿山占用开采矿层。与下伏地层呈整合接触</w:t>
            </w:r>
            <w:r>
              <w:rPr>
                <w:kern w:val="0"/>
                <w:sz w:val="24"/>
              </w:rPr>
              <w:t>。</w:t>
            </w:r>
          </w:p>
          <w:p>
            <w:pPr>
              <w:adjustRightInd w:val="0"/>
              <w:snapToGrid w:val="0"/>
              <w:spacing w:line="360" w:lineRule="auto"/>
              <w:ind w:firstLine="480" w:firstLineChars="200"/>
              <w:rPr>
                <w:kern w:val="0"/>
                <w:sz w:val="24"/>
              </w:rPr>
            </w:pPr>
            <w:r>
              <w:rPr>
                <w:rFonts w:hint="eastAsia"/>
                <w:kern w:val="0"/>
                <w:sz w:val="24"/>
              </w:rPr>
              <w:t>C、</w:t>
            </w:r>
            <w:r>
              <w:rPr>
                <w:bCs/>
                <w:kern w:val="0"/>
                <w:sz w:val="24"/>
              </w:rPr>
              <w:t>三叠系下统大冶组四段（T</w:t>
            </w:r>
            <w:r>
              <w:rPr>
                <w:bCs/>
                <w:kern w:val="0"/>
                <w:sz w:val="24"/>
                <w:vertAlign w:val="subscript"/>
              </w:rPr>
              <w:t>1</w:t>
            </w:r>
            <w:r>
              <w:rPr>
                <w:bCs/>
                <w:kern w:val="0"/>
                <w:sz w:val="24"/>
              </w:rPr>
              <w:t>d</w:t>
            </w:r>
            <w:r>
              <w:rPr>
                <w:bCs/>
                <w:kern w:val="0"/>
                <w:sz w:val="24"/>
                <w:vertAlign w:val="superscript"/>
              </w:rPr>
              <w:t>4</w:t>
            </w:r>
            <w:r>
              <w:rPr>
                <w:bCs/>
                <w:kern w:val="0"/>
                <w:sz w:val="24"/>
              </w:rPr>
              <w:t>）</w:t>
            </w:r>
          </w:p>
          <w:p>
            <w:pPr>
              <w:adjustRightInd w:val="0"/>
              <w:snapToGrid w:val="0"/>
              <w:spacing w:line="360" w:lineRule="auto"/>
              <w:ind w:firstLine="480" w:firstLineChars="200"/>
              <w:rPr>
                <w:kern w:val="0"/>
                <w:sz w:val="24"/>
              </w:rPr>
            </w:pPr>
            <w:r>
              <w:rPr>
                <w:rFonts w:hint="eastAsia"/>
                <w:kern w:val="0"/>
                <w:sz w:val="24"/>
              </w:rPr>
              <w:t>厚度32m。主要岩性为紫红色钙质页岩夹灰白色薄至中厚层状隐晶质白云岩，紫红、灰绿色薄至中厚层状泥质灰岩。</w:t>
            </w:r>
          </w:p>
          <w:p>
            <w:pPr>
              <w:adjustRightInd w:val="0"/>
              <w:snapToGrid w:val="0"/>
              <w:spacing w:line="360" w:lineRule="auto"/>
              <w:ind w:firstLine="480" w:firstLineChars="200"/>
              <w:rPr>
                <w:kern w:val="0"/>
                <w:sz w:val="24"/>
              </w:rPr>
            </w:pPr>
            <w:r>
              <w:rPr>
                <w:rFonts w:hint="eastAsia"/>
                <w:kern w:val="0"/>
                <w:sz w:val="24"/>
              </w:rPr>
              <w:t>该矿层在</w:t>
            </w:r>
            <w:r>
              <w:rPr>
                <w:bCs/>
                <w:kern w:val="0"/>
                <w:sz w:val="24"/>
              </w:rPr>
              <w:t>三叠系下统嘉陵江组一段（T</w:t>
            </w:r>
            <w:r>
              <w:rPr>
                <w:bCs/>
                <w:kern w:val="0"/>
                <w:sz w:val="24"/>
                <w:vertAlign w:val="subscript"/>
              </w:rPr>
              <w:t>1</w:t>
            </w:r>
            <w:r>
              <w:rPr>
                <w:bCs/>
                <w:kern w:val="0"/>
                <w:sz w:val="24"/>
              </w:rPr>
              <w:t>j</w:t>
            </w:r>
            <w:r>
              <w:rPr>
                <w:bCs/>
                <w:kern w:val="0"/>
                <w:sz w:val="24"/>
                <w:vertAlign w:val="superscript"/>
              </w:rPr>
              <w:t>1</w:t>
            </w:r>
            <w:r>
              <w:rPr>
                <w:bCs/>
                <w:kern w:val="0"/>
                <w:sz w:val="24"/>
              </w:rPr>
              <w:t>）</w:t>
            </w:r>
            <w:r>
              <w:rPr>
                <w:rFonts w:hint="eastAsia"/>
                <w:kern w:val="0"/>
                <w:sz w:val="24"/>
              </w:rPr>
              <w:t>下方，划定采区开采标高内未见该矿层出露。</w:t>
            </w:r>
          </w:p>
          <w:p>
            <w:pPr>
              <w:adjustRightInd w:val="0"/>
              <w:snapToGrid w:val="0"/>
              <w:spacing w:line="360" w:lineRule="auto"/>
              <w:ind w:firstLine="480" w:firstLineChars="200"/>
              <w:rPr>
                <w:kern w:val="0"/>
                <w:sz w:val="24"/>
              </w:rPr>
            </w:pPr>
            <w:r>
              <w:rPr>
                <w:rFonts w:hint="eastAsia" w:ascii="宋体" w:hAnsi="宋体" w:cs="宋体"/>
                <w:kern w:val="0"/>
                <w:sz w:val="24"/>
              </w:rPr>
              <w:t>②</w:t>
            </w:r>
            <w:r>
              <w:rPr>
                <w:rFonts w:hint="eastAsia"/>
                <w:kern w:val="0"/>
                <w:sz w:val="24"/>
              </w:rPr>
              <w:t>含矿地层</w:t>
            </w:r>
          </w:p>
          <w:p>
            <w:pPr>
              <w:adjustRightInd w:val="0"/>
              <w:snapToGrid w:val="0"/>
              <w:spacing w:line="360" w:lineRule="auto"/>
              <w:ind w:firstLine="480" w:firstLineChars="200"/>
              <w:rPr>
                <w:kern w:val="0"/>
                <w:sz w:val="24"/>
              </w:rPr>
            </w:pPr>
            <w:r>
              <w:rPr>
                <w:kern w:val="0"/>
                <w:sz w:val="24"/>
              </w:rPr>
              <w:t>矿山开采的矿层位于</w:t>
            </w:r>
            <w:r>
              <w:rPr>
                <w:bCs/>
                <w:kern w:val="0"/>
                <w:sz w:val="24"/>
              </w:rPr>
              <w:t>三叠系下统嘉陵江组一段（T</w:t>
            </w:r>
            <w:r>
              <w:rPr>
                <w:bCs/>
                <w:kern w:val="0"/>
                <w:sz w:val="24"/>
                <w:vertAlign w:val="subscript"/>
              </w:rPr>
              <w:t>1</w:t>
            </w:r>
            <w:r>
              <w:rPr>
                <w:bCs/>
                <w:kern w:val="0"/>
                <w:sz w:val="24"/>
              </w:rPr>
              <w:t>j</w:t>
            </w:r>
            <w:r>
              <w:rPr>
                <w:bCs/>
                <w:kern w:val="0"/>
                <w:sz w:val="24"/>
                <w:vertAlign w:val="superscript"/>
              </w:rPr>
              <w:t>1</w:t>
            </w:r>
            <w:r>
              <w:rPr>
                <w:bCs/>
                <w:kern w:val="0"/>
                <w:sz w:val="24"/>
              </w:rPr>
              <w:t>）</w:t>
            </w:r>
            <w:r>
              <w:rPr>
                <w:kern w:val="0"/>
                <w:sz w:val="24"/>
              </w:rPr>
              <w:t>，矿石以</w:t>
            </w:r>
            <w:r>
              <w:rPr>
                <w:rFonts w:hint="eastAsia"/>
                <w:kern w:val="0"/>
                <w:sz w:val="24"/>
              </w:rPr>
              <w:t>灰～灰白色薄～中厚层状粉晶～细晶灰岩为主，其层位稳定，连续性好，形态简单，岩性单一。矿层厚约220</w:t>
            </w:r>
            <w:r>
              <w:rPr>
                <w:kern w:val="0"/>
                <w:sz w:val="24"/>
              </w:rPr>
              <w:t>m</w:t>
            </w:r>
            <w:r>
              <w:rPr>
                <w:rFonts w:hint="eastAsia"/>
                <w:kern w:val="0"/>
                <w:sz w:val="24"/>
              </w:rPr>
              <w:t>，为矿山开采矿层</w:t>
            </w:r>
            <w:r>
              <w:rPr>
                <w:kern w:val="0"/>
                <w:sz w:val="24"/>
              </w:rPr>
              <w:t>。</w:t>
            </w:r>
          </w:p>
          <w:p>
            <w:pPr>
              <w:adjustRightInd w:val="0"/>
              <w:snapToGrid w:val="0"/>
              <w:jc w:val="center"/>
              <w:rPr>
                <w:kern w:val="0"/>
                <w:sz w:val="24"/>
              </w:rPr>
            </w:pPr>
            <w:r>
              <w:drawing>
                <wp:inline distT="0" distB="0" distL="0" distR="0">
                  <wp:extent cx="4787900" cy="3488690"/>
                  <wp:effectExtent l="0" t="0" r="0" b="0"/>
                  <wp:docPr id="18836854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85437"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96214" cy="3495046"/>
                          </a:xfrm>
                          <a:prstGeom prst="rect">
                            <a:avLst/>
                          </a:prstGeom>
                          <a:noFill/>
                          <a:ln>
                            <a:noFill/>
                          </a:ln>
                        </pic:spPr>
                      </pic:pic>
                    </a:graphicData>
                  </a:graphic>
                </wp:inline>
              </w:drawing>
            </w:r>
          </w:p>
          <w:p>
            <w:pPr>
              <w:adjustRightInd w:val="0"/>
              <w:snapToGrid w:val="0"/>
              <w:spacing w:line="360" w:lineRule="auto"/>
              <w:jc w:val="center"/>
              <w:rPr>
                <w:b/>
                <w:kern w:val="0"/>
                <w:sz w:val="24"/>
              </w:rPr>
            </w:pPr>
            <w:r>
              <w:rPr>
                <w:b/>
                <w:kern w:val="0"/>
                <w:sz w:val="24"/>
              </w:rPr>
              <w:t>图2-</w:t>
            </w:r>
            <w:r>
              <w:rPr>
                <w:rFonts w:hint="eastAsia"/>
                <w:b/>
                <w:kern w:val="0"/>
                <w:sz w:val="24"/>
              </w:rPr>
              <w:t>3</w:t>
            </w:r>
            <w:r>
              <w:rPr>
                <w:b/>
                <w:kern w:val="0"/>
                <w:sz w:val="24"/>
              </w:rPr>
              <w:t xml:space="preserve">  地层综合柱状图</w:t>
            </w:r>
          </w:p>
          <w:p>
            <w:pPr>
              <w:adjustRightInd w:val="0"/>
              <w:snapToGrid w:val="0"/>
              <w:spacing w:line="360" w:lineRule="auto"/>
              <w:ind w:firstLine="482" w:firstLineChars="200"/>
              <w:rPr>
                <w:kern w:val="0"/>
                <w:sz w:val="24"/>
              </w:rPr>
            </w:pPr>
            <w:r>
              <w:rPr>
                <w:b/>
                <w:kern w:val="0"/>
                <w:sz w:val="24"/>
              </w:rPr>
              <w:t>6）</w:t>
            </w:r>
            <w:r>
              <w:rPr>
                <w:rFonts w:hint="eastAsia"/>
                <w:b/>
                <w:kern w:val="0"/>
                <w:sz w:val="24"/>
              </w:rPr>
              <w:t>开采矿层特征</w:t>
            </w:r>
          </w:p>
          <w:p>
            <w:pPr>
              <w:adjustRightInd w:val="0"/>
              <w:snapToGrid w:val="0"/>
              <w:spacing w:line="360" w:lineRule="auto"/>
              <w:ind w:firstLine="480" w:firstLineChars="200"/>
              <w:rPr>
                <w:kern w:val="0"/>
                <w:sz w:val="24"/>
              </w:rPr>
            </w:pPr>
            <w:r>
              <w:rPr>
                <w:rFonts w:hint="eastAsia"/>
                <w:kern w:val="0"/>
                <w:sz w:val="24"/>
              </w:rPr>
              <w:t>矿体呈层状产出，薄-中厚层状，无夹层存在。产状与围岩一致，倾向平均295°，倾角平均9°。矿层顶、底板岩性为石灰岩，差异不明显。大部分出露于地表，其表面为第四系残坡积物及植被覆盖。矿层沿倾向和走向岩性、厚度变化较小，空间延展距离长，分布稳定</w:t>
            </w:r>
            <w:r>
              <w:rPr>
                <w:kern w:val="0"/>
                <w:sz w:val="24"/>
              </w:rPr>
              <w:t>，适合露天开采</w:t>
            </w:r>
            <w:r>
              <w:rPr>
                <w:rFonts w:hint="eastAsia"/>
                <w:kern w:val="0"/>
                <w:sz w:val="24"/>
              </w:rPr>
              <w:t>。</w:t>
            </w:r>
          </w:p>
          <w:p>
            <w:pPr>
              <w:adjustRightInd w:val="0"/>
              <w:snapToGrid w:val="0"/>
              <w:spacing w:line="360" w:lineRule="auto"/>
              <w:ind w:firstLine="482" w:firstLineChars="200"/>
              <w:rPr>
                <w:kern w:val="0"/>
                <w:sz w:val="24"/>
              </w:rPr>
            </w:pPr>
            <w:r>
              <w:rPr>
                <w:b/>
                <w:kern w:val="0"/>
                <w:sz w:val="24"/>
              </w:rPr>
              <w:t>7）矿石质量</w:t>
            </w:r>
          </w:p>
          <w:p>
            <w:pPr>
              <w:adjustRightInd w:val="0"/>
              <w:snapToGrid w:val="0"/>
              <w:spacing w:line="360" w:lineRule="auto"/>
              <w:ind w:firstLine="480" w:firstLineChars="200"/>
              <w:rPr>
                <w:kern w:val="0"/>
                <w:sz w:val="24"/>
              </w:rPr>
            </w:pPr>
            <w:r>
              <w:rPr>
                <w:rFonts w:hint="eastAsia" w:ascii="宋体" w:hAnsi="宋体" w:cs="宋体"/>
                <w:kern w:val="0"/>
                <w:sz w:val="24"/>
              </w:rPr>
              <w:t>①</w:t>
            </w:r>
            <w:r>
              <w:rPr>
                <w:kern w:val="0"/>
                <w:sz w:val="24"/>
              </w:rPr>
              <w:t>物理、化学特性</w:t>
            </w:r>
          </w:p>
          <w:p>
            <w:pPr>
              <w:adjustRightInd w:val="0"/>
              <w:snapToGrid w:val="0"/>
              <w:spacing w:line="360" w:lineRule="auto"/>
              <w:ind w:firstLine="480" w:firstLineChars="200"/>
              <w:rPr>
                <w:kern w:val="0"/>
                <w:sz w:val="24"/>
              </w:rPr>
            </w:pPr>
            <w:r>
              <w:rPr>
                <w:kern w:val="0"/>
                <w:sz w:val="24"/>
              </w:rPr>
              <w:t>化学成分含量</w:t>
            </w:r>
            <w:r>
              <w:rPr>
                <w:rFonts w:hint="eastAsia"/>
                <w:kern w:val="0"/>
                <w:sz w:val="24"/>
              </w:rPr>
              <w:t>为CaO 53.03~52.27%、MgO 0.17%、Na</w:t>
            </w:r>
            <w:r>
              <w:rPr>
                <w:rFonts w:hint="eastAsia"/>
                <w:kern w:val="0"/>
                <w:sz w:val="24"/>
                <w:vertAlign w:val="subscript"/>
              </w:rPr>
              <w:t>2</w:t>
            </w:r>
            <w:r>
              <w:rPr>
                <w:rFonts w:hint="eastAsia"/>
                <w:kern w:val="0"/>
                <w:sz w:val="24"/>
              </w:rPr>
              <w:t>O 0.022~0.023%、全铁 0.56~0.62%、SiO</w:t>
            </w:r>
            <w:r>
              <w:rPr>
                <w:rFonts w:hint="eastAsia"/>
                <w:kern w:val="0"/>
                <w:sz w:val="24"/>
                <w:vertAlign w:val="subscript"/>
              </w:rPr>
              <w:t>2</w:t>
            </w:r>
            <w:r>
              <w:rPr>
                <w:rFonts w:hint="eastAsia"/>
                <w:kern w:val="0"/>
                <w:sz w:val="24"/>
              </w:rPr>
              <w:t xml:space="preserve"> 2.2~2.9%，MgO含量低于5%；</w:t>
            </w:r>
            <w:r>
              <w:rPr>
                <w:kern w:val="0"/>
                <w:sz w:val="24"/>
              </w:rPr>
              <w:t>项目矿石天然密度平均值2.7t/m</w:t>
            </w:r>
            <w:r>
              <w:rPr>
                <w:kern w:val="0"/>
                <w:sz w:val="24"/>
                <w:vertAlign w:val="superscript"/>
              </w:rPr>
              <w:t>3</w:t>
            </w:r>
            <w:r>
              <w:rPr>
                <w:kern w:val="0"/>
                <w:sz w:val="24"/>
              </w:rPr>
              <w:t>，饱和抗压强度为</w:t>
            </w:r>
            <w:r>
              <w:rPr>
                <w:rFonts w:hint="eastAsia"/>
                <w:kern w:val="0"/>
                <w:sz w:val="24"/>
              </w:rPr>
              <w:t>31～41</w:t>
            </w:r>
            <w:r>
              <w:rPr>
                <w:kern w:val="0"/>
                <w:sz w:val="24"/>
              </w:rPr>
              <w:t>MPa</w:t>
            </w:r>
            <w:r>
              <w:rPr>
                <w:rFonts w:hint="eastAsia"/>
                <w:kern w:val="0"/>
                <w:sz w:val="24"/>
              </w:rPr>
              <w:t>，属较坚硬石灰岩；由此，</w:t>
            </w:r>
            <w:r>
              <w:rPr>
                <w:kern w:val="0"/>
                <w:sz w:val="24"/>
              </w:rPr>
              <w:t>可用作</w:t>
            </w:r>
            <w:r>
              <w:rPr>
                <w:rFonts w:hint="eastAsia"/>
                <w:color w:val="0000FF"/>
                <w:kern w:val="0"/>
                <w:sz w:val="24"/>
              </w:rPr>
              <w:t>建筑石料用</w:t>
            </w:r>
            <w:r>
              <w:rPr>
                <w:kern w:val="0"/>
                <w:sz w:val="24"/>
              </w:rPr>
              <w:t>。</w:t>
            </w:r>
          </w:p>
          <w:p>
            <w:pPr>
              <w:adjustRightInd w:val="0"/>
              <w:snapToGrid w:val="0"/>
              <w:spacing w:line="360" w:lineRule="auto"/>
              <w:ind w:firstLine="480" w:firstLineChars="200"/>
              <w:rPr>
                <w:kern w:val="0"/>
                <w:sz w:val="24"/>
              </w:rPr>
            </w:pPr>
            <w:r>
              <w:rPr>
                <w:rFonts w:hint="eastAsia" w:ascii="宋体" w:hAnsi="宋体" w:cs="宋体"/>
                <w:kern w:val="0"/>
                <w:sz w:val="24"/>
              </w:rPr>
              <w:t>②</w:t>
            </w:r>
            <w:r>
              <w:rPr>
                <w:kern w:val="0"/>
                <w:sz w:val="24"/>
              </w:rPr>
              <w:t>其他有益矿产</w:t>
            </w:r>
          </w:p>
          <w:p>
            <w:pPr>
              <w:adjustRightInd w:val="0"/>
              <w:snapToGrid w:val="0"/>
              <w:spacing w:line="360" w:lineRule="auto"/>
              <w:ind w:firstLine="480" w:firstLineChars="200"/>
              <w:rPr>
                <w:kern w:val="0"/>
                <w:sz w:val="24"/>
              </w:rPr>
            </w:pPr>
            <w:r>
              <w:rPr>
                <w:kern w:val="0"/>
                <w:sz w:val="24"/>
              </w:rPr>
              <w:t>通过现场调查，矿区内未见其他共伴生有益矿产。</w:t>
            </w:r>
          </w:p>
          <w:p>
            <w:pPr>
              <w:adjustRightInd w:val="0"/>
              <w:snapToGrid w:val="0"/>
              <w:spacing w:line="360" w:lineRule="auto"/>
              <w:ind w:firstLine="482" w:firstLineChars="200"/>
              <w:rPr>
                <w:b/>
                <w:kern w:val="0"/>
                <w:sz w:val="24"/>
              </w:rPr>
            </w:pPr>
            <w:r>
              <w:rPr>
                <w:b/>
                <w:kern w:val="0"/>
                <w:sz w:val="24"/>
              </w:rPr>
              <w:t>8）矿山开采方法及开拓方式</w:t>
            </w:r>
          </w:p>
          <w:p>
            <w:pPr>
              <w:adjustRightInd w:val="0"/>
              <w:snapToGrid w:val="0"/>
              <w:spacing w:line="360" w:lineRule="auto"/>
              <w:ind w:firstLine="480" w:firstLineChars="200"/>
              <w:rPr>
                <w:kern w:val="0"/>
                <w:sz w:val="24"/>
              </w:rPr>
            </w:pPr>
            <w:r>
              <w:rPr>
                <w:rFonts w:hint="eastAsia" w:ascii="宋体" w:hAnsi="宋体" w:cs="宋体"/>
                <w:kern w:val="0"/>
                <w:sz w:val="24"/>
              </w:rPr>
              <w:t>①</w:t>
            </w:r>
            <w:r>
              <w:rPr>
                <w:kern w:val="0"/>
                <w:sz w:val="24"/>
              </w:rPr>
              <w:t>开采、开拓方式</w:t>
            </w:r>
          </w:p>
          <w:p>
            <w:pPr>
              <w:adjustRightInd w:val="0"/>
              <w:snapToGrid w:val="0"/>
              <w:spacing w:line="360" w:lineRule="auto"/>
              <w:ind w:firstLine="480" w:firstLineChars="200"/>
              <w:rPr>
                <w:kern w:val="0"/>
                <w:sz w:val="24"/>
              </w:rPr>
            </w:pPr>
            <w:r>
              <w:rPr>
                <w:rFonts w:hint="eastAsia"/>
                <w:kern w:val="0"/>
                <w:sz w:val="24"/>
              </w:rPr>
              <w:t>拟建项目矿区</w:t>
            </w:r>
            <w:r>
              <w:rPr>
                <w:kern w:val="0"/>
                <w:sz w:val="24"/>
              </w:rPr>
              <w:t>覆盖层较薄，矿体赋存在当地侵蚀基准面以上，设计采取山坡露天开采方式，由上至下水平台阶式开采，开采顺序由上而下，从顶到底，采用公路运输开拓的方案。</w:t>
            </w:r>
          </w:p>
          <w:p>
            <w:pPr>
              <w:adjustRightInd w:val="0"/>
              <w:snapToGrid w:val="0"/>
              <w:spacing w:line="360" w:lineRule="auto"/>
              <w:ind w:firstLine="480" w:firstLineChars="200"/>
              <w:rPr>
                <w:kern w:val="0"/>
                <w:sz w:val="24"/>
              </w:rPr>
            </w:pPr>
            <w:r>
              <w:rPr>
                <w:rFonts w:hint="eastAsia"/>
                <w:kern w:val="0"/>
                <w:sz w:val="24"/>
              </w:rPr>
              <w:t>建设单位委托重庆一三六地质队编制了《酉阳县陆合矿业有限责任公司酉阳县双泉乡大堡坡采石场525省道直观可视论证报告》，报告中提出了“直观可视采区覆盖仿真绿叶网+优化开采设计方案”解决矿区局部处于S525省道的直观可视问题，见附件18。</w:t>
            </w:r>
          </w:p>
          <w:p>
            <w:pPr>
              <w:adjustRightInd w:val="0"/>
              <w:snapToGrid w:val="0"/>
              <w:spacing w:line="360" w:lineRule="auto"/>
              <w:ind w:firstLine="480" w:firstLineChars="200"/>
              <w:rPr>
                <w:kern w:val="0"/>
                <w:sz w:val="24"/>
              </w:rPr>
            </w:pPr>
            <w:r>
              <w:rPr>
                <w:rFonts w:hint="eastAsia"/>
                <w:kern w:val="0"/>
                <w:sz w:val="24"/>
              </w:rPr>
              <w:t>“开发利用方案”结合“可视论证报告”数据，优化开采设计从反向开采的角度出发，矿区东部及已开采的顶部平台区为直观不可视区，则首先对西部直观可视采区采用仿真绿叶网进行覆盖，开采工作面自东向西、自中间向南北采掘，则每级台阶西侧可视边坡、西南侧及北东侧可视矿区为最后开采区域，在其未开采前，其7.5m开采台阶高度及附近植被可完美作为遮挡物遮挡采区内的开采作业活动，最后再清理西侧、西南侧、北东侧的剥离物，并拆除边坡地带的当级仿真绿叶网以完成该台阶的开采工作，布置方式见图2-4、图2-5。但在清理剥离物及仿真绿叶网时，随着剥离物的不断清运及绿叶网的揭开，面向侧省道侧的三角坡面会不断降低以至于无法遮挡挖掘机而将采矿活动暴露于S525省道的可视范围之内，项目采用挖掘施工，挖掘机高约3</w:t>
            </w:r>
            <w:r>
              <w:rPr>
                <w:kern w:val="0"/>
                <w:sz w:val="24"/>
              </w:rPr>
              <w:t>.5m</w:t>
            </w:r>
            <w:r>
              <w:rPr>
                <w:rFonts w:hint="eastAsia"/>
                <w:kern w:val="0"/>
                <w:sz w:val="24"/>
              </w:rPr>
              <w:t>，展臂后总高可达7.5</w:t>
            </w:r>
            <w:r>
              <w:rPr>
                <w:kern w:val="0"/>
                <w:sz w:val="24"/>
              </w:rPr>
              <w:t>m</w:t>
            </w:r>
            <w:r>
              <w:rPr>
                <w:rFonts w:hint="eastAsia"/>
                <w:kern w:val="0"/>
                <w:sz w:val="24"/>
              </w:rPr>
              <w:t>，在三角坡面总高低于3</w:t>
            </w:r>
            <w:r>
              <w:rPr>
                <w:kern w:val="0"/>
                <w:sz w:val="24"/>
              </w:rPr>
              <w:t>.5m</w:t>
            </w:r>
            <w:r>
              <w:rPr>
                <w:rFonts w:hint="eastAsia"/>
                <w:kern w:val="0"/>
                <w:sz w:val="24"/>
              </w:rPr>
              <w:t>时，可在其坡面前缘设置不低于3</w:t>
            </w:r>
            <w:r>
              <w:rPr>
                <w:kern w:val="0"/>
                <w:sz w:val="24"/>
              </w:rPr>
              <w:t>.5m</w:t>
            </w:r>
            <w:r>
              <w:rPr>
                <w:rFonts w:hint="eastAsia"/>
                <w:kern w:val="0"/>
                <w:sz w:val="24"/>
              </w:rPr>
              <w:t>的围栏以遮挡挖掘机，同时降低挖机高度，确保采掘活动不可视，围栏设置方式见图2-6。</w:t>
            </w:r>
          </w:p>
          <w:p>
            <w:pPr>
              <w:adjustRightInd w:val="0"/>
              <w:snapToGrid w:val="0"/>
              <w:spacing w:line="360" w:lineRule="auto"/>
              <w:ind w:firstLine="480" w:firstLineChars="200"/>
              <w:rPr>
                <w:kern w:val="0"/>
                <w:sz w:val="24"/>
              </w:rPr>
            </w:pPr>
            <w:r>
              <w:rPr>
                <w:rFonts w:hint="eastAsia"/>
                <w:kern w:val="0"/>
                <w:sz w:val="24"/>
              </w:rPr>
              <w:t>此外，在清理剥离物及仿真绿叶网前，需完成当级终了边坡的覆土复绿工作，落实边开采、边复垦，同时也使终了边坡不处于S525省道的直观可视范围，减少对路过行人视觉冲击，降低对周边景观的影响。</w:t>
            </w:r>
          </w:p>
          <w:p>
            <w:pPr>
              <w:adjustRightInd w:val="0"/>
              <w:snapToGrid w:val="0"/>
              <w:rPr>
                <w:kern w:val="0"/>
                <w:sz w:val="24"/>
              </w:rPr>
            </w:pPr>
            <w:r>
              <w:drawing>
                <wp:inline distT="0" distB="0" distL="0" distR="0">
                  <wp:extent cx="5748020" cy="4148455"/>
                  <wp:effectExtent l="0" t="0" r="5080" b="4445"/>
                  <wp:docPr id="8362350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35015" name="图片 1"/>
                          <pic:cNvPicPr>
                            <a:picLocks noChangeAspect="1"/>
                          </pic:cNvPicPr>
                        </pic:nvPicPr>
                        <pic:blipFill>
                          <a:blip r:embed="rId11" cstate="print"/>
                          <a:stretch>
                            <a:fillRect/>
                          </a:stretch>
                        </pic:blipFill>
                        <pic:spPr>
                          <a:xfrm>
                            <a:off x="0" y="0"/>
                            <a:ext cx="5759134" cy="4156552"/>
                          </a:xfrm>
                          <a:prstGeom prst="rect">
                            <a:avLst/>
                          </a:prstGeom>
                        </pic:spPr>
                      </pic:pic>
                    </a:graphicData>
                  </a:graphic>
                </wp:inline>
              </w:drawing>
            </w:r>
          </w:p>
          <w:p>
            <w:pPr>
              <w:adjustRightInd w:val="0"/>
              <w:snapToGrid w:val="0"/>
              <w:jc w:val="center"/>
              <w:rPr>
                <w:b/>
                <w:kern w:val="0"/>
                <w:sz w:val="24"/>
              </w:rPr>
            </w:pPr>
            <w:r>
              <w:rPr>
                <w:rFonts w:hint="eastAsia"/>
                <w:b/>
                <w:kern w:val="0"/>
                <w:sz w:val="24"/>
              </w:rPr>
              <w:t>图2-4  矿区内可视范围、工程覆盖区及开采方向示意图</w:t>
            </w:r>
          </w:p>
          <w:p>
            <w:pPr>
              <w:adjustRightInd w:val="0"/>
              <w:snapToGrid w:val="0"/>
              <w:rPr>
                <w:kern w:val="0"/>
                <w:sz w:val="24"/>
              </w:rPr>
            </w:pPr>
            <w:r>
              <w:drawing>
                <wp:inline distT="0" distB="0" distL="0" distR="0">
                  <wp:extent cx="5752465" cy="2815590"/>
                  <wp:effectExtent l="0" t="0" r="635" b="3810"/>
                  <wp:docPr id="16490047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04721" name="图片 9"/>
                          <pic:cNvPicPr>
                            <a:picLocks noChangeAspect="1" noChangeArrowheads="1"/>
                          </pic:cNvPicPr>
                        </pic:nvPicPr>
                        <pic:blipFill>
                          <a:blip r:embed="rId12" cstate="print"/>
                          <a:srcRect/>
                          <a:stretch>
                            <a:fillRect/>
                          </a:stretch>
                        </pic:blipFill>
                        <pic:spPr>
                          <a:xfrm>
                            <a:off x="0" y="0"/>
                            <a:ext cx="5764229" cy="2821787"/>
                          </a:xfrm>
                          <a:prstGeom prst="rect">
                            <a:avLst/>
                          </a:prstGeom>
                          <a:noFill/>
                          <a:ln>
                            <a:noFill/>
                          </a:ln>
                        </pic:spPr>
                      </pic:pic>
                    </a:graphicData>
                  </a:graphic>
                </wp:inline>
              </w:drawing>
            </w:r>
          </w:p>
          <w:p>
            <w:pPr>
              <w:adjustRightInd w:val="0"/>
              <w:snapToGrid w:val="0"/>
              <w:jc w:val="center"/>
              <w:rPr>
                <w:b/>
                <w:kern w:val="0"/>
                <w:sz w:val="24"/>
              </w:rPr>
            </w:pPr>
            <w:r>
              <w:rPr>
                <w:rFonts w:hint="eastAsia"/>
                <w:b/>
                <w:kern w:val="0"/>
                <w:sz w:val="24"/>
              </w:rPr>
              <w:t>图2-5  反向开采推进剖面示意图</w:t>
            </w:r>
          </w:p>
          <w:p>
            <w:pPr>
              <w:adjustRightInd w:val="0"/>
              <w:snapToGrid w:val="0"/>
              <w:jc w:val="center"/>
              <w:rPr>
                <w:b/>
                <w:kern w:val="0"/>
                <w:sz w:val="24"/>
              </w:rPr>
            </w:pPr>
            <w:r>
              <w:drawing>
                <wp:inline distT="0" distB="0" distL="0" distR="0">
                  <wp:extent cx="5711190" cy="2125345"/>
                  <wp:effectExtent l="0" t="0" r="3810" b="8255"/>
                  <wp:docPr id="1994593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9380"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26532" cy="2131469"/>
                          </a:xfrm>
                          <a:prstGeom prst="rect">
                            <a:avLst/>
                          </a:prstGeom>
                          <a:noFill/>
                          <a:ln>
                            <a:noFill/>
                          </a:ln>
                        </pic:spPr>
                      </pic:pic>
                    </a:graphicData>
                  </a:graphic>
                </wp:inline>
              </w:drawing>
            </w:r>
          </w:p>
          <w:p>
            <w:pPr>
              <w:adjustRightInd w:val="0"/>
              <w:snapToGrid w:val="0"/>
              <w:jc w:val="center"/>
              <w:rPr>
                <w:b/>
                <w:kern w:val="0"/>
                <w:sz w:val="24"/>
              </w:rPr>
            </w:pPr>
            <w:r>
              <w:rPr>
                <w:rFonts w:hint="eastAsia"/>
                <w:b/>
                <w:kern w:val="0"/>
                <w:sz w:val="24"/>
              </w:rPr>
              <w:t>图2-6  围栏设置示意图</w:t>
            </w:r>
          </w:p>
          <w:p>
            <w:pPr>
              <w:adjustRightInd w:val="0"/>
              <w:snapToGrid w:val="0"/>
              <w:jc w:val="center"/>
              <w:rPr>
                <w:b/>
                <w:kern w:val="0"/>
                <w:sz w:val="24"/>
              </w:rPr>
            </w:pPr>
            <w:r>
              <w:rPr>
                <w:b/>
                <w:kern w:val="0"/>
                <w:sz w:val="28"/>
                <w:szCs w:val="28"/>
              </w:rPr>
              <w:drawing>
                <wp:inline distT="0" distB="0" distL="0" distR="0">
                  <wp:extent cx="2722880" cy="2319655"/>
                  <wp:effectExtent l="19050" t="19050" r="20320" b="23495"/>
                  <wp:docPr id="21375466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46608" name="图片 5"/>
                          <pic:cNvPicPr>
                            <a:picLocks noChangeAspect="1" noChangeArrowheads="1"/>
                          </pic:cNvPicPr>
                        </pic:nvPicPr>
                        <pic:blipFill>
                          <a:blip r:embed="rId14" cstate="print"/>
                          <a:srcRect/>
                          <a:stretch>
                            <a:fillRect/>
                          </a:stretch>
                        </pic:blipFill>
                        <pic:spPr>
                          <a:xfrm>
                            <a:off x="0" y="0"/>
                            <a:ext cx="2732732" cy="2328262"/>
                          </a:xfrm>
                          <a:prstGeom prst="rect">
                            <a:avLst/>
                          </a:prstGeom>
                          <a:noFill/>
                          <a:ln w="12700">
                            <a:solidFill>
                              <a:srgbClr val="000000"/>
                            </a:solidFill>
                            <a:miter lim="800000"/>
                            <a:headEnd/>
                            <a:tailEnd/>
                          </a:ln>
                          <a:effectLst/>
                        </pic:spPr>
                      </pic:pic>
                    </a:graphicData>
                  </a:graphic>
                </wp:inline>
              </w:drawing>
            </w:r>
            <w:r>
              <w:drawing>
                <wp:inline distT="0" distB="0" distL="0" distR="0">
                  <wp:extent cx="2750185" cy="2332355"/>
                  <wp:effectExtent l="19050" t="19050" r="12065" b="10795"/>
                  <wp:docPr id="4445710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71076" name="图片 6"/>
                          <pic:cNvPicPr>
                            <a:picLocks noChangeAspect="1" noChangeArrowheads="1"/>
                          </pic:cNvPicPr>
                        </pic:nvPicPr>
                        <pic:blipFill>
                          <a:blip r:embed="rId15" cstate="print"/>
                          <a:srcRect/>
                          <a:stretch>
                            <a:fillRect/>
                          </a:stretch>
                        </pic:blipFill>
                        <pic:spPr>
                          <a:xfrm>
                            <a:off x="0" y="0"/>
                            <a:ext cx="2765756" cy="2346087"/>
                          </a:xfrm>
                          <a:prstGeom prst="rect">
                            <a:avLst/>
                          </a:prstGeom>
                          <a:noFill/>
                          <a:ln w="12700" cmpd="sng">
                            <a:solidFill>
                              <a:srgbClr val="000000"/>
                            </a:solidFill>
                            <a:miter lim="800000"/>
                            <a:headEnd/>
                            <a:tailEnd/>
                          </a:ln>
                          <a:effectLst/>
                        </pic:spPr>
                      </pic:pic>
                    </a:graphicData>
                  </a:graphic>
                </wp:inline>
              </w:drawing>
            </w:r>
          </w:p>
          <w:p>
            <w:pPr>
              <w:adjustRightInd w:val="0"/>
              <w:snapToGrid w:val="0"/>
              <w:spacing w:line="360" w:lineRule="auto"/>
              <w:jc w:val="center"/>
              <w:rPr>
                <w:b/>
                <w:kern w:val="0"/>
                <w:sz w:val="24"/>
              </w:rPr>
            </w:pPr>
            <w:r>
              <w:rPr>
                <w:rFonts w:hint="eastAsia"/>
                <w:b/>
                <w:kern w:val="0"/>
                <w:sz w:val="24"/>
              </w:rPr>
              <w:t>图2-7  18特大叶仿真绿叶网                图2-8  挂网效果示意图</w:t>
            </w:r>
          </w:p>
          <w:p>
            <w:pPr>
              <w:adjustRightInd w:val="0"/>
              <w:snapToGrid w:val="0"/>
              <w:spacing w:line="360" w:lineRule="auto"/>
              <w:ind w:firstLine="480" w:firstLineChars="200"/>
              <w:rPr>
                <w:kern w:val="0"/>
                <w:sz w:val="24"/>
              </w:rPr>
            </w:pPr>
            <w:r>
              <w:rPr>
                <w:rFonts w:hint="eastAsia"/>
                <w:kern w:val="0"/>
                <w:sz w:val="24"/>
              </w:rPr>
              <w:t>根据“开发利用方案”，沿矿山东南侧现有场内运输道路继续向前开拓115m至矿山顶部，矿区开采标高+853m～+750m，其中+840m标高以上区域6416m</w:t>
            </w:r>
            <w:r>
              <w:rPr>
                <w:rFonts w:hint="eastAsia"/>
                <w:kern w:val="0"/>
                <w:sz w:val="24"/>
                <w:vertAlign w:val="superscript"/>
              </w:rPr>
              <w:t>2</w:t>
            </w:r>
            <w:r>
              <w:rPr>
                <w:rFonts w:hint="eastAsia"/>
                <w:kern w:val="0"/>
                <w:sz w:val="24"/>
              </w:rPr>
              <w:t>，平均高度仅5.1m，资源量少，且工作线较短，开采前需做剥顶处理，以形成首采作业面，剥离工序纳入施工期，则首采工作面标高为+840m；首采工作面推进方向由北向东、南、西方向推进，当同时推至东、南、西边界时，再集中清理东、南、西边界剩余矿石，下级台阶开采也是同样从北向东、南、西方向推进。最后在矿山边坡形成+825m、+810m、+795m、+780m、+765m五级台阶，+750m为矿山开采底盘（由于储量报告中2-2’剖面线出让标高为+786m，则矿区中部开采底盘为+786m平台）。</w:t>
            </w:r>
          </w:p>
          <w:p>
            <w:pPr>
              <w:adjustRightInd w:val="0"/>
              <w:snapToGrid w:val="0"/>
              <w:spacing w:line="360" w:lineRule="auto"/>
              <w:ind w:firstLine="480" w:firstLineChars="200"/>
              <w:rPr>
                <w:kern w:val="0"/>
                <w:sz w:val="24"/>
              </w:rPr>
            </w:pPr>
            <w:r>
              <w:rPr>
                <w:rFonts w:hint="eastAsia" w:ascii="宋体" w:hAnsi="宋体" w:cs="宋体"/>
                <w:kern w:val="0"/>
                <w:sz w:val="24"/>
              </w:rPr>
              <w:t>②</w:t>
            </w:r>
            <w:r>
              <w:rPr>
                <w:kern w:val="0"/>
                <w:sz w:val="24"/>
              </w:rPr>
              <w:t>开采工作面的布置</w:t>
            </w:r>
          </w:p>
          <w:p>
            <w:pPr>
              <w:adjustRightInd w:val="0"/>
              <w:snapToGrid w:val="0"/>
              <w:spacing w:line="360" w:lineRule="auto"/>
              <w:ind w:firstLine="480" w:firstLineChars="200"/>
              <w:rPr>
                <w:kern w:val="0"/>
                <w:sz w:val="24"/>
              </w:rPr>
            </w:pPr>
            <w:r>
              <w:rPr>
                <w:kern w:val="0"/>
                <w:sz w:val="24"/>
              </w:rPr>
              <w:t>根据矿床赋存特点，设计从</w:t>
            </w:r>
            <w:r>
              <w:rPr>
                <w:rFonts w:hint="eastAsia"/>
                <w:kern w:val="0"/>
                <w:sz w:val="24"/>
              </w:rPr>
              <w:t>矿区西南侧</w:t>
            </w:r>
            <w:r>
              <w:rPr>
                <w:kern w:val="0"/>
                <w:sz w:val="24"/>
              </w:rPr>
              <w:t>工业广场引线</w:t>
            </w:r>
            <w:r>
              <w:rPr>
                <w:rFonts w:hint="eastAsia"/>
                <w:kern w:val="0"/>
                <w:sz w:val="24"/>
              </w:rPr>
              <w:t>，沿等高线布设引入首采工作面</w:t>
            </w:r>
            <w:r>
              <w:rPr>
                <w:kern w:val="0"/>
                <w:sz w:val="24"/>
              </w:rPr>
              <w:t>。开采工作面斜交或垂直走向布置，沿走向推进的切向采掘法开采。</w:t>
            </w:r>
            <w:r>
              <w:rPr>
                <w:rFonts w:hint="eastAsia"/>
                <w:kern w:val="0"/>
                <w:sz w:val="24"/>
              </w:rPr>
              <w:t>采区</w:t>
            </w:r>
            <w:r>
              <w:rPr>
                <w:kern w:val="0"/>
                <w:sz w:val="24"/>
              </w:rPr>
              <w:t>设</w:t>
            </w:r>
            <w:r>
              <w:rPr>
                <w:rFonts w:hint="eastAsia"/>
                <w:kern w:val="0"/>
                <w:sz w:val="24"/>
              </w:rPr>
              <w:t>1</w:t>
            </w:r>
            <w:r>
              <w:rPr>
                <w:kern w:val="0"/>
                <w:sz w:val="24"/>
              </w:rPr>
              <w:t>个开采作业面进行开采，</w:t>
            </w:r>
            <w:r>
              <w:rPr>
                <w:rFonts w:hint="eastAsia"/>
                <w:kern w:val="0"/>
                <w:sz w:val="24"/>
              </w:rPr>
              <w:t>终了台阶高度15m（开采台阶高度为7.5m，两个开采台阶并段为一个终了台阶），安全平台3m，清扫平台6m（+795m标高留设清扫平台）。设计固定边坡与矿权边界一致，最大限度利用矿区范围内矿产资源。</w:t>
            </w:r>
          </w:p>
          <w:p>
            <w:pPr>
              <w:adjustRightInd w:val="0"/>
              <w:snapToGrid w:val="0"/>
              <w:spacing w:line="360" w:lineRule="auto"/>
              <w:ind w:firstLine="480" w:firstLineChars="200"/>
              <w:rPr>
                <w:kern w:val="0"/>
                <w:sz w:val="24"/>
              </w:rPr>
            </w:pPr>
            <w:r>
              <w:rPr>
                <w:rFonts w:hint="eastAsia" w:ascii="宋体" w:hAnsi="宋体" w:cs="宋体"/>
                <w:kern w:val="0"/>
                <w:sz w:val="24"/>
              </w:rPr>
              <w:t>③</w:t>
            </w:r>
            <w:r>
              <w:rPr>
                <w:kern w:val="0"/>
                <w:sz w:val="24"/>
              </w:rPr>
              <w:t>台阶坡面角与最终边坡角</w:t>
            </w:r>
          </w:p>
          <w:p>
            <w:pPr>
              <w:adjustRightInd w:val="0"/>
              <w:snapToGrid w:val="0"/>
              <w:spacing w:line="360" w:lineRule="auto"/>
              <w:ind w:firstLine="480" w:firstLineChars="200"/>
              <w:rPr>
                <w:kern w:val="0"/>
                <w:sz w:val="24"/>
              </w:rPr>
            </w:pPr>
            <w:r>
              <w:rPr>
                <w:rFonts w:hint="eastAsia"/>
                <w:kern w:val="0"/>
                <w:sz w:val="24"/>
              </w:rPr>
              <w:t>矿区西部为反向坡、北部为切向坡、东部为顺向坡。切向坡、反向坡台阶工作坡面角≤60°，其最终边坡角≤45°；顺向坡台阶工作坡面角≤岩层倾角，最终边坡角≤16°。工作面最小宽度30m</w:t>
            </w:r>
            <w:r>
              <w:rPr>
                <w:kern w:val="0"/>
                <w:sz w:val="24"/>
              </w:rPr>
              <w:t>。</w:t>
            </w:r>
          </w:p>
          <w:p>
            <w:pPr>
              <w:adjustRightInd w:val="0"/>
              <w:snapToGrid w:val="0"/>
              <w:spacing w:line="360" w:lineRule="auto"/>
              <w:ind w:firstLine="482" w:firstLineChars="200"/>
              <w:rPr>
                <w:b/>
                <w:kern w:val="0"/>
                <w:sz w:val="24"/>
              </w:rPr>
            </w:pPr>
            <w:r>
              <w:rPr>
                <w:b/>
                <w:kern w:val="0"/>
                <w:sz w:val="24"/>
              </w:rPr>
              <w:t>9）开采方式</w:t>
            </w:r>
            <w:r>
              <w:rPr>
                <w:rFonts w:hint="eastAsia"/>
                <w:b/>
                <w:kern w:val="0"/>
                <w:sz w:val="24"/>
              </w:rPr>
              <w:t>及搬迁安置</w:t>
            </w:r>
          </w:p>
          <w:p>
            <w:pPr>
              <w:adjustRightInd w:val="0"/>
              <w:snapToGrid w:val="0"/>
              <w:spacing w:line="360" w:lineRule="auto"/>
              <w:ind w:firstLine="480" w:firstLineChars="200"/>
              <w:rPr>
                <w:kern w:val="0"/>
                <w:sz w:val="24"/>
              </w:rPr>
            </w:pPr>
            <w:r>
              <w:rPr>
                <w:kern w:val="0"/>
                <w:sz w:val="24"/>
              </w:rPr>
              <w:t>拟建项目采区炮孔布置采用三角形布孔；炮孔为斜孔，斜向坡面，倾角与坡面一致，第二排炮孔与第一排炮孔错开。爆破顺序采用多排微差爆破技术，为了减少厂区设置炸药库带来的不安全因素及考虑到炸药库的管理成本</w:t>
            </w:r>
            <w:r>
              <w:rPr>
                <w:rFonts w:hint="eastAsia"/>
                <w:kern w:val="0"/>
                <w:sz w:val="24"/>
              </w:rPr>
              <w:t>、爆破施工的专业性</w:t>
            </w:r>
            <w:r>
              <w:rPr>
                <w:kern w:val="0"/>
                <w:sz w:val="24"/>
              </w:rPr>
              <w:t>等各种因素，</w:t>
            </w:r>
            <w:r>
              <w:rPr>
                <w:rFonts w:hint="eastAsia"/>
                <w:kern w:val="0"/>
                <w:sz w:val="24"/>
              </w:rPr>
              <w:t>建设单位</w:t>
            </w:r>
            <w:r>
              <w:rPr>
                <w:kern w:val="0"/>
                <w:sz w:val="24"/>
              </w:rPr>
              <w:t>委托第三方有资质的爆破公司进行爆破</w:t>
            </w:r>
            <w:r>
              <w:rPr>
                <w:rFonts w:hint="eastAsia"/>
                <w:kern w:val="0"/>
                <w:sz w:val="24"/>
              </w:rPr>
              <w:t>施工</w:t>
            </w:r>
            <w:r>
              <w:rPr>
                <w:kern w:val="0"/>
                <w:sz w:val="24"/>
              </w:rPr>
              <w:t>，不自行爆破</w:t>
            </w:r>
            <w:r>
              <w:rPr>
                <w:rFonts w:hint="eastAsia"/>
                <w:kern w:val="0"/>
                <w:sz w:val="24"/>
              </w:rPr>
              <w:t>；也不在厂区设置炸药库，全权委托爆破公司至</w:t>
            </w:r>
            <w:r>
              <w:rPr>
                <w:kern w:val="0"/>
                <w:sz w:val="24"/>
              </w:rPr>
              <w:t>当地公安部门审核批准的区民爆服务站</w:t>
            </w:r>
            <w:r>
              <w:rPr>
                <w:rFonts w:hint="eastAsia"/>
                <w:kern w:val="0"/>
                <w:sz w:val="24"/>
              </w:rPr>
              <w:t>代运、代购爆破</w:t>
            </w:r>
            <w:r>
              <w:rPr>
                <w:kern w:val="0"/>
                <w:sz w:val="24"/>
              </w:rPr>
              <w:t>物品</w:t>
            </w:r>
            <w:r>
              <w:rPr>
                <w:rFonts w:hint="eastAsia"/>
                <w:kern w:val="0"/>
                <w:sz w:val="24"/>
              </w:rPr>
              <w:t>，建设单位</w:t>
            </w:r>
            <w:r>
              <w:rPr>
                <w:kern w:val="0"/>
                <w:sz w:val="24"/>
              </w:rPr>
              <w:t>不负责民爆物品的储存及运输。</w:t>
            </w:r>
          </w:p>
          <w:p>
            <w:pPr>
              <w:adjustRightInd w:val="0"/>
              <w:snapToGrid w:val="0"/>
              <w:spacing w:line="360" w:lineRule="auto"/>
              <w:ind w:firstLine="480" w:firstLineChars="200"/>
              <w:rPr>
                <w:kern w:val="0"/>
                <w:sz w:val="24"/>
              </w:rPr>
            </w:pPr>
            <w:r>
              <w:rPr>
                <w:rFonts w:hint="eastAsia"/>
                <w:kern w:val="0"/>
                <w:sz w:val="24"/>
              </w:rPr>
              <w:t>经调查，矿界外3</w:t>
            </w:r>
            <w:r>
              <w:rPr>
                <w:kern w:val="0"/>
                <w:sz w:val="24"/>
              </w:rPr>
              <w:t>00m范围内</w:t>
            </w:r>
            <w:r>
              <w:rPr>
                <w:rFonts w:hint="eastAsia"/>
                <w:kern w:val="0"/>
                <w:sz w:val="24"/>
              </w:rPr>
              <w:t>原有9户居民住宅，因原项目开采规模为20万t/a，为小型矿山，其在爆破施工作业时，需设置300m的安全防护距离，对此，建设单位已将矿界300m范围内居民房屋全部进行了购买腾空，房屋功能属性已发生变化，由此，拟建项目施工、开采期间矿区</w:t>
            </w:r>
            <w:r>
              <w:rPr>
                <w:kern w:val="0"/>
                <w:sz w:val="24"/>
              </w:rPr>
              <w:t>边界</w:t>
            </w:r>
            <w:r>
              <w:rPr>
                <w:rFonts w:hint="eastAsia"/>
                <w:kern w:val="0"/>
                <w:sz w:val="24"/>
              </w:rPr>
              <w:t>3</w:t>
            </w:r>
            <w:r>
              <w:rPr>
                <w:kern w:val="0"/>
                <w:sz w:val="24"/>
              </w:rPr>
              <w:t>00m范围内</w:t>
            </w:r>
            <w:r>
              <w:rPr>
                <w:rFonts w:hint="eastAsia"/>
                <w:kern w:val="0"/>
                <w:sz w:val="24"/>
              </w:rPr>
              <w:t>无居民住宅</w:t>
            </w:r>
            <w:r>
              <w:rPr>
                <w:kern w:val="0"/>
                <w:sz w:val="24"/>
              </w:rPr>
              <w:t>。</w:t>
            </w:r>
            <w:r>
              <w:rPr>
                <w:rFonts w:hint="eastAsia"/>
                <w:kern w:val="0"/>
                <w:sz w:val="24"/>
              </w:rPr>
              <w:t>同时</w:t>
            </w:r>
            <w:r>
              <w:rPr>
                <w:kern w:val="0"/>
                <w:sz w:val="24"/>
              </w:rPr>
              <w:t>结合后文的环境影响分析，</w:t>
            </w:r>
            <w:r>
              <w:rPr>
                <w:rFonts w:hint="eastAsia"/>
                <w:kern w:val="0"/>
                <w:sz w:val="24"/>
              </w:rPr>
              <w:t>在落实本次评价提出的各项环保治理措施的前提下，</w:t>
            </w:r>
            <w:r>
              <w:rPr>
                <w:kern w:val="0"/>
                <w:sz w:val="24"/>
              </w:rPr>
              <w:t>项目施工、</w:t>
            </w:r>
            <w:r>
              <w:rPr>
                <w:rFonts w:hint="eastAsia"/>
                <w:kern w:val="0"/>
                <w:sz w:val="24"/>
              </w:rPr>
              <w:t>开采期间产生的噪声、废水等污染源</w:t>
            </w:r>
            <w:r>
              <w:rPr>
                <w:kern w:val="0"/>
                <w:sz w:val="24"/>
              </w:rPr>
              <w:t>对周边其他现状环境保护目标的影响均较小、可控。由此，拟建项目无需进行额外的环保搬迁。</w:t>
            </w:r>
          </w:p>
          <w:p>
            <w:pPr>
              <w:adjustRightInd w:val="0"/>
              <w:snapToGrid w:val="0"/>
              <w:spacing w:line="360" w:lineRule="auto"/>
              <w:ind w:firstLine="482" w:firstLineChars="200"/>
              <w:rPr>
                <w:b/>
                <w:kern w:val="0"/>
                <w:sz w:val="24"/>
              </w:rPr>
            </w:pPr>
            <w:r>
              <w:rPr>
                <w:b/>
                <w:kern w:val="0"/>
                <w:sz w:val="24"/>
              </w:rPr>
              <w:t>（3）主要组成情况</w:t>
            </w:r>
          </w:p>
          <w:p>
            <w:pPr>
              <w:adjustRightInd w:val="0"/>
              <w:snapToGrid w:val="0"/>
              <w:spacing w:line="360" w:lineRule="auto"/>
              <w:ind w:firstLine="480" w:firstLineChars="200"/>
              <w:rPr>
                <w:kern w:val="0"/>
                <w:sz w:val="24"/>
              </w:rPr>
            </w:pPr>
            <w:r>
              <w:rPr>
                <w:kern w:val="0"/>
                <w:sz w:val="24"/>
              </w:rPr>
              <w:t>拟建项目主要包括主体工程、辅助工程、储运工程、公用工程和环保工程五部分，详见表2-</w:t>
            </w:r>
            <w:r>
              <w:rPr>
                <w:rFonts w:hint="eastAsia"/>
                <w:kern w:val="0"/>
                <w:sz w:val="24"/>
              </w:rPr>
              <w:t>7</w:t>
            </w:r>
            <w:r>
              <w:rPr>
                <w:kern w:val="0"/>
                <w:sz w:val="24"/>
              </w:rPr>
              <w:t>。</w:t>
            </w:r>
          </w:p>
          <w:p>
            <w:pPr>
              <w:adjustRightInd w:val="0"/>
              <w:snapToGrid w:val="0"/>
              <w:jc w:val="center"/>
              <w:rPr>
                <w:b/>
                <w:kern w:val="0"/>
                <w:sz w:val="24"/>
              </w:rPr>
            </w:pPr>
            <w:r>
              <w:rPr>
                <w:b/>
                <w:kern w:val="0"/>
                <w:sz w:val="24"/>
              </w:rPr>
              <w:t>表2-</w:t>
            </w:r>
            <w:r>
              <w:rPr>
                <w:rFonts w:hint="eastAsia"/>
                <w:b/>
                <w:kern w:val="0"/>
                <w:sz w:val="24"/>
              </w:rPr>
              <w:t>7</w:t>
            </w:r>
            <w:r>
              <w:rPr>
                <w:b/>
                <w:kern w:val="0"/>
                <w:sz w:val="24"/>
              </w:rPr>
              <w:t xml:space="preserve">  拟建项目主要组成情况一览表</w:t>
            </w:r>
          </w:p>
          <w:tbl>
            <w:tblPr>
              <w:tblStyle w:val="15"/>
              <w:tblW w:w="903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9"/>
              <w:gridCol w:w="637"/>
              <w:gridCol w:w="1301"/>
              <w:gridCol w:w="5755"/>
              <w:gridCol w:w="9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Align w:val="center"/>
                </w:tcPr>
                <w:p>
                  <w:pPr>
                    <w:pStyle w:val="42"/>
                  </w:pPr>
                  <w:r>
                    <w:rPr>
                      <w:rFonts w:hint="eastAsia"/>
                    </w:rPr>
                    <w:t>分类</w:t>
                  </w:r>
                </w:p>
              </w:tc>
              <w:tc>
                <w:tcPr>
                  <w:tcW w:w="1938" w:type="dxa"/>
                  <w:gridSpan w:val="2"/>
                  <w:vAlign w:val="center"/>
                </w:tcPr>
                <w:p>
                  <w:pPr>
                    <w:pStyle w:val="42"/>
                  </w:pPr>
                  <w:r>
                    <w:t>单项工程</w:t>
                  </w:r>
                </w:p>
              </w:tc>
              <w:tc>
                <w:tcPr>
                  <w:tcW w:w="5755" w:type="dxa"/>
                  <w:vAlign w:val="center"/>
                </w:tcPr>
                <w:p>
                  <w:pPr>
                    <w:pStyle w:val="42"/>
                  </w:pPr>
                  <w:r>
                    <w:t>主要工程内容</w:t>
                  </w:r>
                </w:p>
              </w:tc>
              <w:tc>
                <w:tcPr>
                  <w:tcW w:w="916" w:type="dxa"/>
                  <w:vAlign w:val="center"/>
                </w:tcPr>
                <w:p>
                  <w:pPr>
                    <w:pStyle w:val="42"/>
                  </w:pPr>
                  <w: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restart"/>
                  <w:vAlign w:val="center"/>
                </w:tcPr>
                <w:p>
                  <w:pPr>
                    <w:pStyle w:val="42"/>
                  </w:pPr>
                  <w:r>
                    <w:t>主体工程</w:t>
                  </w:r>
                </w:p>
              </w:tc>
              <w:tc>
                <w:tcPr>
                  <w:tcW w:w="1938" w:type="dxa"/>
                  <w:gridSpan w:val="2"/>
                  <w:vAlign w:val="center"/>
                </w:tcPr>
                <w:p>
                  <w:pPr>
                    <w:pStyle w:val="42"/>
                  </w:pPr>
                  <w:r>
                    <w:rPr>
                      <w:rFonts w:hint="eastAsia"/>
                    </w:rPr>
                    <w:t>开采区</w:t>
                  </w:r>
                </w:p>
              </w:tc>
              <w:tc>
                <w:tcPr>
                  <w:tcW w:w="5755" w:type="dxa"/>
                  <w:vAlign w:val="center"/>
                </w:tcPr>
                <w:p>
                  <w:pPr>
                    <w:pStyle w:val="42"/>
                    <w:ind w:firstLine="420" w:firstLineChars="200"/>
                    <w:jc w:val="both"/>
                  </w:pPr>
                  <w:r>
                    <w:t>矿区</w:t>
                  </w:r>
                  <w:r>
                    <w:rPr>
                      <w:rFonts w:hint="eastAsia"/>
                    </w:rPr>
                    <w:t>全部规划为开采区，</w:t>
                  </w:r>
                  <w:r>
                    <w:t>面积4.3620hm</w:t>
                  </w:r>
                  <w:r>
                    <w:rPr>
                      <w:vertAlign w:val="superscript"/>
                    </w:rPr>
                    <w:t>2</w:t>
                  </w:r>
                  <w:r>
                    <w:t>，开采规模</w:t>
                  </w:r>
                  <w:r>
                    <w:rPr>
                      <w:rFonts w:hint="eastAsia"/>
                    </w:rPr>
                    <w:t>51</w:t>
                  </w:r>
                  <w:r>
                    <w:t>万</w:t>
                  </w:r>
                  <w:r>
                    <w:rPr>
                      <w:rFonts w:hint="eastAsia"/>
                    </w:rPr>
                    <w:t>t</w:t>
                  </w:r>
                  <w:r>
                    <w:t>/a</w:t>
                  </w:r>
                  <w:r>
                    <w:rPr>
                      <w:rFonts w:hint="eastAsia"/>
                    </w:rPr>
                    <w:t>，矿区内共设1个采区，</w:t>
                  </w:r>
                  <w:r>
                    <w:t>开采标高</w:t>
                  </w:r>
                  <w:r>
                    <w:rPr>
                      <w:rFonts w:hint="eastAsia"/>
                    </w:rPr>
                    <w:t>+853m～+750m</w:t>
                  </w:r>
                  <w:r>
                    <w:t>，</w:t>
                  </w:r>
                  <w:r>
                    <w:rPr>
                      <w:rFonts w:hint="eastAsia"/>
                    </w:rPr>
                    <w:t>采高103m，开采台阶高度7.5m，两个开采台阶并段为一个终了台阶，终了台阶高度15m，</w:t>
                  </w:r>
                  <w:r>
                    <w:t>共</w:t>
                  </w:r>
                  <w:r>
                    <w:rPr>
                      <w:rFonts w:hint="eastAsia"/>
                    </w:rPr>
                    <w:t>10</w:t>
                  </w:r>
                  <w:r>
                    <w:t>个开采台阶</w:t>
                  </w:r>
                  <w:r>
                    <w:rPr>
                      <w:rFonts w:hint="eastAsia"/>
                    </w:rPr>
                    <w:t>、5个终了台阶</w:t>
                  </w:r>
                  <w:r>
                    <w:t>，</w:t>
                  </w:r>
                  <w:r>
                    <w:rPr>
                      <w:szCs w:val="21"/>
                    </w:rPr>
                    <w:t>首采面位于</w:t>
                  </w:r>
                  <w:r>
                    <w:rPr>
                      <w:rFonts w:hint="eastAsia"/>
                      <w:szCs w:val="21"/>
                    </w:rPr>
                    <w:t>矿区中东部山顶，面积6416m</w:t>
                  </w:r>
                  <w:r>
                    <w:rPr>
                      <w:rFonts w:hint="eastAsia"/>
                      <w:szCs w:val="21"/>
                      <w:vertAlign w:val="superscript"/>
                    </w:rPr>
                    <w:t>2</w:t>
                  </w:r>
                  <w:r>
                    <w:rPr>
                      <w:rFonts w:hint="eastAsia"/>
                      <w:szCs w:val="21"/>
                    </w:rPr>
                    <w:t>，首采工作面标高+840m</w:t>
                  </w:r>
                  <w:r>
                    <w:rPr>
                      <w:szCs w:val="21"/>
                    </w:rPr>
                    <w:t>。</w:t>
                  </w:r>
                  <w:r>
                    <w:t>矿山从上至下台阶式</w:t>
                  </w:r>
                  <w:r>
                    <w:rPr>
                      <w:rFonts w:hint="eastAsia"/>
                    </w:rPr>
                    <w:t>露天</w:t>
                  </w:r>
                  <w:r>
                    <w:t>开采</w:t>
                  </w:r>
                  <w:r>
                    <w:rPr>
                      <w:rFonts w:hint="eastAsia"/>
                    </w:rPr>
                    <w:t>、爆破落矿</w:t>
                  </w:r>
                  <w:r>
                    <w:t>。</w:t>
                  </w:r>
                </w:p>
                <w:p>
                  <w:pPr>
                    <w:pStyle w:val="42"/>
                    <w:ind w:firstLine="420" w:firstLineChars="200"/>
                    <w:jc w:val="both"/>
                  </w:pPr>
                  <w:r>
                    <w:rPr>
                      <w:rFonts w:hint="eastAsia"/>
                    </w:rPr>
                    <w:t>矿区西部为反向坡、北部为切向坡、东部为顺向坡。切向坡、反向坡台阶工作坡面角≤60°，其最终边坡角≤45°；顺向坡台阶工作坡面角≤岩层倾角，最终边坡角≤16°。工作面最小宽度30m</w:t>
                  </w:r>
                  <w:r>
                    <w:t>。</w:t>
                  </w:r>
                </w:p>
              </w:tc>
              <w:tc>
                <w:tcPr>
                  <w:tcW w:w="916" w:type="dxa"/>
                  <w:vAlign w:val="center"/>
                </w:tcPr>
                <w:p>
                  <w:pPr>
                    <w:pStyle w:val="42"/>
                  </w:pPr>
                  <w:r>
                    <w:rPr>
                      <w:rFonts w:hint="eastAsia"/>
                    </w:rPr>
                    <w:t>结合开采现状及S525省道可视情况，重新布置开采面；规模扩大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1938" w:type="dxa"/>
                  <w:gridSpan w:val="2"/>
                  <w:vAlign w:val="center"/>
                </w:tcPr>
                <w:p>
                  <w:pPr>
                    <w:pStyle w:val="42"/>
                  </w:pPr>
                  <w:r>
                    <w:rPr>
                      <w:rFonts w:hint="eastAsia"/>
                    </w:rPr>
                    <w:t>工业广场</w:t>
                  </w:r>
                </w:p>
              </w:tc>
              <w:tc>
                <w:tcPr>
                  <w:tcW w:w="5755" w:type="dxa"/>
                  <w:vAlign w:val="center"/>
                </w:tcPr>
                <w:p>
                  <w:pPr>
                    <w:pStyle w:val="42"/>
                    <w:ind w:firstLine="420" w:firstLineChars="200"/>
                    <w:jc w:val="both"/>
                    <w:rPr>
                      <w:szCs w:val="21"/>
                    </w:rPr>
                  </w:pPr>
                  <w:r>
                    <w:t>位于矿区</w:t>
                  </w:r>
                  <w:r>
                    <w:rPr>
                      <w:rFonts w:hint="eastAsia"/>
                    </w:rPr>
                    <w:t>外西南侧90m</w:t>
                  </w:r>
                  <w:r>
                    <w:t>较平坦处，占地面积7040m</w:t>
                  </w:r>
                  <w:r>
                    <w:rPr>
                      <w:vertAlign w:val="superscript"/>
                    </w:rPr>
                    <w:t>2</w:t>
                  </w:r>
                  <w:r>
                    <w:t>，主要建设有加工区、生活区及配套设施。</w:t>
                  </w:r>
                  <w:r>
                    <w:rPr>
                      <w:rFonts w:hint="eastAsia"/>
                    </w:rPr>
                    <w:t>其中</w:t>
                  </w:r>
                  <w:r>
                    <w:t>：</w:t>
                  </w:r>
                  <w:r>
                    <w:rPr>
                      <w:rFonts w:hint="eastAsia"/>
                    </w:rPr>
                    <w:t>加工区东</w:t>
                  </w:r>
                  <w:r>
                    <w:t>建设有</w:t>
                  </w:r>
                  <w:r>
                    <w:rPr>
                      <w:rFonts w:hint="eastAsia"/>
                    </w:rPr>
                    <w:t>1200</w:t>
                  </w:r>
                  <w:r>
                    <w:t>m</w:t>
                  </w:r>
                  <w:r>
                    <w:rPr>
                      <w:vertAlign w:val="superscript"/>
                    </w:rPr>
                    <w:t>2</w:t>
                  </w:r>
                  <w:r>
                    <w:t>破碎站，</w:t>
                  </w:r>
                  <w:r>
                    <w:rPr>
                      <w:rFonts w:hint="eastAsia"/>
                    </w:rPr>
                    <w:t>建设</w:t>
                  </w:r>
                  <w:r>
                    <w:t>一条</w:t>
                  </w:r>
                  <w:r>
                    <w:rPr>
                      <w:rFonts w:hint="eastAsia"/>
                    </w:rPr>
                    <w:t>51</w:t>
                  </w:r>
                  <w:r>
                    <w:t>万t/a的</w:t>
                  </w:r>
                  <w:r>
                    <w:rPr>
                      <w:rFonts w:hint="eastAsia"/>
                    </w:rPr>
                    <w:t>毛料破碎</w:t>
                  </w:r>
                  <w:r>
                    <w:t>线</w:t>
                  </w:r>
                  <w:r>
                    <w:rPr>
                      <w:rFonts w:hint="eastAsia"/>
                    </w:rPr>
                    <w:t>；西</w:t>
                  </w:r>
                  <w:r>
                    <w:t>部设置</w:t>
                  </w:r>
                  <w:r>
                    <w:rPr>
                      <w:rFonts w:hint="eastAsia"/>
                      <w:szCs w:val="21"/>
                    </w:rPr>
                    <w:t>800</w:t>
                  </w:r>
                  <w:r>
                    <w:t>m</w:t>
                  </w:r>
                  <w:r>
                    <w:rPr>
                      <w:vertAlign w:val="superscript"/>
                    </w:rPr>
                    <w:t>2</w:t>
                  </w:r>
                  <w:r>
                    <w:rPr>
                      <w:rFonts w:hint="eastAsia"/>
                    </w:rPr>
                    <w:t>成品仓库；加工区整体设置为</w:t>
                  </w:r>
                  <w:r>
                    <w:t>钢架结构密闭厂房</w:t>
                  </w:r>
                  <w:r>
                    <w:rPr>
                      <w:rFonts w:hint="eastAsia"/>
                    </w:rPr>
                    <w:t>，仅留进出通道。</w:t>
                  </w:r>
                </w:p>
              </w:tc>
              <w:tc>
                <w:tcPr>
                  <w:tcW w:w="916" w:type="dxa"/>
                  <w:vAlign w:val="center"/>
                </w:tcPr>
                <w:p>
                  <w:pPr>
                    <w:pStyle w:val="42"/>
                  </w:pPr>
                  <w:r>
                    <w:rPr>
                      <w:rFonts w:hint="eastAsia"/>
                    </w:rPr>
                    <w:t>加工区规模扩大，设备、厂房升级改造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restart"/>
                  <w:vAlign w:val="center"/>
                </w:tcPr>
                <w:p>
                  <w:pPr>
                    <w:pStyle w:val="42"/>
                  </w:pPr>
                  <w:r>
                    <w:t>辅助工程</w:t>
                  </w:r>
                </w:p>
              </w:tc>
              <w:tc>
                <w:tcPr>
                  <w:tcW w:w="1938" w:type="dxa"/>
                  <w:gridSpan w:val="2"/>
                  <w:vAlign w:val="center"/>
                </w:tcPr>
                <w:p>
                  <w:pPr>
                    <w:pStyle w:val="42"/>
                  </w:pPr>
                  <w:r>
                    <w:t>办公</w:t>
                  </w:r>
                  <w:r>
                    <w:rPr>
                      <w:rFonts w:hint="eastAsia"/>
                    </w:rPr>
                    <w:t>楼</w:t>
                  </w:r>
                </w:p>
              </w:tc>
              <w:tc>
                <w:tcPr>
                  <w:tcW w:w="5755" w:type="dxa"/>
                  <w:vAlign w:val="center"/>
                </w:tcPr>
                <w:p>
                  <w:pPr>
                    <w:pStyle w:val="42"/>
                    <w:ind w:firstLine="420" w:firstLineChars="200"/>
                    <w:jc w:val="both"/>
                  </w:pPr>
                  <w:r>
                    <w:t>位于</w:t>
                  </w:r>
                  <w:r>
                    <w:rPr>
                      <w:rFonts w:hint="eastAsia"/>
                    </w:rPr>
                    <w:t>工业广场南部</w:t>
                  </w:r>
                  <w:r>
                    <w:t>，</w:t>
                  </w:r>
                  <w:r>
                    <w:rPr>
                      <w:rFonts w:hint="eastAsia"/>
                    </w:rPr>
                    <w:t>占地面积约190</w:t>
                  </w:r>
                  <w:r>
                    <w:t>m</w:t>
                  </w:r>
                  <w:r>
                    <w:rPr>
                      <w:vertAlign w:val="superscript"/>
                    </w:rPr>
                    <w:t>2</w:t>
                  </w:r>
                  <w:r>
                    <w:rPr>
                      <w:rFonts w:hint="eastAsia"/>
                    </w:rPr>
                    <w:t>，1F砖混结构，</w:t>
                  </w:r>
                  <w:r>
                    <w:t>设置</w:t>
                  </w:r>
                  <w:r>
                    <w:rPr>
                      <w:rFonts w:hint="eastAsia"/>
                    </w:rPr>
                    <w:t>有</w:t>
                  </w:r>
                  <w:r>
                    <w:t>员工办公室、会议室，用于员工日常办公、接待。</w:t>
                  </w:r>
                  <w:r>
                    <w:rPr>
                      <w:rFonts w:hint="eastAsia"/>
                    </w:rPr>
                    <w:t>厂区不包食宿，不设食堂、宿舍。</w:t>
                  </w:r>
                </w:p>
              </w:tc>
              <w:tc>
                <w:tcPr>
                  <w:tcW w:w="916" w:type="dxa"/>
                  <w:vAlign w:val="center"/>
                </w:tcPr>
                <w:p>
                  <w:pPr>
                    <w:pStyle w:val="42"/>
                  </w:pPr>
                  <w:r>
                    <w:rPr>
                      <w:rFonts w:hint="eastAsia"/>
                    </w:rPr>
                    <w:t>依托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1938" w:type="dxa"/>
                  <w:gridSpan w:val="2"/>
                  <w:vAlign w:val="center"/>
                </w:tcPr>
                <w:p>
                  <w:pPr>
                    <w:pStyle w:val="42"/>
                  </w:pPr>
                  <w:r>
                    <w:t>柴油罐区</w:t>
                  </w:r>
                </w:p>
              </w:tc>
              <w:tc>
                <w:tcPr>
                  <w:tcW w:w="5755" w:type="dxa"/>
                  <w:vAlign w:val="center"/>
                </w:tcPr>
                <w:p>
                  <w:pPr>
                    <w:pStyle w:val="42"/>
                    <w:ind w:firstLine="420" w:firstLineChars="200"/>
                    <w:jc w:val="both"/>
                  </w:pPr>
                  <w:r>
                    <w:t>设置1处柴油罐区，</w:t>
                  </w:r>
                  <w:r>
                    <w:rPr>
                      <w:rFonts w:hint="eastAsia"/>
                    </w:rPr>
                    <w:t>1层</w:t>
                  </w:r>
                  <w:r>
                    <w:t>钢架结构密闭厂房</w:t>
                  </w:r>
                  <w:r>
                    <w:rPr>
                      <w:rFonts w:hint="eastAsia"/>
                    </w:rPr>
                    <w:t>，</w:t>
                  </w:r>
                  <w:r>
                    <w:t>位于</w:t>
                  </w:r>
                  <w:r>
                    <w:rPr>
                      <w:rFonts w:hint="eastAsia"/>
                    </w:rPr>
                    <w:t>卸料口北侧24m处</w:t>
                  </w:r>
                  <w:r>
                    <w:t>，占地面积约</w:t>
                  </w:r>
                  <w:r>
                    <w:rPr>
                      <w:rFonts w:hint="eastAsia"/>
                    </w:rPr>
                    <w:t>25</w:t>
                  </w:r>
                  <w:r>
                    <w:t>m</w:t>
                  </w:r>
                  <w:r>
                    <w:rPr>
                      <w:vertAlign w:val="superscript"/>
                    </w:rPr>
                    <w:t>2</w:t>
                  </w:r>
                  <w:r>
                    <w:rPr>
                      <w:rFonts w:hint="eastAsia"/>
                    </w:rPr>
                    <w:t>，内置1个</w:t>
                  </w:r>
                  <w:r>
                    <w:t>柴油罐，</w:t>
                  </w:r>
                  <w:r>
                    <w:rPr>
                      <w:rFonts w:hint="eastAsia"/>
                    </w:rPr>
                    <w:t>为</w:t>
                  </w:r>
                  <w:r>
                    <w:t>钢制密闭罐，罐</w:t>
                  </w:r>
                  <w:r>
                    <w:rPr>
                      <w:rFonts w:hint="eastAsia"/>
                    </w:rPr>
                    <w:t>体</w:t>
                  </w:r>
                  <w:r>
                    <w:t>半径约</w:t>
                  </w:r>
                  <w:r>
                    <w:rPr>
                      <w:rFonts w:hint="eastAsia"/>
                    </w:rPr>
                    <w:t>2</w:t>
                  </w:r>
                  <w:r>
                    <w:t>m、长约</w:t>
                  </w:r>
                  <w:r>
                    <w:rPr>
                      <w:rFonts w:hint="eastAsia"/>
                    </w:rPr>
                    <w:t>4</w:t>
                  </w:r>
                  <w:r>
                    <w:t>m</w:t>
                  </w:r>
                  <w:r>
                    <w:rPr>
                      <w:rFonts w:hint="eastAsia"/>
                    </w:rPr>
                    <w:t>，容积约5</w:t>
                  </w:r>
                  <w:r>
                    <w:t>0m</w:t>
                  </w:r>
                  <w:r>
                    <w:rPr>
                      <w:vertAlign w:val="superscript"/>
                    </w:rPr>
                    <w:t>3</w:t>
                  </w:r>
                  <w:r>
                    <w:rPr>
                      <w:rFonts w:hint="eastAsia"/>
                    </w:rPr>
                    <w:t>，</w:t>
                  </w:r>
                  <w:r>
                    <w:t>设计储油量</w:t>
                  </w:r>
                  <w:r>
                    <w:rPr>
                      <w:rFonts w:hint="eastAsia"/>
                    </w:rPr>
                    <w:t>约3</w:t>
                  </w:r>
                  <w:r>
                    <w:t>0t。</w:t>
                  </w:r>
                </w:p>
              </w:tc>
              <w:tc>
                <w:tcPr>
                  <w:tcW w:w="916" w:type="dxa"/>
                  <w:vAlign w:val="center"/>
                </w:tcPr>
                <w:p>
                  <w:pPr>
                    <w:pStyle w:val="42"/>
                  </w:pPr>
                  <w:r>
                    <w:rPr>
                      <w:rFonts w:hint="eastAsia"/>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1938" w:type="dxa"/>
                  <w:gridSpan w:val="2"/>
                  <w:vAlign w:val="center"/>
                </w:tcPr>
                <w:p>
                  <w:pPr>
                    <w:pStyle w:val="42"/>
                  </w:pPr>
                  <w:r>
                    <w:rPr>
                      <w:rFonts w:hint="eastAsia"/>
                    </w:rPr>
                    <w:t>地磅秤</w:t>
                  </w:r>
                </w:p>
              </w:tc>
              <w:tc>
                <w:tcPr>
                  <w:tcW w:w="5755" w:type="dxa"/>
                  <w:vAlign w:val="center"/>
                </w:tcPr>
                <w:p>
                  <w:pPr>
                    <w:pStyle w:val="42"/>
                    <w:ind w:firstLine="420" w:firstLineChars="200"/>
                    <w:jc w:val="both"/>
                  </w:pPr>
                  <w:r>
                    <w:rPr>
                      <w:rFonts w:hint="eastAsia"/>
                    </w:rPr>
                    <w:t>1台，</w:t>
                  </w:r>
                  <w:r>
                    <w:t>位于办公</w:t>
                  </w:r>
                  <w:r>
                    <w:rPr>
                      <w:rFonts w:hint="eastAsia"/>
                    </w:rPr>
                    <w:t>楼北侧约9m</w:t>
                  </w:r>
                  <w:r>
                    <w:t>，占地面积</w:t>
                  </w:r>
                  <w:r>
                    <w:rPr>
                      <w:rFonts w:hint="eastAsia"/>
                    </w:rPr>
                    <w:t>75</w:t>
                  </w:r>
                  <w:r>
                    <w:t>m</w:t>
                  </w:r>
                  <w:r>
                    <w:rPr>
                      <w:vertAlign w:val="superscript"/>
                    </w:rPr>
                    <w:t>2</w:t>
                  </w:r>
                  <w:r>
                    <w:rPr>
                      <w:rFonts w:hint="eastAsia"/>
                    </w:rPr>
                    <w:t>，</w:t>
                  </w:r>
                  <w:r>
                    <w:rPr>
                      <w:rFonts w:hint="eastAsia"/>
                      <w:bCs/>
                    </w:rPr>
                    <w:t>用于成品碎石出厂计重。</w:t>
                  </w:r>
                </w:p>
              </w:tc>
              <w:tc>
                <w:tcPr>
                  <w:tcW w:w="916" w:type="dxa"/>
                  <w:vAlign w:val="center"/>
                </w:tcPr>
                <w:p>
                  <w:pPr>
                    <w:pStyle w:val="42"/>
                  </w:pPr>
                  <w:r>
                    <w:rPr>
                      <w:rFonts w:hint="eastAsia"/>
                    </w:rPr>
                    <w:t>依托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restart"/>
                  <w:vAlign w:val="center"/>
                </w:tcPr>
                <w:p>
                  <w:pPr>
                    <w:pStyle w:val="42"/>
                  </w:pPr>
                  <w:r>
                    <w:t>储运工程</w:t>
                  </w:r>
                </w:p>
              </w:tc>
              <w:tc>
                <w:tcPr>
                  <w:tcW w:w="1938" w:type="dxa"/>
                  <w:gridSpan w:val="2"/>
                  <w:vAlign w:val="center"/>
                </w:tcPr>
                <w:p>
                  <w:pPr>
                    <w:pStyle w:val="42"/>
                  </w:pPr>
                  <w:r>
                    <w:rPr>
                      <w:rFonts w:hint="eastAsia"/>
                    </w:rPr>
                    <w:t>成品仓库</w:t>
                  </w:r>
                </w:p>
              </w:tc>
              <w:tc>
                <w:tcPr>
                  <w:tcW w:w="5755" w:type="dxa"/>
                  <w:vAlign w:val="center"/>
                </w:tcPr>
                <w:p>
                  <w:pPr>
                    <w:pStyle w:val="42"/>
                    <w:ind w:firstLine="420" w:firstLineChars="200"/>
                    <w:jc w:val="both"/>
                    <w:rPr>
                      <w:szCs w:val="21"/>
                    </w:rPr>
                  </w:pPr>
                  <w:r>
                    <w:t>位于</w:t>
                  </w:r>
                  <w:r>
                    <w:rPr>
                      <w:rFonts w:hint="eastAsia"/>
                    </w:rPr>
                    <w:t>加工区西部（</w:t>
                  </w:r>
                  <w:r>
                    <w:t>破碎站</w:t>
                  </w:r>
                  <w:r>
                    <w:rPr>
                      <w:rFonts w:hint="eastAsia"/>
                    </w:rPr>
                    <w:t>西</w:t>
                  </w:r>
                  <w:r>
                    <w:t>侧</w:t>
                  </w:r>
                  <w:r>
                    <w:rPr>
                      <w:rFonts w:hint="eastAsia"/>
                    </w:rPr>
                    <w:t>）</w:t>
                  </w:r>
                  <w:r>
                    <w:t>，占地约</w:t>
                  </w:r>
                  <w:r>
                    <w:rPr>
                      <w:rFonts w:hint="eastAsia"/>
                    </w:rPr>
                    <w:t>8</w:t>
                  </w:r>
                  <w:r>
                    <w:t>00m</w:t>
                  </w:r>
                  <w:r>
                    <w:rPr>
                      <w:vertAlign w:val="superscript"/>
                    </w:rPr>
                    <w:t>2</w:t>
                  </w:r>
                  <w:r>
                    <w:t>，与破碎站整体为钢架密闭厂房，仅留运料通道，</w:t>
                  </w:r>
                  <w:r>
                    <w:rPr>
                      <w:rFonts w:hint="eastAsia"/>
                    </w:rPr>
                    <w:t>仓库内置</w:t>
                  </w:r>
                  <w:r>
                    <w:rPr>
                      <w:rFonts w:hint="eastAsia"/>
                      <w:color w:val="0000FF"/>
                    </w:rPr>
                    <w:t>3</w:t>
                  </w:r>
                  <w:r>
                    <w:rPr>
                      <w:rFonts w:hint="eastAsia"/>
                    </w:rPr>
                    <w:t>个堆料区，</w:t>
                  </w:r>
                  <w:r>
                    <w:t>用于临时</w:t>
                  </w:r>
                  <w:r>
                    <w:rPr>
                      <w:rFonts w:hint="eastAsia"/>
                      <w:szCs w:val="21"/>
                    </w:rPr>
                    <w:t>分区暂存破碎站生产的三类碎石产品</w:t>
                  </w:r>
                  <w:r>
                    <w:t>，破碎站与</w:t>
                  </w:r>
                  <w:r>
                    <w:rPr>
                      <w:rFonts w:hint="eastAsia"/>
                    </w:rPr>
                    <w:t>仓库内</w:t>
                  </w:r>
                  <w:r>
                    <w:t>堆料</w:t>
                  </w:r>
                  <w:r>
                    <w:rPr>
                      <w:rFonts w:hint="eastAsia"/>
                    </w:rPr>
                    <w:t>区均</w:t>
                  </w:r>
                  <w:r>
                    <w:t>由密闭输送带进行有机连接</w:t>
                  </w:r>
                  <w:r>
                    <w:rPr>
                      <w:rFonts w:hint="eastAsia"/>
                    </w:rPr>
                    <w:t>。</w:t>
                  </w:r>
                  <w:r>
                    <w:t>堆料</w:t>
                  </w:r>
                  <w:r>
                    <w:rPr>
                      <w:rFonts w:hint="eastAsia"/>
                    </w:rPr>
                    <w:t>区</w:t>
                  </w:r>
                  <w:r>
                    <w:t>内的产品通过铲车装车后外运。</w:t>
                  </w:r>
                </w:p>
              </w:tc>
              <w:tc>
                <w:tcPr>
                  <w:tcW w:w="916" w:type="dxa"/>
                  <w:vAlign w:val="center"/>
                </w:tcPr>
                <w:p>
                  <w:pPr>
                    <w:pStyle w:val="42"/>
                  </w:pPr>
                  <w:r>
                    <w:rPr>
                      <w:rFonts w:hint="eastAsia"/>
                    </w:rPr>
                    <w:t>升级改造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1938" w:type="dxa"/>
                  <w:gridSpan w:val="2"/>
                  <w:vAlign w:val="center"/>
                </w:tcPr>
                <w:p>
                  <w:pPr>
                    <w:pStyle w:val="42"/>
                  </w:pPr>
                  <w:r>
                    <w:t>排土场</w:t>
                  </w:r>
                </w:p>
              </w:tc>
              <w:tc>
                <w:tcPr>
                  <w:tcW w:w="5755" w:type="dxa"/>
                  <w:vAlign w:val="center"/>
                </w:tcPr>
                <w:p>
                  <w:pPr>
                    <w:pStyle w:val="42"/>
                    <w:ind w:firstLine="420" w:firstLineChars="200"/>
                    <w:jc w:val="both"/>
                  </w:pPr>
                  <w:r>
                    <w:rPr>
                      <w:rFonts w:hint="eastAsia"/>
                      <w:color w:val="0000FF"/>
                    </w:rPr>
                    <w:t>1座，</w:t>
                  </w:r>
                  <w:r>
                    <w:rPr>
                      <w:rFonts w:hint="eastAsia"/>
                    </w:rPr>
                    <w:t>位于工业广场北部，占地2826</w:t>
                  </w:r>
                  <w:r>
                    <w:t>m</w:t>
                  </w:r>
                  <w:r>
                    <w:rPr>
                      <w:vertAlign w:val="superscript"/>
                    </w:rPr>
                    <w:t>2</w:t>
                  </w:r>
                  <w:r>
                    <w:rPr>
                      <w:rFonts w:hint="eastAsia"/>
                    </w:rPr>
                    <w:t>，最大设计堆存高度25m，锥形堆高</w:t>
                  </w:r>
                  <w:r>
                    <w:rPr>
                      <w:rFonts w:hint="eastAsia"/>
                      <w:color w:val="0000FF"/>
                    </w:rPr>
                    <w:t>（北侧依山体边坡区域采取垂直堆高）</w:t>
                  </w:r>
                  <w:r>
                    <w:rPr>
                      <w:rFonts w:hint="eastAsia"/>
                    </w:rPr>
                    <w:t>，5m一个台阶，台阶边坡≤45°，设计堆存容量25147m</w:t>
                  </w:r>
                  <w:r>
                    <w:rPr>
                      <w:rFonts w:hint="eastAsia"/>
                      <w:vertAlign w:val="superscript"/>
                    </w:rPr>
                    <w:t>3</w:t>
                  </w:r>
                  <w:r>
                    <w:rPr>
                      <w:rFonts w:hint="eastAsia"/>
                    </w:rPr>
                    <w:t>。用于</w:t>
                  </w:r>
                  <w:r>
                    <w:t>临时堆存矿区剥离表土，后期用于采空区复垦</w:t>
                  </w:r>
                  <w:r>
                    <w:rPr>
                      <w:rFonts w:hint="eastAsia"/>
                    </w:rPr>
                    <w:t>。</w:t>
                  </w:r>
                </w:p>
                <w:p>
                  <w:pPr>
                    <w:pStyle w:val="42"/>
                    <w:ind w:firstLine="420" w:firstLineChars="200"/>
                    <w:jc w:val="both"/>
                  </w:pPr>
                  <w:r>
                    <w:rPr>
                      <w:rFonts w:hint="eastAsia"/>
                      <w:color w:val="0000FF"/>
                    </w:rPr>
                    <w:t>排土场西部562m</w:t>
                  </w:r>
                  <w:r>
                    <w:rPr>
                      <w:rFonts w:hint="eastAsia"/>
                      <w:color w:val="0000FF"/>
                      <w:vertAlign w:val="superscript"/>
                    </w:rPr>
                    <w:t>2</w:t>
                  </w:r>
                  <w:r>
                    <w:rPr>
                      <w:rFonts w:hint="eastAsia"/>
                      <w:color w:val="0000FF"/>
                    </w:rPr>
                    <w:t>区域划为耕作层堆放区、余下2264m</w:t>
                  </w:r>
                  <w:r>
                    <w:rPr>
                      <w:rFonts w:hint="eastAsia"/>
                      <w:color w:val="0000FF"/>
                      <w:vertAlign w:val="superscript"/>
                    </w:rPr>
                    <w:t>2</w:t>
                  </w:r>
                  <w:r>
                    <w:rPr>
                      <w:rFonts w:hint="eastAsia"/>
                      <w:color w:val="0000FF"/>
                    </w:rPr>
                    <w:t>区域划为心土层堆放区，两个堆放区设置物理隔断，但考虑过高的隔断墙曾出现安全事故（现今过高隔断墙不符合安全规定），可在两区堆存的过程中，在隔断线上同步采用片石码垛隔离，确保两区分离。</w:t>
                  </w:r>
                </w:p>
              </w:tc>
              <w:tc>
                <w:tcPr>
                  <w:tcW w:w="916" w:type="dxa"/>
                  <w:vAlign w:val="center"/>
                </w:tcPr>
                <w:p>
                  <w:pPr>
                    <w:pStyle w:val="42"/>
                  </w:pPr>
                  <w:r>
                    <w:rPr>
                      <w:rFonts w:hint="eastAsia"/>
                      <w:color w:val="0000FF"/>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1938" w:type="dxa"/>
                  <w:gridSpan w:val="2"/>
                  <w:vAlign w:val="center"/>
                </w:tcPr>
                <w:p>
                  <w:pPr>
                    <w:pStyle w:val="42"/>
                    <w:rPr>
                      <w:color w:val="0000FF"/>
                    </w:rPr>
                  </w:pPr>
                  <w:r>
                    <w:rPr>
                      <w:rFonts w:hint="eastAsia"/>
                      <w:color w:val="0000FF"/>
                    </w:rPr>
                    <w:t>弃渣场</w:t>
                  </w:r>
                </w:p>
              </w:tc>
              <w:tc>
                <w:tcPr>
                  <w:tcW w:w="5755" w:type="dxa"/>
                  <w:vAlign w:val="center"/>
                </w:tcPr>
                <w:p>
                  <w:pPr>
                    <w:pStyle w:val="42"/>
                    <w:ind w:firstLine="420" w:firstLineChars="200"/>
                    <w:jc w:val="both"/>
                    <w:rPr>
                      <w:color w:val="0000FF"/>
                    </w:rPr>
                  </w:pPr>
                  <w:r>
                    <w:rPr>
                      <w:rFonts w:hint="eastAsia"/>
                      <w:color w:val="0000FF"/>
                    </w:rPr>
                    <w:t>1座，为原项目排土场继续使用，用于</w:t>
                  </w:r>
                  <w:r>
                    <w:rPr>
                      <w:color w:val="0000FF"/>
                    </w:rPr>
                    <w:t>临时堆存矿区剥离</w:t>
                  </w:r>
                  <w:r>
                    <w:rPr>
                      <w:rFonts w:hint="eastAsia"/>
                      <w:color w:val="0000FF"/>
                    </w:rPr>
                    <w:t>风化废石</w:t>
                  </w:r>
                  <w:r>
                    <w:rPr>
                      <w:color w:val="0000FF"/>
                    </w:rPr>
                    <w:t>，后期用于采空区</w:t>
                  </w:r>
                  <w:r>
                    <w:rPr>
                      <w:rFonts w:hint="eastAsia"/>
                      <w:color w:val="0000FF"/>
                    </w:rPr>
                    <w:t>回填。位于矿区外南侧，占地1419</w:t>
                  </w:r>
                  <w:r>
                    <w:rPr>
                      <w:color w:val="0000FF"/>
                    </w:rPr>
                    <w:t>m</w:t>
                  </w:r>
                  <w:r>
                    <w:rPr>
                      <w:color w:val="0000FF"/>
                      <w:vertAlign w:val="superscript"/>
                    </w:rPr>
                    <w:t>2</w:t>
                  </w:r>
                  <w:r>
                    <w:rPr>
                      <w:rFonts w:hint="eastAsia"/>
                      <w:color w:val="0000FF"/>
                    </w:rPr>
                    <w:t>，设计堆存高度15m，锥形堆高，5m一个台阶，台阶边坡≤45°，设计堆存容量7095m</w:t>
                  </w:r>
                  <w:r>
                    <w:rPr>
                      <w:rFonts w:hint="eastAsia"/>
                      <w:color w:val="0000FF"/>
                      <w:vertAlign w:val="superscript"/>
                    </w:rPr>
                    <w:t>3</w:t>
                  </w:r>
                  <w:r>
                    <w:rPr>
                      <w:rFonts w:hint="eastAsia"/>
                      <w:color w:val="0000FF"/>
                    </w:rPr>
                    <w:t>，现状已堆存风化废石2500m</w:t>
                  </w:r>
                  <w:r>
                    <w:rPr>
                      <w:rFonts w:hint="eastAsia"/>
                      <w:color w:val="0000FF"/>
                      <w:vertAlign w:val="superscript"/>
                    </w:rPr>
                    <w:t>3</w:t>
                  </w:r>
                  <w:r>
                    <w:rPr>
                      <w:rFonts w:hint="eastAsia"/>
                      <w:color w:val="0000FF"/>
                    </w:rPr>
                    <w:t>，余量4595m</w:t>
                  </w:r>
                  <w:r>
                    <w:rPr>
                      <w:rFonts w:hint="eastAsia"/>
                      <w:color w:val="0000FF"/>
                      <w:vertAlign w:val="superscript"/>
                    </w:rPr>
                    <w:t>3</w:t>
                  </w:r>
                  <w:r>
                    <w:rPr>
                      <w:rFonts w:hint="eastAsia"/>
                      <w:color w:val="0000FF"/>
                    </w:rPr>
                    <w:t>。</w:t>
                  </w:r>
                  <w:r>
                    <w:rPr>
                      <w:color w:val="0000FF"/>
                    </w:rPr>
                    <w:t>排土场</w:t>
                  </w:r>
                  <w:r>
                    <w:rPr>
                      <w:rFonts w:hint="eastAsia"/>
                      <w:color w:val="0000FF"/>
                    </w:rPr>
                    <w:t>南</w:t>
                  </w:r>
                  <w:r>
                    <w:rPr>
                      <w:color w:val="0000FF"/>
                    </w:rPr>
                    <w:t>侧低洼处</w:t>
                  </w:r>
                  <w:r>
                    <w:rPr>
                      <w:rFonts w:hint="eastAsia"/>
                      <w:color w:val="0000FF"/>
                    </w:rPr>
                    <w:t>新设</w:t>
                  </w:r>
                  <w:r>
                    <w:rPr>
                      <w:color w:val="0000FF"/>
                    </w:rPr>
                    <w:t>挡墙</w:t>
                  </w:r>
                  <w:r>
                    <w:rPr>
                      <w:rFonts w:hint="eastAsia"/>
                      <w:color w:val="0000FF"/>
                    </w:rPr>
                    <w:t>，挡墙高度约5m。</w:t>
                  </w:r>
                </w:p>
              </w:tc>
              <w:tc>
                <w:tcPr>
                  <w:tcW w:w="916" w:type="dxa"/>
                  <w:vAlign w:val="center"/>
                </w:tcPr>
                <w:p>
                  <w:pPr>
                    <w:pStyle w:val="42"/>
                    <w:rPr>
                      <w:color w:val="0000FF"/>
                    </w:rPr>
                  </w:pPr>
                  <w:r>
                    <w:rPr>
                      <w:rFonts w:hint="eastAsia"/>
                      <w:color w:val="0000FF"/>
                    </w:rPr>
                    <w:t>依托、改造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restart"/>
                  <w:vAlign w:val="center"/>
                </w:tcPr>
                <w:p>
                  <w:pPr>
                    <w:pStyle w:val="42"/>
                  </w:pPr>
                  <w:r>
                    <w:t>运输通道</w:t>
                  </w:r>
                </w:p>
              </w:tc>
              <w:tc>
                <w:tcPr>
                  <w:tcW w:w="1301" w:type="dxa"/>
                  <w:vAlign w:val="center"/>
                </w:tcPr>
                <w:p>
                  <w:pPr>
                    <w:pStyle w:val="42"/>
                  </w:pPr>
                  <w:r>
                    <w:t>场内运输道路</w:t>
                  </w:r>
                </w:p>
              </w:tc>
              <w:tc>
                <w:tcPr>
                  <w:tcW w:w="5755" w:type="dxa"/>
                  <w:vAlign w:val="center"/>
                </w:tcPr>
                <w:p>
                  <w:pPr>
                    <w:pStyle w:val="42"/>
                    <w:ind w:firstLine="420" w:firstLineChars="200"/>
                    <w:jc w:val="both"/>
                  </w:pPr>
                  <w:r>
                    <w:rPr>
                      <w:rFonts w:hint="eastAsia"/>
                    </w:rPr>
                    <w:t>卸料口至</w:t>
                  </w:r>
                  <w:r>
                    <w:t>采区</w:t>
                  </w:r>
                  <w:r>
                    <w:rPr>
                      <w:rFonts w:hint="eastAsia"/>
                    </w:rPr>
                    <w:t>、</w:t>
                  </w:r>
                  <w:r>
                    <w:rPr>
                      <w:rFonts w:hint="eastAsia"/>
                      <w:color w:val="0000FF"/>
                    </w:rPr>
                    <w:t>弃渣场</w:t>
                  </w:r>
                  <w:r>
                    <w:rPr>
                      <w:rFonts w:hint="eastAsia"/>
                    </w:rPr>
                    <w:t>、</w:t>
                  </w:r>
                  <w:r>
                    <w:rPr>
                      <w:rFonts w:hint="eastAsia"/>
                      <w:color w:val="0000FF"/>
                    </w:rPr>
                    <w:t>排土场</w:t>
                  </w:r>
                  <w:r>
                    <w:rPr>
                      <w:rFonts w:hint="eastAsia"/>
                    </w:rPr>
                    <w:t>建设</w:t>
                  </w:r>
                  <w:r>
                    <w:t>运输道路，路宽约</w:t>
                  </w:r>
                  <w:r>
                    <w:rPr>
                      <w:rFonts w:hint="eastAsia"/>
                    </w:rPr>
                    <w:t>10</w:t>
                  </w:r>
                  <w:r>
                    <w:t>m，长</w:t>
                  </w:r>
                  <w:r>
                    <w:rPr>
                      <w:rFonts w:hint="eastAsia"/>
                    </w:rPr>
                    <w:t>568</w:t>
                  </w:r>
                  <w:r>
                    <w:t>m</w:t>
                  </w:r>
                  <w:r>
                    <w:rPr>
                      <w:rFonts w:hint="eastAsia"/>
                    </w:rPr>
                    <w:t>，其中：62m位于矿区内，修建为</w:t>
                  </w:r>
                  <w:r>
                    <w:t>泥石路</w:t>
                  </w:r>
                  <w:r>
                    <w:rPr>
                      <w:rFonts w:hint="eastAsia"/>
                    </w:rPr>
                    <w:t>；506m位于矿界外，修建为水泥路。</w:t>
                  </w:r>
                  <w:r>
                    <w:t>主要用于采区开采毛</w:t>
                  </w:r>
                  <w:r>
                    <w:rPr>
                      <w:rFonts w:hint="eastAsia"/>
                    </w:rPr>
                    <w:t>料及剥离物的转运。</w:t>
                  </w:r>
                </w:p>
              </w:tc>
              <w:tc>
                <w:tcPr>
                  <w:tcW w:w="916" w:type="dxa"/>
                  <w:vAlign w:val="center"/>
                </w:tcPr>
                <w:p>
                  <w:pPr>
                    <w:pStyle w:val="42"/>
                  </w:pPr>
                  <w: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continue"/>
                  <w:vAlign w:val="center"/>
                </w:tcPr>
                <w:p>
                  <w:pPr>
                    <w:pStyle w:val="42"/>
                  </w:pPr>
                </w:p>
              </w:tc>
              <w:tc>
                <w:tcPr>
                  <w:tcW w:w="1301" w:type="dxa"/>
                  <w:vAlign w:val="center"/>
                </w:tcPr>
                <w:p>
                  <w:pPr>
                    <w:pStyle w:val="42"/>
                  </w:pPr>
                  <w:r>
                    <w:t>场外运输道路</w:t>
                  </w:r>
                </w:p>
              </w:tc>
              <w:tc>
                <w:tcPr>
                  <w:tcW w:w="5755" w:type="dxa"/>
                  <w:vAlign w:val="center"/>
                </w:tcPr>
                <w:p>
                  <w:pPr>
                    <w:pStyle w:val="42"/>
                    <w:ind w:firstLine="420" w:firstLineChars="200"/>
                    <w:jc w:val="both"/>
                    <w:rPr>
                      <w:szCs w:val="21"/>
                    </w:rPr>
                  </w:pPr>
                  <w:r>
                    <w:t>工业广场</w:t>
                  </w:r>
                  <w:r>
                    <w:rPr>
                      <w:rFonts w:hint="eastAsia"/>
                    </w:rPr>
                    <w:t>西</w:t>
                  </w:r>
                  <w:r>
                    <w:t>侧紧邻村道，路宽约</w:t>
                  </w:r>
                  <w:r>
                    <w:rPr>
                      <w:rFonts w:hint="eastAsia"/>
                    </w:rPr>
                    <w:t>6</w:t>
                  </w:r>
                  <w:r>
                    <w:t>m，水泥路</w:t>
                  </w:r>
                  <w:r>
                    <w:rPr>
                      <w:rFonts w:hint="eastAsia"/>
                    </w:rPr>
                    <w:t>。沿该村道西行256m可与S525省道相接。</w:t>
                  </w:r>
                  <w:r>
                    <w:t>原项目成品砂石料的外运依托该道路。</w:t>
                  </w:r>
                </w:p>
              </w:tc>
              <w:tc>
                <w:tcPr>
                  <w:tcW w:w="916" w:type="dxa"/>
                  <w:vAlign w:val="center"/>
                </w:tcPr>
                <w:p>
                  <w:pPr>
                    <w:pStyle w:val="42"/>
                  </w:pPr>
                  <w:r>
                    <w:rPr>
                      <w:rFonts w:hint="eastAsia"/>
                    </w:rPr>
                    <w:t>依托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49" w:hRule="atLeast"/>
                <w:jc w:val="center"/>
              </w:trPr>
              <w:tc>
                <w:tcPr>
                  <w:tcW w:w="429" w:type="dxa"/>
                  <w:vMerge w:val="restart"/>
                  <w:vAlign w:val="center"/>
                </w:tcPr>
                <w:p>
                  <w:pPr>
                    <w:pStyle w:val="42"/>
                  </w:pPr>
                  <w:r>
                    <w:t>公用工程</w:t>
                  </w:r>
                </w:p>
              </w:tc>
              <w:tc>
                <w:tcPr>
                  <w:tcW w:w="1938" w:type="dxa"/>
                  <w:gridSpan w:val="2"/>
                  <w:vAlign w:val="center"/>
                </w:tcPr>
                <w:p>
                  <w:pPr>
                    <w:pStyle w:val="42"/>
                  </w:pPr>
                  <w:r>
                    <w:t>供水系统</w:t>
                  </w:r>
                </w:p>
              </w:tc>
              <w:tc>
                <w:tcPr>
                  <w:tcW w:w="5755" w:type="dxa"/>
                  <w:tcBorders>
                    <w:bottom w:val="single" w:color="auto" w:sz="4" w:space="0"/>
                  </w:tcBorders>
                  <w:vAlign w:val="center"/>
                </w:tcPr>
                <w:p>
                  <w:pPr>
                    <w:pStyle w:val="42"/>
                    <w:ind w:firstLine="420" w:firstLineChars="200"/>
                    <w:jc w:val="both"/>
                  </w:pPr>
                  <w:bookmarkStart w:id="2" w:name="_Hlk141194878"/>
                  <w:r>
                    <w:rPr>
                      <w:rFonts w:hint="eastAsia"/>
                      <w:kern w:val="0"/>
                    </w:rPr>
                    <w:t>办公楼目前已接入区域自来水管网，生活、生产用水均采用自来水。项目沿现有给水管向破碎站给料口及生产设备喷雾洒水装置、“U型”车辆冲洗池给水；</w:t>
                  </w:r>
                  <w:r>
                    <w:rPr>
                      <w:kern w:val="0"/>
                    </w:rPr>
                    <w:t>使用</w:t>
                  </w:r>
                  <w:r>
                    <w:rPr>
                      <w:rFonts w:hint="eastAsia"/>
                      <w:kern w:val="0"/>
                    </w:rPr>
                    <w:t>洒水车于给水管阀门处补水后进行场内外道路洒水，途经高压微雾装置旁时，定期补水至其蓄水箱，以维持采面开采期间喷雾洒水降尘</w:t>
                  </w:r>
                  <w:r>
                    <w:rPr>
                      <w:kern w:val="0"/>
                    </w:rPr>
                    <w:t>。</w:t>
                  </w:r>
                  <w:bookmarkEnd w:id="2"/>
                </w:p>
              </w:tc>
              <w:tc>
                <w:tcPr>
                  <w:tcW w:w="916" w:type="dxa"/>
                  <w:tcBorders>
                    <w:bottom w:val="single" w:color="auto" w:sz="4" w:space="0"/>
                  </w:tcBorders>
                  <w:vAlign w:val="center"/>
                </w:tcPr>
                <w:p>
                  <w:pPr>
                    <w:pStyle w:val="42"/>
                  </w:pPr>
                  <w:r>
                    <w:rPr>
                      <w:rFonts w:hint="eastAsia"/>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1938" w:type="dxa"/>
                  <w:gridSpan w:val="2"/>
                  <w:vAlign w:val="center"/>
                </w:tcPr>
                <w:p>
                  <w:pPr>
                    <w:pStyle w:val="42"/>
                  </w:pPr>
                  <w:r>
                    <w:t>供电系统</w:t>
                  </w:r>
                </w:p>
              </w:tc>
              <w:tc>
                <w:tcPr>
                  <w:tcW w:w="5755" w:type="dxa"/>
                  <w:vAlign w:val="center"/>
                </w:tcPr>
                <w:p>
                  <w:pPr>
                    <w:pStyle w:val="42"/>
                    <w:ind w:firstLine="420" w:firstLineChars="200"/>
                    <w:jc w:val="both"/>
                    <w:rPr>
                      <w:kern w:val="0"/>
                    </w:rPr>
                  </w:pPr>
                  <w:r>
                    <w:t>采用当地农村电网供电，电压等级为10kV，配备有变压器</w:t>
                  </w:r>
                  <w:r>
                    <w:rPr>
                      <w:rFonts w:hint="eastAsia"/>
                    </w:rPr>
                    <w:t>1</w:t>
                  </w:r>
                  <w:r>
                    <w:t>台，配电房位于</w:t>
                  </w:r>
                  <w:r>
                    <w:rPr>
                      <w:rFonts w:hint="eastAsia"/>
                    </w:rPr>
                    <w:t>卸料口西侧</w:t>
                  </w:r>
                  <w:r>
                    <w:t>。其单机用电功率较大，当地电网供电稳定，停电时停产不影响安全，不设置备用电源。</w:t>
                  </w:r>
                </w:p>
              </w:tc>
              <w:tc>
                <w:tcPr>
                  <w:tcW w:w="916" w:type="dxa"/>
                  <w:vAlign w:val="center"/>
                </w:tcPr>
                <w:p>
                  <w:pPr>
                    <w:pStyle w:val="42"/>
                  </w:pPr>
                  <w:r>
                    <w:rPr>
                      <w:rFonts w:hint="eastAsia"/>
                    </w:rPr>
                    <w:t>依托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1938" w:type="dxa"/>
                  <w:gridSpan w:val="2"/>
                  <w:vAlign w:val="center"/>
                </w:tcPr>
                <w:p>
                  <w:pPr>
                    <w:pStyle w:val="42"/>
                  </w:pPr>
                  <w:r>
                    <w:rPr>
                      <w:rFonts w:hint="eastAsia"/>
                    </w:rPr>
                    <w:t>空压机房</w:t>
                  </w:r>
                </w:p>
              </w:tc>
              <w:tc>
                <w:tcPr>
                  <w:tcW w:w="5755" w:type="dxa"/>
                  <w:vAlign w:val="center"/>
                </w:tcPr>
                <w:p>
                  <w:pPr>
                    <w:pStyle w:val="42"/>
                    <w:ind w:firstLine="420" w:firstLineChars="200"/>
                    <w:jc w:val="both"/>
                  </w:pPr>
                  <w:r>
                    <w:rPr>
                      <w:rFonts w:hint="eastAsia"/>
                    </w:rPr>
                    <w:t>位于矿区西北侧，占地17m</w:t>
                  </w:r>
                  <w:r>
                    <w:rPr>
                      <w:rFonts w:hint="eastAsia"/>
                      <w:vertAlign w:val="superscript"/>
                    </w:rPr>
                    <w:t>2</w:t>
                  </w:r>
                  <w:r>
                    <w:rPr>
                      <w:rFonts w:hint="eastAsia"/>
                    </w:rPr>
                    <w:t>，1F砖混结构，内置螺杆式空压机1台，配备1个1.5m</w:t>
                  </w:r>
                  <w:r>
                    <w:rPr>
                      <w:rFonts w:hint="eastAsia"/>
                      <w:vertAlign w:val="superscript"/>
                    </w:rPr>
                    <w:t>3</w:t>
                  </w:r>
                  <w:r>
                    <w:rPr>
                      <w:rFonts w:hint="eastAsia"/>
                    </w:rPr>
                    <w:t>气罐。</w:t>
                  </w:r>
                </w:p>
              </w:tc>
              <w:tc>
                <w:tcPr>
                  <w:tcW w:w="916" w:type="dxa"/>
                  <w:vAlign w:val="center"/>
                </w:tcPr>
                <w:p>
                  <w:pPr>
                    <w:pStyle w:val="42"/>
                  </w:pPr>
                  <w:r>
                    <w:rPr>
                      <w:rFonts w:hint="eastAsia"/>
                    </w:rPr>
                    <w:t>依托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restart"/>
                  <w:vAlign w:val="center"/>
                </w:tcPr>
                <w:p>
                  <w:pPr>
                    <w:pStyle w:val="42"/>
                  </w:pPr>
                  <w:r>
                    <w:t>环保工程</w:t>
                  </w:r>
                </w:p>
              </w:tc>
              <w:tc>
                <w:tcPr>
                  <w:tcW w:w="637" w:type="dxa"/>
                  <w:vMerge w:val="restart"/>
                  <w:vAlign w:val="center"/>
                </w:tcPr>
                <w:p>
                  <w:pPr>
                    <w:pStyle w:val="42"/>
                  </w:pPr>
                  <w:r>
                    <w:t>废气</w:t>
                  </w:r>
                </w:p>
              </w:tc>
              <w:tc>
                <w:tcPr>
                  <w:tcW w:w="1301" w:type="dxa"/>
                  <w:vAlign w:val="center"/>
                </w:tcPr>
                <w:p>
                  <w:pPr>
                    <w:pStyle w:val="42"/>
                  </w:pPr>
                  <w:r>
                    <w:t>高压微雾装置（雾炮机）</w:t>
                  </w:r>
                </w:p>
              </w:tc>
              <w:tc>
                <w:tcPr>
                  <w:tcW w:w="5755" w:type="dxa"/>
                  <w:vAlign w:val="center"/>
                </w:tcPr>
                <w:p>
                  <w:pPr>
                    <w:pStyle w:val="42"/>
                    <w:ind w:firstLine="420" w:firstLineChars="200"/>
                    <w:jc w:val="both"/>
                  </w:pPr>
                  <w:r>
                    <w:rPr>
                      <w:rFonts w:hint="eastAsia"/>
                    </w:rPr>
                    <w:t>3台</w:t>
                  </w:r>
                  <w:r>
                    <w:t>，</w:t>
                  </w:r>
                  <w:r>
                    <w:rPr>
                      <w:rFonts w:hint="eastAsia"/>
                      <w:szCs w:val="21"/>
                    </w:rPr>
                    <w:t>单个装置包含喷雾炮台1个、2m</w:t>
                  </w:r>
                  <w:r>
                    <w:rPr>
                      <w:rFonts w:hint="eastAsia"/>
                      <w:szCs w:val="21"/>
                      <w:vertAlign w:val="superscript"/>
                    </w:rPr>
                    <w:t>3</w:t>
                  </w:r>
                  <w:r>
                    <w:rPr>
                      <w:rFonts w:hint="eastAsia"/>
                      <w:szCs w:val="21"/>
                    </w:rPr>
                    <w:t>蓄水箱1个，</w:t>
                  </w:r>
                  <w:r>
                    <w:t>设置于</w:t>
                  </w:r>
                  <w:r>
                    <w:rPr>
                      <w:rFonts w:hint="eastAsia"/>
                    </w:rPr>
                    <w:t>采区</w:t>
                  </w:r>
                  <w:r>
                    <w:t>开采工作面周边，用于</w:t>
                  </w:r>
                  <w:r>
                    <w:rPr>
                      <w:rFonts w:hint="eastAsia"/>
                    </w:rPr>
                    <w:t>作业期间</w:t>
                  </w:r>
                  <w:r>
                    <w:t>采区洒水降尘。</w:t>
                  </w:r>
                </w:p>
              </w:tc>
              <w:tc>
                <w:tcPr>
                  <w:tcW w:w="916" w:type="dxa"/>
                  <w:vAlign w:val="center"/>
                </w:tcPr>
                <w:p>
                  <w:pPr>
                    <w:pStyle w:val="42"/>
                  </w:pPr>
                  <w:r>
                    <w:rPr>
                      <w:rFonts w:hint="eastAsia"/>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continue"/>
                  <w:vAlign w:val="center"/>
                </w:tcPr>
                <w:p>
                  <w:pPr>
                    <w:pStyle w:val="42"/>
                  </w:pPr>
                </w:p>
              </w:tc>
              <w:tc>
                <w:tcPr>
                  <w:tcW w:w="1301" w:type="dxa"/>
                  <w:vAlign w:val="center"/>
                </w:tcPr>
                <w:p>
                  <w:pPr>
                    <w:pStyle w:val="42"/>
                  </w:pPr>
                  <w:r>
                    <w:t>喷淋（雾）设备</w:t>
                  </w:r>
                </w:p>
              </w:tc>
              <w:tc>
                <w:tcPr>
                  <w:tcW w:w="5755" w:type="dxa"/>
                  <w:vAlign w:val="center"/>
                </w:tcPr>
                <w:p>
                  <w:pPr>
                    <w:pStyle w:val="42"/>
                    <w:ind w:firstLine="420" w:firstLineChars="200"/>
                    <w:jc w:val="both"/>
                  </w:pPr>
                  <w:r>
                    <w:rPr>
                      <w:rFonts w:hint="eastAsia"/>
                    </w:rPr>
                    <w:t>破碎站一破设备进料口、主要生产设备周边；仓库内堆料场下料区（装车点）等区域设置喷淋（雾）装置喷雾抑尘。</w:t>
                  </w:r>
                </w:p>
              </w:tc>
              <w:tc>
                <w:tcPr>
                  <w:tcW w:w="916" w:type="dxa"/>
                  <w:vAlign w:val="center"/>
                </w:tcPr>
                <w:p>
                  <w:pPr>
                    <w:pStyle w:val="42"/>
                  </w:pPr>
                  <w:r>
                    <w:rPr>
                      <w:rFonts w:hint="eastAsia"/>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continue"/>
                  <w:vAlign w:val="center"/>
                </w:tcPr>
                <w:p>
                  <w:pPr>
                    <w:pStyle w:val="42"/>
                  </w:pPr>
                </w:p>
              </w:tc>
              <w:tc>
                <w:tcPr>
                  <w:tcW w:w="1301" w:type="dxa"/>
                  <w:vAlign w:val="center"/>
                </w:tcPr>
                <w:p>
                  <w:pPr>
                    <w:pStyle w:val="42"/>
                  </w:pPr>
                  <w:r>
                    <w:rPr>
                      <w:rFonts w:hint="eastAsia"/>
                    </w:rPr>
                    <w:t>抑尘措施</w:t>
                  </w:r>
                </w:p>
              </w:tc>
              <w:tc>
                <w:tcPr>
                  <w:tcW w:w="5755" w:type="dxa"/>
                  <w:vAlign w:val="center"/>
                </w:tcPr>
                <w:p>
                  <w:pPr>
                    <w:pStyle w:val="42"/>
                    <w:ind w:firstLine="420" w:firstLineChars="200"/>
                    <w:jc w:val="both"/>
                  </w:pPr>
                  <w:r>
                    <w:rPr>
                      <w:rFonts w:hint="eastAsia"/>
                    </w:rPr>
                    <w:t>钻机上配备捕尘装置，并湿式凿岩；爆破前湿棕垫或稻草覆盖，爆破后及时喷雾洒水降尘。</w:t>
                  </w:r>
                </w:p>
              </w:tc>
              <w:tc>
                <w:tcPr>
                  <w:tcW w:w="916" w:type="dxa"/>
                  <w:vAlign w:val="center"/>
                </w:tcPr>
                <w:p>
                  <w:pPr>
                    <w:pStyle w:val="42"/>
                  </w:pPr>
                  <w:r>
                    <w:rPr>
                      <w:rFonts w:hint="eastAsi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continue"/>
                  <w:vAlign w:val="center"/>
                </w:tcPr>
                <w:p>
                  <w:pPr>
                    <w:pStyle w:val="42"/>
                  </w:pPr>
                </w:p>
              </w:tc>
              <w:tc>
                <w:tcPr>
                  <w:tcW w:w="1301" w:type="dxa"/>
                  <w:vAlign w:val="center"/>
                </w:tcPr>
                <w:p>
                  <w:pPr>
                    <w:pStyle w:val="42"/>
                  </w:pPr>
                  <w:r>
                    <w:rPr>
                      <w:rFonts w:hint="eastAsia"/>
                    </w:rPr>
                    <w:t>密闭措施</w:t>
                  </w:r>
                </w:p>
              </w:tc>
              <w:tc>
                <w:tcPr>
                  <w:tcW w:w="5755" w:type="dxa"/>
                  <w:vAlign w:val="center"/>
                </w:tcPr>
                <w:p>
                  <w:pPr>
                    <w:pStyle w:val="42"/>
                    <w:ind w:firstLine="420" w:firstLineChars="200"/>
                    <w:jc w:val="both"/>
                  </w:pPr>
                  <w:r>
                    <w:rPr>
                      <w:rFonts w:hint="eastAsia"/>
                      <w:szCs w:val="21"/>
                    </w:rPr>
                    <w:t>仓库、破碎站搭建为彩钢密闭厂房，仅留运料进出口，除物料进出时段外，仓门关闭；破碎站卸料口三面围挡，设置为半封闭，其他区域仅留检修通道，生产期间均关闭</w:t>
                  </w:r>
                  <w:r>
                    <w:rPr>
                      <w:rFonts w:hint="eastAsia"/>
                    </w:rPr>
                    <w:t>。</w:t>
                  </w:r>
                </w:p>
              </w:tc>
              <w:tc>
                <w:tcPr>
                  <w:tcW w:w="916" w:type="dxa"/>
                  <w:vAlign w:val="center"/>
                </w:tcPr>
                <w:p>
                  <w:pPr>
                    <w:pStyle w:val="42"/>
                  </w:pPr>
                  <w:r>
                    <w:rPr>
                      <w:rFonts w:hint="eastAsia"/>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continue"/>
                  <w:vAlign w:val="center"/>
                </w:tcPr>
                <w:p>
                  <w:pPr>
                    <w:pStyle w:val="42"/>
                  </w:pPr>
                </w:p>
              </w:tc>
              <w:tc>
                <w:tcPr>
                  <w:tcW w:w="1301" w:type="dxa"/>
                  <w:vAlign w:val="center"/>
                </w:tcPr>
                <w:p>
                  <w:pPr>
                    <w:pStyle w:val="42"/>
                  </w:pPr>
                  <w:r>
                    <w:rPr>
                      <w:rFonts w:hint="eastAsia"/>
                    </w:rPr>
                    <w:t>有组织收集除尘系统</w:t>
                  </w:r>
                </w:p>
              </w:tc>
              <w:tc>
                <w:tcPr>
                  <w:tcW w:w="5755" w:type="dxa"/>
                  <w:vAlign w:val="center"/>
                </w:tcPr>
                <w:p>
                  <w:pPr>
                    <w:pStyle w:val="42"/>
                    <w:ind w:firstLine="420" w:firstLineChars="200"/>
                    <w:jc w:val="both"/>
                  </w:pPr>
                  <w:r>
                    <w:rPr>
                      <w:rFonts w:hint="eastAsia"/>
                    </w:rPr>
                    <w:t>1套，破碎站一级破碎设备（1台鄂式破碎机）下方出料口输送管道前端、二级破碎设备（1台反击式破碎机）及一级筛分设备（1台振动筛）上方落料管道末端与设备外壳支撑面衔接处均进行单钢板箱式封闭，仅留抽风口，并采用密闭管道衔接抽风口，并使用1台50000Nm</w:t>
                  </w:r>
                  <w:r>
                    <w:rPr>
                      <w:rFonts w:hint="eastAsia"/>
                      <w:vertAlign w:val="superscript"/>
                    </w:rPr>
                    <w:t>3</w:t>
                  </w:r>
                  <w:r>
                    <w:rPr>
                      <w:rFonts w:hint="eastAsia"/>
                    </w:rPr>
                    <w:t>/h风量引风机将含尘气体集中收集至1台处理效率</w:t>
                  </w:r>
                  <w:r>
                    <w:rPr>
                      <w:rFonts w:hint="eastAsia"/>
                      <w:color w:val="0000FF"/>
                    </w:rPr>
                    <w:t>99</w:t>
                  </w:r>
                  <w:r>
                    <w:rPr>
                      <w:rFonts w:hint="eastAsia"/>
                    </w:rPr>
                    <w:t>%脉冲布袋除尘器进行净化处理后，再通过15m高、内径1.0m的1#排气筒达标排放</w:t>
                  </w:r>
                  <w:r>
                    <w:t>。</w:t>
                  </w:r>
                </w:p>
              </w:tc>
              <w:tc>
                <w:tcPr>
                  <w:tcW w:w="916" w:type="dxa"/>
                  <w:vAlign w:val="center"/>
                </w:tcPr>
                <w:p>
                  <w:pPr>
                    <w:pStyle w:val="42"/>
                  </w:pPr>
                  <w: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continue"/>
                  <w:vAlign w:val="center"/>
                </w:tcPr>
                <w:p>
                  <w:pPr>
                    <w:pStyle w:val="42"/>
                  </w:pPr>
                </w:p>
              </w:tc>
              <w:tc>
                <w:tcPr>
                  <w:tcW w:w="1301" w:type="dxa"/>
                  <w:vAlign w:val="center"/>
                </w:tcPr>
                <w:p>
                  <w:pPr>
                    <w:pStyle w:val="42"/>
                  </w:pPr>
                  <w:r>
                    <w:t>洒水车</w:t>
                  </w:r>
                </w:p>
              </w:tc>
              <w:tc>
                <w:tcPr>
                  <w:tcW w:w="5755" w:type="dxa"/>
                  <w:vAlign w:val="center"/>
                </w:tcPr>
                <w:p>
                  <w:pPr>
                    <w:pStyle w:val="42"/>
                    <w:ind w:firstLine="420" w:firstLineChars="200"/>
                    <w:jc w:val="both"/>
                  </w:pPr>
                  <w:r>
                    <w:t>1辆，用于</w:t>
                  </w:r>
                  <w:r>
                    <w:rPr>
                      <w:rFonts w:hint="eastAsia"/>
                    </w:rPr>
                    <w:t>排土场、</w:t>
                  </w:r>
                  <w:r>
                    <w:t>场内外运输道路洒水降尘。</w:t>
                  </w:r>
                </w:p>
              </w:tc>
              <w:tc>
                <w:tcPr>
                  <w:tcW w:w="916" w:type="dxa"/>
                  <w:vAlign w:val="center"/>
                </w:tcPr>
                <w:p>
                  <w:pPr>
                    <w:pStyle w:val="42"/>
                  </w:pPr>
                  <w: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restart"/>
                  <w:vAlign w:val="center"/>
                </w:tcPr>
                <w:p>
                  <w:pPr>
                    <w:pStyle w:val="42"/>
                  </w:pPr>
                  <w:r>
                    <w:t>废水</w:t>
                  </w:r>
                </w:p>
              </w:tc>
              <w:tc>
                <w:tcPr>
                  <w:tcW w:w="1301" w:type="dxa"/>
                  <w:vAlign w:val="center"/>
                </w:tcPr>
                <w:p>
                  <w:pPr>
                    <w:pStyle w:val="42"/>
                  </w:pPr>
                  <w:r>
                    <w:rPr>
                      <w:rFonts w:hint="eastAsia"/>
                    </w:rPr>
                    <w:t>卫生间+</w:t>
                  </w:r>
                  <w:r>
                    <w:t>化粪池</w:t>
                  </w:r>
                </w:p>
              </w:tc>
              <w:tc>
                <w:tcPr>
                  <w:tcW w:w="5755" w:type="dxa"/>
                  <w:vAlign w:val="center"/>
                </w:tcPr>
                <w:p>
                  <w:pPr>
                    <w:pStyle w:val="42"/>
                    <w:ind w:firstLine="420" w:firstLineChars="200"/>
                    <w:jc w:val="both"/>
                  </w:pPr>
                  <w:r>
                    <w:rPr>
                      <w:rFonts w:hint="eastAsia"/>
                    </w:rPr>
                    <w:t>设卫生间1间，</w:t>
                  </w:r>
                  <w:r>
                    <w:t>位于</w:t>
                  </w:r>
                  <w:r>
                    <w:rPr>
                      <w:rFonts w:hint="eastAsia"/>
                    </w:rPr>
                    <w:t>办公楼东侧4m处</w:t>
                  </w:r>
                  <w:r>
                    <w:t>，</w:t>
                  </w:r>
                  <w:r>
                    <w:rPr>
                      <w:rFonts w:hint="eastAsia"/>
                    </w:rPr>
                    <w:t>占地13m</w:t>
                  </w:r>
                  <w:r>
                    <w:rPr>
                      <w:rFonts w:hint="eastAsia"/>
                      <w:vertAlign w:val="superscript"/>
                    </w:rPr>
                    <w:t>2</w:t>
                  </w:r>
                  <w:r>
                    <w:rPr>
                      <w:rFonts w:hint="eastAsia"/>
                    </w:rPr>
                    <w:t>。化粪池位于卫生间下方，</w:t>
                  </w:r>
                  <w:r>
                    <w:t>容积30m</w:t>
                  </w:r>
                  <w:r>
                    <w:rPr>
                      <w:vertAlign w:val="superscript"/>
                    </w:rPr>
                    <w:t>3</w:t>
                  </w:r>
                  <w:r>
                    <w:t>。</w:t>
                  </w:r>
                </w:p>
              </w:tc>
              <w:tc>
                <w:tcPr>
                  <w:tcW w:w="916" w:type="dxa"/>
                  <w:vAlign w:val="center"/>
                </w:tcPr>
                <w:p>
                  <w:pPr>
                    <w:pStyle w:val="42"/>
                  </w:pPr>
                  <w:r>
                    <w:rPr>
                      <w:rFonts w:hint="eastAsia"/>
                    </w:rPr>
                    <w:t>依托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continue"/>
                  <w:vAlign w:val="center"/>
                </w:tcPr>
                <w:p>
                  <w:pPr>
                    <w:pStyle w:val="42"/>
                  </w:pPr>
                </w:p>
              </w:tc>
              <w:tc>
                <w:tcPr>
                  <w:tcW w:w="1301" w:type="dxa"/>
                  <w:vAlign w:val="center"/>
                </w:tcPr>
                <w:p>
                  <w:pPr>
                    <w:pStyle w:val="42"/>
                  </w:pPr>
                  <w:r>
                    <w:rPr>
                      <w:rFonts w:hint="eastAsia"/>
                    </w:rPr>
                    <w:t>“U型”车辆冲洗池</w:t>
                  </w:r>
                </w:p>
              </w:tc>
              <w:tc>
                <w:tcPr>
                  <w:tcW w:w="5755" w:type="dxa"/>
                  <w:vAlign w:val="center"/>
                </w:tcPr>
                <w:p>
                  <w:pPr>
                    <w:pStyle w:val="42"/>
                    <w:ind w:firstLine="420" w:firstLineChars="200"/>
                    <w:jc w:val="both"/>
                  </w:pPr>
                  <w:r>
                    <w:t>1座，位于</w:t>
                  </w:r>
                  <w:r>
                    <w:rPr>
                      <w:rFonts w:hint="eastAsia"/>
                    </w:rPr>
                    <w:t>地磅称东侧，</w:t>
                  </w:r>
                  <w:r>
                    <w:rPr>
                      <w:rFonts w:hint="eastAsia"/>
                      <w:szCs w:val="21"/>
                    </w:rPr>
                    <w:t>占地面积约35m</w:t>
                  </w:r>
                  <w:r>
                    <w:rPr>
                      <w:rFonts w:hint="eastAsia"/>
                      <w:szCs w:val="21"/>
                      <w:vertAlign w:val="superscript"/>
                    </w:rPr>
                    <w:t>2</w:t>
                  </w:r>
                  <w:r>
                    <w:rPr>
                      <w:rFonts w:hint="eastAsia"/>
                      <w:szCs w:val="21"/>
                    </w:rPr>
                    <w:t>，容积约20m</w:t>
                  </w:r>
                  <w:r>
                    <w:rPr>
                      <w:rFonts w:hint="eastAsia"/>
                      <w:szCs w:val="21"/>
                      <w:vertAlign w:val="superscript"/>
                    </w:rPr>
                    <w:t>3</w:t>
                  </w:r>
                  <w:r>
                    <w:rPr>
                      <w:rFonts w:hint="eastAsia"/>
                      <w:szCs w:val="21"/>
                    </w:rPr>
                    <w:t>，收集沉淀车辆冲洗废水</w:t>
                  </w:r>
                  <w:r>
                    <w:rPr>
                      <w:szCs w:val="21"/>
                    </w:rPr>
                    <w:t>。</w:t>
                  </w:r>
                </w:p>
              </w:tc>
              <w:tc>
                <w:tcPr>
                  <w:tcW w:w="916" w:type="dxa"/>
                  <w:vAlign w:val="center"/>
                </w:tcPr>
                <w:p>
                  <w:pPr>
                    <w:pStyle w:val="42"/>
                  </w:pPr>
                  <w:r>
                    <w:rPr>
                      <w:rFonts w:hint="eastAsia"/>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continue"/>
                  <w:vAlign w:val="center"/>
                </w:tcPr>
                <w:p>
                  <w:pPr>
                    <w:pStyle w:val="42"/>
                  </w:pPr>
                </w:p>
              </w:tc>
              <w:tc>
                <w:tcPr>
                  <w:tcW w:w="1301" w:type="dxa"/>
                  <w:vAlign w:val="center"/>
                </w:tcPr>
                <w:p>
                  <w:pPr>
                    <w:pStyle w:val="42"/>
                  </w:pPr>
                  <w:r>
                    <w:t>雨水收集系统</w:t>
                  </w:r>
                </w:p>
              </w:tc>
              <w:tc>
                <w:tcPr>
                  <w:tcW w:w="5755" w:type="dxa"/>
                  <w:vAlign w:val="center"/>
                </w:tcPr>
                <w:p>
                  <w:pPr>
                    <w:pStyle w:val="42"/>
                    <w:ind w:firstLine="420" w:firstLineChars="200"/>
                    <w:jc w:val="both"/>
                    <w:rPr>
                      <w:szCs w:val="21"/>
                    </w:rPr>
                  </w:pPr>
                  <w:r>
                    <w:t>根据区域地势，</w:t>
                  </w:r>
                  <w:r>
                    <w:rPr>
                      <w:rFonts w:hint="eastAsia"/>
                    </w:rPr>
                    <w:t>在矿区西北侧布设约365</w:t>
                  </w:r>
                  <w:r>
                    <w:rPr>
                      <w:bCs/>
                      <w:kern w:val="0"/>
                    </w:rPr>
                    <w:t>m截洪沟</w:t>
                  </w:r>
                  <w:r>
                    <w:rPr>
                      <w:rFonts w:hint="eastAsia"/>
                      <w:bCs/>
                      <w:kern w:val="0"/>
                    </w:rPr>
                    <w:t>，截挡外部雨水；在矿区其他侧、场内运输道路单边、工业广场东侧及南侧共布设约9</w:t>
                  </w:r>
                  <w:r>
                    <w:rPr>
                      <w:bCs/>
                      <w:kern w:val="0"/>
                    </w:rPr>
                    <w:t>00m排水沟</w:t>
                  </w:r>
                  <w:r>
                    <w:rPr>
                      <w:rFonts w:hint="eastAsia"/>
                      <w:bCs/>
                      <w:kern w:val="0"/>
                    </w:rPr>
                    <w:t>，</w:t>
                  </w:r>
                  <w:r>
                    <w:rPr>
                      <w:bCs/>
                      <w:kern w:val="0"/>
                    </w:rPr>
                    <w:t>排水沟</w:t>
                  </w:r>
                  <w:r>
                    <w:rPr>
                      <w:rFonts w:hint="eastAsia"/>
                      <w:bCs/>
                      <w:kern w:val="0"/>
                    </w:rPr>
                    <w:t>末端可</w:t>
                  </w:r>
                  <w:r>
                    <w:rPr>
                      <w:rFonts w:hint="eastAsia"/>
                      <w:szCs w:val="21"/>
                    </w:rPr>
                    <w:t>设一切换阀，一端接入</w:t>
                  </w:r>
                  <w:r>
                    <w:rPr>
                      <w:rFonts w:hint="eastAsia"/>
                      <w:color w:val="0000FF"/>
                    </w:rPr>
                    <w:t>110m</w:t>
                  </w:r>
                  <w:r>
                    <w:rPr>
                      <w:color w:val="0000FF"/>
                      <w:szCs w:val="21"/>
                      <w:vertAlign w:val="superscript"/>
                    </w:rPr>
                    <w:t>3</w:t>
                  </w:r>
                  <w:r>
                    <w:rPr>
                      <w:rFonts w:hint="eastAsia"/>
                      <w:color w:val="0000FF"/>
                      <w:szCs w:val="21"/>
                    </w:rPr>
                    <w:t>雨水沉淀池</w:t>
                  </w:r>
                  <w:r>
                    <w:rPr>
                      <w:rFonts w:hint="eastAsia"/>
                      <w:szCs w:val="21"/>
                    </w:rPr>
                    <w:t>，</w:t>
                  </w:r>
                  <w:r>
                    <w:rPr>
                      <w:rFonts w:hint="eastAsia"/>
                      <w:bCs/>
                      <w:kern w:val="0"/>
                    </w:rPr>
                    <w:t>另一端设排水沟连接至厂区外，可人工或自动化切换，以收集厂区初期雨水，导排厂区后期澄清雨水。</w:t>
                  </w:r>
                </w:p>
                <w:p>
                  <w:pPr>
                    <w:pStyle w:val="42"/>
                    <w:ind w:firstLine="420" w:firstLineChars="200"/>
                    <w:jc w:val="both"/>
                  </w:pPr>
                  <w:r>
                    <w:rPr>
                      <w:rFonts w:hint="eastAsia"/>
                    </w:rPr>
                    <w:t>为更好导排雨水，沉淀泥沙，避免沟道堵塞，在截排水沟转折及交汇点共设置</w:t>
                  </w:r>
                  <w:r>
                    <w:rPr>
                      <w:rFonts w:hint="eastAsia"/>
                      <w:color w:val="0000FF"/>
                    </w:rPr>
                    <w:t>3个容积为1</w:t>
                  </w:r>
                  <w:r>
                    <w:rPr>
                      <w:color w:val="0000FF"/>
                    </w:rPr>
                    <w:t>m</w:t>
                  </w:r>
                  <w:r>
                    <w:rPr>
                      <w:color w:val="0000FF"/>
                      <w:vertAlign w:val="superscript"/>
                    </w:rPr>
                    <w:t>3</w:t>
                  </w:r>
                  <w:r>
                    <w:rPr>
                      <w:rFonts w:hint="eastAsia"/>
                      <w:color w:val="0000FF"/>
                    </w:rPr>
                    <w:t>的沉砂凼</w:t>
                  </w:r>
                  <w:r>
                    <w:rPr>
                      <w:rFonts w:hint="eastAsia"/>
                    </w:rPr>
                    <w:t>调节雨水流速并初步沉淀雨水中的泥沙</w:t>
                  </w:r>
                  <w:r>
                    <w:t>。</w:t>
                  </w:r>
                </w:p>
              </w:tc>
              <w:tc>
                <w:tcPr>
                  <w:tcW w:w="916" w:type="dxa"/>
                  <w:vAlign w:val="center"/>
                </w:tcPr>
                <w:p>
                  <w:pPr>
                    <w:pStyle w:val="42"/>
                  </w:pPr>
                  <w:r>
                    <w:rPr>
                      <w:rFonts w:hint="eastAsia"/>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1938" w:type="dxa"/>
                  <w:gridSpan w:val="2"/>
                  <w:vAlign w:val="center"/>
                </w:tcPr>
                <w:p>
                  <w:pPr>
                    <w:pStyle w:val="42"/>
                  </w:pPr>
                  <w:r>
                    <w:rPr>
                      <w:rFonts w:hint="eastAsia"/>
                    </w:rPr>
                    <w:t>噪声</w:t>
                  </w:r>
                </w:p>
              </w:tc>
              <w:tc>
                <w:tcPr>
                  <w:tcW w:w="5755" w:type="dxa"/>
                  <w:vAlign w:val="center"/>
                </w:tcPr>
                <w:p>
                  <w:pPr>
                    <w:pStyle w:val="42"/>
                    <w:ind w:firstLine="420" w:firstLineChars="200"/>
                    <w:jc w:val="both"/>
                  </w:pPr>
                  <w:r>
                    <w:t>破碎、筛分</w:t>
                  </w:r>
                  <w:r>
                    <w:rPr>
                      <w:rFonts w:hint="eastAsia"/>
                    </w:rPr>
                    <w:t>、空压机</w:t>
                  </w:r>
                  <w:r>
                    <w:t>等生产设备基础加装减振垫</w:t>
                  </w:r>
                  <w:r>
                    <w:rPr>
                      <w:rFonts w:hint="eastAsia"/>
                    </w:rPr>
                    <w:t>，</w:t>
                  </w:r>
                  <w:r>
                    <w:t>破碎、筛分</w:t>
                  </w:r>
                  <w:r>
                    <w:rPr>
                      <w:rFonts w:hint="eastAsia"/>
                    </w:rPr>
                    <w:t>置于钢架厂房内，加工区</w:t>
                  </w:r>
                  <w:r>
                    <w:rPr>
                      <w:rFonts w:hint="eastAsia"/>
                      <w:bCs/>
                      <w:szCs w:val="21"/>
                    </w:rPr>
                    <w:t>厂房南侧整体悬挂10cm厚隔声屏障，实现局部厂房+隔声屏隔声；空压机房为砖混结构，实现建筑隔声</w:t>
                  </w:r>
                  <w:r>
                    <w:rPr>
                      <w:rFonts w:hint="eastAsia"/>
                    </w:rPr>
                    <w:t>。</w:t>
                  </w:r>
                </w:p>
              </w:tc>
              <w:tc>
                <w:tcPr>
                  <w:tcW w:w="916" w:type="dxa"/>
                  <w:vAlign w:val="center"/>
                </w:tcPr>
                <w:p>
                  <w:pPr>
                    <w:pStyle w:val="42"/>
                  </w:pPr>
                  <w:r>
                    <w:rPr>
                      <w:rFonts w:hint="eastAsia"/>
                    </w:rPr>
                    <w:t>新建+依托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restart"/>
                  <w:vAlign w:val="center"/>
                </w:tcPr>
                <w:p>
                  <w:pPr>
                    <w:pStyle w:val="42"/>
                  </w:pPr>
                  <w:r>
                    <w:t>固废</w:t>
                  </w:r>
                </w:p>
              </w:tc>
              <w:tc>
                <w:tcPr>
                  <w:tcW w:w="1301" w:type="dxa"/>
                  <w:vAlign w:val="center"/>
                </w:tcPr>
                <w:p>
                  <w:pPr>
                    <w:pStyle w:val="42"/>
                  </w:pPr>
                  <w:r>
                    <w:t>危废贮存点</w:t>
                  </w:r>
                </w:p>
              </w:tc>
              <w:tc>
                <w:tcPr>
                  <w:tcW w:w="5755" w:type="dxa"/>
                  <w:vAlign w:val="center"/>
                </w:tcPr>
                <w:p>
                  <w:pPr>
                    <w:pStyle w:val="42"/>
                    <w:ind w:firstLine="420" w:firstLineChars="200"/>
                    <w:jc w:val="both"/>
                    <w:rPr>
                      <w:szCs w:val="21"/>
                    </w:rPr>
                  </w:pPr>
                  <w:r>
                    <w:rPr>
                      <w:rFonts w:hint="eastAsia"/>
                    </w:rPr>
                    <w:t>1间，位于办公楼1F西部区域，面积</w:t>
                  </w:r>
                  <w:r>
                    <w:t>约8m</w:t>
                  </w:r>
                  <w:r>
                    <w:rPr>
                      <w:vertAlign w:val="superscript"/>
                    </w:rPr>
                    <w:t>2</w:t>
                  </w:r>
                  <w:r>
                    <w:t>，</w:t>
                  </w:r>
                  <w:r>
                    <w:rPr>
                      <w:rFonts w:hint="eastAsia"/>
                    </w:rPr>
                    <w:t>用于</w:t>
                  </w:r>
                  <w:r>
                    <w:rPr>
                      <w:szCs w:val="21"/>
                    </w:rPr>
                    <w:t>临时收集暂存</w:t>
                  </w:r>
                  <w:r>
                    <w:rPr>
                      <w:rFonts w:hint="eastAsia"/>
                      <w:szCs w:val="21"/>
                    </w:rPr>
                    <w:t>设备</w:t>
                  </w:r>
                  <w:r>
                    <w:t>保养</w:t>
                  </w:r>
                  <w:r>
                    <w:rPr>
                      <w:rFonts w:hint="eastAsia"/>
                    </w:rPr>
                    <w:t>废油及</w:t>
                  </w:r>
                  <w:r>
                    <w:rPr>
                      <w:bCs/>
                    </w:rPr>
                    <w:t>含油抹布及劳保用品</w:t>
                  </w:r>
                  <w:r>
                    <w:rPr>
                      <w:szCs w:val="21"/>
                    </w:rPr>
                    <w:t>。</w:t>
                  </w:r>
                </w:p>
              </w:tc>
              <w:tc>
                <w:tcPr>
                  <w:tcW w:w="916" w:type="dxa"/>
                  <w:vAlign w:val="center"/>
                </w:tcPr>
                <w:p>
                  <w:pPr>
                    <w:pStyle w:val="42"/>
                  </w:pPr>
                  <w:r>
                    <w:rPr>
                      <w:rFonts w:hint="eastAsia"/>
                      <w:color w:val="0000FF"/>
                    </w:rPr>
                    <w:t>依托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continue"/>
                  <w:vAlign w:val="center"/>
                </w:tcPr>
                <w:p>
                  <w:pPr>
                    <w:pStyle w:val="42"/>
                  </w:pPr>
                </w:p>
              </w:tc>
              <w:tc>
                <w:tcPr>
                  <w:tcW w:w="1301" w:type="dxa"/>
                  <w:vAlign w:val="center"/>
                </w:tcPr>
                <w:p>
                  <w:pPr>
                    <w:pStyle w:val="42"/>
                  </w:pPr>
                  <w:r>
                    <w:t>垃圾桶</w:t>
                  </w:r>
                </w:p>
              </w:tc>
              <w:tc>
                <w:tcPr>
                  <w:tcW w:w="5755" w:type="dxa"/>
                  <w:vAlign w:val="center"/>
                </w:tcPr>
                <w:p>
                  <w:pPr>
                    <w:pStyle w:val="42"/>
                    <w:ind w:firstLine="420" w:firstLineChars="200"/>
                    <w:jc w:val="both"/>
                    <w:rPr>
                      <w:szCs w:val="21"/>
                    </w:rPr>
                  </w:pPr>
                  <w:r>
                    <w:t>在</w:t>
                  </w:r>
                  <w:r>
                    <w:rPr>
                      <w:rFonts w:hint="eastAsia"/>
                    </w:rPr>
                    <w:t>办公楼</w:t>
                  </w:r>
                  <w:r>
                    <w:t>配置若干</w:t>
                  </w:r>
                  <w:r>
                    <w:rPr>
                      <w:szCs w:val="21"/>
                    </w:rPr>
                    <w:t>垃圾桶，</w:t>
                  </w:r>
                  <w:r>
                    <w:rPr>
                      <w:rFonts w:hint="eastAsia"/>
                      <w:szCs w:val="21"/>
                    </w:rPr>
                    <w:t>用于</w:t>
                  </w:r>
                  <w:r>
                    <w:t>收集职工生活垃圾</w:t>
                  </w:r>
                  <w:r>
                    <w:rPr>
                      <w:szCs w:val="21"/>
                    </w:rPr>
                    <w:t>。</w:t>
                  </w:r>
                </w:p>
              </w:tc>
              <w:tc>
                <w:tcPr>
                  <w:tcW w:w="916" w:type="dxa"/>
                  <w:vAlign w:val="center"/>
                </w:tcPr>
                <w:p>
                  <w:pPr>
                    <w:pStyle w:val="42"/>
                  </w:pPr>
                  <w:r>
                    <w:rPr>
                      <w:rFonts w:hint="eastAsia"/>
                    </w:rPr>
                    <w:t>依托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restart"/>
                  <w:vAlign w:val="center"/>
                </w:tcPr>
                <w:p>
                  <w:pPr>
                    <w:pStyle w:val="42"/>
                  </w:pPr>
                  <w:r>
                    <w:t>环境风险</w:t>
                  </w:r>
                </w:p>
              </w:tc>
              <w:tc>
                <w:tcPr>
                  <w:tcW w:w="1301" w:type="dxa"/>
                  <w:vAlign w:val="center"/>
                </w:tcPr>
                <w:p>
                  <w:pPr>
                    <w:pStyle w:val="42"/>
                  </w:pPr>
                  <w:r>
                    <w:rPr>
                      <w:rFonts w:hint="eastAsia"/>
                    </w:rPr>
                    <w:t>柴油罐区风险防范工程</w:t>
                  </w:r>
                </w:p>
              </w:tc>
              <w:tc>
                <w:tcPr>
                  <w:tcW w:w="5755" w:type="dxa"/>
                  <w:vAlign w:val="center"/>
                </w:tcPr>
                <w:p>
                  <w:pPr>
                    <w:pStyle w:val="42"/>
                    <w:ind w:firstLine="420" w:firstLineChars="200"/>
                    <w:jc w:val="both"/>
                  </w:pPr>
                  <w:r>
                    <w:t>柴油储罐置于室内，设置</w:t>
                  </w:r>
                  <w:r>
                    <w:rPr>
                      <w:rFonts w:hint="eastAsia"/>
                      <w:color w:val="0000FF"/>
                    </w:rPr>
                    <w:t>防雨、防渗漏</w:t>
                  </w:r>
                  <w:r>
                    <w:t>措施，柴油储罐四周设置围堰，围堰容积50m</w:t>
                  </w:r>
                  <w:r>
                    <w:rPr>
                      <w:vertAlign w:val="superscript"/>
                    </w:rPr>
                    <w:t>3</w:t>
                  </w:r>
                  <w:r>
                    <w:t>，</w:t>
                  </w:r>
                  <w:r>
                    <w:rPr>
                      <w:rFonts w:hint="eastAsia"/>
                    </w:rPr>
                    <w:t>围堰高度1</w:t>
                  </w:r>
                  <w:r>
                    <w:t>m</w:t>
                  </w:r>
                  <w:r>
                    <w:rPr>
                      <w:rFonts w:hint="eastAsia"/>
                    </w:rPr>
                    <w:t>，</w:t>
                  </w:r>
                  <w:r>
                    <w:t>配备干粉灭火器、消防沙、隔油栏、吸油毡等应急物资并设置警示标识。</w:t>
                  </w:r>
                </w:p>
              </w:tc>
              <w:tc>
                <w:tcPr>
                  <w:tcW w:w="916" w:type="dxa"/>
                  <w:vAlign w:val="center"/>
                </w:tcPr>
                <w:p>
                  <w:pPr>
                    <w:pStyle w:val="42"/>
                  </w:pPr>
                  <w: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continue"/>
                  <w:vAlign w:val="center"/>
                </w:tcPr>
                <w:p>
                  <w:pPr>
                    <w:pStyle w:val="42"/>
                  </w:pPr>
                </w:p>
              </w:tc>
              <w:tc>
                <w:tcPr>
                  <w:tcW w:w="1301" w:type="dxa"/>
                  <w:vAlign w:val="center"/>
                </w:tcPr>
                <w:p>
                  <w:pPr>
                    <w:pStyle w:val="42"/>
                  </w:pPr>
                  <w:r>
                    <w:rPr>
                      <w:rFonts w:hint="eastAsia"/>
                    </w:rPr>
                    <w:t>危废贮存点环境风险防范工程</w:t>
                  </w:r>
                </w:p>
              </w:tc>
              <w:tc>
                <w:tcPr>
                  <w:tcW w:w="5755" w:type="dxa"/>
                  <w:vAlign w:val="center"/>
                </w:tcPr>
                <w:p>
                  <w:pPr>
                    <w:pStyle w:val="42"/>
                    <w:ind w:firstLine="420" w:firstLineChars="200"/>
                    <w:jc w:val="both"/>
                  </w:pPr>
                  <w:r>
                    <w:t>危废贮存点</w:t>
                  </w:r>
                  <w:r>
                    <w:rPr>
                      <w:rFonts w:hint="eastAsia"/>
                      <w:bCs/>
                    </w:rPr>
                    <w:t>按规定</w:t>
                  </w:r>
                  <w:r>
                    <w:rPr>
                      <w:bCs/>
                    </w:rPr>
                    <w:t>采取</w:t>
                  </w:r>
                  <w:r>
                    <w:rPr>
                      <w:rFonts w:ascii="宋体" w:hAnsi="宋体"/>
                      <w:bCs/>
                    </w:rPr>
                    <w:t>“六防”</w:t>
                  </w:r>
                  <w:r>
                    <w:rPr>
                      <w:bCs/>
                      <w:color w:val="0000FF"/>
                    </w:rPr>
                    <w:t>（防风、防雨、防晒、防渗、防漏、防腐）</w:t>
                  </w:r>
                  <w:r>
                    <w:rPr>
                      <w:bCs/>
                    </w:rPr>
                    <w:t>措施及泄漏物收集措施</w:t>
                  </w:r>
                  <w:r>
                    <w:rPr>
                      <w:rFonts w:hint="eastAsia"/>
                      <w:bCs/>
                    </w:rPr>
                    <w:t>，</w:t>
                  </w:r>
                  <w:r>
                    <w:t>配备干粉灭火器、消防沙、隔油栏、吸油毡等应急物资并设置警示标识。</w:t>
                  </w:r>
                </w:p>
              </w:tc>
              <w:tc>
                <w:tcPr>
                  <w:tcW w:w="916" w:type="dxa"/>
                  <w:vAlign w:val="center"/>
                </w:tcPr>
                <w:p>
                  <w:pPr>
                    <w:pStyle w:val="42"/>
                  </w:pPr>
                  <w:r>
                    <w:rPr>
                      <w:rFonts w:hint="eastAsia"/>
                      <w:color w:val="0000FF"/>
                    </w:rPr>
                    <w:t>依托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Align w:val="center"/>
                </w:tcPr>
                <w:p>
                  <w:pPr>
                    <w:pStyle w:val="42"/>
                  </w:pPr>
                  <w:r>
                    <w:rPr>
                      <w:szCs w:val="21"/>
                    </w:rPr>
                    <w:t>环境风险</w:t>
                  </w:r>
                  <w:r>
                    <w:rPr>
                      <w:rFonts w:hint="eastAsia"/>
                      <w:szCs w:val="21"/>
                    </w:rPr>
                    <w:t>、土壤</w:t>
                  </w:r>
                </w:p>
              </w:tc>
              <w:tc>
                <w:tcPr>
                  <w:tcW w:w="1301" w:type="dxa"/>
                  <w:vAlign w:val="center"/>
                </w:tcPr>
                <w:p>
                  <w:pPr>
                    <w:pStyle w:val="42"/>
                  </w:pPr>
                  <w:r>
                    <w:rPr>
                      <w:rFonts w:hint="eastAsia" w:ascii="宋体" w:hAnsi="宋体" w:cs="宋体"/>
                      <w:szCs w:val="21"/>
                    </w:rPr>
                    <w:t>分区防渗工程</w:t>
                  </w:r>
                </w:p>
              </w:tc>
              <w:tc>
                <w:tcPr>
                  <w:tcW w:w="5755" w:type="dxa"/>
                  <w:vAlign w:val="center"/>
                </w:tcPr>
                <w:p>
                  <w:pPr>
                    <w:pStyle w:val="42"/>
                    <w:ind w:firstLine="420" w:firstLineChars="200"/>
                    <w:jc w:val="both"/>
                  </w:pPr>
                  <w:r>
                    <w:rPr>
                      <w:rFonts w:hint="eastAsia"/>
                    </w:rPr>
                    <w:t>厂区分区防渗，化粪池、雨水沉淀池、沉沙凼、”U型”车辆冲洗池为一般防渗区，危废贮存点、柴油罐区为重点防渗区。</w:t>
                  </w:r>
                </w:p>
              </w:tc>
              <w:tc>
                <w:tcPr>
                  <w:tcW w:w="916" w:type="dxa"/>
                  <w:vAlign w:val="center"/>
                </w:tcPr>
                <w:p>
                  <w:pPr>
                    <w:pStyle w:val="42"/>
                  </w:pPr>
                  <w: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1938" w:type="dxa"/>
                  <w:gridSpan w:val="2"/>
                  <w:vAlign w:val="center"/>
                </w:tcPr>
                <w:p>
                  <w:pPr>
                    <w:pStyle w:val="42"/>
                  </w:pPr>
                  <w:r>
                    <w:rPr>
                      <w:rFonts w:hint="eastAsia"/>
                    </w:rPr>
                    <w:t>生态环境保护与治理</w:t>
                  </w:r>
                </w:p>
              </w:tc>
              <w:tc>
                <w:tcPr>
                  <w:tcW w:w="5755" w:type="dxa"/>
                  <w:vAlign w:val="center"/>
                </w:tcPr>
                <w:p>
                  <w:pPr>
                    <w:pStyle w:val="42"/>
                    <w:ind w:firstLine="420" w:firstLineChars="200"/>
                    <w:jc w:val="both"/>
                  </w:pPr>
                  <w:r>
                    <w:rPr>
                      <w:rFonts w:hint="eastAsia"/>
                      <w:szCs w:val="21"/>
                    </w:rPr>
                    <w:t>根据采剥计划，采区实施边开采、边复垦，开采完的台阶及坡面及时进行恢复。矿山开采终了后，即进行全厂绿化复垦，包括：迹地清理、采坑回填，覆土绿化或复耕等；各阶段也需落实《水土保持方案》中相应的水土流失防治工程</w:t>
                  </w:r>
                  <w:r>
                    <w:t>。</w:t>
                  </w:r>
                </w:p>
              </w:tc>
              <w:tc>
                <w:tcPr>
                  <w:tcW w:w="916" w:type="dxa"/>
                  <w:vAlign w:val="center"/>
                </w:tcPr>
                <w:p>
                  <w:pPr>
                    <w:pStyle w:val="42"/>
                  </w:pPr>
                  <w:r>
                    <w:t>/</w:t>
                  </w:r>
                </w:p>
              </w:tc>
            </w:tr>
          </w:tbl>
          <w:p>
            <w:pPr>
              <w:adjustRightInd w:val="0"/>
              <w:snapToGrid w:val="0"/>
              <w:spacing w:line="360" w:lineRule="auto"/>
              <w:ind w:firstLine="482" w:firstLineChars="200"/>
              <w:rPr>
                <w:b/>
                <w:kern w:val="0"/>
                <w:sz w:val="24"/>
              </w:rPr>
            </w:pPr>
            <w:r>
              <w:rPr>
                <w:b/>
                <w:kern w:val="0"/>
                <w:sz w:val="24"/>
              </w:rPr>
              <w:t>（4）主要生产设备</w:t>
            </w:r>
          </w:p>
          <w:p>
            <w:pPr>
              <w:adjustRightInd w:val="0"/>
              <w:snapToGrid w:val="0"/>
              <w:spacing w:line="360" w:lineRule="auto"/>
              <w:ind w:firstLine="480" w:firstLineChars="200"/>
              <w:rPr>
                <w:kern w:val="0"/>
                <w:sz w:val="24"/>
              </w:rPr>
            </w:pPr>
            <w:r>
              <w:rPr>
                <w:kern w:val="0"/>
                <w:sz w:val="24"/>
              </w:rPr>
              <w:t>拟建项目主要生产设备见下表2-</w:t>
            </w:r>
            <w:r>
              <w:rPr>
                <w:rFonts w:hint="eastAsia"/>
                <w:kern w:val="0"/>
                <w:sz w:val="24"/>
              </w:rPr>
              <w:t>8</w:t>
            </w:r>
            <w:r>
              <w:rPr>
                <w:kern w:val="0"/>
                <w:sz w:val="24"/>
              </w:rPr>
              <w:t>。</w:t>
            </w:r>
          </w:p>
          <w:p>
            <w:pPr>
              <w:adjustRightInd w:val="0"/>
              <w:snapToGrid w:val="0"/>
              <w:jc w:val="center"/>
              <w:rPr>
                <w:b/>
                <w:kern w:val="0"/>
                <w:sz w:val="24"/>
              </w:rPr>
            </w:pPr>
            <w:r>
              <w:rPr>
                <w:b/>
                <w:kern w:val="0"/>
                <w:sz w:val="24"/>
              </w:rPr>
              <w:t>表2-</w:t>
            </w:r>
            <w:r>
              <w:rPr>
                <w:rFonts w:hint="eastAsia"/>
                <w:b/>
                <w:kern w:val="0"/>
                <w:sz w:val="24"/>
              </w:rPr>
              <w:t>8</w:t>
            </w:r>
            <w:r>
              <w:rPr>
                <w:b/>
                <w:kern w:val="0"/>
                <w:sz w:val="24"/>
              </w:rPr>
              <w:t xml:space="preserve">  主要</w:t>
            </w:r>
            <w:r>
              <w:rPr>
                <w:rFonts w:hint="eastAsia"/>
                <w:b/>
                <w:kern w:val="0"/>
                <w:sz w:val="24"/>
              </w:rPr>
              <w:t>生产</w:t>
            </w:r>
            <w:r>
              <w:rPr>
                <w:b/>
                <w:kern w:val="0"/>
                <w:sz w:val="24"/>
              </w:rPr>
              <w:t>设备</w:t>
            </w:r>
          </w:p>
          <w:tbl>
            <w:tblPr>
              <w:tblStyle w:val="15"/>
              <w:tblW w:w="903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9"/>
              <w:gridCol w:w="1468"/>
              <w:gridCol w:w="2910"/>
              <w:gridCol w:w="795"/>
              <w:gridCol w:w="709"/>
              <w:gridCol w:w="1271"/>
              <w:gridCol w:w="11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t>类别</w:t>
                  </w:r>
                </w:p>
              </w:tc>
              <w:tc>
                <w:tcPr>
                  <w:tcW w:w="1468" w:type="dxa"/>
                  <w:vAlign w:val="center"/>
                </w:tcPr>
                <w:p>
                  <w:pPr>
                    <w:pStyle w:val="42"/>
                  </w:pPr>
                  <w:r>
                    <w:t>设备名称</w:t>
                  </w:r>
                </w:p>
              </w:tc>
              <w:tc>
                <w:tcPr>
                  <w:tcW w:w="2910" w:type="dxa"/>
                  <w:vAlign w:val="center"/>
                </w:tcPr>
                <w:p>
                  <w:pPr>
                    <w:pStyle w:val="42"/>
                  </w:pPr>
                  <w:r>
                    <w:t>型号</w:t>
                  </w:r>
                </w:p>
              </w:tc>
              <w:tc>
                <w:tcPr>
                  <w:tcW w:w="795" w:type="dxa"/>
                  <w:vAlign w:val="center"/>
                </w:tcPr>
                <w:p>
                  <w:pPr>
                    <w:pStyle w:val="42"/>
                  </w:pPr>
                  <w:r>
                    <w:t>单位</w:t>
                  </w:r>
                </w:p>
              </w:tc>
              <w:tc>
                <w:tcPr>
                  <w:tcW w:w="709" w:type="dxa"/>
                  <w:tcBorders>
                    <w:right w:val="single" w:color="auto" w:sz="4" w:space="0"/>
                  </w:tcBorders>
                  <w:vAlign w:val="center"/>
                </w:tcPr>
                <w:p>
                  <w:pPr>
                    <w:pStyle w:val="42"/>
                  </w:pPr>
                  <w:r>
                    <w:t>数量</w:t>
                  </w:r>
                </w:p>
              </w:tc>
              <w:tc>
                <w:tcPr>
                  <w:tcW w:w="1271" w:type="dxa"/>
                  <w:tcBorders>
                    <w:left w:val="single" w:color="auto" w:sz="4" w:space="0"/>
                  </w:tcBorders>
                  <w:vAlign w:val="center"/>
                </w:tcPr>
                <w:p>
                  <w:pPr>
                    <w:pStyle w:val="42"/>
                  </w:pPr>
                  <w:r>
                    <w:rPr>
                      <w:rFonts w:hint="eastAsia"/>
                    </w:rPr>
                    <w:t>备注</w:t>
                  </w:r>
                </w:p>
              </w:tc>
              <w:tc>
                <w:tcPr>
                  <w:tcW w:w="1126" w:type="dxa"/>
                  <w:vAlign w:val="center"/>
                </w:tcPr>
                <w:p>
                  <w:pPr>
                    <w:pStyle w:val="42"/>
                  </w:pPr>
                  <w:r>
                    <w:rPr>
                      <w:rFonts w:hint="eastAsia"/>
                    </w:rPr>
                    <w:t>服务区域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t>1</w:t>
                  </w:r>
                </w:p>
              </w:tc>
              <w:tc>
                <w:tcPr>
                  <w:tcW w:w="1468" w:type="dxa"/>
                  <w:vAlign w:val="center"/>
                </w:tcPr>
                <w:p>
                  <w:pPr>
                    <w:pStyle w:val="42"/>
                    <w:rPr>
                      <w:szCs w:val="21"/>
                    </w:rPr>
                  </w:pPr>
                  <w:r>
                    <w:t>铲车</w:t>
                  </w:r>
                </w:p>
              </w:tc>
              <w:tc>
                <w:tcPr>
                  <w:tcW w:w="2910" w:type="dxa"/>
                  <w:vAlign w:val="center"/>
                </w:tcPr>
                <w:p>
                  <w:pPr>
                    <w:pStyle w:val="42"/>
                    <w:rPr>
                      <w:szCs w:val="21"/>
                    </w:rPr>
                  </w:pPr>
                  <w:r>
                    <w:t>SL50W-2型</w:t>
                  </w:r>
                  <w:r>
                    <w:rPr>
                      <w:rFonts w:hint="eastAsia"/>
                    </w:rPr>
                    <w:t>、</w:t>
                  </w:r>
                  <w:r>
                    <w:rPr>
                      <w:rFonts w:hint="eastAsia" w:ascii="宋体" w:hAnsi="宋体" w:cs="宋体"/>
                      <w:szCs w:val="21"/>
                    </w:rPr>
                    <w:t>斗容</w:t>
                  </w:r>
                  <w:r>
                    <w:rPr>
                      <w:szCs w:val="21"/>
                    </w:rPr>
                    <w:t>3m</w:t>
                  </w:r>
                  <w:r>
                    <w:rPr>
                      <w:rFonts w:hint="eastAsia" w:eastAsiaTheme="minorEastAsia"/>
                      <w:szCs w:val="21"/>
                      <w:vertAlign w:val="superscript"/>
                    </w:rPr>
                    <w:t>3</w:t>
                  </w:r>
                </w:p>
              </w:tc>
              <w:tc>
                <w:tcPr>
                  <w:tcW w:w="795" w:type="dxa"/>
                  <w:vAlign w:val="center"/>
                </w:tcPr>
                <w:p>
                  <w:pPr>
                    <w:pStyle w:val="42"/>
                    <w:rPr>
                      <w:szCs w:val="21"/>
                    </w:rPr>
                  </w:pPr>
                  <w:r>
                    <w:t>台</w:t>
                  </w:r>
                </w:p>
              </w:tc>
              <w:tc>
                <w:tcPr>
                  <w:tcW w:w="709" w:type="dxa"/>
                  <w:tcBorders>
                    <w:right w:val="single" w:color="auto" w:sz="4" w:space="0"/>
                  </w:tcBorders>
                  <w:vAlign w:val="center"/>
                </w:tcPr>
                <w:p>
                  <w:pPr>
                    <w:pStyle w:val="42"/>
                  </w:pPr>
                  <w:r>
                    <w:rPr>
                      <w:rFonts w:hint="eastAsia"/>
                    </w:rPr>
                    <w:t>2</w:t>
                  </w:r>
                </w:p>
              </w:tc>
              <w:tc>
                <w:tcPr>
                  <w:tcW w:w="1271" w:type="dxa"/>
                  <w:tcBorders>
                    <w:left w:val="single" w:color="auto" w:sz="4" w:space="0"/>
                  </w:tcBorders>
                  <w:vAlign w:val="center"/>
                </w:tcPr>
                <w:p>
                  <w:pPr>
                    <w:pStyle w:val="42"/>
                  </w:pPr>
                  <w:r>
                    <w:rPr>
                      <w:rFonts w:hint="eastAsia"/>
                    </w:rPr>
                    <w:t>1台利旧、1台新增</w:t>
                  </w:r>
                </w:p>
              </w:tc>
              <w:tc>
                <w:tcPr>
                  <w:tcW w:w="1126" w:type="dxa"/>
                  <w:vMerge w:val="restart"/>
                  <w:vAlign w:val="center"/>
                </w:tcPr>
                <w:p>
                  <w:pPr>
                    <w:pStyle w:val="42"/>
                  </w:pPr>
                  <w:r>
                    <w:rPr>
                      <w:rFonts w:hint="eastAsia"/>
                    </w:rPr>
                    <w:t>采区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rPr>
                      <w:rFonts w:hint="eastAsia"/>
                    </w:rPr>
                    <w:t>2</w:t>
                  </w:r>
                </w:p>
              </w:tc>
              <w:tc>
                <w:tcPr>
                  <w:tcW w:w="1468" w:type="dxa"/>
                  <w:vAlign w:val="center"/>
                </w:tcPr>
                <w:p>
                  <w:pPr>
                    <w:pStyle w:val="42"/>
                  </w:pPr>
                  <w:r>
                    <w:rPr>
                      <w:rFonts w:hint="eastAsia" w:ascii="宋体" w:hAnsi="宋体" w:cs="宋体"/>
                    </w:rPr>
                    <w:t>挖</w:t>
                  </w:r>
                  <w:r>
                    <w:t>掘机</w:t>
                  </w:r>
                </w:p>
              </w:tc>
              <w:tc>
                <w:tcPr>
                  <w:tcW w:w="2910" w:type="dxa"/>
                  <w:vAlign w:val="center"/>
                </w:tcPr>
                <w:p>
                  <w:pPr>
                    <w:adjustRightInd w:val="0"/>
                    <w:snapToGrid w:val="0"/>
                    <w:jc w:val="center"/>
                    <w:rPr>
                      <w:szCs w:val="21"/>
                    </w:rPr>
                  </w:pPr>
                  <w:r>
                    <w:t>CAT329-D、日立330</w:t>
                  </w:r>
                  <w:r>
                    <w:rPr>
                      <w:rFonts w:hint="eastAsia"/>
                    </w:rPr>
                    <w:t>、</w:t>
                  </w:r>
                  <w:r>
                    <w:rPr>
                      <w:szCs w:val="21"/>
                      <w:lang w:bidi="ar"/>
                    </w:rPr>
                    <w:t>铲斗容量1.35m</w:t>
                  </w:r>
                  <w:r>
                    <w:rPr>
                      <w:szCs w:val="21"/>
                      <w:vertAlign w:val="superscript"/>
                      <w:lang w:bidi="ar"/>
                    </w:rPr>
                    <w:t>3</w:t>
                  </w:r>
                  <w:r>
                    <w:rPr>
                      <w:rFonts w:hint="eastAsia" w:ascii="宋体" w:hAnsi="宋体" w:cs="宋体"/>
                      <w:szCs w:val="21"/>
                      <w:lang w:bidi="ar"/>
                    </w:rPr>
                    <w:t>、</w:t>
                  </w:r>
                  <w:r>
                    <w:rPr>
                      <w:szCs w:val="21"/>
                      <w:lang w:bidi="ar"/>
                    </w:rPr>
                    <w:t>最大挖掘高度9.46m</w:t>
                  </w:r>
                </w:p>
              </w:tc>
              <w:tc>
                <w:tcPr>
                  <w:tcW w:w="795" w:type="dxa"/>
                  <w:vAlign w:val="center"/>
                </w:tcPr>
                <w:p>
                  <w:pPr>
                    <w:pStyle w:val="42"/>
                  </w:pPr>
                  <w:r>
                    <w:rPr>
                      <w:rFonts w:hint="eastAsia"/>
                    </w:rPr>
                    <w:t>台</w:t>
                  </w:r>
                </w:p>
              </w:tc>
              <w:tc>
                <w:tcPr>
                  <w:tcW w:w="709" w:type="dxa"/>
                  <w:tcBorders>
                    <w:right w:val="single" w:color="auto" w:sz="4" w:space="0"/>
                  </w:tcBorders>
                  <w:vAlign w:val="center"/>
                </w:tcPr>
                <w:p>
                  <w:pPr>
                    <w:pStyle w:val="42"/>
                  </w:pPr>
                  <w:r>
                    <w:rPr>
                      <w:rFonts w:hint="eastAsia"/>
                    </w:rPr>
                    <w:t>4</w:t>
                  </w:r>
                </w:p>
              </w:tc>
              <w:tc>
                <w:tcPr>
                  <w:tcW w:w="1271" w:type="dxa"/>
                  <w:tcBorders>
                    <w:left w:val="single" w:color="auto" w:sz="4" w:space="0"/>
                  </w:tcBorders>
                  <w:vAlign w:val="center"/>
                </w:tcPr>
                <w:p>
                  <w:pPr>
                    <w:pStyle w:val="42"/>
                  </w:pPr>
                  <w:r>
                    <w:rPr>
                      <w:rFonts w:hint="eastAsia"/>
                    </w:rPr>
                    <w:t>2台利旧、2台新增</w:t>
                  </w:r>
                </w:p>
              </w:tc>
              <w:tc>
                <w:tcPr>
                  <w:tcW w:w="1126" w:type="dxa"/>
                  <w:vMerge w:val="continue"/>
                  <w:vAlign w:val="center"/>
                </w:tcPr>
                <w:p>
                  <w:pPr>
                    <w:pStyle w:val="42"/>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rPr>
                      <w:rFonts w:hint="eastAsia"/>
                    </w:rPr>
                    <w:t>3</w:t>
                  </w:r>
                </w:p>
              </w:tc>
              <w:tc>
                <w:tcPr>
                  <w:tcW w:w="1468" w:type="dxa"/>
                  <w:vAlign w:val="center"/>
                </w:tcPr>
                <w:p>
                  <w:pPr>
                    <w:pStyle w:val="42"/>
                  </w:pPr>
                  <w:r>
                    <w:rPr>
                      <w:rFonts w:hint="eastAsia"/>
                    </w:rPr>
                    <w:t>钻机</w:t>
                  </w:r>
                </w:p>
              </w:tc>
              <w:tc>
                <w:tcPr>
                  <w:tcW w:w="2910" w:type="dxa"/>
                  <w:vAlign w:val="center"/>
                </w:tcPr>
                <w:p>
                  <w:pPr>
                    <w:pStyle w:val="42"/>
                  </w:pPr>
                  <w:r>
                    <w:t>90</w:t>
                  </w:r>
                </w:p>
              </w:tc>
              <w:tc>
                <w:tcPr>
                  <w:tcW w:w="795" w:type="dxa"/>
                  <w:vAlign w:val="center"/>
                </w:tcPr>
                <w:p>
                  <w:pPr>
                    <w:pStyle w:val="42"/>
                  </w:pPr>
                  <w:r>
                    <w:t>台</w:t>
                  </w:r>
                </w:p>
              </w:tc>
              <w:tc>
                <w:tcPr>
                  <w:tcW w:w="709" w:type="dxa"/>
                  <w:tcBorders>
                    <w:right w:val="single" w:color="auto" w:sz="4" w:space="0"/>
                  </w:tcBorders>
                  <w:vAlign w:val="center"/>
                </w:tcPr>
                <w:p>
                  <w:pPr>
                    <w:pStyle w:val="42"/>
                  </w:pPr>
                  <w:r>
                    <w:rPr>
                      <w:rFonts w:hint="eastAsia"/>
                    </w:rPr>
                    <w:t>1</w:t>
                  </w:r>
                </w:p>
              </w:tc>
              <w:tc>
                <w:tcPr>
                  <w:tcW w:w="1271" w:type="dxa"/>
                  <w:tcBorders>
                    <w:left w:val="single" w:color="auto" w:sz="4" w:space="0"/>
                  </w:tcBorders>
                  <w:vAlign w:val="center"/>
                </w:tcPr>
                <w:p>
                  <w:pPr>
                    <w:pStyle w:val="42"/>
                  </w:pPr>
                  <w:r>
                    <w:rPr>
                      <w:rFonts w:hint="eastAsia"/>
                    </w:rPr>
                    <w:t>利旧</w:t>
                  </w:r>
                </w:p>
              </w:tc>
              <w:tc>
                <w:tcPr>
                  <w:tcW w:w="1126" w:type="dxa"/>
                  <w:vMerge w:val="continue"/>
                  <w:vAlign w:val="center"/>
                </w:tcPr>
                <w:p>
                  <w:pPr>
                    <w:pStyle w:val="42"/>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rPr>
                      <w:rFonts w:hint="eastAsia"/>
                    </w:rPr>
                    <w:t>4</w:t>
                  </w:r>
                </w:p>
              </w:tc>
              <w:tc>
                <w:tcPr>
                  <w:tcW w:w="1468" w:type="dxa"/>
                  <w:vAlign w:val="center"/>
                </w:tcPr>
                <w:p>
                  <w:pPr>
                    <w:pStyle w:val="42"/>
                  </w:pPr>
                  <w:r>
                    <w:rPr>
                      <w:rFonts w:hint="eastAsia"/>
                    </w:rPr>
                    <w:t>空压机</w:t>
                  </w:r>
                </w:p>
              </w:tc>
              <w:tc>
                <w:tcPr>
                  <w:tcW w:w="2910" w:type="dxa"/>
                  <w:vAlign w:val="center"/>
                </w:tcPr>
                <w:p>
                  <w:pPr>
                    <w:pStyle w:val="42"/>
                  </w:pPr>
                </w:p>
              </w:tc>
              <w:tc>
                <w:tcPr>
                  <w:tcW w:w="795" w:type="dxa"/>
                  <w:vAlign w:val="center"/>
                </w:tcPr>
                <w:p>
                  <w:pPr>
                    <w:pStyle w:val="42"/>
                  </w:pPr>
                  <w:r>
                    <w:t>台</w:t>
                  </w:r>
                </w:p>
              </w:tc>
              <w:tc>
                <w:tcPr>
                  <w:tcW w:w="709" w:type="dxa"/>
                  <w:tcBorders>
                    <w:right w:val="single" w:color="auto" w:sz="4" w:space="0"/>
                  </w:tcBorders>
                  <w:vAlign w:val="center"/>
                </w:tcPr>
                <w:p>
                  <w:pPr>
                    <w:pStyle w:val="42"/>
                  </w:pPr>
                  <w:r>
                    <w:t>1</w:t>
                  </w:r>
                </w:p>
              </w:tc>
              <w:tc>
                <w:tcPr>
                  <w:tcW w:w="1271" w:type="dxa"/>
                  <w:tcBorders>
                    <w:left w:val="single" w:color="auto" w:sz="4" w:space="0"/>
                  </w:tcBorders>
                  <w:vAlign w:val="center"/>
                </w:tcPr>
                <w:p>
                  <w:pPr>
                    <w:pStyle w:val="42"/>
                  </w:pPr>
                  <w:r>
                    <w:rPr>
                      <w:rFonts w:hint="eastAsia"/>
                    </w:rPr>
                    <w:t>利旧</w:t>
                  </w:r>
                </w:p>
              </w:tc>
              <w:tc>
                <w:tcPr>
                  <w:tcW w:w="1126" w:type="dxa"/>
                  <w:vMerge w:val="continue"/>
                  <w:vAlign w:val="center"/>
                </w:tcPr>
                <w:p>
                  <w:pPr>
                    <w:pStyle w:val="42"/>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rPr>
                      <w:rFonts w:hint="eastAsia"/>
                    </w:rPr>
                    <w:t>5</w:t>
                  </w:r>
                </w:p>
              </w:tc>
              <w:tc>
                <w:tcPr>
                  <w:tcW w:w="1468" w:type="dxa"/>
                  <w:vAlign w:val="center"/>
                </w:tcPr>
                <w:p>
                  <w:pPr>
                    <w:adjustRightInd w:val="0"/>
                    <w:snapToGrid w:val="0"/>
                    <w:jc w:val="center"/>
                    <w:rPr>
                      <w:szCs w:val="21"/>
                    </w:rPr>
                  </w:pPr>
                  <w:r>
                    <w:rPr>
                      <w:rFonts w:hint="eastAsia"/>
                    </w:rPr>
                    <w:t>内转</w:t>
                  </w:r>
                  <w:r>
                    <w:t>运输车</w:t>
                  </w:r>
                </w:p>
              </w:tc>
              <w:tc>
                <w:tcPr>
                  <w:tcW w:w="2910" w:type="dxa"/>
                  <w:vAlign w:val="center"/>
                </w:tcPr>
                <w:p>
                  <w:pPr>
                    <w:adjustRightInd w:val="0"/>
                    <w:snapToGrid w:val="0"/>
                    <w:jc w:val="center"/>
                    <w:rPr>
                      <w:szCs w:val="21"/>
                    </w:rPr>
                  </w:pPr>
                  <w:r>
                    <w:t>载重</w:t>
                  </w:r>
                  <w:r>
                    <w:rPr>
                      <w:rFonts w:hint="eastAsia"/>
                    </w:rPr>
                    <w:t>2</w:t>
                  </w:r>
                  <w:r>
                    <w:t>0t</w:t>
                  </w:r>
                </w:p>
              </w:tc>
              <w:tc>
                <w:tcPr>
                  <w:tcW w:w="795" w:type="dxa"/>
                  <w:vAlign w:val="center"/>
                </w:tcPr>
                <w:p>
                  <w:pPr>
                    <w:adjustRightInd w:val="0"/>
                    <w:snapToGrid w:val="0"/>
                    <w:jc w:val="center"/>
                    <w:rPr>
                      <w:szCs w:val="21"/>
                    </w:rPr>
                  </w:pPr>
                  <w:r>
                    <w:t>辆</w:t>
                  </w:r>
                </w:p>
              </w:tc>
              <w:tc>
                <w:tcPr>
                  <w:tcW w:w="709" w:type="dxa"/>
                  <w:tcBorders>
                    <w:right w:val="single" w:color="auto" w:sz="4" w:space="0"/>
                  </w:tcBorders>
                  <w:vAlign w:val="center"/>
                </w:tcPr>
                <w:p>
                  <w:pPr>
                    <w:pStyle w:val="42"/>
                  </w:pPr>
                  <w:r>
                    <w:rPr>
                      <w:rFonts w:hint="eastAsia"/>
                    </w:rPr>
                    <w:t>2</w:t>
                  </w:r>
                </w:p>
              </w:tc>
              <w:tc>
                <w:tcPr>
                  <w:tcW w:w="1271" w:type="dxa"/>
                  <w:tcBorders>
                    <w:left w:val="single" w:color="auto" w:sz="4" w:space="0"/>
                  </w:tcBorders>
                  <w:vAlign w:val="center"/>
                </w:tcPr>
                <w:p>
                  <w:pPr>
                    <w:pStyle w:val="42"/>
                  </w:pPr>
                  <w:r>
                    <w:rPr>
                      <w:rFonts w:hint="eastAsia"/>
                    </w:rPr>
                    <w:t>利旧</w:t>
                  </w:r>
                </w:p>
              </w:tc>
              <w:tc>
                <w:tcPr>
                  <w:tcW w:w="1126" w:type="dxa"/>
                  <w:vMerge w:val="continue"/>
                  <w:vAlign w:val="center"/>
                </w:tcPr>
                <w:p>
                  <w:pPr>
                    <w:pStyle w:val="42"/>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t>6</w:t>
                  </w:r>
                </w:p>
              </w:tc>
              <w:tc>
                <w:tcPr>
                  <w:tcW w:w="1468" w:type="dxa"/>
                  <w:vAlign w:val="center"/>
                </w:tcPr>
                <w:p>
                  <w:pPr>
                    <w:adjustRightInd w:val="0"/>
                    <w:snapToGrid w:val="0"/>
                    <w:jc w:val="center"/>
                  </w:pPr>
                  <w:r>
                    <w:rPr>
                      <w:rFonts w:hint="eastAsia"/>
                      <w:szCs w:val="21"/>
                    </w:rPr>
                    <w:t>高压微雾装置</w:t>
                  </w:r>
                </w:p>
              </w:tc>
              <w:tc>
                <w:tcPr>
                  <w:tcW w:w="2910" w:type="dxa"/>
                  <w:vAlign w:val="center"/>
                </w:tcPr>
                <w:p>
                  <w:pPr>
                    <w:adjustRightInd w:val="0"/>
                    <w:snapToGrid w:val="0"/>
                    <w:jc w:val="center"/>
                  </w:pPr>
                  <w:r>
                    <w:rPr>
                      <w:rFonts w:hint="eastAsia"/>
                      <w:szCs w:val="21"/>
                    </w:rPr>
                    <w:t>喷雾炮台1个、2m</w:t>
                  </w:r>
                  <w:r>
                    <w:rPr>
                      <w:rFonts w:hint="eastAsia"/>
                      <w:szCs w:val="21"/>
                      <w:vertAlign w:val="superscript"/>
                    </w:rPr>
                    <w:t>3</w:t>
                  </w:r>
                  <w:r>
                    <w:rPr>
                      <w:rFonts w:hint="eastAsia"/>
                      <w:szCs w:val="21"/>
                    </w:rPr>
                    <w:t>蓄水箱1个</w:t>
                  </w:r>
                </w:p>
              </w:tc>
              <w:tc>
                <w:tcPr>
                  <w:tcW w:w="795" w:type="dxa"/>
                  <w:vAlign w:val="center"/>
                </w:tcPr>
                <w:p>
                  <w:pPr>
                    <w:adjustRightInd w:val="0"/>
                    <w:snapToGrid w:val="0"/>
                    <w:jc w:val="center"/>
                  </w:pPr>
                  <w:r>
                    <w:rPr>
                      <w:rFonts w:hint="eastAsia"/>
                    </w:rPr>
                    <w:t>台</w:t>
                  </w:r>
                </w:p>
              </w:tc>
              <w:tc>
                <w:tcPr>
                  <w:tcW w:w="709" w:type="dxa"/>
                  <w:tcBorders>
                    <w:right w:val="single" w:color="auto" w:sz="4" w:space="0"/>
                  </w:tcBorders>
                  <w:vAlign w:val="center"/>
                </w:tcPr>
                <w:p>
                  <w:pPr>
                    <w:pStyle w:val="42"/>
                  </w:pPr>
                  <w:r>
                    <w:rPr>
                      <w:rFonts w:hint="eastAsia"/>
                      <w:szCs w:val="21"/>
                    </w:rPr>
                    <w:t>3</w:t>
                  </w:r>
                </w:p>
              </w:tc>
              <w:tc>
                <w:tcPr>
                  <w:tcW w:w="1271" w:type="dxa"/>
                  <w:tcBorders>
                    <w:left w:val="single" w:color="auto" w:sz="4" w:space="0"/>
                  </w:tcBorders>
                  <w:vAlign w:val="center"/>
                </w:tcPr>
                <w:p>
                  <w:pPr>
                    <w:pStyle w:val="42"/>
                  </w:pPr>
                  <w:r>
                    <w:rPr>
                      <w:rFonts w:hint="eastAsia"/>
                      <w:szCs w:val="21"/>
                    </w:rPr>
                    <w:t>新增</w:t>
                  </w:r>
                </w:p>
              </w:tc>
              <w:tc>
                <w:tcPr>
                  <w:tcW w:w="1126" w:type="dxa"/>
                  <w:vMerge w:val="continue"/>
                  <w:vAlign w:val="center"/>
                </w:tcPr>
                <w:p>
                  <w:pPr>
                    <w:pStyle w:val="42"/>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t>7</w:t>
                  </w:r>
                </w:p>
              </w:tc>
              <w:tc>
                <w:tcPr>
                  <w:tcW w:w="1468" w:type="dxa"/>
                  <w:vAlign w:val="center"/>
                </w:tcPr>
                <w:p>
                  <w:pPr>
                    <w:adjustRightInd w:val="0"/>
                    <w:snapToGrid w:val="0"/>
                    <w:jc w:val="center"/>
                    <w:rPr>
                      <w:szCs w:val="21"/>
                    </w:rPr>
                  </w:pPr>
                  <w:r>
                    <w:rPr>
                      <w:rFonts w:hint="eastAsia"/>
                    </w:rPr>
                    <w:t>振动</w:t>
                  </w:r>
                  <w:r>
                    <w:t>给料机</w:t>
                  </w:r>
                </w:p>
              </w:tc>
              <w:tc>
                <w:tcPr>
                  <w:tcW w:w="2910" w:type="dxa"/>
                  <w:vAlign w:val="center"/>
                </w:tcPr>
                <w:p>
                  <w:pPr>
                    <w:adjustRightInd w:val="0"/>
                    <w:snapToGrid w:val="0"/>
                    <w:jc w:val="center"/>
                    <w:rPr>
                      <w:szCs w:val="21"/>
                    </w:rPr>
                  </w:pPr>
                  <w:r>
                    <w:rPr>
                      <w:rFonts w:hint="eastAsia"/>
                    </w:rPr>
                    <w:t>5*9</w:t>
                  </w:r>
                </w:p>
              </w:tc>
              <w:tc>
                <w:tcPr>
                  <w:tcW w:w="795" w:type="dxa"/>
                  <w:vAlign w:val="center"/>
                </w:tcPr>
                <w:p>
                  <w:pPr>
                    <w:pStyle w:val="42"/>
                  </w:pPr>
                  <w:r>
                    <w:t>台</w:t>
                  </w:r>
                </w:p>
              </w:tc>
              <w:tc>
                <w:tcPr>
                  <w:tcW w:w="709" w:type="dxa"/>
                  <w:tcBorders>
                    <w:right w:val="single" w:color="auto" w:sz="4" w:space="0"/>
                  </w:tcBorders>
                  <w:vAlign w:val="center"/>
                </w:tcPr>
                <w:p>
                  <w:pPr>
                    <w:adjustRightInd w:val="0"/>
                    <w:snapToGrid w:val="0"/>
                    <w:jc w:val="center"/>
                    <w:rPr>
                      <w:szCs w:val="21"/>
                    </w:rPr>
                  </w:pPr>
                  <w:r>
                    <w:t>1</w:t>
                  </w:r>
                </w:p>
              </w:tc>
              <w:tc>
                <w:tcPr>
                  <w:tcW w:w="1271" w:type="dxa"/>
                  <w:tcBorders>
                    <w:left w:val="single" w:color="auto" w:sz="4" w:space="0"/>
                  </w:tcBorders>
                  <w:vAlign w:val="center"/>
                </w:tcPr>
                <w:p>
                  <w:pPr>
                    <w:adjustRightInd w:val="0"/>
                    <w:snapToGrid w:val="0"/>
                    <w:jc w:val="center"/>
                    <w:rPr>
                      <w:szCs w:val="21"/>
                    </w:rPr>
                  </w:pPr>
                  <w:r>
                    <w:rPr>
                      <w:rFonts w:hint="eastAsia"/>
                      <w:szCs w:val="21"/>
                    </w:rPr>
                    <w:t>利旧</w:t>
                  </w:r>
                </w:p>
              </w:tc>
              <w:tc>
                <w:tcPr>
                  <w:tcW w:w="1126" w:type="dxa"/>
                  <w:vMerge w:val="restart"/>
                  <w:vAlign w:val="center"/>
                </w:tcPr>
                <w:p>
                  <w:pPr>
                    <w:pStyle w:val="42"/>
                  </w:pPr>
                  <w:r>
                    <w:rPr>
                      <w:rFonts w:hint="eastAsia"/>
                    </w:rPr>
                    <w:t>破碎站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rPr>
                      <w:rFonts w:hint="eastAsia"/>
                    </w:rPr>
                    <w:t>8</w:t>
                  </w:r>
                </w:p>
              </w:tc>
              <w:tc>
                <w:tcPr>
                  <w:tcW w:w="1468" w:type="dxa"/>
                  <w:vAlign w:val="center"/>
                </w:tcPr>
                <w:p>
                  <w:pPr>
                    <w:adjustRightInd w:val="0"/>
                    <w:snapToGrid w:val="0"/>
                    <w:jc w:val="center"/>
                    <w:rPr>
                      <w:szCs w:val="21"/>
                    </w:rPr>
                  </w:pPr>
                  <w:r>
                    <w:t>鄂式破碎机</w:t>
                  </w:r>
                </w:p>
              </w:tc>
              <w:tc>
                <w:tcPr>
                  <w:tcW w:w="2910" w:type="dxa"/>
                  <w:vAlign w:val="center"/>
                </w:tcPr>
                <w:p>
                  <w:pPr>
                    <w:adjustRightInd w:val="0"/>
                    <w:snapToGrid w:val="0"/>
                    <w:jc w:val="center"/>
                    <w:rPr>
                      <w:szCs w:val="21"/>
                    </w:rPr>
                  </w:pPr>
                  <w:r>
                    <w:t>PEV</w:t>
                  </w:r>
                  <w:r>
                    <w:rPr>
                      <w:color w:val="0000FF"/>
                    </w:rPr>
                    <w:t>750×</w:t>
                  </w:r>
                  <w:r>
                    <w:t>1060</w:t>
                  </w:r>
                  <w:r>
                    <w:rPr>
                      <w:rFonts w:hint="eastAsia"/>
                    </w:rPr>
                    <w:t>、</w:t>
                  </w:r>
                  <w:r>
                    <w:rPr>
                      <w:rFonts w:hint="eastAsia"/>
                      <w:szCs w:val="21"/>
                    </w:rPr>
                    <w:t>电机功率</w:t>
                  </w:r>
                  <w:r>
                    <w:rPr>
                      <w:rFonts w:hint="eastAsia"/>
                      <w:color w:val="0000FF"/>
                      <w:szCs w:val="21"/>
                    </w:rPr>
                    <w:t>160kw</w:t>
                  </w:r>
                  <w:r>
                    <w:rPr>
                      <w:rFonts w:hint="eastAsia"/>
                      <w:szCs w:val="21"/>
                    </w:rPr>
                    <w:t>、最大台时产能</w:t>
                  </w:r>
                  <w:r>
                    <w:rPr>
                      <w:rFonts w:hint="eastAsia"/>
                      <w:color w:val="0000FF"/>
                      <w:szCs w:val="21"/>
                    </w:rPr>
                    <w:t>220</w:t>
                  </w:r>
                  <w:r>
                    <w:rPr>
                      <w:szCs w:val="21"/>
                    </w:rPr>
                    <w:t>t/h</w:t>
                  </w:r>
                  <w:r>
                    <w:rPr>
                      <w:rFonts w:hint="eastAsia"/>
                      <w:szCs w:val="21"/>
                    </w:rPr>
                    <w:t>、给料粒径≤800mm、出料粒径≤100mm</w:t>
                  </w:r>
                </w:p>
              </w:tc>
              <w:tc>
                <w:tcPr>
                  <w:tcW w:w="795" w:type="dxa"/>
                  <w:vAlign w:val="center"/>
                </w:tcPr>
                <w:p>
                  <w:pPr>
                    <w:pStyle w:val="42"/>
                  </w:pPr>
                  <w:r>
                    <w:t>台</w:t>
                  </w:r>
                </w:p>
              </w:tc>
              <w:tc>
                <w:tcPr>
                  <w:tcW w:w="709" w:type="dxa"/>
                  <w:tcBorders>
                    <w:right w:val="single" w:color="auto" w:sz="4" w:space="0"/>
                  </w:tcBorders>
                  <w:vAlign w:val="center"/>
                </w:tcPr>
                <w:p>
                  <w:pPr>
                    <w:adjustRightInd w:val="0"/>
                    <w:snapToGrid w:val="0"/>
                    <w:jc w:val="center"/>
                    <w:rPr>
                      <w:szCs w:val="21"/>
                    </w:rPr>
                  </w:pPr>
                  <w:r>
                    <w:rPr>
                      <w:rFonts w:hint="eastAsia"/>
                      <w:szCs w:val="21"/>
                    </w:rPr>
                    <w:t>1</w:t>
                  </w:r>
                </w:p>
              </w:tc>
              <w:tc>
                <w:tcPr>
                  <w:tcW w:w="1271" w:type="dxa"/>
                  <w:tcBorders>
                    <w:left w:val="single" w:color="auto" w:sz="4" w:space="0"/>
                  </w:tcBorders>
                  <w:vAlign w:val="center"/>
                </w:tcPr>
                <w:p>
                  <w:pPr>
                    <w:adjustRightInd w:val="0"/>
                    <w:snapToGrid w:val="0"/>
                    <w:jc w:val="center"/>
                    <w:rPr>
                      <w:szCs w:val="21"/>
                    </w:rPr>
                  </w:pPr>
                  <w:r>
                    <w:rPr>
                      <w:rFonts w:hint="eastAsia"/>
                      <w:color w:val="0000FF"/>
                      <w:szCs w:val="21"/>
                    </w:rPr>
                    <w:t>新购</w:t>
                  </w:r>
                </w:p>
              </w:tc>
              <w:tc>
                <w:tcPr>
                  <w:tcW w:w="1126" w:type="dxa"/>
                  <w:vMerge w:val="continue"/>
                  <w:vAlign w:val="center"/>
                </w:tcPr>
                <w:p>
                  <w:pP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759" w:type="dxa"/>
                  <w:vAlign w:val="center"/>
                </w:tcPr>
                <w:p>
                  <w:pPr>
                    <w:pStyle w:val="42"/>
                  </w:pPr>
                  <w:r>
                    <w:rPr>
                      <w:rFonts w:hint="eastAsia"/>
                    </w:rPr>
                    <w:t>9</w:t>
                  </w:r>
                </w:p>
              </w:tc>
              <w:tc>
                <w:tcPr>
                  <w:tcW w:w="1468" w:type="dxa"/>
                  <w:vAlign w:val="center"/>
                </w:tcPr>
                <w:p>
                  <w:pPr>
                    <w:adjustRightInd w:val="0"/>
                    <w:snapToGrid w:val="0"/>
                    <w:jc w:val="center"/>
                    <w:rPr>
                      <w:szCs w:val="21"/>
                    </w:rPr>
                  </w:pPr>
                  <w:r>
                    <w:rPr>
                      <w:rFonts w:hint="eastAsia"/>
                    </w:rPr>
                    <w:t>反击式破碎机</w:t>
                  </w:r>
                </w:p>
              </w:tc>
              <w:tc>
                <w:tcPr>
                  <w:tcW w:w="2910" w:type="dxa"/>
                  <w:vAlign w:val="center"/>
                </w:tcPr>
                <w:p>
                  <w:pPr>
                    <w:adjustRightInd w:val="0"/>
                    <w:snapToGrid w:val="0"/>
                    <w:jc w:val="center"/>
                    <w:rPr>
                      <w:szCs w:val="21"/>
                    </w:rPr>
                  </w:pPr>
                  <w:r>
                    <w:rPr>
                      <w:rFonts w:hint="eastAsia"/>
                    </w:rPr>
                    <w:t>NP1500、电机功率</w:t>
                  </w:r>
                  <w:r>
                    <w:rPr>
                      <w:rFonts w:hint="eastAsia"/>
                      <w:szCs w:val="21"/>
                    </w:rPr>
                    <w:t>200kw、最大台时产能</w:t>
                  </w:r>
                  <w:r>
                    <w:rPr>
                      <w:rFonts w:hint="eastAsia"/>
                      <w:color w:val="0000FF"/>
                      <w:szCs w:val="21"/>
                    </w:rPr>
                    <w:t>280</w:t>
                  </w:r>
                  <w:r>
                    <w:rPr>
                      <w:szCs w:val="21"/>
                    </w:rPr>
                    <w:t>t/h</w:t>
                  </w:r>
                  <w:r>
                    <w:rPr>
                      <w:rFonts w:hint="eastAsia"/>
                      <w:szCs w:val="21"/>
                    </w:rPr>
                    <w:t>、给料粒径≤750mm、出料粒径≤100mm</w:t>
                  </w:r>
                </w:p>
              </w:tc>
              <w:tc>
                <w:tcPr>
                  <w:tcW w:w="795" w:type="dxa"/>
                  <w:vAlign w:val="center"/>
                </w:tcPr>
                <w:p>
                  <w:pPr>
                    <w:pStyle w:val="42"/>
                  </w:pPr>
                  <w:r>
                    <w:t>台</w:t>
                  </w:r>
                </w:p>
              </w:tc>
              <w:tc>
                <w:tcPr>
                  <w:tcW w:w="709" w:type="dxa"/>
                  <w:tcBorders>
                    <w:right w:val="single" w:color="auto" w:sz="4" w:space="0"/>
                  </w:tcBorders>
                  <w:vAlign w:val="center"/>
                </w:tcPr>
                <w:p>
                  <w:pPr>
                    <w:adjustRightInd w:val="0"/>
                    <w:snapToGrid w:val="0"/>
                    <w:jc w:val="center"/>
                    <w:rPr>
                      <w:szCs w:val="21"/>
                    </w:rPr>
                  </w:pPr>
                  <w:r>
                    <w:rPr>
                      <w:szCs w:val="21"/>
                    </w:rPr>
                    <w:t>1</w:t>
                  </w:r>
                </w:p>
              </w:tc>
              <w:tc>
                <w:tcPr>
                  <w:tcW w:w="1271" w:type="dxa"/>
                  <w:tcBorders>
                    <w:left w:val="single" w:color="auto" w:sz="4" w:space="0"/>
                  </w:tcBorders>
                  <w:vAlign w:val="center"/>
                </w:tcPr>
                <w:p>
                  <w:pPr>
                    <w:adjustRightInd w:val="0"/>
                    <w:snapToGrid w:val="0"/>
                    <w:jc w:val="center"/>
                    <w:rPr>
                      <w:szCs w:val="21"/>
                    </w:rPr>
                  </w:pPr>
                  <w:r>
                    <w:rPr>
                      <w:rFonts w:hint="eastAsia"/>
                      <w:color w:val="0000FF"/>
                      <w:szCs w:val="21"/>
                    </w:rPr>
                    <w:t>新购</w:t>
                  </w:r>
                </w:p>
              </w:tc>
              <w:tc>
                <w:tcPr>
                  <w:tcW w:w="1126" w:type="dxa"/>
                  <w:vMerge w:val="continue"/>
                  <w:vAlign w:val="center"/>
                </w:tcPr>
                <w:p>
                  <w:pP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rPr>
                      <w:rFonts w:hint="eastAsia"/>
                    </w:rPr>
                    <w:t>1</w:t>
                  </w:r>
                  <w:r>
                    <w:t>0</w:t>
                  </w:r>
                </w:p>
              </w:tc>
              <w:tc>
                <w:tcPr>
                  <w:tcW w:w="1468" w:type="dxa"/>
                  <w:vAlign w:val="center"/>
                </w:tcPr>
                <w:p>
                  <w:pPr>
                    <w:adjustRightInd w:val="0"/>
                    <w:snapToGrid w:val="0"/>
                    <w:jc w:val="center"/>
                    <w:rPr>
                      <w:szCs w:val="21"/>
                    </w:rPr>
                  </w:pPr>
                  <w:r>
                    <w:rPr>
                      <w:rFonts w:hint="eastAsia"/>
                      <w:szCs w:val="21"/>
                    </w:rPr>
                    <w:t>振动筛</w:t>
                  </w:r>
                </w:p>
              </w:tc>
              <w:tc>
                <w:tcPr>
                  <w:tcW w:w="2910" w:type="dxa"/>
                  <w:vAlign w:val="center"/>
                </w:tcPr>
                <w:p>
                  <w:pPr>
                    <w:adjustRightInd w:val="0"/>
                    <w:snapToGrid w:val="0"/>
                    <w:jc w:val="center"/>
                    <w:rPr>
                      <w:szCs w:val="21"/>
                    </w:rPr>
                  </w:pPr>
                  <w:r>
                    <w:t>3YZS256</w:t>
                  </w:r>
                  <w:r>
                    <w:rPr>
                      <w:rFonts w:hint="eastAsia"/>
                    </w:rPr>
                    <w:t>0、电机功率45kw</w:t>
                  </w:r>
                  <w:r>
                    <w:rPr>
                      <w:rFonts w:hint="eastAsia"/>
                      <w:szCs w:val="21"/>
                    </w:rPr>
                    <w:t>、</w:t>
                  </w:r>
                  <w:r>
                    <w:rPr>
                      <w:rFonts w:hint="eastAsia"/>
                      <w:color w:val="0000FF"/>
                      <w:szCs w:val="21"/>
                    </w:rPr>
                    <w:t>最大台时产能280</w:t>
                  </w:r>
                  <w:r>
                    <w:rPr>
                      <w:color w:val="0000FF"/>
                      <w:szCs w:val="21"/>
                    </w:rPr>
                    <w:t>t/h</w:t>
                  </w:r>
                </w:p>
              </w:tc>
              <w:tc>
                <w:tcPr>
                  <w:tcW w:w="795" w:type="dxa"/>
                  <w:vAlign w:val="center"/>
                </w:tcPr>
                <w:p>
                  <w:pPr>
                    <w:pStyle w:val="42"/>
                  </w:pPr>
                  <w:r>
                    <w:t>台</w:t>
                  </w:r>
                </w:p>
              </w:tc>
              <w:tc>
                <w:tcPr>
                  <w:tcW w:w="709" w:type="dxa"/>
                  <w:tcBorders>
                    <w:right w:val="single" w:color="auto" w:sz="4" w:space="0"/>
                  </w:tcBorders>
                  <w:vAlign w:val="center"/>
                </w:tcPr>
                <w:p>
                  <w:pPr>
                    <w:adjustRightInd w:val="0"/>
                    <w:snapToGrid w:val="0"/>
                    <w:jc w:val="center"/>
                    <w:rPr>
                      <w:szCs w:val="21"/>
                    </w:rPr>
                  </w:pPr>
                  <w:r>
                    <w:rPr>
                      <w:rFonts w:hint="eastAsia"/>
                      <w:szCs w:val="21"/>
                    </w:rPr>
                    <w:t>1</w:t>
                  </w:r>
                </w:p>
              </w:tc>
              <w:tc>
                <w:tcPr>
                  <w:tcW w:w="1271" w:type="dxa"/>
                  <w:tcBorders>
                    <w:left w:val="single" w:color="auto" w:sz="4" w:space="0"/>
                  </w:tcBorders>
                  <w:vAlign w:val="center"/>
                </w:tcPr>
                <w:p>
                  <w:pPr>
                    <w:adjustRightInd w:val="0"/>
                    <w:snapToGrid w:val="0"/>
                    <w:jc w:val="center"/>
                    <w:rPr>
                      <w:szCs w:val="21"/>
                    </w:rPr>
                  </w:pPr>
                  <w:r>
                    <w:rPr>
                      <w:rFonts w:hint="eastAsia"/>
                      <w:color w:val="0000FF"/>
                      <w:szCs w:val="21"/>
                    </w:rPr>
                    <w:t>新购</w:t>
                  </w:r>
                </w:p>
              </w:tc>
              <w:tc>
                <w:tcPr>
                  <w:tcW w:w="1126" w:type="dxa"/>
                  <w:vMerge w:val="continue"/>
                  <w:vAlign w:val="center"/>
                </w:tcPr>
                <w:p>
                  <w:pP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rPr>
                      <w:rFonts w:hint="eastAsia"/>
                    </w:rPr>
                    <w:t>11</w:t>
                  </w:r>
                </w:p>
              </w:tc>
              <w:tc>
                <w:tcPr>
                  <w:tcW w:w="1468" w:type="dxa"/>
                  <w:vAlign w:val="center"/>
                </w:tcPr>
                <w:p>
                  <w:pPr>
                    <w:adjustRightInd w:val="0"/>
                    <w:snapToGrid w:val="0"/>
                    <w:jc w:val="center"/>
                    <w:rPr>
                      <w:szCs w:val="21"/>
                    </w:rPr>
                  </w:pPr>
                  <w:r>
                    <w:rPr>
                      <w:rFonts w:hint="eastAsia"/>
                    </w:rPr>
                    <w:t>离心通风机</w:t>
                  </w:r>
                </w:p>
              </w:tc>
              <w:tc>
                <w:tcPr>
                  <w:tcW w:w="2910" w:type="dxa"/>
                  <w:vAlign w:val="center"/>
                </w:tcPr>
                <w:p>
                  <w:pPr>
                    <w:adjustRightInd w:val="0"/>
                    <w:snapToGrid w:val="0"/>
                    <w:jc w:val="center"/>
                    <w:rPr>
                      <w:szCs w:val="21"/>
                    </w:rPr>
                  </w:pPr>
                  <w:r>
                    <w:rPr>
                      <w:rFonts w:hint="eastAsia"/>
                      <w:szCs w:val="21"/>
                    </w:rPr>
                    <w:t>风量</w:t>
                  </w:r>
                  <w:r>
                    <w:rPr>
                      <w:rFonts w:hint="eastAsia"/>
                    </w:rPr>
                    <w:t>50000</w:t>
                  </w:r>
                  <w:r>
                    <w:rPr>
                      <w:szCs w:val="21"/>
                    </w:rPr>
                    <w:t>Nm</w:t>
                  </w:r>
                  <w:r>
                    <w:rPr>
                      <w:szCs w:val="21"/>
                      <w:vertAlign w:val="superscript"/>
                    </w:rPr>
                    <w:t>3</w:t>
                  </w:r>
                  <w:r>
                    <w:rPr>
                      <w:szCs w:val="21"/>
                    </w:rPr>
                    <w:t>/h</w:t>
                  </w:r>
                </w:p>
              </w:tc>
              <w:tc>
                <w:tcPr>
                  <w:tcW w:w="795" w:type="dxa"/>
                  <w:vAlign w:val="center"/>
                </w:tcPr>
                <w:p>
                  <w:pPr>
                    <w:pStyle w:val="42"/>
                  </w:pPr>
                  <w:r>
                    <w:t>台</w:t>
                  </w:r>
                </w:p>
              </w:tc>
              <w:tc>
                <w:tcPr>
                  <w:tcW w:w="709" w:type="dxa"/>
                  <w:tcBorders>
                    <w:right w:val="single" w:color="auto" w:sz="4" w:space="0"/>
                  </w:tcBorders>
                  <w:vAlign w:val="center"/>
                </w:tcPr>
                <w:p>
                  <w:pPr>
                    <w:adjustRightInd w:val="0"/>
                    <w:snapToGrid w:val="0"/>
                    <w:jc w:val="center"/>
                    <w:rPr>
                      <w:szCs w:val="21"/>
                    </w:rPr>
                  </w:pPr>
                  <w:r>
                    <w:rPr>
                      <w:rFonts w:hint="eastAsia"/>
                      <w:szCs w:val="21"/>
                    </w:rPr>
                    <w:t>1</w:t>
                  </w:r>
                </w:p>
              </w:tc>
              <w:tc>
                <w:tcPr>
                  <w:tcW w:w="1271" w:type="dxa"/>
                  <w:tcBorders>
                    <w:left w:val="single" w:color="auto" w:sz="4" w:space="0"/>
                  </w:tcBorders>
                  <w:vAlign w:val="center"/>
                </w:tcPr>
                <w:p>
                  <w:pPr>
                    <w:adjustRightInd w:val="0"/>
                    <w:snapToGrid w:val="0"/>
                    <w:jc w:val="center"/>
                    <w:rPr>
                      <w:szCs w:val="21"/>
                    </w:rPr>
                  </w:pPr>
                  <w:r>
                    <w:rPr>
                      <w:rFonts w:hint="eastAsia"/>
                      <w:szCs w:val="21"/>
                    </w:rPr>
                    <w:t>新增</w:t>
                  </w:r>
                </w:p>
              </w:tc>
              <w:tc>
                <w:tcPr>
                  <w:tcW w:w="1126" w:type="dxa"/>
                  <w:vMerge w:val="continue"/>
                  <w:vAlign w:val="center"/>
                </w:tcPr>
                <w:p>
                  <w:pP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rPr>
                      <w:rFonts w:hint="eastAsia"/>
                    </w:rPr>
                    <w:t>12</w:t>
                  </w:r>
                </w:p>
              </w:tc>
              <w:tc>
                <w:tcPr>
                  <w:tcW w:w="1468" w:type="dxa"/>
                  <w:vAlign w:val="center"/>
                </w:tcPr>
                <w:p>
                  <w:pPr>
                    <w:adjustRightInd w:val="0"/>
                    <w:snapToGrid w:val="0"/>
                    <w:jc w:val="center"/>
                    <w:rPr>
                      <w:szCs w:val="21"/>
                    </w:rPr>
                  </w:pPr>
                  <w:r>
                    <w:rPr>
                      <w:rFonts w:hint="eastAsia"/>
                    </w:rPr>
                    <w:t>布袋除尘器</w:t>
                  </w:r>
                </w:p>
              </w:tc>
              <w:tc>
                <w:tcPr>
                  <w:tcW w:w="2910" w:type="dxa"/>
                  <w:vAlign w:val="center"/>
                </w:tcPr>
                <w:p>
                  <w:pPr>
                    <w:adjustRightInd w:val="0"/>
                    <w:snapToGrid w:val="0"/>
                    <w:jc w:val="center"/>
                    <w:rPr>
                      <w:szCs w:val="21"/>
                    </w:rPr>
                  </w:pPr>
                  <w:r>
                    <w:rPr>
                      <w:szCs w:val="21"/>
                    </w:rPr>
                    <w:t>除尘效率</w:t>
                  </w:r>
                  <w:r>
                    <w:rPr>
                      <w:rFonts w:hint="eastAsia"/>
                      <w:szCs w:val="21"/>
                    </w:rPr>
                    <w:t>不低于</w:t>
                  </w:r>
                  <w:r>
                    <w:rPr>
                      <w:color w:val="0000FF"/>
                      <w:szCs w:val="21"/>
                    </w:rPr>
                    <w:t>99</w:t>
                  </w:r>
                  <w:r>
                    <w:rPr>
                      <w:szCs w:val="21"/>
                    </w:rPr>
                    <w:t>%</w:t>
                  </w:r>
                </w:p>
              </w:tc>
              <w:tc>
                <w:tcPr>
                  <w:tcW w:w="795" w:type="dxa"/>
                  <w:vAlign w:val="center"/>
                </w:tcPr>
                <w:p>
                  <w:pPr>
                    <w:pStyle w:val="42"/>
                  </w:pPr>
                  <w:r>
                    <w:t>台</w:t>
                  </w:r>
                </w:p>
              </w:tc>
              <w:tc>
                <w:tcPr>
                  <w:tcW w:w="709" w:type="dxa"/>
                  <w:tcBorders>
                    <w:right w:val="single" w:color="auto" w:sz="4" w:space="0"/>
                  </w:tcBorders>
                  <w:vAlign w:val="center"/>
                </w:tcPr>
                <w:p>
                  <w:pPr>
                    <w:adjustRightInd w:val="0"/>
                    <w:snapToGrid w:val="0"/>
                    <w:jc w:val="center"/>
                    <w:rPr>
                      <w:szCs w:val="21"/>
                    </w:rPr>
                  </w:pPr>
                  <w:r>
                    <w:rPr>
                      <w:rFonts w:hint="eastAsia"/>
                      <w:szCs w:val="21"/>
                    </w:rPr>
                    <w:t>1</w:t>
                  </w:r>
                </w:p>
              </w:tc>
              <w:tc>
                <w:tcPr>
                  <w:tcW w:w="1271" w:type="dxa"/>
                  <w:tcBorders>
                    <w:left w:val="single" w:color="auto" w:sz="4" w:space="0"/>
                  </w:tcBorders>
                  <w:vAlign w:val="center"/>
                </w:tcPr>
                <w:p>
                  <w:pPr>
                    <w:adjustRightInd w:val="0"/>
                    <w:snapToGrid w:val="0"/>
                    <w:jc w:val="center"/>
                    <w:rPr>
                      <w:szCs w:val="21"/>
                    </w:rPr>
                  </w:pPr>
                  <w:r>
                    <w:rPr>
                      <w:rFonts w:hint="eastAsia"/>
                      <w:szCs w:val="21"/>
                    </w:rPr>
                    <w:t>新增</w:t>
                  </w:r>
                </w:p>
              </w:tc>
              <w:tc>
                <w:tcPr>
                  <w:tcW w:w="1126" w:type="dxa"/>
                  <w:vMerge w:val="continue"/>
                  <w:vAlign w:val="center"/>
                </w:tcPr>
                <w:p>
                  <w:pP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rPr>
                      <w:rFonts w:hint="eastAsia"/>
                    </w:rPr>
                    <w:t>13</w:t>
                  </w:r>
                </w:p>
              </w:tc>
              <w:tc>
                <w:tcPr>
                  <w:tcW w:w="1468" w:type="dxa"/>
                  <w:vAlign w:val="center"/>
                </w:tcPr>
                <w:p>
                  <w:pPr>
                    <w:adjustRightInd w:val="0"/>
                    <w:snapToGrid w:val="0"/>
                    <w:jc w:val="center"/>
                  </w:pPr>
                  <w:r>
                    <w:rPr>
                      <w:rFonts w:hint="eastAsia"/>
                    </w:rPr>
                    <w:t>空压机</w:t>
                  </w:r>
                </w:p>
              </w:tc>
              <w:tc>
                <w:tcPr>
                  <w:tcW w:w="2910" w:type="dxa"/>
                  <w:vAlign w:val="center"/>
                </w:tcPr>
                <w:p>
                  <w:pPr>
                    <w:adjustRightInd w:val="0"/>
                    <w:snapToGrid w:val="0"/>
                    <w:jc w:val="center"/>
                    <w:rPr>
                      <w:szCs w:val="21"/>
                    </w:rPr>
                  </w:pPr>
                  <w:r>
                    <w:rPr>
                      <w:rFonts w:hint="eastAsia"/>
                    </w:rPr>
                    <w:t>2m</w:t>
                  </w:r>
                  <w:r>
                    <w:rPr>
                      <w:rFonts w:hint="eastAsia"/>
                      <w:vertAlign w:val="superscript"/>
                    </w:rPr>
                    <w:t>3</w:t>
                  </w:r>
                  <w:r>
                    <w:rPr>
                      <w:rFonts w:hint="eastAsia"/>
                    </w:rPr>
                    <w:t>/min，气罐1.5m</w:t>
                  </w:r>
                  <w:r>
                    <w:rPr>
                      <w:rFonts w:hint="eastAsia"/>
                      <w:vertAlign w:val="superscript"/>
                    </w:rPr>
                    <w:t>3</w:t>
                  </w:r>
                </w:p>
              </w:tc>
              <w:tc>
                <w:tcPr>
                  <w:tcW w:w="795" w:type="dxa"/>
                  <w:vAlign w:val="center"/>
                </w:tcPr>
                <w:p>
                  <w:pPr>
                    <w:pStyle w:val="42"/>
                  </w:pPr>
                  <w:r>
                    <w:t>台</w:t>
                  </w:r>
                </w:p>
              </w:tc>
              <w:tc>
                <w:tcPr>
                  <w:tcW w:w="709" w:type="dxa"/>
                  <w:tcBorders>
                    <w:right w:val="single" w:color="auto" w:sz="4" w:space="0"/>
                  </w:tcBorders>
                  <w:vAlign w:val="center"/>
                </w:tcPr>
                <w:p>
                  <w:pPr>
                    <w:adjustRightInd w:val="0"/>
                    <w:snapToGrid w:val="0"/>
                    <w:jc w:val="center"/>
                    <w:rPr>
                      <w:szCs w:val="21"/>
                    </w:rPr>
                  </w:pPr>
                  <w:r>
                    <w:rPr>
                      <w:rFonts w:hint="eastAsia"/>
                      <w:szCs w:val="21"/>
                    </w:rPr>
                    <w:t>1</w:t>
                  </w:r>
                </w:p>
              </w:tc>
              <w:tc>
                <w:tcPr>
                  <w:tcW w:w="1271" w:type="dxa"/>
                  <w:tcBorders>
                    <w:left w:val="single" w:color="auto" w:sz="4" w:space="0"/>
                  </w:tcBorders>
                  <w:vAlign w:val="center"/>
                </w:tcPr>
                <w:p>
                  <w:pPr>
                    <w:adjustRightInd w:val="0"/>
                    <w:snapToGrid w:val="0"/>
                    <w:jc w:val="center"/>
                    <w:rPr>
                      <w:szCs w:val="21"/>
                    </w:rPr>
                  </w:pPr>
                  <w:r>
                    <w:rPr>
                      <w:rFonts w:hint="eastAsia"/>
                      <w:szCs w:val="21"/>
                    </w:rPr>
                    <w:t>利旧</w:t>
                  </w:r>
                </w:p>
              </w:tc>
              <w:tc>
                <w:tcPr>
                  <w:tcW w:w="1126" w:type="dxa"/>
                  <w:vAlign w:val="center"/>
                </w:tcPr>
                <w:p>
                  <w:pPr>
                    <w:jc w:val="center"/>
                    <w:rPr>
                      <w:szCs w:val="21"/>
                    </w:rPr>
                  </w:pPr>
                  <w:r>
                    <w:rPr>
                      <w:rFonts w:hint="eastAsia"/>
                    </w:rPr>
                    <w:t>空压机房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rPr>
                      <w:rFonts w:hint="eastAsia"/>
                    </w:rPr>
                    <w:t>14</w:t>
                  </w:r>
                </w:p>
              </w:tc>
              <w:tc>
                <w:tcPr>
                  <w:tcW w:w="1468" w:type="dxa"/>
                  <w:vAlign w:val="center"/>
                </w:tcPr>
                <w:p>
                  <w:pPr>
                    <w:pStyle w:val="42"/>
                  </w:pPr>
                  <w:r>
                    <w:t>洒水车</w:t>
                  </w:r>
                </w:p>
              </w:tc>
              <w:tc>
                <w:tcPr>
                  <w:tcW w:w="2910" w:type="dxa"/>
                  <w:vAlign w:val="center"/>
                </w:tcPr>
                <w:p>
                  <w:pPr>
                    <w:pStyle w:val="42"/>
                  </w:pPr>
                  <w:r>
                    <w:t>容量8t</w:t>
                  </w:r>
                </w:p>
              </w:tc>
              <w:tc>
                <w:tcPr>
                  <w:tcW w:w="795" w:type="dxa"/>
                  <w:vAlign w:val="center"/>
                </w:tcPr>
                <w:p>
                  <w:pPr>
                    <w:pStyle w:val="42"/>
                  </w:pPr>
                  <w:r>
                    <w:t>台</w:t>
                  </w:r>
                </w:p>
              </w:tc>
              <w:tc>
                <w:tcPr>
                  <w:tcW w:w="709" w:type="dxa"/>
                  <w:tcBorders>
                    <w:right w:val="single" w:color="auto" w:sz="4" w:space="0"/>
                  </w:tcBorders>
                  <w:vAlign w:val="center"/>
                </w:tcPr>
                <w:p>
                  <w:pPr>
                    <w:pStyle w:val="42"/>
                  </w:pPr>
                  <w:r>
                    <w:t>1</w:t>
                  </w:r>
                </w:p>
              </w:tc>
              <w:tc>
                <w:tcPr>
                  <w:tcW w:w="1271" w:type="dxa"/>
                  <w:tcBorders>
                    <w:left w:val="single" w:color="auto" w:sz="4" w:space="0"/>
                  </w:tcBorders>
                  <w:vAlign w:val="center"/>
                </w:tcPr>
                <w:p>
                  <w:pPr>
                    <w:pStyle w:val="42"/>
                  </w:pPr>
                  <w:r>
                    <w:rPr>
                      <w:rFonts w:hint="eastAsia" w:ascii="宋体" w:hAnsi="宋体" w:cs="宋体"/>
                    </w:rPr>
                    <w:t>新增</w:t>
                  </w:r>
                </w:p>
              </w:tc>
              <w:tc>
                <w:tcPr>
                  <w:tcW w:w="1126" w:type="dxa"/>
                  <w:vAlign w:val="center"/>
                </w:tcPr>
                <w:p>
                  <w:pPr>
                    <w:pStyle w:val="42"/>
                  </w:pPr>
                  <w:r>
                    <w:t>排土场</w:t>
                  </w:r>
                  <w:r>
                    <w:rPr>
                      <w:rFonts w:hint="eastAsia"/>
                    </w:rPr>
                    <w:t>、</w:t>
                  </w:r>
                  <w:r>
                    <w:t>场内外运输道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9038" w:type="dxa"/>
                  <w:gridSpan w:val="7"/>
                  <w:vAlign w:val="center"/>
                </w:tcPr>
                <w:p>
                  <w:pPr>
                    <w:pStyle w:val="42"/>
                    <w:ind w:firstLine="420" w:firstLineChars="200"/>
                    <w:jc w:val="both"/>
                  </w:pPr>
                  <w:r>
                    <w:t>注：拟建项目所选用的生产设备，不属于《促进产业结构调整暂行规定》、《产业结构调整指导目录（</w:t>
                  </w:r>
                  <w:r>
                    <w:rPr>
                      <w:rFonts w:hint="eastAsia"/>
                    </w:rPr>
                    <w:t>2024</w:t>
                  </w:r>
                  <w:r>
                    <w:t>年本）》中限制、淘汰类的设备。</w:t>
                  </w:r>
                </w:p>
                <w:p>
                  <w:pPr>
                    <w:pStyle w:val="42"/>
                    <w:ind w:firstLine="420" w:firstLineChars="200"/>
                    <w:jc w:val="both"/>
                  </w:pPr>
                  <w:r>
                    <w:rPr>
                      <w:rFonts w:hint="eastAsia"/>
                    </w:rPr>
                    <w:t>根据后文分析，破碎站生产线产能为51万t/a（为212.5t/h），生产线中一级破碎、二级破碎、一级筛分工序的产能分别为212.5t/h、276t/h、276t/h。破碎站中一级破碎、二级破碎、一级筛分工序拟分别使用1台鄂式破碎机、1台反击式破碎机、1台振动筛。根据设备厂商的经验数据，项目</w:t>
                  </w:r>
                  <w:r>
                    <w:rPr>
                      <w:rFonts w:hint="eastAsia"/>
                      <w:color w:val="0000FF"/>
                    </w:rPr>
                    <w:t>拟采购的</w:t>
                  </w:r>
                  <w:r>
                    <w:rPr>
                      <w:rFonts w:hint="eastAsia"/>
                    </w:rPr>
                    <w:t>鄂式破碎机、反击式破碎机、振动筛单台</w:t>
                  </w:r>
                  <w:r>
                    <w:rPr>
                      <w:rFonts w:hint="eastAsia"/>
                      <w:color w:val="0000FF"/>
                    </w:rPr>
                    <w:t>最大</w:t>
                  </w:r>
                  <w:r>
                    <w:rPr>
                      <w:rFonts w:hint="eastAsia"/>
                    </w:rPr>
                    <w:t>设计台时产能分别</w:t>
                  </w:r>
                  <w:r>
                    <w:rPr>
                      <w:rFonts w:hint="eastAsia"/>
                      <w:color w:val="0000FF"/>
                    </w:rPr>
                    <w:t>为220t/h、280t/h、280t/h。则经比对，破碎站采购的设备可达产，设备选择具备合理性。考虑矿产资源受到政府的严格管控，工业广场实际生产规模不得超过51万t/a，则破碎站内一级破碎设备需以96.6%的负荷稳定运行，后续串联设备可同步匹配，确保破碎站按量达产，不超产。</w:t>
                  </w:r>
                </w:p>
              </w:tc>
            </w:tr>
          </w:tbl>
          <w:p>
            <w:pPr>
              <w:adjustRightInd w:val="0"/>
              <w:snapToGrid w:val="0"/>
              <w:spacing w:line="360" w:lineRule="auto"/>
              <w:ind w:firstLine="482" w:firstLineChars="200"/>
              <w:rPr>
                <w:b/>
                <w:kern w:val="0"/>
                <w:sz w:val="24"/>
              </w:rPr>
            </w:pPr>
            <w:r>
              <w:rPr>
                <w:b/>
                <w:kern w:val="0"/>
                <w:sz w:val="24"/>
              </w:rPr>
              <w:t>（5）产品方案</w:t>
            </w:r>
          </w:p>
          <w:p>
            <w:pPr>
              <w:adjustRightInd w:val="0"/>
              <w:snapToGrid w:val="0"/>
              <w:spacing w:line="360" w:lineRule="auto"/>
              <w:ind w:firstLine="480" w:firstLineChars="200"/>
              <w:rPr>
                <w:kern w:val="0"/>
                <w:sz w:val="24"/>
              </w:rPr>
            </w:pPr>
            <w:r>
              <w:rPr>
                <w:kern w:val="0"/>
                <w:sz w:val="24"/>
              </w:rPr>
              <w:t>根据业主提供资料，拟建矿山产品方案如下：</w:t>
            </w:r>
          </w:p>
          <w:p>
            <w:pPr>
              <w:adjustRightInd w:val="0"/>
              <w:snapToGrid w:val="0"/>
              <w:jc w:val="center"/>
              <w:rPr>
                <w:b/>
                <w:kern w:val="0"/>
                <w:sz w:val="24"/>
              </w:rPr>
            </w:pPr>
            <w:r>
              <w:rPr>
                <w:b/>
                <w:kern w:val="0"/>
                <w:sz w:val="24"/>
              </w:rPr>
              <w:t>表2-</w:t>
            </w:r>
            <w:r>
              <w:rPr>
                <w:rFonts w:hint="eastAsia"/>
                <w:b/>
                <w:kern w:val="0"/>
                <w:sz w:val="24"/>
              </w:rPr>
              <w:t>9</w:t>
            </w:r>
            <w:r>
              <w:rPr>
                <w:b/>
                <w:kern w:val="0"/>
                <w:sz w:val="24"/>
              </w:rPr>
              <w:t xml:space="preserve">  产品方案</w:t>
            </w:r>
          </w:p>
          <w:tbl>
            <w:tblPr>
              <w:tblStyle w:val="15"/>
              <w:tblW w:w="903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6"/>
              <w:gridCol w:w="1238"/>
              <w:gridCol w:w="1354"/>
              <w:gridCol w:w="1782"/>
              <w:gridCol w:w="2091"/>
              <w:gridCol w:w="18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6" w:type="dxa"/>
                  <w:vAlign w:val="center"/>
                </w:tcPr>
                <w:p>
                  <w:pPr>
                    <w:pStyle w:val="42"/>
                  </w:pPr>
                  <w:r>
                    <w:t>序号</w:t>
                  </w:r>
                </w:p>
              </w:tc>
              <w:tc>
                <w:tcPr>
                  <w:tcW w:w="1238" w:type="dxa"/>
                  <w:vAlign w:val="center"/>
                </w:tcPr>
                <w:p>
                  <w:pPr>
                    <w:pStyle w:val="42"/>
                  </w:pPr>
                  <w:r>
                    <w:t>产品类型</w:t>
                  </w:r>
                </w:p>
              </w:tc>
              <w:tc>
                <w:tcPr>
                  <w:tcW w:w="1354" w:type="dxa"/>
                  <w:vAlign w:val="center"/>
                </w:tcPr>
                <w:p>
                  <w:pPr>
                    <w:pStyle w:val="42"/>
                  </w:pPr>
                  <w:r>
                    <w:t>规格</w:t>
                  </w:r>
                </w:p>
              </w:tc>
              <w:tc>
                <w:tcPr>
                  <w:tcW w:w="1782" w:type="dxa"/>
                  <w:vAlign w:val="center"/>
                </w:tcPr>
                <w:p>
                  <w:pPr>
                    <w:pStyle w:val="42"/>
                  </w:pPr>
                  <w:r>
                    <w:t>产量</w:t>
                  </w:r>
                  <w:r>
                    <w:rPr>
                      <w:rFonts w:hint="eastAsia"/>
                    </w:rPr>
                    <w:t>（万t</w:t>
                  </w:r>
                  <w:r>
                    <w:t>/a</w:t>
                  </w:r>
                  <w:r>
                    <w:rPr>
                      <w:rFonts w:hint="eastAsia"/>
                    </w:rPr>
                    <w:t>）</w:t>
                  </w:r>
                </w:p>
              </w:tc>
              <w:tc>
                <w:tcPr>
                  <w:tcW w:w="2091" w:type="dxa"/>
                  <w:tcBorders>
                    <w:right w:val="single" w:color="auto" w:sz="4" w:space="0"/>
                  </w:tcBorders>
                  <w:vAlign w:val="center"/>
                </w:tcPr>
                <w:p>
                  <w:pPr>
                    <w:pStyle w:val="42"/>
                  </w:pPr>
                  <w:r>
                    <w:t>体积</w:t>
                  </w:r>
                  <w:r>
                    <w:rPr>
                      <w:rFonts w:hint="eastAsia"/>
                    </w:rPr>
                    <w:t>（万</w:t>
                  </w:r>
                  <w:r>
                    <w:t>m</w:t>
                  </w:r>
                  <w:r>
                    <w:rPr>
                      <w:vertAlign w:val="superscript"/>
                    </w:rPr>
                    <w:t>3</w:t>
                  </w:r>
                  <w:r>
                    <w:t>/a</w:t>
                  </w:r>
                  <w:r>
                    <w:rPr>
                      <w:rFonts w:hint="eastAsia"/>
                    </w:rPr>
                    <w:t>）</w:t>
                  </w:r>
                </w:p>
              </w:tc>
              <w:tc>
                <w:tcPr>
                  <w:tcW w:w="1817" w:type="dxa"/>
                  <w:tcBorders>
                    <w:left w:val="single" w:color="auto" w:sz="4" w:space="0"/>
                  </w:tcBorders>
                  <w:vAlign w:val="center"/>
                </w:tcPr>
                <w:p>
                  <w:pPr>
                    <w:pStyle w:val="42"/>
                  </w:pPr>
                  <w:r>
                    <w:rPr>
                      <w:rFonts w:hint="eastAsia"/>
                      <w:color w:val="0000FF"/>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6" w:type="dxa"/>
                  <w:vAlign w:val="center"/>
                </w:tcPr>
                <w:p>
                  <w:pPr>
                    <w:pStyle w:val="42"/>
                    <w:rPr>
                      <w:color w:val="0000FF"/>
                    </w:rPr>
                  </w:pPr>
                  <w:r>
                    <w:rPr>
                      <w:color w:val="0000FF"/>
                    </w:rPr>
                    <w:t>1</w:t>
                  </w:r>
                </w:p>
              </w:tc>
              <w:tc>
                <w:tcPr>
                  <w:tcW w:w="1238" w:type="dxa"/>
                  <w:vAlign w:val="center"/>
                </w:tcPr>
                <w:p>
                  <w:pPr>
                    <w:pStyle w:val="42"/>
                    <w:rPr>
                      <w:color w:val="0000FF"/>
                    </w:rPr>
                  </w:pPr>
                  <w:r>
                    <w:rPr>
                      <w:rFonts w:hint="eastAsia" w:ascii="宋体" w:hAnsi="宋体" w:cs="宋体"/>
                      <w:snapToGrid w:val="0"/>
                      <w:color w:val="0000FF"/>
                      <w:spacing w:val="4"/>
                      <w:kern w:val="0"/>
                      <w:szCs w:val="21"/>
                    </w:rPr>
                    <w:t>粗</w:t>
                  </w:r>
                  <w:r>
                    <w:rPr>
                      <w:rFonts w:hint="eastAsia"/>
                      <w:color w:val="0000FF"/>
                      <w:szCs w:val="21"/>
                    </w:rPr>
                    <w:t>砂</w:t>
                  </w:r>
                </w:p>
              </w:tc>
              <w:tc>
                <w:tcPr>
                  <w:tcW w:w="1354" w:type="dxa"/>
                  <w:vAlign w:val="center"/>
                </w:tcPr>
                <w:p>
                  <w:pPr>
                    <w:pStyle w:val="42"/>
                    <w:rPr>
                      <w:color w:val="0000FF"/>
                    </w:rPr>
                  </w:pPr>
                  <w:r>
                    <w:rPr>
                      <w:rFonts w:hint="eastAsia"/>
                      <w:color w:val="0000FF"/>
                    </w:rPr>
                    <w:t>0～3</w:t>
                  </w:r>
                  <w:r>
                    <w:rPr>
                      <w:color w:val="0000FF"/>
                    </w:rPr>
                    <w:t>mm</w:t>
                  </w:r>
                </w:p>
              </w:tc>
              <w:tc>
                <w:tcPr>
                  <w:tcW w:w="1782" w:type="dxa"/>
                  <w:vAlign w:val="center"/>
                </w:tcPr>
                <w:p>
                  <w:pPr>
                    <w:pStyle w:val="42"/>
                    <w:rPr>
                      <w:color w:val="0000FF"/>
                    </w:rPr>
                  </w:pPr>
                  <w:r>
                    <w:rPr>
                      <w:rFonts w:hint="eastAsia"/>
                      <w:color w:val="0000FF"/>
                    </w:rPr>
                    <w:t>5.10</w:t>
                  </w:r>
                </w:p>
              </w:tc>
              <w:tc>
                <w:tcPr>
                  <w:tcW w:w="2091" w:type="dxa"/>
                  <w:tcBorders>
                    <w:right w:val="single" w:color="auto" w:sz="4" w:space="0"/>
                  </w:tcBorders>
                  <w:vAlign w:val="center"/>
                </w:tcPr>
                <w:p>
                  <w:pPr>
                    <w:pStyle w:val="42"/>
                    <w:rPr>
                      <w:color w:val="0000FF"/>
                    </w:rPr>
                  </w:pPr>
                  <w:r>
                    <w:rPr>
                      <w:rFonts w:eastAsia="等线"/>
                      <w:color w:val="0000FF"/>
                      <w:szCs w:val="21"/>
                    </w:rPr>
                    <w:t>1.89</w:t>
                  </w:r>
                </w:p>
              </w:tc>
              <w:tc>
                <w:tcPr>
                  <w:tcW w:w="1817" w:type="dxa"/>
                  <w:vMerge w:val="restart"/>
                  <w:tcBorders>
                    <w:left w:val="single" w:color="auto" w:sz="4" w:space="0"/>
                  </w:tcBorders>
                  <w:vAlign w:val="center"/>
                </w:tcPr>
                <w:p>
                  <w:pPr>
                    <w:pStyle w:val="42"/>
                    <w:rPr>
                      <w:color w:val="0000FF"/>
                    </w:rPr>
                  </w:pPr>
                  <w:r>
                    <w:rPr>
                      <w:rFonts w:hint="eastAsia"/>
                      <w:color w:val="0000FF"/>
                    </w:rPr>
                    <w:t>外售酉阳县及周边区县市政工地作建筑碎石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6" w:type="dxa"/>
                  <w:vAlign w:val="center"/>
                </w:tcPr>
                <w:p>
                  <w:pPr>
                    <w:pStyle w:val="42"/>
                    <w:rPr>
                      <w:color w:val="0000FF"/>
                    </w:rPr>
                  </w:pPr>
                  <w:r>
                    <w:rPr>
                      <w:color w:val="0000FF"/>
                    </w:rPr>
                    <w:t>2</w:t>
                  </w:r>
                </w:p>
              </w:tc>
              <w:tc>
                <w:tcPr>
                  <w:tcW w:w="1238" w:type="dxa"/>
                  <w:vAlign w:val="center"/>
                </w:tcPr>
                <w:p>
                  <w:pPr>
                    <w:pStyle w:val="42"/>
                    <w:rPr>
                      <w:color w:val="0000FF"/>
                    </w:rPr>
                  </w:pPr>
                  <w:r>
                    <w:rPr>
                      <w:rFonts w:hint="eastAsia"/>
                      <w:color w:val="0000FF"/>
                    </w:rPr>
                    <w:t>中粗</w:t>
                  </w:r>
                  <w:r>
                    <w:rPr>
                      <w:rFonts w:hint="eastAsia"/>
                      <w:color w:val="0000FF"/>
                      <w:szCs w:val="21"/>
                    </w:rPr>
                    <w:t>砂</w:t>
                  </w:r>
                </w:p>
              </w:tc>
              <w:tc>
                <w:tcPr>
                  <w:tcW w:w="1354" w:type="dxa"/>
                  <w:vAlign w:val="center"/>
                </w:tcPr>
                <w:p>
                  <w:pPr>
                    <w:pStyle w:val="42"/>
                    <w:rPr>
                      <w:color w:val="0000FF"/>
                    </w:rPr>
                  </w:pPr>
                  <w:r>
                    <w:rPr>
                      <w:rFonts w:hint="eastAsia"/>
                      <w:color w:val="0000FF"/>
                    </w:rPr>
                    <w:t>3～5</w:t>
                  </w:r>
                  <w:r>
                    <w:rPr>
                      <w:color w:val="0000FF"/>
                    </w:rPr>
                    <w:t>mm</w:t>
                  </w:r>
                </w:p>
              </w:tc>
              <w:tc>
                <w:tcPr>
                  <w:tcW w:w="1782" w:type="dxa"/>
                  <w:vAlign w:val="center"/>
                </w:tcPr>
                <w:p>
                  <w:pPr>
                    <w:pStyle w:val="42"/>
                    <w:rPr>
                      <w:color w:val="0000FF"/>
                    </w:rPr>
                  </w:pPr>
                  <w:r>
                    <w:rPr>
                      <w:rFonts w:hint="eastAsia"/>
                      <w:color w:val="0000FF"/>
                    </w:rPr>
                    <w:t>10.20</w:t>
                  </w:r>
                </w:p>
              </w:tc>
              <w:tc>
                <w:tcPr>
                  <w:tcW w:w="2091" w:type="dxa"/>
                  <w:tcBorders>
                    <w:right w:val="single" w:color="auto" w:sz="4" w:space="0"/>
                  </w:tcBorders>
                  <w:vAlign w:val="center"/>
                </w:tcPr>
                <w:p>
                  <w:pPr>
                    <w:pStyle w:val="42"/>
                    <w:rPr>
                      <w:color w:val="0000FF"/>
                    </w:rPr>
                  </w:pPr>
                  <w:r>
                    <w:rPr>
                      <w:rFonts w:eastAsia="等线"/>
                      <w:color w:val="0000FF"/>
                      <w:szCs w:val="21"/>
                    </w:rPr>
                    <w:t>3.78</w:t>
                  </w:r>
                </w:p>
              </w:tc>
              <w:tc>
                <w:tcPr>
                  <w:tcW w:w="1817" w:type="dxa"/>
                  <w:vMerge w:val="continue"/>
                  <w:tcBorders>
                    <w:left w:val="single" w:color="auto" w:sz="4" w:space="0"/>
                  </w:tcBorders>
                  <w:vAlign w:val="center"/>
                </w:tcPr>
                <w:p>
                  <w:pPr>
                    <w:pStyle w:val="42"/>
                    <w:rPr>
                      <w:color w:val="0000FF"/>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6" w:type="dxa"/>
                  <w:vAlign w:val="center"/>
                </w:tcPr>
                <w:p>
                  <w:pPr>
                    <w:pStyle w:val="42"/>
                    <w:rPr>
                      <w:color w:val="0000FF"/>
                    </w:rPr>
                  </w:pPr>
                  <w:r>
                    <w:rPr>
                      <w:color w:val="0000FF"/>
                    </w:rPr>
                    <w:t>3</w:t>
                  </w:r>
                </w:p>
              </w:tc>
              <w:tc>
                <w:tcPr>
                  <w:tcW w:w="1238" w:type="dxa"/>
                  <w:vAlign w:val="center"/>
                </w:tcPr>
                <w:p>
                  <w:pPr>
                    <w:pStyle w:val="42"/>
                    <w:rPr>
                      <w:color w:val="0000FF"/>
                    </w:rPr>
                  </w:pPr>
                  <w:r>
                    <w:rPr>
                      <w:color w:val="0000FF"/>
                    </w:rPr>
                    <w:t>石子</w:t>
                  </w:r>
                </w:p>
              </w:tc>
              <w:tc>
                <w:tcPr>
                  <w:tcW w:w="1354" w:type="dxa"/>
                  <w:vAlign w:val="center"/>
                </w:tcPr>
                <w:p>
                  <w:pPr>
                    <w:pStyle w:val="42"/>
                    <w:rPr>
                      <w:color w:val="0000FF"/>
                    </w:rPr>
                  </w:pPr>
                  <w:r>
                    <w:rPr>
                      <w:rFonts w:hint="eastAsia"/>
                      <w:color w:val="0000FF"/>
                    </w:rPr>
                    <w:t>5～31.5</w:t>
                  </w:r>
                  <w:r>
                    <w:rPr>
                      <w:color w:val="0000FF"/>
                    </w:rPr>
                    <w:t>mm</w:t>
                  </w:r>
                </w:p>
              </w:tc>
              <w:tc>
                <w:tcPr>
                  <w:tcW w:w="1782" w:type="dxa"/>
                  <w:vAlign w:val="center"/>
                </w:tcPr>
                <w:p>
                  <w:pPr>
                    <w:pStyle w:val="42"/>
                    <w:rPr>
                      <w:color w:val="0000FF"/>
                    </w:rPr>
                  </w:pPr>
                  <w:r>
                    <w:rPr>
                      <w:rFonts w:hint="eastAsia"/>
                      <w:color w:val="0000FF"/>
                    </w:rPr>
                    <w:t>35.70</w:t>
                  </w:r>
                </w:p>
              </w:tc>
              <w:tc>
                <w:tcPr>
                  <w:tcW w:w="2091" w:type="dxa"/>
                  <w:tcBorders>
                    <w:right w:val="single" w:color="auto" w:sz="4" w:space="0"/>
                  </w:tcBorders>
                  <w:vAlign w:val="center"/>
                </w:tcPr>
                <w:p>
                  <w:pPr>
                    <w:pStyle w:val="42"/>
                    <w:rPr>
                      <w:color w:val="0000FF"/>
                    </w:rPr>
                  </w:pPr>
                  <w:r>
                    <w:rPr>
                      <w:rFonts w:eastAsia="等线"/>
                      <w:color w:val="0000FF"/>
                      <w:szCs w:val="21"/>
                    </w:rPr>
                    <w:t>13.22</w:t>
                  </w:r>
                </w:p>
              </w:tc>
              <w:tc>
                <w:tcPr>
                  <w:tcW w:w="1817" w:type="dxa"/>
                  <w:vMerge w:val="continue"/>
                  <w:tcBorders>
                    <w:left w:val="single" w:color="auto" w:sz="4" w:space="0"/>
                  </w:tcBorders>
                  <w:vAlign w:val="center"/>
                </w:tcPr>
                <w:p>
                  <w:pPr>
                    <w:pStyle w:val="42"/>
                    <w:rPr>
                      <w:color w:val="0000FF"/>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6" w:type="dxa"/>
                  <w:vAlign w:val="center"/>
                </w:tcPr>
                <w:p>
                  <w:pPr>
                    <w:pStyle w:val="42"/>
                    <w:rPr>
                      <w:color w:val="0000FF"/>
                    </w:rPr>
                  </w:pPr>
                  <w:r>
                    <w:rPr>
                      <w:color w:val="0000FF"/>
                    </w:rPr>
                    <w:t>合计</w:t>
                  </w:r>
                </w:p>
              </w:tc>
              <w:tc>
                <w:tcPr>
                  <w:tcW w:w="1238" w:type="dxa"/>
                  <w:vAlign w:val="center"/>
                </w:tcPr>
                <w:p>
                  <w:pPr>
                    <w:pStyle w:val="42"/>
                    <w:rPr>
                      <w:color w:val="0000FF"/>
                    </w:rPr>
                  </w:pPr>
                  <w:r>
                    <w:rPr>
                      <w:color w:val="0000FF"/>
                    </w:rPr>
                    <w:t>/</w:t>
                  </w:r>
                </w:p>
              </w:tc>
              <w:tc>
                <w:tcPr>
                  <w:tcW w:w="1354" w:type="dxa"/>
                  <w:vAlign w:val="center"/>
                </w:tcPr>
                <w:p>
                  <w:pPr>
                    <w:pStyle w:val="42"/>
                    <w:rPr>
                      <w:color w:val="0000FF"/>
                    </w:rPr>
                  </w:pPr>
                  <w:r>
                    <w:rPr>
                      <w:color w:val="0000FF"/>
                    </w:rPr>
                    <w:t>/</w:t>
                  </w:r>
                </w:p>
              </w:tc>
              <w:tc>
                <w:tcPr>
                  <w:tcW w:w="1782" w:type="dxa"/>
                  <w:vAlign w:val="center"/>
                </w:tcPr>
                <w:p>
                  <w:pPr>
                    <w:pStyle w:val="42"/>
                    <w:rPr>
                      <w:color w:val="0000FF"/>
                    </w:rPr>
                  </w:pPr>
                  <w:r>
                    <w:rPr>
                      <w:rFonts w:hint="eastAsia"/>
                      <w:color w:val="0000FF"/>
                    </w:rPr>
                    <w:t>51.00</w:t>
                  </w:r>
                </w:p>
              </w:tc>
              <w:tc>
                <w:tcPr>
                  <w:tcW w:w="2091" w:type="dxa"/>
                  <w:tcBorders>
                    <w:right w:val="single" w:color="auto" w:sz="4" w:space="0"/>
                  </w:tcBorders>
                  <w:vAlign w:val="center"/>
                </w:tcPr>
                <w:p>
                  <w:pPr>
                    <w:pStyle w:val="42"/>
                    <w:rPr>
                      <w:color w:val="0000FF"/>
                    </w:rPr>
                  </w:pPr>
                  <w:r>
                    <w:rPr>
                      <w:rFonts w:eastAsia="等线"/>
                      <w:color w:val="0000FF"/>
                      <w:szCs w:val="21"/>
                    </w:rPr>
                    <w:t>18.89</w:t>
                  </w:r>
                </w:p>
              </w:tc>
              <w:tc>
                <w:tcPr>
                  <w:tcW w:w="1817" w:type="dxa"/>
                  <w:vMerge w:val="continue"/>
                  <w:tcBorders>
                    <w:left w:val="single" w:color="auto" w:sz="4" w:space="0"/>
                  </w:tcBorders>
                  <w:vAlign w:val="center"/>
                </w:tcPr>
                <w:p>
                  <w:pPr>
                    <w:pStyle w:val="42"/>
                    <w:rPr>
                      <w:color w:val="0000FF"/>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9038" w:type="dxa"/>
                  <w:gridSpan w:val="6"/>
                  <w:vAlign w:val="center"/>
                </w:tcPr>
                <w:p>
                  <w:pPr>
                    <w:pStyle w:val="42"/>
                    <w:ind w:firstLine="420" w:firstLineChars="200"/>
                    <w:jc w:val="both"/>
                  </w:pPr>
                  <w:r>
                    <w:t>注：引用拟建项</w:t>
                  </w:r>
                  <w:r>
                    <w:rPr>
                      <w:rFonts w:ascii="宋体" w:hAnsi="宋体"/>
                    </w:rPr>
                    <w:t>目“</w:t>
                  </w:r>
                  <w:r>
                    <w:rPr>
                      <w:rFonts w:hint="eastAsia" w:ascii="宋体" w:hAnsi="宋体"/>
                    </w:rPr>
                    <w:t>开发利用方案</w:t>
                  </w:r>
                  <w:r>
                    <w:rPr>
                      <w:rFonts w:ascii="宋体" w:hAnsi="宋体"/>
                    </w:rPr>
                    <w:t>”中储</w:t>
                  </w:r>
                  <w:r>
                    <w:t>量估算章节，石材容重2.7t/m</w:t>
                  </w:r>
                  <w:r>
                    <w:rPr>
                      <w:vertAlign w:val="superscript"/>
                    </w:rPr>
                    <w:t>3</w:t>
                  </w:r>
                  <w:r>
                    <w:t>。</w:t>
                  </w:r>
                </w:p>
              </w:tc>
            </w:tr>
          </w:tbl>
          <w:p>
            <w:pPr>
              <w:adjustRightInd w:val="0"/>
              <w:snapToGrid w:val="0"/>
              <w:spacing w:line="360" w:lineRule="auto"/>
              <w:ind w:firstLine="482" w:firstLineChars="200"/>
              <w:rPr>
                <w:b/>
                <w:kern w:val="0"/>
                <w:sz w:val="24"/>
              </w:rPr>
            </w:pPr>
            <w:r>
              <w:rPr>
                <w:b/>
                <w:kern w:val="0"/>
                <w:sz w:val="24"/>
              </w:rPr>
              <w:t>（6）拟建</w:t>
            </w:r>
            <w:r>
              <w:rPr>
                <w:rFonts w:hint="eastAsia"/>
                <w:b/>
                <w:kern w:val="0"/>
                <w:sz w:val="24"/>
              </w:rPr>
              <w:t>项目</w:t>
            </w:r>
            <w:r>
              <w:rPr>
                <w:b/>
                <w:kern w:val="0"/>
                <w:sz w:val="24"/>
              </w:rPr>
              <w:t>劳动定员及工作制度</w:t>
            </w:r>
          </w:p>
          <w:p>
            <w:pPr>
              <w:adjustRightInd w:val="0"/>
              <w:snapToGrid w:val="0"/>
              <w:spacing w:line="360" w:lineRule="auto"/>
              <w:ind w:firstLine="480" w:firstLineChars="200"/>
              <w:rPr>
                <w:kern w:val="0"/>
                <w:sz w:val="24"/>
              </w:rPr>
            </w:pPr>
            <w:r>
              <w:rPr>
                <w:rFonts w:hint="eastAsia"/>
                <w:kern w:val="0"/>
                <w:sz w:val="24"/>
              </w:rPr>
              <w:t>对比原项目，拟建项目新增矿山开采员工4人。拟建项目投产期间</w:t>
            </w:r>
            <w:r>
              <w:rPr>
                <w:kern w:val="0"/>
                <w:sz w:val="24"/>
              </w:rPr>
              <w:t>劳动定员15人，其中管理人员3人、</w:t>
            </w:r>
            <w:r>
              <w:rPr>
                <w:rFonts w:hint="eastAsia"/>
                <w:kern w:val="0"/>
                <w:sz w:val="24"/>
              </w:rPr>
              <w:t>工人</w:t>
            </w:r>
            <w:r>
              <w:rPr>
                <w:kern w:val="0"/>
                <w:sz w:val="24"/>
              </w:rPr>
              <w:t>12</w:t>
            </w:r>
            <w:r>
              <w:rPr>
                <w:rFonts w:hint="eastAsia"/>
                <w:kern w:val="0"/>
                <w:sz w:val="24"/>
              </w:rPr>
              <w:t>人。项目临近双泉乡场镇，且员工均为招募当地民工，员工食宿自理，厂区不包</w:t>
            </w:r>
            <w:r>
              <w:rPr>
                <w:kern w:val="0"/>
                <w:sz w:val="24"/>
              </w:rPr>
              <w:t>食宿。</w:t>
            </w:r>
          </w:p>
          <w:p>
            <w:pPr>
              <w:adjustRightInd w:val="0"/>
              <w:snapToGrid w:val="0"/>
              <w:spacing w:line="360" w:lineRule="auto"/>
              <w:ind w:firstLine="480" w:firstLineChars="200"/>
              <w:rPr>
                <w:kern w:val="0"/>
                <w:sz w:val="24"/>
              </w:rPr>
            </w:pPr>
            <w:r>
              <w:rPr>
                <w:kern w:val="0"/>
                <w:sz w:val="24"/>
              </w:rPr>
              <w:t>年生产时间300天，每天工作8小时，一班制；工作时段为上午8:00~12:00，下午14：00~18:00。</w:t>
            </w:r>
          </w:p>
          <w:p>
            <w:pPr>
              <w:adjustRightInd w:val="0"/>
              <w:snapToGrid w:val="0"/>
              <w:spacing w:line="360" w:lineRule="auto"/>
              <w:ind w:firstLine="482" w:firstLineChars="200"/>
              <w:rPr>
                <w:b/>
                <w:kern w:val="0"/>
                <w:sz w:val="24"/>
              </w:rPr>
            </w:pPr>
            <w:r>
              <w:rPr>
                <w:rFonts w:hint="eastAsia"/>
                <w:b/>
                <w:kern w:val="0"/>
                <w:sz w:val="24"/>
              </w:rPr>
              <w:t>（7）原辅材料及能源消耗</w:t>
            </w:r>
          </w:p>
          <w:p>
            <w:pPr>
              <w:adjustRightInd w:val="0"/>
              <w:snapToGrid w:val="0"/>
              <w:spacing w:line="360" w:lineRule="auto"/>
              <w:ind w:firstLine="480" w:firstLineChars="200"/>
              <w:rPr>
                <w:kern w:val="0"/>
                <w:sz w:val="24"/>
              </w:rPr>
            </w:pPr>
            <w:r>
              <w:rPr>
                <w:kern w:val="0"/>
                <w:sz w:val="24"/>
              </w:rPr>
              <w:t>根据业主提供资料，企业主要</w:t>
            </w:r>
            <w:r>
              <w:rPr>
                <w:rFonts w:hint="eastAsia"/>
                <w:kern w:val="0"/>
                <w:sz w:val="24"/>
              </w:rPr>
              <w:t>原辅材料及能源消耗见</w:t>
            </w:r>
            <w:r>
              <w:rPr>
                <w:kern w:val="0"/>
                <w:sz w:val="24"/>
              </w:rPr>
              <w:t>表2-</w:t>
            </w:r>
            <w:r>
              <w:rPr>
                <w:rFonts w:hint="eastAsia"/>
                <w:kern w:val="0"/>
                <w:sz w:val="24"/>
              </w:rPr>
              <w:t>10</w:t>
            </w:r>
            <w:r>
              <w:rPr>
                <w:kern w:val="0"/>
                <w:sz w:val="24"/>
              </w:rPr>
              <w:t>。</w:t>
            </w:r>
          </w:p>
          <w:p>
            <w:pPr>
              <w:adjustRightInd w:val="0"/>
              <w:snapToGrid w:val="0"/>
              <w:jc w:val="center"/>
              <w:rPr>
                <w:b/>
                <w:kern w:val="0"/>
                <w:sz w:val="24"/>
              </w:rPr>
            </w:pPr>
            <w:r>
              <w:rPr>
                <w:b/>
                <w:kern w:val="0"/>
                <w:sz w:val="24"/>
              </w:rPr>
              <w:t>表2-</w:t>
            </w:r>
            <w:r>
              <w:rPr>
                <w:rFonts w:hint="eastAsia"/>
                <w:b/>
                <w:kern w:val="0"/>
                <w:sz w:val="24"/>
              </w:rPr>
              <w:t>10</w:t>
            </w:r>
            <w:r>
              <w:rPr>
                <w:b/>
                <w:kern w:val="0"/>
                <w:sz w:val="24"/>
              </w:rPr>
              <w:t xml:space="preserve">  主要原辅材料</w:t>
            </w:r>
          </w:p>
          <w:tbl>
            <w:tblPr>
              <w:tblStyle w:val="15"/>
              <w:tblW w:w="9026" w:type="dxa"/>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493"/>
              <w:gridCol w:w="2492"/>
              <w:gridCol w:w="2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05" w:type="dxa"/>
                  <w:vAlign w:val="center"/>
                </w:tcPr>
                <w:p>
                  <w:pPr>
                    <w:pStyle w:val="42"/>
                  </w:pPr>
                  <w:r>
                    <w:rPr>
                      <w:rFonts w:hint="eastAsia"/>
                    </w:rPr>
                    <w:t>序号</w:t>
                  </w:r>
                </w:p>
              </w:tc>
              <w:tc>
                <w:tcPr>
                  <w:tcW w:w="2493" w:type="dxa"/>
                  <w:vAlign w:val="center"/>
                </w:tcPr>
                <w:p>
                  <w:pPr>
                    <w:pStyle w:val="42"/>
                  </w:pPr>
                  <w:r>
                    <w:rPr>
                      <w:rFonts w:hint="eastAsia"/>
                    </w:rPr>
                    <w:t>原辅材料及能源名称</w:t>
                  </w:r>
                </w:p>
              </w:tc>
              <w:tc>
                <w:tcPr>
                  <w:tcW w:w="2492" w:type="dxa"/>
                  <w:vAlign w:val="center"/>
                </w:tcPr>
                <w:p>
                  <w:pPr>
                    <w:pStyle w:val="42"/>
                  </w:pPr>
                  <w:r>
                    <w:rPr>
                      <w:rFonts w:hint="eastAsia"/>
                    </w:rPr>
                    <w:t>成分</w:t>
                  </w:r>
                </w:p>
              </w:tc>
              <w:tc>
                <w:tcPr>
                  <w:tcW w:w="2736" w:type="dxa"/>
                  <w:vAlign w:val="center"/>
                </w:tcPr>
                <w:p>
                  <w:pPr>
                    <w:pStyle w:val="42"/>
                  </w:pPr>
                  <w:r>
                    <w:rPr>
                      <w:rFonts w:hint="eastAsi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05" w:type="dxa"/>
                  <w:vAlign w:val="center"/>
                </w:tcPr>
                <w:p>
                  <w:pPr>
                    <w:pStyle w:val="42"/>
                  </w:pPr>
                  <w:r>
                    <w:t>1</w:t>
                  </w:r>
                </w:p>
              </w:tc>
              <w:tc>
                <w:tcPr>
                  <w:tcW w:w="2493" w:type="dxa"/>
                  <w:vAlign w:val="center"/>
                </w:tcPr>
                <w:p>
                  <w:pPr>
                    <w:pStyle w:val="42"/>
                  </w:pPr>
                  <w:r>
                    <w:rPr>
                      <w:rFonts w:hint="eastAsia"/>
                    </w:rPr>
                    <w:t>水</w:t>
                  </w:r>
                </w:p>
              </w:tc>
              <w:tc>
                <w:tcPr>
                  <w:tcW w:w="2492" w:type="dxa"/>
                  <w:vAlign w:val="center"/>
                </w:tcPr>
                <w:p>
                  <w:pPr>
                    <w:pStyle w:val="42"/>
                  </w:pPr>
                  <w:r>
                    <w:t>/</w:t>
                  </w:r>
                </w:p>
              </w:tc>
              <w:tc>
                <w:tcPr>
                  <w:tcW w:w="2736" w:type="dxa"/>
                  <w:vAlign w:val="center"/>
                </w:tcPr>
                <w:p>
                  <w:pPr>
                    <w:pStyle w:val="42"/>
                  </w:pPr>
                  <w:r>
                    <w:rPr>
                      <w:rFonts w:hint="eastAsia"/>
                    </w:rPr>
                    <w:t>6339</w:t>
                  </w:r>
                  <w:r>
                    <w:t>m</w:t>
                  </w:r>
                  <w:r>
                    <w:rPr>
                      <w:vertAlign w:val="superscript"/>
                    </w:rPr>
                    <w:t>3</w:t>
                  </w:r>
                  <w: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05" w:type="dxa"/>
                  <w:vAlign w:val="center"/>
                </w:tcPr>
                <w:p>
                  <w:pPr>
                    <w:pStyle w:val="42"/>
                  </w:pPr>
                  <w:r>
                    <w:t>2</w:t>
                  </w:r>
                </w:p>
              </w:tc>
              <w:tc>
                <w:tcPr>
                  <w:tcW w:w="2493" w:type="dxa"/>
                  <w:vAlign w:val="center"/>
                </w:tcPr>
                <w:p>
                  <w:pPr>
                    <w:pStyle w:val="42"/>
                  </w:pPr>
                  <w:r>
                    <w:rPr>
                      <w:rFonts w:hint="eastAsia"/>
                    </w:rPr>
                    <w:t>电</w:t>
                  </w:r>
                </w:p>
              </w:tc>
              <w:tc>
                <w:tcPr>
                  <w:tcW w:w="2492" w:type="dxa"/>
                  <w:vAlign w:val="center"/>
                </w:tcPr>
                <w:p>
                  <w:pPr>
                    <w:pStyle w:val="42"/>
                  </w:pPr>
                  <w:r>
                    <w:t>/</w:t>
                  </w:r>
                </w:p>
              </w:tc>
              <w:tc>
                <w:tcPr>
                  <w:tcW w:w="2736" w:type="dxa"/>
                  <w:vAlign w:val="center"/>
                </w:tcPr>
                <w:p>
                  <w:pPr>
                    <w:pStyle w:val="42"/>
                  </w:pPr>
                  <w:r>
                    <w:t>55.8</w:t>
                  </w:r>
                  <w:r>
                    <w:rPr>
                      <w:rFonts w:hint="eastAsia" w:ascii="宋体" w:hAnsi="宋体" w:cs="宋体"/>
                    </w:rPr>
                    <w:t>万度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05" w:type="dxa"/>
                  <w:vAlign w:val="center"/>
                </w:tcPr>
                <w:p>
                  <w:pPr>
                    <w:pStyle w:val="42"/>
                  </w:pPr>
                  <w:r>
                    <w:t>3</w:t>
                  </w:r>
                </w:p>
              </w:tc>
              <w:tc>
                <w:tcPr>
                  <w:tcW w:w="2493" w:type="dxa"/>
                  <w:vAlign w:val="center"/>
                </w:tcPr>
                <w:p>
                  <w:pPr>
                    <w:pStyle w:val="42"/>
                  </w:pPr>
                  <w:r>
                    <w:rPr>
                      <w:rFonts w:hint="eastAsia"/>
                    </w:rPr>
                    <w:t>柴油</w:t>
                  </w:r>
                </w:p>
              </w:tc>
              <w:tc>
                <w:tcPr>
                  <w:tcW w:w="2492" w:type="dxa"/>
                  <w:vAlign w:val="center"/>
                </w:tcPr>
                <w:p>
                  <w:pPr>
                    <w:pStyle w:val="42"/>
                  </w:pPr>
                  <w:r>
                    <w:t>/</w:t>
                  </w:r>
                </w:p>
              </w:tc>
              <w:tc>
                <w:tcPr>
                  <w:tcW w:w="2736" w:type="dxa"/>
                  <w:vAlign w:val="center"/>
                </w:tcPr>
                <w:p>
                  <w:pPr>
                    <w:pStyle w:val="42"/>
                  </w:pPr>
                  <w:r>
                    <w:t>100t/a</w:t>
                  </w:r>
                </w:p>
              </w:tc>
            </w:tr>
          </w:tbl>
          <w:p>
            <w:pPr>
              <w:adjustRightInd w:val="0"/>
              <w:snapToGrid w:val="0"/>
              <w:spacing w:line="360" w:lineRule="auto"/>
              <w:ind w:firstLine="482" w:firstLineChars="200"/>
              <w:rPr>
                <w:b/>
                <w:kern w:val="0"/>
                <w:sz w:val="24"/>
              </w:rPr>
            </w:pPr>
            <w:r>
              <w:rPr>
                <w:b/>
                <w:kern w:val="0"/>
                <w:sz w:val="24"/>
              </w:rPr>
              <w:t>（8）主要技术经济指标</w:t>
            </w:r>
          </w:p>
          <w:p>
            <w:pPr>
              <w:adjustRightInd w:val="0"/>
              <w:snapToGrid w:val="0"/>
              <w:jc w:val="center"/>
              <w:rPr>
                <w:b/>
                <w:kern w:val="0"/>
                <w:sz w:val="24"/>
              </w:rPr>
            </w:pPr>
            <w:r>
              <w:rPr>
                <w:b/>
                <w:kern w:val="0"/>
                <w:sz w:val="24"/>
              </w:rPr>
              <w:t>表2-</w:t>
            </w:r>
            <w:r>
              <w:rPr>
                <w:rFonts w:hint="eastAsia"/>
                <w:b/>
                <w:kern w:val="0"/>
                <w:sz w:val="24"/>
              </w:rPr>
              <w:t>11</w:t>
            </w:r>
            <w:r>
              <w:rPr>
                <w:b/>
                <w:kern w:val="0"/>
                <w:sz w:val="24"/>
              </w:rPr>
              <w:t xml:space="preserve">  拟建项目主要技术指标变更情况一览表</w:t>
            </w:r>
          </w:p>
          <w:tbl>
            <w:tblPr>
              <w:tblStyle w:val="15"/>
              <w:tblW w:w="90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1362"/>
              <w:gridCol w:w="980"/>
              <w:gridCol w:w="1205"/>
              <w:gridCol w:w="1621"/>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t>序号</w:t>
                  </w:r>
                </w:p>
              </w:tc>
              <w:tc>
                <w:tcPr>
                  <w:tcW w:w="3547" w:type="dxa"/>
                  <w:gridSpan w:val="3"/>
                  <w:vAlign w:val="center"/>
                </w:tcPr>
                <w:p>
                  <w:pPr>
                    <w:pStyle w:val="42"/>
                  </w:pPr>
                  <w:r>
                    <w:t>项目名称</w:t>
                  </w:r>
                </w:p>
              </w:tc>
              <w:tc>
                <w:tcPr>
                  <w:tcW w:w="1621" w:type="dxa"/>
                  <w:vAlign w:val="center"/>
                </w:tcPr>
                <w:p>
                  <w:pPr>
                    <w:pStyle w:val="42"/>
                  </w:pPr>
                  <w:r>
                    <w:t>单位</w:t>
                  </w:r>
                </w:p>
              </w:tc>
              <w:tc>
                <w:tcPr>
                  <w:tcW w:w="2966" w:type="dxa"/>
                  <w:vAlign w:val="center"/>
                </w:tcPr>
                <w:p>
                  <w:pPr>
                    <w:pStyle w:val="42"/>
                  </w:pPr>
                  <w: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Merge w:val="restart"/>
                  <w:vAlign w:val="center"/>
                </w:tcPr>
                <w:p>
                  <w:pPr>
                    <w:pStyle w:val="42"/>
                  </w:pPr>
                  <w:r>
                    <w:t>1</w:t>
                  </w:r>
                </w:p>
              </w:tc>
              <w:tc>
                <w:tcPr>
                  <w:tcW w:w="3547" w:type="dxa"/>
                  <w:gridSpan w:val="3"/>
                  <w:vAlign w:val="center"/>
                </w:tcPr>
                <w:p>
                  <w:pPr>
                    <w:pStyle w:val="42"/>
                  </w:pPr>
                  <w:r>
                    <w:rPr>
                      <w:rFonts w:hint="eastAsia"/>
                    </w:rPr>
                    <w:t>总占地面积</w:t>
                  </w:r>
                </w:p>
              </w:tc>
              <w:tc>
                <w:tcPr>
                  <w:tcW w:w="1621" w:type="dxa"/>
                  <w:vAlign w:val="center"/>
                </w:tcPr>
                <w:p>
                  <w:pPr>
                    <w:pStyle w:val="42"/>
                  </w:pPr>
                  <w:r>
                    <w:rPr>
                      <w:rFonts w:hint="eastAsia"/>
                    </w:rPr>
                    <w:t>h</w:t>
                  </w:r>
                  <w:r>
                    <w:t>m</w:t>
                  </w:r>
                  <w:r>
                    <w:rPr>
                      <w:vertAlign w:val="superscript"/>
                    </w:rPr>
                    <w:t>2</w:t>
                  </w:r>
                </w:p>
              </w:tc>
              <w:tc>
                <w:tcPr>
                  <w:tcW w:w="2966" w:type="dxa"/>
                  <w:vAlign w:val="center"/>
                </w:tcPr>
                <w:p>
                  <w:pPr>
                    <w:pStyle w:val="42"/>
                  </w:pPr>
                  <w:r>
                    <w:t>6.9742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Merge w:val="continue"/>
                  <w:vAlign w:val="center"/>
                </w:tcPr>
                <w:p>
                  <w:pPr>
                    <w:pStyle w:val="42"/>
                  </w:pPr>
                </w:p>
              </w:tc>
              <w:tc>
                <w:tcPr>
                  <w:tcW w:w="1362" w:type="dxa"/>
                  <w:vMerge w:val="restart"/>
                  <w:vAlign w:val="center"/>
                </w:tcPr>
                <w:p>
                  <w:pPr>
                    <w:pStyle w:val="42"/>
                  </w:pPr>
                  <w:r>
                    <w:rPr>
                      <w:rFonts w:hint="eastAsia"/>
                    </w:rPr>
                    <w:t>其中</w:t>
                  </w:r>
                </w:p>
              </w:tc>
              <w:tc>
                <w:tcPr>
                  <w:tcW w:w="2185" w:type="dxa"/>
                  <w:gridSpan w:val="2"/>
                  <w:vAlign w:val="center"/>
                </w:tcPr>
                <w:p>
                  <w:pPr>
                    <w:pStyle w:val="42"/>
                  </w:pPr>
                  <w:r>
                    <w:t>矿区面积</w:t>
                  </w:r>
                </w:p>
              </w:tc>
              <w:tc>
                <w:tcPr>
                  <w:tcW w:w="1621" w:type="dxa"/>
                  <w:vAlign w:val="center"/>
                </w:tcPr>
                <w:p>
                  <w:pPr>
                    <w:pStyle w:val="42"/>
                  </w:pPr>
                  <w:r>
                    <w:rPr>
                      <w:rFonts w:hint="eastAsia"/>
                    </w:rPr>
                    <w:t>h</w:t>
                  </w:r>
                  <w:r>
                    <w:t>m</w:t>
                  </w:r>
                  <w:r>
                    <w:rPr>
                      <w:vertAlign w:val="superscript"/>
                    </w:rPr>
                    <w:t>2</w:t>
                  </w:r>
                </w:p>
              </w:tc>
              <w:tc>
                <w:tcPr>
                  <w:tcW w:w="2966" w:type="dxa"/>
                  <w:vAlign w:val="center"/>
                </w:tcPr>
                <w:p>
                  <w:pPr>
                    <w:pStyle w:val="42"/>
                  </w:pPr>
                  <w:r>
                    <w:t>4.3620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Merge w:val="continue"/>
                  <w:vAlign w:val="center"/>
                </w:tcPr>
                <w:p>
                  <w:pPr>
                    <w:pStyle w:val="42"/>
                  </w:pPr>
                </w:p>
              </w:tc>
              <w:tc>
                <w:tcPr>
                  <w:tcW w:w="1362" w:type="dxa"/>
                  <w:vMerge w:val="continue"/>
                  <w:vAlign w:val="center"/>
                </w:tcPr>
                <w:p>
                  <w:pPr>
                    <w:pStyle w:val="42"/>
                  </w:pPr>
                </w:p>
              </w:tc>
              <w:tc>
                <w:tcPr>
                  <w:tcW w:w="2185" w:type="dxa"/>
                  <w:gridSpan w:val="2"/>
                  <w:vAlign w:val="center"/>
                </w:tcPr>
                <w:p>
                  <w:pPr>
                    <w:pStyle w:val="42"/>
                  </w:pPr>
                  <w:r>
                    <w:rPr>
                      <w:rFonts w:hint="eastAsia"/>
                    </w:rPr>
                    <w:t>工业广场面积</w:t>
                  </w:r>
                </w:p>
              </w:tc>
              <w:tc>
                <w:tcPr>
                  <w:tcW w:w="1621" w:type="dxa"/>
                  <w:vAlign w:val="center"/>
                </w:tcPr>
                <w:p>
                  <w:pPr>
                    <w:pStyle w:val="42"/>
                  </w:pPr>
                  <w:r>
                    <w:rPr>
                      <w:rFonts w:hint="eastAsia"/>
                    </w:rPr>
                    <w:t>h</w:t>
                  </w:r>
                  <w:r>
                    <w:t>m</w:t>
                  </w:r>
                  <w:r>
                    <w:rPr>
                      <w:vertAlign w:val="superscript"/>
                    </w:rPr>
                    <w:t>2</w:t>
                  </w:r>
                </w:p>
              </w:tc>
              <w:tc>
                <w:tcPr>
                  <w:tcW w:w="2966" w:type="dxa"/>
                  <w:vAlign w:val="center"/>
                </w:tcPr>
                <w:p>
                  <w:pPr>
                    <w:pStyle w:val="42"/>
                  </w:pPr>
                  <w:r>
                    <w:rPr>
                      <w:rFonts w:hint="eastAsia"/>
                    </w:rPr>
                    <w:t>0.7040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rPr>
                      <w:rFonts w:hint="eastAsia"/>
                    </w:rPr>
                    <w:t>2</w:t>
                  </w:r>
                </w:p>
              </w:tc>
              <w:tc>
                <w:tcPr>
                  <w:tcW w:w="3547" w:type="dxa"/>
                  <w:gridSpan w:val="3"/>
                  <w:vAlign w:val="center"/>
                </w:tcPr>
                <w:p>
                  <w:pPr>
                    <w:pStyle w:val="42"/>
                  </w:pPr>
                  <w:r>
                    <w:t>开采标高</w:t>
                  </w:r>
                </w:p>
              </w:tc>
              <w:tc>
                <w:tcPr>
                  <w:tcW w:w="1621" w:type="dxa"/>
                  <w:vAlign w:val="center"/>
                </w:tcPr>
                <w:p>
                  <w:pPr>
                    <w:pStyle w:val="42"/>
                  </w:pPr>
                  <w:r>
                    <w:t>m</w:t>
                  </w:r>
                </w:p>
              </w:tc>
              <w:tc>
                <w:tcPr>
                  <w:tcW w:w="2966" w:type="dxa"/>
                  <w:vAlign w:val="center"/>
                </w:tcPr>
                <w:p>
                  <w:pPr>
                    <w:pStyle w:val="42"/>
                  </w:pPr>
                  <w:r>
                    <w:rPr>
                      <w:rFonts w:hint="eastAsia"/>
                    </w:rPr>
                    <w:t>+853m～+750m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rPr>
                      <w:rFonts w:hint="eastAsia"/>
                    </w:rPr>
                    <w:t>3</w:t>
                  </w:r>
                </w:p>
              </w:tc>
              <w:tc>
                <w:tcPr>
                  <w:tcW w:w="3547" w:type="dxa"/>
                  <w:gridSpan w:val="3"/>
                  <w:vAlign w:val="center"/>
                </w:tcPr>
                <w:p>
                  <w:pPr>
                    <w:pStyle w:val="42"/>
                    <w:rPr>
                      <w:highlight w:val="yellow"/>
                    </w:rPr>
                  </w:pPr>
                  <w:r>
                    <w:t>开采矿种</w:t>
                  </w:r>
                </w:p>
              </w:tc>
              <w:tc>
                <w:tcPr>
                  <w:tcW w:w="1621" w:type="dxa"/>
                  <w:vAlign w:val="center"/>
                </w:tcPr>
                <w:p>
                  <w:pPr>
                    <w:pStyle w:val="42"/>
                  </w:pPr>
                </w:p>
              </w:tc>
              <w:tc>
                <w:tcPr>
                  <w:tcW w:w="2966" w:type="dxa"/>
                  <w:vAlign w:val="center"/>
                </w:tcPr>
                <w:p>
                  <w:pPr>
                    <w:pStyle w:val="42"/>
                  </w:pPr>
                  <w:r>
                    <w:rPr>
                      <w:rFonts w:hint="eastAsia"/>
                      <w:color w:val="0000FF"/>
                    </w:rPr>
                    <w:t>建筑石料用</w:t>
                  </w:r>
                  <w:r>
                    <w:t>灰岩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t>4</w:t>
                  </w:r>
                </w:p>
              </w:tc>
              <w:tc>
                <w:tcPr>
                  <w:tcW w:w="3547" w:type="dxa"/>
                  <w:gridSpan w:val="3"/>
                  <w:vAlign w:val="center"/>
                </w:tcPr>
                <w:p>
                  <w:pPr>
                    <w:pStyle w:val="42"/>
                    <w:rPr>
                      <w:highlight w:val="yellow"/>
                    </w:rPr>
                  </w:pPr>
                  <w:r>
                    <w:t>采区内可采储量</w:t>
                  </w:r>
                </w:p>
              </w:tc>
              <w:tc>
                <w:tcPr>
                  <w:tcW w:w="1621" w:type="dxa"/>
                  <w:vAlign w:val="center"/>
                </w:tcPr>
                <w:p>
                  <w:pPr>
                    <w:pStyle w:val="42"/>
                  </w:pPr>
                  <w:r>
                    <w:t>万t</w:t>
                  </w:r>
                </w:p>
              </w:tc>
              <w:tc>
                <w:tcPr>
                  <w:tcW w:w="2966" w:type="dxa"/>
                  <w:vAlign w:val="center"/>
                </w:tcPr>
                <w:p>
                  <w:pPr>
                    <w:pStyle w:val="42"/>
                  </w:pPr>
                  <w:r>
                    <w:t>138.9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t>5</w:t>
                  </w:r>
                </w:p>
              </w:tc>
              <w:tc>
                <w:tcPr>
                  <w:tcW w:w="3547" w:type="dxa"/>
                  <w:gridSpan w:val="3"/>
                  <w:vAlign w:val="center"/>
                </w:tcPr>
                <w:p>
                  <w:pPr>
                    <w:pStyle w:val="42"/>
                    <w:rPr>
                      <w:highlight w:val="yellow"/>
                    </w:rPr>
                  </w:pPr>
                  <w:r>
                    <w:t>回采率</w:t>
                  </w:r>
                </w:p>
              </w:tc>
              <w:tc>
                <w:tcPr>
                  <w:tcW w:w="1621" w:type="dxa"/>
                  <w:vAlign w:val="center"/>
                </w:tcPr>
                <w:p>
                  <w:pPr>
                    <w:pStyle w:val="42"/>
                  </w:pPr>
                  <w:r>
                    <w:t>%</w:t>
                  </w:r>
                </w:p>
              </w:tc>
              <w:tc>
                <w:tcPr>
                  <w:tcW w:w="2966" w:type="dxa"/>
                  <w:vAlign w:val="center"/>
                </w:tcPr>
                <w:p>
                  <w:pPr>
                    <w:pStyle w:val="42"/>
                  </w:pPr>
                  <w: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t>6</w:t>
                  </w:r>
                </w:p>
              </w:tc>
              <w:tc>
                <w:tcPr>
                  <w:tcW w:w="3547" w:type="dxa"/>
                  <w:gridSpan w:val="3"/>
                  <w:vAlign w:val="center"/>
                </w:tcPr>
                <w:p>
                  <w:pPr>
                    <w:pStyle w:val="42"/>
                    <w:rPr>
                      <w:highlight w:val="yellow"/>
                    </w:rPr>
                  </w:pPr>
                  <w:r>
                    <w:t>设计开采规模</w:t>
                  </w:r>
                </w:p>
              </w:tc>
              <w:tc>
                <w:tcPr>
                  <w:tcW w:w="1621" w:type="dxa"/>
                  <w:vAlign w:val="center"/>
                </w:tcPr>
                <w:p>
                  <w:pPr>
                    <w:pStyle w:val="42"/>
                  </w:pPr>
                  <w:r>
                    <w:t>万t/a</w:t>
                  </w:r>
                </w:p>
              </w:tc>
              <w:tc>
                <w:tcPr>
                  <w:tcW w:w="2966" w:type="dxa"/>
                  <w:vAlign w:val="center"/>
                </w:tcPr>
                <w:p>
                  <w:pPr>
                    <w:pStyle w:val="42"/>
                  </w:pPr>
                  <w: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t>7</w:t>
                  </w:r>
                </w:p>
              </w:tc>
              <w:tc>
                <w:tcPr>
                  <w:tcW w:w="3547" w:type="dxa"/>
                  <w:gridSpan w:val="3"/>
                  <w:vAlign w:val="center"/>
                </w:tcPr>
                <w:p>
                  <w:pPr>
                    <w:pStyle w:val="42"/>
                    <w:rPr>
                      <w:highlight w:val="yellow"/>
                    </w:rPr>
                  </w:pPr>
                  <w:r>
                    <w:t>设计服务年限</w:t>
                  </w:r>
                </w:p>
              </w:tc>
              <w:tc>
                <w:tcPr>
                  <w:tcW w:w="1621" w:type="dxa"/>
                  <w:vAlign w:val="center"/>
                </w:tcPr>
                <w:p>
                  <w:pPr>
                    <w:pStyle w:val="42"/>
                  </w:pPr>
                  <w:r>
                    <w:t>a</w:t>
                  </w:r>
                </w:p>
              </w:tc>
              <w:tc>
                <w:tcPr>
                  <w:tcW w:w="2966" w:type="dxa"/>
                  <w:vAlign w:val="center"/>
                </w:tcPr>
                <w:p>
                  <w:pPr>
                    <w:pStyle w:val="42"/>
                  </w:pPr>
                  <w:r>
                    <w:rPr>
                      <w:rFonts w:hint="eastAsia"/>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t>8</w:t>
                  </w:r>
                </w:p>
              </w:tc>
              <w:tc>
                <w:tcPr>
                  <w:tcW w:w="3547" w:type="dxa"/>
                  <w:gridSpan w:val="3"/>
                  <w:vAlign w:val="center"/>
                </w:tcPr>
                <w:p>
                  <w:pPr>
                    <w:pStyle w:val="42"/>
                    <w:rPr>
                      <w:highlight w:val="yellow"/>
                    </w:rPr>
                  </w:pPr>
                  <w:r>
                    <w:t>开采方式</w:t>
                  </w:r>
                </w:p>
              </w:tc>
              <w:tc>
                <w:tcPr>
                  <w:tcW w:w="1621" w:type="dxa"/>
                  <w:vAlign w:val="center"/>
                </w:tcPr>
                <w:p>
                  <w:pPr>
                    <w:pStyle w:val="42"/>
                  </w:pPr>
                </w:p>
              </w:tc>
              <w:tc>
                <w:tcPr>
                  <w:tcW w:w="2966" w:type="dxa"/>
                  <w:vAlign w:val="center"/>
                </w:tcPr>
                <w:p>
                  <w:pPr>
                    <w:pStyle w:val="42"/>
                  </w:pPr>
                  <w:r>
                    <w:t>露天开采</w:t>
                  </w:r>
                  <w:r>
                    <w:rPr>
                      <w:rFonts w:hint="eastAsia"/>
                    </w:rPr>
                    <w:t>、爆破落矿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t>9</w:t>
                  </w:r>
                </w:p>
              </w:tc>
              <w:tc>
                <w:tcPr>
                  <w:tcW w:w="3547" w:type="dxa"/>
                  <w:gridSpan w:val="3"/>
                  <w:vAlign w:val="center"/>
                </w:tcPr>
                <w:p>
                  <w:pPr>
                    <w:pStyle w:val="42"/>
                    <w:rPr>
                      <w:highlight w:val="yellow"/>
                    </w:rPr>
                  </w:pPr>
                  <w:r>
                    <w:t>开采方法</w:t>
                  </w:r>
                </w:p>
              </w:tc>
              <w:tc>
                <w:tcPr>
                  <w:tcW w:w="1621" w:type="dxa"/>
                  <w:vAlign w:val="center"/>
                </w:tcPr>
                <w:p>
                  <w:pPr>
                    <w:pStyle w:val="42"/>
                  </w:pPr>
                </w:p>
              </w:tc>
              <w:tc>
                <w:tcPr>
                  <w:tcW w:w="2966" w:type="dxa"/>
                  <w:vAlign w:val="center"/>
                </w:tcPr>
                <w:p>
                  <w:pPr>
                    <w:pStyle w:val="42"/>
                  </w:pPr>
                  <w:r>
                    <w:t>水平台阶式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t>10</w:t>
                  </w:r>
                </w:p>
              </w:tc>
              <w:tc>
                <w:tcPr>
                  <w:tcW w:w="3547" w:type="dxa"/>
                  <w:gridSpan w:val="3"/>
                  <w:vAlign w:val="center"/>
                </w:tcPr>
                <w:p>
                  <w:pPr>
                    <w:pStyle w:val="42"/>
                    <w:rPr>
                      <w:highlight w:val="yellow"/>
                    </w:rPr>
                  </w:pPr>
                  <w:r>
                    <w:t>产品方案</w:t>
                  </w:r>
                </w:p>
              </w:tc>
              <w:tc>
                <w:tcPr>
                  <w:tcW w:w="1621" w:type="dxa"/>
                  <w:vAlign w:val="center"/>
                </w:tcPr>
                <w:p>
                  <w:pPr>
                    <w:pStyle w:val="42"/>
                  </w:pPr>
                </w:p>
              </w:tc>
              <w:tc>
                <w:tcPr>
                  <w:tcW w:w="2966" w:type="dxa"/>
                  <w:vAlign w:val="center"/>
                </w:tcPr>
                <w:p>
                  <w:pPr>
                    <w:pStyle w:val="42"/>
                  </w:pPr>
                  <w:r>
                    <w:rPr>
                      <w:rFonts w:hint="eastAsia"/>
                      <w:color w:val="0000FF"/>
                    </w:rPr>
                    <w:t>建筑用砂碎石（粗砂、中粗砂、石子）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t>11</w:t>
                  </w:r>
                </w:p>
              </w:tc>
              <w:tc>
                <w:tcPr>
                  <w:tcW w:w="3547" w:type="dxa"/>
                  <w:gridSpan w:val="3"/>
                  <w:vAlign w:val="center"/>
                </w:tcPr>
                <w:p>
                  <w:pPr>
                    <w:pStyle w:val="42"/>
                    <w:rPr>
                      <w:highlight w:val="yellow"/>
                    </w:rPr>
                  </w:pPr>
                  <w:r>
                    <w:t>平均剥采比</w:t>
                  </w:r>
                </w:p>
              </w:tc>
              <w:tc>
                <w:tcPr>
                  <w:tcW w:w="1621" w:type="dxa"/>
                  <w:vAlign w:val="center"/>
                </w:tcPr>
                <w:p>
                  <w:pPr>
                    <w:pStyle w:val="42"/>
                  </w:pPr>
                </w:p>
              </w:tc>
              <w:tc>
                <w:tcPr>
                  <w:tcW w:w="2966" w:type="dxa"/>
                  <w:vAlign w:val="center"/>
                </w:tcPr>
                <w:p>
                  <w:pPr>
                    <w:pStyle w:val="42"/>
                  </w:pPr>
                  <w:r>
                    <w:t>&lt;0.0</w:t>
                  </w:r>
                  <w:r>
                    <w:rPr>
                      <w:rFonts w:hint="eastAsia"/>
                    </w:rPr>
                    <w:t>001</w:t>
                  </w:r>
                  <w:r>
                    <w:t>:1</w:t>
                  </w:r>
                </w:p>
                <w:p>
                  <w:pPr>
                    <w:pStyle w:val="42"/>
                  </w:pPr>
                  <w:r>
                    <w:rPr>
                      <w:rFonts w:hint="eastAsia"/>
                    </w:rPr>
                    <w:t>（矿层中未见断、夹石）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Merge w:val="restart"/>
                  <w:vAlign w:val="center"/>
                </w:tcPr>
                <w:p>
                  <w:pPr>
                    <w:pStyle w:val="42"/>
                  </w:pPr>
                  <w:r>
                    <w:rPr>
                      <w:rFonts w:hint="eastAsia"/>
                    </w:rPr>
                    <w:t>12</w:t>
                  </w:r>
                </w:p>
              </w:tc>
              <w:tc>
                <w:tcPr>
                  <w:tcW w:w="1362" w:type="dxa"/>
                  <w:vMerge w:val="restart"/>
                  <w:vAlign w:val="center"/>
                </w:tcPr>
                <w:p>
                  <w:pPr>
                    <w:pStyle w:val="42"/>
                  </w:pPr>
                  <w:r>
                    <w:t>开拓方案</w:t>
                  </w:r>
                </w:p>
              </w:tc>
              <w:tc>
                <w:tcPr>
                  <w:tcW w:w="2185" w:type="dxa"/>
                  <w:gridSpan w:val="2"/>
                  <w:vAlign w:val="center"/>
                </w:tcPr>
                <w:p>
                  <w:pPr>
                    <w:pStyle w:val="42"/>
                  </w:pPr>
                  <w:r>
                    <w:t>安全平台宽度</w:t>
                  </w:r>
                </w:p>
              </w:tc>
              <w:tc>
                <w:tcPr>
                  <w:tcW w:w="1621" w:type="dxa"/>
                  <w:vAlign w:val="center"/>
                </w:tcPr>
                <w:p>
                  <w:pPr>
                    <w:pStyle w:val="42"/>
                  </w:pPr>
                  <w:r>
                    <w:t>m</w:t>
                  </w:r>
                </w:p>
              </w:tc>
              <w:tc>
                <w:tcPr>
                  <w:tcW w:w="2966" w:type="dxa"/>
                  <w:vAlign w:val="center"/>
                </w:tcPr>
                <w:p>
                  <w:pPr>
                    <w:pStyle w:val="42"/>
                  </w:pP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Merge w:val="continue"/>
                  <w:vAlign w:val="center"/>
                </w:tcPr>
                <w:p>
                  <w:pPr>
                    <w:pStyle w:val="42"/>
                  </w:pPr>
                </w:p>
              </w:tc>
              <w:tc>
                <w:tcPr>
                  <w:tcW w:w="1362" w:type="dxa"/>
                  <w:vMerge w:val="continue"/>
                  <w:vAlign w:val="center"/>
                </w:tcPr>
                <w:p>
                  <w:pPr>
                    <w:pStyle w:val="42"/>
                  </w:pPr>
                </w:p>
              </w:tc>
              <w:tc>
                <w:tcPr>
                  <w:tcW w:w="2185" w:type="dxa"/>
                  <w:gridSpan w:val="2"/>
                  <w:vAlign w:val="center"/>
                </w:tcPr>
                <w:p>
                  <w:pPr>
                    <w:pStyle w:val="42"/>
                  </w:pPr>
                  <w:r>
                    <w:rPr>
                      <w:rFonts w:hint="eastAsia"/>
                    </w:rPr>
                    <w:t>清扫平台</w:t>
                  </w:r>
                  <w:r>
                    <w:t>宽度</w:t>
                  </w:r>
                </w:p>
              </w:tc>
              <w:tc>
                <w:tcPr>
                  <w:tcW w:w="1621" w:type="dxa"/>
                  <w:vAlign w:val="center"/>
                </w:tcPr>
                <w:p>
                  <w:pPr>
                    <w:pStyle w:val="42"/>
                  </w:pPr>
                  <w:r>
                    <w:t>m</w:t>
                  </w:r>
                </w:p>
              </w:tc>
              <w:tc>
                <w:tcPr>
                  <w:tcW w:w="2966" w:type="dxa"/>
                  <w:vAlign w:val="center"/>
                </w:tcPr>
                <w:p>
                  <w:pPr>
                    <w:pStyle w:val="42"/>
                  </w:pPr>
                  <w:r>
                    <w:rPr>
                      <w:rFonts w:hint="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Merge w:val="continue"/>
                  <w:vAlign w:val="center"/>
                </w:tcPr>
                <w:p>
                  <w:pPr>
                    <w:pStyle w:val="42"/>
                  </w:pPr>
                </w:p>
              </w:tc>
              <w:tc>
                <w:tcPr>
                  <w:tcW w:w="1362" w:type="dxa"/>
                  <w:vMerge w:val="continue"/>
                  <w:vAlign w:val="center"/>
                </w:tcPr>
                <w:p>
                  <w:pPr>
                    <w:pStyle w:val="42"/>
                  </w:pPr>
                </w:p>
              </w:tc>
              <w:tc>
                <w:tcPr>
                  <w:tcW w:w="2185" w:type="dxa"/>
                  <w:gridSpan w:val="2"/>
                  <w:vAlign w:val="center"/>
                </w:tcPr>
                <w:p>
                  <w:pPr>
                    <w:pStyle w:val="42"/>
                  </w:pPr>
                  <w:r>
                    <w:rPr>
                      <w:rFonts w:hint="eastAsia"/>
                    </w:rPr>
                    <w:t>开采</w:t>
                  </w:r>
                  <w:r>
                    <w:t>台阶高度</w:t>
                  </w:r>
                </w:p>
              </w:tc>
              <w:tc>
                <w:tcPr>
                  <w:tcW w:w="1621" w:type="dxa"/>
                  <w:vAlign w:val="center"/>
                </w:tcPr>
                <w:p>
                  <w:pPr>
                    <w:pStyle w:val="42"/>
                  </w:pPr>
                  <w:r>
                    <w:t>m</w:t>
                  </w:r>
                </w:p>
              </w:tc>
              <w:tc>
                <w:tcPr>
                  <w:tcW w:w="2966" w:type="dxa"/>
                  <w:vAlign w:val="center"/>
                </w:tcPr>
                <w:p>
                  <w:pPr>
                    <w:pStyle w:val="42"/>
                  </w:pPr>
                  <w:r>
                    <w:rPr>
                      <w:rFonts w:hint="eastAsia"/>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Merge w:val="continue"/>
                  <w:vAlign w:val="center"/>
                </w:tcPr>
                <w:p>
                  <w:pPr>
                    <w:pStyle w:val="42"/>
                  </w:pPr>
                </w:p>
              </w:tc>
              <w:tc>
                <w:tcPr>
                  <w:tcW w:w="1362" w:type="dxa"/>
                  <w:vMerge w:val="continue"/>
                  <w:vAlign w:val="center"/>
                </w:tcPr>
                <w:p>
                  <w:pPr>
                    <w:pStyle w:val="42"/>
                  </w:pPr>
                </w:p>
              </w:tc>
              <w:tc>
                <w:tcPr>
                  <w:tcW w:w="2185" w:type="dxa"/>
                  <w:gridSpan w:val="2"/>
                  <w:vAlign w:val="center"/>
                </w:tcPr>
                <w:p>
                  <w:pPr>
                    <w:pStyle w:val="42"/>
                  </w:pPr>
                  <w:r>
                    <w:rPr>
                      <w:rFonts w:hint="eastAsia"/>
                    </w:rPr>
                    <w:t>终了</w:t>
                  </w:r>
                  <w:r>
                    <w:t>台阶高度</w:t>
                  </w:r>
                </w:p>
              </w:tc>
              <w:tc>
                <w:tcPr>
                  <w:tcW w:w="1621" w:type="dxa"/>
                  <w:vAlign w:val="center"/>
                </w:tcPr>
                <w:p>
                  <w:pPr>
                    <w:pStyle w:val="42"/>
                  </w:pPr>
                  <w:r>
                    <w:t>m</w:t>
                  </w:r>
                </w:p>
              </w:tc>
              <w:tc>
                <w:tcPr>
                  <w:tcW w:w="2966" w:type="dxa"/>
                  <w:vAlign w:val="center"/>
                </w:tcPr>
                <w:p>
                  <w:pPr>
                    <w:pStyle w:val="42"/>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Merge w:val="continue"/>
                  <w:vAlign w:val="center"/>
                </w:tcPr>
                <w:p>
                  <w:pPr>
                    <w:pStyle w:val="42"/>
                  </w:pPr>
                </w:p>
              </w:tc>
              <w:tc>
                <w:tcPr>
                  <w:tcW w:w="1362" w:type="dxa"/>
                  <w:vMerge w:val="continue"/>
                  <w:vAlign w:val="center"/>
                </w:tcPr>
                <w:p>
                  <w:pPr>
                    <w:pStyle w:val="42"/>
                  </w:pPr>
                </w:p>
              </w:tc>
              <w:tc>
                <w:tcPr>
                  <w:tcW w:w="980" w:type="dxa"/>
                  <w:vMerge w:val="restart"/>
                  <w:tcBorders>
                    <w:right w:val="single" w:color="000000" w:sz="6" w:space="0"/>
                  </w:tcBorders>
                  <w:vAlign w:val="center"/>
                </w:tcPr>
                <w:p>
                  <w:pPr>
                    <w:pStyle w:val="42"/>
                  </w:pPr>
                  <w:r>
                    <w:t>最终边坡角</w:t>
                  </w:r>
                </w:p>
              </w:tc>
              <w:tc>
                <w:tcPr>
                  <w:tcW w:w="1205" w:type="dxa"/>
                  <w:tcBorders>
                    <w:left w:val="single" w:color="000000" w:sz="6" w:space="0"/>
                  </w:tcBorders>
                  <w:vAlign w:val="center"/>
                </w:tcPr>
                <w:p>
                  <w:pPr>
                    <w:pStyle w:val="42"/>
                  </w:pPr>
                  <w:r>
                    <w:rPr>
                      <w:rFonts w:hint="eastAsia"/>
                    </w:rPr>
                    <w:t>顺向坡</w:t>
                  </w:r>
                </w:p>
              </w:tc>
              <w:tc>
                <w:tcPr>
                  <w:tcW w:w="1621" w:type="dxa"/>
                  <w:vAlign w:val="center"/>
                </w:tcPr>
                <w:p>
                  <w:pPr>
                    <w:pStyle w:val="42"/>
                  </w:pPr>
                  <w:r>
                    <w:t>°</w:t>
                  </w:r>
                </w:p>
              </w:tc>
              <w:tc>
                <w:tcPr>
                  <w:tcW w:w="2966" w:type="dxa"/>
                  <w:vAlign w:val="center"/>
                </w:tcPr>
                <w:p>
                  <w:pPr>
                    <w:pStyle w:val="42"/>
                  </w:pPr>
                  <w:r>
                    <w:rPr>
                      <w:szCs w:val="21"/>
                    </w:rPr>
                    <w:t>≤</w:t>
                  </w:r>
                  <w: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Merge w:val="continue"/>
                  <w:vAlign w:val="center"/>
                </w:tcPr>
                <w:p>
                  <w:pPr>
                    <w:pStyle w:val="42"/>
                  </w:pPr>
                </w:p>
              </w:tc>
              <w:tc>
                <w:tcPr>
                  <w:tcW w:w="1362" w:type="dxa"/>
                  <w:vMerge w:val="continue"/>
                  <w:vAlign w:val="center"/>
                </w:tcPr>
                <w:p>
                  <w:pPr>
                    <w:pStyle w:val="42"/>
                  </w:pPr>
                </w:p>
              </w:tc>
              <w:tc>
                <w:tcPr>
                  <w:tcW w:w="980" w:type="dxa"/>
                  <w:vMerge w:val="continue"/>
                  <w:tcBorders>
                    <w:right w:val="single" w:color="000000" w:sz="6" w:space="0"/>
                  </w:tcBorders>
                  <w:vAlign w:val="center"/>
                </w:tcPr>
                <w:p>
                  <w:pPr>
                    <w:pStyle w:val="42"/>
                  </w:pPr>
                </w:p>
              </w:tc>
              <w:tc>
                <w:tcPr>
                  <w:tcW w:w="1205" w:type="dxa"/>
                  <w:tcBorders>
                    <w:left w:val="single" w:color="000000" w:sz="6" w:space="0"/>
                  </w:tcBorders>
                  <w:vAlign w:val="center"/>
                </w:tcPr>
                <w:p>
                  <w:pPr>
                    <w:pStyle w:val="42"/>
                  </w:pPr>
                  <w:r>
                    <w:rPr>
                      <w:rFonts w:hint="eastAsia"/>
                    </w:rPr>
                    <w:t>其他</w:t>
                  </w:r>
                </w:p>
              </w:tc>
              <w:tc>
                <w:tcPr>
                  <w:tcW w:w="1621" w:type="dxa"/>
                  <w:vAlign w:val="center"/>
                </w:tcPr>
                <w:p>
                  <w:pPr>
                    <w:pStyle w:val="42"/>
                  </w:pPr>
                  <w:r>
                    <w:t>°</w:t>
                  </w:r>
                </w:p>
              </w:tc>
              <w:tc>
                <w:tcPr>
                  <w:tcW w:w="2966" w:type="dxa"/>
                  <w:vAlign w:val="center"/>
                </w:tcPr>
                <w:p>
                  <w:pPr>
                    <w:pStyle w:val="42"/>
                    <w:rPr>
                      <w:szCs w:val="21"/>
                    </w:rPr>
                  </w:pPr>
                  <w:r>
                    <w:rPr>
                      <w:szCs w:val="21"/>
                    </w:rPr>
                    <w:t>≤</w:t>
                  </w:r>
                  <w:r>
                    <w:rPr>
                      <w:rFonts w:hint="eastAsia"/>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rPr>
                      <w:rFonts w:hint="eastAsia"/>
                    </w:rPr>
                    <w:t>13</w:t>
                  </w:r>
                </w:p>
              </w:tc>
              <w:tc>
                <w:tcPr>
                  <w:tcW w:w="3547" w:type="dxa"/>
                  <w:gridSpan w:val="3"/>
                  <w:vAlign w:val="center"/>
                </w:tcPr>
                <w:p>
                  <w:pPr>
                    <w:pStyle w:val="42"/>
                  </w:pPr>
                  <w:r>
                    <w:t>运输方式</w:t>
                  </w:r>
                </w:p>
              </w:tc>
              <w:tc>
                <w:tcPr>
                  <w:tcW w:w="1621" w:type="dxa"/>
                  <w:vAlign w:val="center"/>
                </w:tcPr>
                <w:p>
                  <w:pPr>
                    <w:pStyle w:val="42"/>
                  </w:pPr>
                </w:p>
              </w:tc>
              <w:tc>
                <w:tcPr>
                  <w:tcW w:w="2966" w:type="dxa"/>
                  <w:vAlign w:val="center"/>
                </w:tcPr>
                <w:p>
                  <w:pPr>
                    <w:pStyle w:val="42"/>
                  </w:pPr>
                  <w:r>
                    <w:t>公路汽车运输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rPr>
                      <w:rFonts w:hint="eastAsia"/>
                    </w:rPr>
                    <w:t>1</w:t>
                  </w:r>
                  <w:r>
                    <w:t>4</w:t>
                  </w:r>
                </w:p>
              </w:tc>
              <w:tc>
                <w:tcPr>
                  <w:tcW w:w="3547" w:type="dxa"/>
                  <w:gridSpan w:val="3"/>
                  <w:vAlign w:val="center"/>
                </w:tcPr>
                <w:p>
                  <w:pPr>
                    <w:pStyle w:val="42"/>
                  </w:pPr>
                  <w:r>
                    <w:t>工作制度</w:t>
                  </w:r>
                </w:p>
              </w:tc>
              <w:tc>
                <w:tcPr>
                  <w:tcW w:w="1621" w:type="dxa"/>
                  <w:vAlign w:val="center"/>
                </w:tcPr>
                <w:p>
                  <w:pPr>
                    <w:pStyle w:val="42"/>
                  </w:pPr>
                  <w:r>
                    <w:t>d/a</w:t>
                  </w:r>
                </w:p>
              </w:tc>
              <w:tc>
                <w:tcPr>
                  <w:tcW w:w="2966" w:type="dxa"/>
                  <w:vAlign w:val="center"/>
                </w:tcPr>
                <w:p>
                  <w:pPr>
                    <w:pStyle w:val="42"/>
                  </w:pPr>
                  <w: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rPr>
                      <w:rFonts w:hint="eastAsia"/>
                    </w:rPr>
                    <w:t>1</w:t>
                  </w:r>
                  <w:r>
                    <w:t>5</w:t>
                  </w:r>
                </w:p>
              </w:tc>
              <w:tc>
                <w:tcPr>
                  <w:tcW w:w="3547" w:type="dxa"/>
                  <w:gridSpan w:val="3"/>
                  <w:vAlign w:val="center"/>
                </w:tcPr>
                <w:p>
                  <w:pPr>
                    <w:pStyle w:val="42"/>
                  </w:pPr>
                  <w:r>
                    <w:t>劳动定员</w:t>
                  </w:r>
                </w:p>
              </w:tc>
              <w:tc>
                <w:tcPr>
                  <w:tcW w:w="1621" w:type="dxa"/>
                  <w:vAlign w:val="center"/>
                </w:tcPr>
                <w:p>
                  <w:pPr>
                    <w:pStyle w:val="42"/>
                  </w:pPr>
                  <w:r>
                    <w:t>人</w:t>
                  </w:r>
                </w:p>
              </w:tc>
              <w:tc>
                <w:tcPr>
                  <w:tcW w:w="2966" w:type="dxa"/>
                  <w:vAlign w:val="center"/>
                </w:tcPr>
                <w:p>
                  <w:pPr>
                    <w:pStyle w:val="42"/>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t>16</w:t>
                  </w:r>
                </w:p>
              </w:tc>
              <w:tc>
                <w:tcPr>
                  <w:tcW w:w="3547" w:type="dxa"/>
                  <w:gridSpan w:val="3"/>
                  <w:vAlign w:val="center"/>
                </w:tcPr>
                <w:p>
                  <w:pPr>
                    <w:pStyle w:val="42"/>
                  </w:pPr>
                  <w:r>
                    <w:t>总投资</w:t>
                  </w:r>
                </w:p>
              </w:tc>
              <w:tc>
                <w:tcPr>
                  <w:tcW w:w="1621" w:type="dxa"/>
                  <w:vAlign w:val="center"/>
                </w:tcPr>
                <w:p>
                  <w:pPr>
                    <w:pStyle w:val="42"/>
                  </w:pPr>
                  <w:r>
                    <w:t>万元</w:t>
                  </w:r>
                </w:p>
              </w:tc>
              <w:tc>
                <w:tcPr>
                  <w:tcW w:w="2966" w:type="dxa"/>
                  <w:vAlign w:val="center"/>
                </w:tcPr>
                <w:p>
                  <w:pPr>
                    <w:pStyle w:val="42"/>
                    <w:rPr>
                      <w:highlight w:val="yellow"/>
                    </w:rPr>
                  </w:pPr>
                  <w: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t>17</w:t>
                  </w:r>
                </w:p>
              </w:tc>
              <w:tc>
                <w:tcPr>
                  <w:tcW w:w="3547" w:type="dxa"/>
                  <w:gridSpan w:val="3"/>
                  <w:vAlign w:val="center"/>
                </w:tcPr>
                <w:p>
                  <w:pPr>
                    <w:pStyle w:val="42"/>
                  </w:pPr>
                  <w:r>
                    <w:t>环保投资</w:t>
                  </w:r>
                </w:p>
              </w:tc>
              <w:tc>
                <w:tcPr>
                  <w:tcW w:w="1621" w:type="dxa"/>
                  <w:vAlign w:val="center"/>
                </w:tcPr>
                <w:p>
                  <w:pPr>
                    <w:pStyle w:val="42"/>
                  </w:pPr>
                  <w:r>
                    <w:t>万元</w:t>
                  </w:r>
                </w:p>
              </w:tc>
              <w:tc>
                <w:tcPr>
                  <w:tcW w:w="2966" w:type="dxa"/>
                  <w:vAlign w:val="center"/>
                </w:tcPr>
                <w:p>
                  <w:pPr>
                    <w:pStyle w:val="42"/>
                    <w:rPr>
                      <w:highlight w:val="yellow"/>
                    </w:rPr>
                  </w:pPr>
                  <w:r>
                    <w:rPr>
                      <w:rFonts w:hint="eastAsia"/>
                    </w:rPr>
                    <w:t>180</w:t>
                  </w:r>
                </w:p>
              </w:tc>
            </w:tr>
          </w:tbl>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tc>
      </w:tr>
    </w:tbl>
    <w:p>
      <w:pPr>
        <w:rPr>
          <w:snapToGrid w:val="0"/>
        </w:rPr>
      </w:pPr>
    </w:p>
    <w:p>
      <w:pPr>
        <w:pStyle w:val="13"/>
        <w:jc w:val="center"/>
        <w:outlineLvl w:val="0"/>
        <w:rPr>
          <w:rFonts w:ascii="Times New Roman" w:hAnsi="Times New Roman" w:eastAsia="黑体"/>
          <w:snapToGrid w:val="0"/>
          <w:sz w:val="30"/>
          <w:szCs w:val="30"/>
        </w:rPr>
        <w:sectPr>
          <w:pgSz w:w="11906" w:h="16838"/>
          <w:pgMar w:top="1440" w:right="1080" w:bottom="1440" w:left="1080" w:header="851" w:footer="1077" w:gutter="0"/>
          <w:cols w:space="720" w:num="1"/>
          <w:docGrid w:linePitch="312" w:charSpace="0"/>
        </w:sectPr>
      </w:pP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1"/>
        <w:gridCol w:w="92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350" w:hRule="atLeast"/>
          <w:jc w:val="center"/>
        </w:trPr>
        <w:tc>
          <w:tcPr>
            <w:tcW w:w="521" w:type="dxa"/>
            <w:vAlign w:val="center"/>
          </w:tcPr>
          <w:p>
            <w:pPr>
              <w:adjustRightInd w:val="0"/>
              <w:snapToGrid w:val="0"/>
              <w:jc w:val="center"/>
              <w:rPr>
                <w:kern w:val="0"/>
                <w:sz w:val="24"/>
              </w:rPr>
            </w:pPr>
            <w:r>
              <w:br w:type="page"/>
            </w:r>
            <w:r>
              <w:br w:type="page"/>
            </w:r>
            <w:r>
              <w:br w:type="page"/>
            </w:r>
            <w:r>
              <w:rPr>
                <w:kern w:val="0"/>
                <w:sz w:val="24"/>
              </w:rPr>
              <w:t>总平面及现场布置</w:t>
            </w:r>
          </w:p>
        </w:tc>
        <w:tc>
          <w:tcPr>
            <w:tcW w:w="9205" w:type="dxa"/>
          </w:tcPr>
          <w:p>
            <w:pPr>
              <w:adjustRightInd w:val="0"/>
              <w:snapToGrid w:val="0"/>
              <w:spacing w:line="360" w:lineRule="auto"/>
              <w:ind w:firstLine="562" w:firstLineChars="200"/>
              <w:rPr>
                <w:b/>
                <w:kern w:val="0"/>
                <w:sz w:val="28"/>
                <w:szCs w:val="28"/>
              </w:rPr>
            </w:pPr>
            <w:r>
              <w:rPr>
                <w:b/>
                <w:kern w:val="0"/>
                <w:sz w:val="28"/>
                <w:szCs w:val="28"/>
              </w:rPr>
              <w:t>2.3、拟建项目工程布局情况简述</w:t>
            </w:r>
          </w:p>
          <w:p>
            <w:pPr>
              <w:adjustRightInd w:val="0"/>
              <w:snapToGrid w:val="0"/>
              <w:spacing w:line="360" w:lineRule="auto"/>
              <w:ind w:firstLine="480" w:firstLineChars="200"/>
              <w:rPr>
                <w:kern w:val="0"/>
                <w:sz w:val="24"/>
              </w:rPr>
            </w:pPr>
            <w:r>
              <w:rPr>
                <w:kern w:val="0"/>
                <w:sz w:val="24"/>
              </w:rPr>
              <w:t>拟建项目建设内容包含</w:t>
            </w:r>
            <w:r>
              <w:rPr>
                <w:rFonts w:hint="eastAsia"/>
                <w:kern w:val="0"/>
                <w:sz w:val="24"/>
              </w:rPr>
              <w:t>采区</w:t>
            </w:r>
            <w:r>
              <w:rPr>
                <w:kern w:val="0"/>
                <w:sz w:val="24"/>
              </w:rPr>
              <w:t>、</w:t>
            </w:r>
            <w:r>
              <w:rPr>
                <w:rFonts w:hint="eastAsia"/>
                <w:kern w:val="0"/>
                <w:sz w:val="24"/>
              </w:rPr>
              <w:t>工业广场、排土场</w:t>
            </w:r>
            <w:r>
              <w:rPr>
                <w:kern w:val="0"/>
                <w:sz w:val="24"/>
              </w:rPr>
              <w:t>及</w:t>
            </w:r>
            <w:r>
              <w:rPr>
                <w:rFonts w:hint="eastAsia"/>
                <w:kern w:val="0"/>
                <w:sz w:val="24"/>
              </w:rPr>
              <w:t>运</w:t>
            </w:r>
            <w:r>
              <w:rPr>
                <w:kern w:val="0"/>
                <w:sz w:val="24"/>
              </w:rPr>
              <w:t>输道路</w:t>
            </w:r>
            <w:r>
              <w:rPr>
                <w:rFonts w:hint="eastAsia"/>
                <w:kern w:val="0"/>
                <w:sz w:val="24"/>
              </w:rPr>
              <w:t>五</w:t>
            </w:r>
            <w:r>
              <w:rPr>
                <w:kern w:val="0"/>
                <w:sz w:val="24"/>
              </w:rPr>
              <w:t>个部分。</w:t>
            </w:r>
          </w:p>
          <w:p>
            <w:pPr>
              <w:adjustRightInd w:val="0"/>
              <w:snapToGrid w:val="0"/>
              <w:spacing w:line="360" w:lineRule="auto"/>
              <w:ind w:firstLine="482" w:firstLineChars="200"/>
              <w:rPr>
                <w:b/>
                <w:bCs/>
                <w:kern w:val="0"/>
                <w:sz w:val="24"/>
              </w:rPr>
            </w:pPr>
            <w:r>
              <w:rPr>
                <w:b/>
                <w:bCs/>
                <w:kern w:val="0"/>
                <w:sz w:val="24"/>
              </w:rPr>
              <w:t>（1）采区</w:t>
            </w:r>
          </w:p>
          <w:p>
            <w:pPr>
              <w:adjustRightInd w:val="0"/>
              <w:snapToGrid w:val="0"/>
              <w:spacing w:line="360" w:lineRule="auto"/>
              <w:ind w:firstLine="480" w:firstLineChars="200"/>
              <w:rPr>
                <w:kern w:val="0"/>
                <w:sz w:val="24"/>
              </w:rPr>
            </w:pPr>
            <w:r>
              <w:rPr>
                <w:kern w:val="0"/>
                <w:sz w:val="24"/>
              </w:rPr>
              <w:t>矿区</w:t>
            </w:r>
            <w:r>
              <w:rPr>
                <w:rFonts w:hint="eastAsia"/>
                <w:kern w:val="0"/>
                <w:sz w:val="24"/>
              </w:rPr>
              <w:t>全部规划为开采区，</w:t>
            </w:r>
            <w:r>
              <w:rPr>
                <w:kern w:val="0"/>
                <w:sz w:val="24"/>
              </w:rPr>
              <w:t>面积4.3620hm</w:t>
            </w:r>
            <w:r>
              <w:rPr>
                <w:kern w:val="0"/>
                <w:sz w:val="24"/>
                <w:vertAlign w:val="superscript"/>
              </w:rPr>
              <w:t>2</w:t>
            </w:r>
            <w:r>
              <w:rPr>
                <w:kern w:val="0"/>
                <w:sz w:val="24"/>
              </w:rPr>
              <w:t>，</w:t>
            </w:r>
            <w:r>
              <w:rPr>
                <w:rFonts w:hint="eastAsia"/>
                <w:kern w:val="0"/>
                <w:sz w:val="24"/>
              </w:rPr>
              <w:t>东西宽约407m、南北长约520m，总体近似正</w:t>
            </w:r>
            <w:r>
              <w:rPr>
                <w:rFonts w:hint="eastAsia"/>
                <w:sz w:val="24"/>
              </w:rPr>
              <w:t>七边形</w:t>
            </w:r>
            <w:r>
              <w:rPr>
                <w:rFonts w:hint="eastAsia"/>
                <w:kern w:val="0"/>
                <w:sz w:val="24"/>
              </w:rPr>
              <w:t>，采区中高、四周低，仅一个山头，矿区内共设1个采区，开采标高+853m～+750m，</w:t>
            </w:r>
            <w:r>
              <w:rPr>
                <w:kern w:val="0"/>
                <w:sz w:val="24"/>
              </w:rPr>
              <w:t>首采面位于</w:t>
            </w:r>
            <w:r>
              <w:rPr>
                <w:rFonts w:hint="eastAsia"/>
                <w:kern w:val="0"/>
                <w:sz w:val="24"/>
              </w:rPr>
              <w:t>矿区中东部山顶，面积6416m</w:t>
            </w:r>
            <w:r>
              <w:rPr>
                <w:rFonts w:hint="eastAsia"/>
                <w:kern w:val="0"/>
                <w:sz w:val="24"/>
                <w:vertAlign w:val="superscript"/>
              </w:rPr>
              <w:t>2</w:t>
            </w:r>
            <w:r>
              <w:rPr>
                <w:rFonts w:hint="eastAsia"/>
                <w:kern w:val="0"/>
                <w:sz w:val="24"/>
              </w:rPr>
              <w:t>，首采工作面标高+840m。</w:t>
            </w:r>
          </w:p>
          <w:p>
            <w:pPr>
              <w:adjustRightInd w:val="0"/>
              <w:snapToGrid w:val="0"/>
              <w:spacing w:line="360" w:lineRule="auto"/>
              <w:ind w:firstLine="482" w:firstLineChars="200"/>
              <w:rPr>
                <w:b/>
                <w:bCs/>
                <w:kern w:val="0"/>
                <w:sz w:val="24"/>
              </w:rPr>
            </w:pPr>
            <w:r>
              <w:rPr>
                <w:b/>
                <w:bCs/>
                <w:kern w:val="0"/>
                <w:sz w:val="24"/>
              </w:rPr>
              <w:t>（2）</w:t>
            </w:r>
            <w:r>
              <w:rPr>
                <w:rFonts w:hint="eastAsia"/>
                <w:b/>
                <w:bCs/>
                <w:kern w:val="0"/>
                <w:sz w:val="24"/>
              </w:rPr>
              <w:t>工业广场</w:t>
            </w:r>
          </w:p>
          <w:p>
            <w:pPr>
              <w:adjustRightInd w:val="0"/>
              <w:snapToGrid w:val="0"/>
              <w:spacing w:line="360" w:lineRule="auto"/>
              <w:ind w:firstLine="480" w:firstLineChars="200"/>
              <w:rPr>
                <w:bCs/>
                <w:kern w:val="0"/>
                <w:sz w:val="24"/>
              </w:rPr>
            </w:pPr>
            <w:r>
              <w:rPr>
                <w:rFonts w:hint="eastAsia"/>
                <w:kern w:val="0"/>
                <w:sz w:val="24"/>
              </w:rPr>
              <w:t>工业广场</w:t>
            </w:r>
            <w:r>
              <w:rPr>
                <w:kern w:val="0"/>
                <w:sz w:val="24"/>
              </w:rPr>
              <w:t>位于</w:t>
            </w:r>
            <w:r>
              <w:rPr>
                <w:rFonts w:hint="eastAsia"/>
                <w:kern w:val="0"/>
                <w:sz w:val="24"/>
              </w:rPr>
              <w:t>矿区外西南侧90m较平坦处</w:t>
            </w:r>
            <w:r>
              <w:rPr>
                <w:kern w:val="0"/>
                <w:sz w:val="24"/>
              </w:rPr>
              <w:t>，占地面积7040m</w:t>
            </w:r>
            <w:r>
              <w:rPr>
                <w:kern w:val="0"/>
                <w:sz w:val="24"/>
                <w:vertAlign w:val="superscript"/>
              </w:rPr>
              <w:t>2</w:t>
            </w:r>
            <w:r>
              <w:rPr>
                <w:kern w:val="0"/>
                <w:sz w:val="24"/>
              </w:rPr>
              <w:t>，主要建设有加工区</w:t>
            </w:r>
            <w:r>
              <w:rPr>
                <w:rFonts w:hint="eastAsia"/>
                <w:kern w:val="0"/>
                <w:sz w:val="24"/>
              </w:rPr>
              <w:t>（破碎站、成品仓库）、</w:t>
            </w:r>
            <w:r>
              <w:rPr>
                <w:kern w:val="0"/>
                <w:sz w:val="24"/>
              </w:rPr>
              <w:t>配套设施</w:t>
            </w:r>
            <w:r>
              <w:rPr>
                <w:rFonts w:hint="eastAsia"/>
                <w:kern w:val="0"/>
                <w:sz w:val="24"/>
              </w:rPr>
              <w:t>（地磅秤）及办公楼</w:t>
            </w:r>
            <w:r>
              <w:rPr>
                <w:rFonts w:hint="eastAsia"/>
                <w:bCs/>
                <w:kern w:val="0"/>
                <w:sz w:val="24"/>
              </w:rPr>
              <w:t>。其中：</w:t>
            </w:r>
            <w:r>
              <w:rPr>
                <w:bCs/>
                <w:kern w:val="0"/>
                <w:sz w:val="24"/>
              </w:rPr>
              <w:t>加工区</w:t>
            </w:r>
            <w:r>
              <w:rPr>
                <w:rFonts w:hint="eastAsia"/>
                <w:bCs/>
                <w:kern w:val="0"/>
                <w:sz w:val="24"/>
              </w:rPr>
              <w:t>东</w:t>
            </w:r>
            <w:r>
              <w:rPr>
                <w:bCs/>
                <w:kern w:val="0"/>
                <w:sz w:val="24"/>
              </w:rPr>
              <w:t>建设有</w:t>
            </w:r>
            <w:r>
              <w:rPr>
                <w:rFonts w:hint="eastAsia"/>
                <w:bCs/>
                <w:kern w:val="0"/>
                <w:sz w:val="24"/>
              </w:rPr>
              <w:t>1200</w:t>
            </w:r>
            <w:r>
              <w:rPr>
                <w:bCs/>
                <w:kern w:val="0"/>
                <w:sz w:val="24"/>
              </w:rPr>
              <w:t>m</w:t>
            </w:r>
            <w:r>
              <w:rPr>
                <w:bCs/>
                <w:kern w:val="0"/>
                <w:sz w:val="24"/>
                <w:vertAlign w:val="superscript"/>
              </w:rPr>
              <w:t>2</w:t>
            </w:r>
            <w:r>
              <w:rPr>
                <w:bCs/>
                <w:kern w:val="0"/>
                <w:sz w:val="24"/>
              </w:rPr>
              <w:t>破碎站，建设一条</w:t>
            </w:r>
            <w:r>
              <w:rPr>
                <w:rFonts w:hint="eastAsia"/>
                <w:bCs/>
                <w:kern w:val="0"/>
                <w:sz w:val="24"/>
              </w:rPr>
              <w:t>51</w:t>
            </w:r>
            <w:r>
              <w:rPr>
                <w:bCs/>
                <w:kern w:val="0"/>
                <w:sz w:val="24"/>
              </w:rPr>
              <w:t>万t/a的毛料破碎线</w:t>
            </w:r>
            <w:r>
              <w:rPr>
                <w:rFonts w:hint="eastAsia"/>
                <w:bCs/>
                <w:kern w:val="0"/>
                <w:sz w:val="24"/>
              </w:rPr>
              <w:t>，</w:t>
            </w:r>
            <w:r>
              <w:rPr>
                <w:bCs/>
                <w:kern w:val="0"/>
                <w:sz w:val="24"/>
              </w:rPr>
              <w:t>西部设置</w:t>
            </w:r>
            <w:r>
              <w:rPr>
                <w:rFonts w:hint="eastAsia"/>
                <w:bCs/>
                <w:kern w:val="0"/>
                <w:sz w:val="24"/>
              </w:rPr>
              <w:t>800</w:t>
            </w:r>
            <w:r>
              <w:rPr>
                <w:bCs/>
                <w:kern w:val="0"/>
                <w:sz w:val="24"/>
              </w:rPr>
              <w:t>m</w:t>
            </w:r>
            <w:r>
              <w:rPr>
                <w:bCs/>
                <w:kern w:val="0"/>
                <w:sz w:val="24"/>
                <w:vertAlign w:val="superscript"/>
              </w:rPr>
              <w:t>2</w:t>
            </w:r>
            <w:r>
              <w:rPr>
                <w:rFonts w:hint="eastAsia"/>
                <w:bCs/>
                <w:kern w:val="0"/>
                <w:sz w:val="24"/>
              </w:rPr>
              <w:t>成品仓库，</w:t>
            </w:r>
            <w:r>
              <w:rPr>
                <w:bCs/>
                <w:kern w:val="0"/>
                <w:sz w:val="24"/>
              </w:rPr>
              <w:t>加工区</w:t>
            </w:r>
            <w:r>
              <w:rPr>
                <w:rFonts w:hint="eastAsia"/>
                <w:bCs/>
                <w:kern w:val="0"/>
                <w:sz w:val="24"/>
              </w:rPr>
              <w:t>整体设置为</w:t>
            </w:r>
            <w:r>
              <w:rPr>
                <w:bCs/>
                <w:kern w:val="0"/>
                <w:sz w:val="24"/>
              </w:rPr>
              <w:t>钢架结构密闭厂房，仅留进出通道</w:t>
            </w:r>
            <w:r>
              <w:rPr>
                <w:rFonts w:hint="eastAsia"/>
                <w:bCs/>
                <w:kern w:val="0"/>
                <w:sz w:val="24"/>
              </w:rPr>
              <w:t>。仓库内置1个堆料区，</w:t>
            </w:r>
            <w:r>
              <w:rPr>
                <w:bCs/>
                <w:kern w:val="0"/>
                <w:sz w:val="24"/>
              </w:rPr>
              <w:t>用于临时</w:t>
            </w:r>
            <w:r>
              <w:rPr>
                <w:rFonts w:hint="eastAsia"/>
                <w:bCs/>
                <w:kern w:val="0"/>
                <w:sz w:val="24"/>
              </w:rPr>
              <w:t>储存</w:t>
            </w:r>
            <w:r>
              <w:rPr>
                <w:bCs/>
                <w:kern w:val="0"/>
                <w:sz w:val="24"/>
              </w:rPr>
              <w:t>破碎毛料，破碎站与</w:t>
            </w:r>
            <w:r>
              <w:rPr>
                <w:rFonts w:hint="eastAsia"/>
                <w:bCs/>
                <w:kern w:val="0"/>
                <w:sz w:val="24"/>
              </w:rPr>
              <w:t>仓库内</w:t>
            </w:r>
            <w:r>
              <w:rPr>
                <w:bCs/>
                <w:kern w:val="0"/>
                <w:sz w:val="24"/>
              </w:rPr>
              <w:t>堆料</w:t>
            </w:r>
            <w:r>
              <w:rPr>
                <w:rFonts w:hint="eastAsia"/>
                <w:bCs/>
                <w:kern w:val="0"/>
                <w:sz w:val="24"/>
              </w:rPr>
              <w:t>区均</w:t>
            </w:r>
            <w:r>
              <w:rPr>
                <w:bCs/>
                <w:kern w:val="0"/>
                <w:sz w:val="24"/>
              </w:rPr>
              <w:t>由密闭输送带进行有机连接</w:t>
            </w:r>
            <w:r>
              <w:rPr>
                <w:rFonts w:hint="eastAsia"/>
                <w:bCs/>
                <w:kern w:val="0"/>
                <w:sz w:val="24"/>
              </w:rPr>
              <w:t>，</w:t>
            </w:r>
            <w:r>
              <w:rPr>
                <w:bCs/>
                <w:kern w:val="0"/>
                <w:sz w:val="24"/>
              </w:rPr>
              <w:t>堆料</w:t>
            </w:r>
            <w:r>
              <w:rPr>
                <w:rFonts w:hint="eastAsia"/>
                <w:bCs/>
                <w:kern w:val="0"/>
                <w:sz w:val="24"/>
              </w:rPr>
              <w:t>区</w:t>
            </w:r>
            <w:r>
              <w:rPr>
                <w:bCs/>
                <w:kern w:val="0"/>
                <w:sz w:val="24"/>
              </w:rPr>
              <w:t>内的产品通过铲车装车后外运</w:t>
            </w:r>
            <w:r>
              <w:rPr>
                <w:rFonts w:hint="eastAsia"/>
                <w:bCs/>
                <w:kern w:val="0"/>
                <w:sz w:val="24"/>
              </w:rPr>
              <w:t>。</w:t>
            </w:r>
          </w:p>
          <w:p>
            <w:pPr>
              <w:adjustRightInd w:val="0"/>
              <w:snapToGrid w:val="0"/>
              <w:spacing w:line="360" w:lineRule="auto"/>
              <w:ind w:firstLine="482" w:firstLineChars="200"/>
              <w:rPr>
                <w:b/>
                <w:bCs/>
                <w:kern w:val="0"/>
                <w:sz w:val="24"/>
              </w:rPr>
            </w:pPr>
            <w:r>
              <w:rPr>
                <w:b/>
                <w:bCs/>
                <w:kern w:val="0"/>
                <w:sz w:val="24"/>
              </w:rPr>
              <w:t>（3）</w:t>
            </w:r>
            <w:r>
              <w:rPr>
                <w:rFonts w:hint="eastAsia"/>
                <w:b/>
                <w:bCs/>
                <w:kern w:val="0"/>
                <w:sz w:val="24"/>
              </w:rPr>
              <w:t>排土场</w:t>
            </w:r>
            <w:r>
              <w:rPr>
                <w:rFonts w:hint="eastAsia"/>
                <w:b/>
                <w:bCs/>
                <w:color w:val="0000FF"/>
                <w:kern w:val="0"/>
                <w:sz w:val="24"/>
              </w:rPr>
              <w:t>、弃渣场</w:t>
            </w:r>
          </w:p>
          <w:p>
            <w:pPr>
              <w:adjustRightInd w:val="0"/>
              <w:snapToGrid w:val="0"/>
              <w:spacing w:line="360" w:lineRule="auto"/>
              <w:ind w:firstLine="480" w:firstLineChars="200"/>
              <w:rPr>
                <w:color w:val="0000FF"/>
                <w:kern w:val="0"/>
                <w:sz w:val="24"/>
              </w:rPr>
            </w:pPr>
            <w:r>
              <w:rPr>
                <w:rFonts w:hint="eastAsia"/>
                <w:color w:val="0000FF"/>
                <w:kern w:val="0"/>
                <w:sz w:val="24"/>
              </w:rPr>
              <w:t>项目设排土场1</w:t>
            </w:r>
            <w:r>
              <w:rPr>
                <w:color w:val="0000FF"/>
                <w:kern w:val="0"/>
                <w:sz w:val="24"/>
              </w:rPr>
              <w:t>座，</w:t>
            </w:r>
            <w:r>
              <w:rPr>
                <w:rFonts w:hint="eastAsia"/>
                <w:color w:val="0000FF"/>
                <w:kern w:val="0"/>
                <w:sz w:val="24"/>
              </w:rPr>
              <w:t>位于工业广场北部，占地2826</w:t>
            </w:r>
            <w:r>
              <w:rPr>
                <w:color w:val="0000FF"/>
                <w:kern w:val="0"/>
                <w:sz w:val="24"/>
              </w:rPr>
              <w:t>m</w:t>
            </w:r>
            <w:r>
              <w:rPr>
                <w:color w:val="0000FF"/>
                <w:kern w:val="0"/>
                <w:sz w:val="24"/>
                <w:vertAlign w:val="superscript"/>
              </w:rPr>
              <w:t>2</w:t>
            </w:r>
            <w:r>
              <w:rPr>
                <w:rFonts w:hint="eastAsia"/>
                <w:color w:val="0000FF"/>
                <w:kern w:val="0"/>
                <w:sz w:val="24"/>
              </w:rPr>
              <w:t>，最大设计堆存高度25m，锥形堆高（北侧依山体边坡区域采取垂直堆高），5m一个台阶，台阶边坡≤45°，设计堆存容量25147m</w:t>
            </w:r>
            <w:r>
              <w:rPr>
                <w:rFonts w:hint="eastAsia"/>
                <w:color w:val="0000FF"/>
                <w:kern w:val="0"/>
                <w:sz w:val="24"/>
                <w:vertAlign w:val="superscript"/>
              </w:rPr>
              <w:t>3</w:t>
            </w:r>
            <w:r>
              <w:rPr>
                <w:rFonts w:hint="eastAsia"/>
                <w:color w:val="0000FF"/>
                <w:kern w:val="0"/>
                <w:sz w:val="24"/>
              </w:rPr>
              <w:t>。用于</w:t>
            </w:r>
            <w:r>
              <w:rPr>
                <w:color w:val="0000FF"/>
                <w:kern w:val="0"/>
                <w:sz w:val="24"/>
              </w:rPr>
              <w:t>临时堆存矿区剥离表土，后期用于采空区复垦</w:t>
            </w:r>
            <w:r>
              <w:rPr>
                <w:rFonts w:hint="eastAsia"/>
                <w:color w:val="0000FF"/>
                <w:kern w:val="0"/>
                <w:sz w:val="24"/>
              </w:rPr>
              <w:t>。</w:t>
            </w:r>
          </w:p>
          <w:p>
            <w:pPr>
              <w:adjustRightInd w:val="0"/>
              <w:snapToGrid w:val="0"/>
              <w:spacing w:line="360" w:lineRule="auto"/>
              <w:ind w:firstLine="480" w:firstLineChars="200"/>
              <w:rPr>
                <w:color w:val="0000FF"/>
                <w:kern w:val="0"/>
                <w:sz w:val="24"/>
              </w:rPr>
            </w:pPr>
            <w:r>
              <w:rPr>
                <w:rFonts w:hint="eastAsia"/>
                <w:color w:val="0000FF"/>
                <w:kern w:val="0"/>
                <w:sz w:val="24"/>
              </w:rPr>
              <w:t>排土场西部562m</w:t>
            </w:r>
            <w:r>
              <w:rPr>
                <w:rFonts w:hint="eastAsia"/>
                <w:color w:val="0000FF"/>
                <w:kern w:val="0"/>
                <w:sz w:val="24"/>
                <w:vertAlign w:val="superscript"/>
              </w:rPr>
              <w:t>2</w:t>
            </w:r>
            <w:r>
              <w:rPr>
                <w:color w:val="0000FF"/>
                <w:kern w:val="0"/>
                <w:sz w:val="24"/>
              </w:rPr>
              <w:t>区域</w:t>
            </w:r>
            <w:r>
              <w:rPr>
                <w:rFonts w:hint="eastAsia"/>
                <w:color w:val="0000FF"/>
                <w:kern w:val="0"/>
                <w:sz w:val="24"/>
              </w:rPr>
              <w:t>划</w:t>
            </w:r>
            <w:r>
              <w:rPr>
                <w:color w:val="0000FF"/>
                <w:kern w:val="0"/>
                <w:sz w:val="24"/>
              </w:rPr>
              <w:t>为耕作层堆放区、</w:t>
            </w:r>
            <w:r>
              <w:rPr>
                <w:rFonts w:hint="eastAsia"/>
                <w:color w:val="0000FF"/>
                <w:kern w:val="0"/>
                <w:sz w:val="24"/>
              </w:rPr>
              <w:t>余下2264m</w:t>
            </w:r>
            <w:r>
              <w:rPr>
                <w:rFonts w:hint="eastAsia"/>
                <w:color w:val="0000FF"/>
                <w:kern w:val="0"/>
                <w:sz w:val="24"/>
                <w:vertAlign w:val="superscript"/>
              </w:rPr>
              <w:t>2</w:t>
            </w:r>
            <w:r>
              <w:rPr>
                <w:rFonts w:hint="eastAsia"/>
                <w:color w:val="0000FF"/>
                <w:kern w:val="0"/>
                <w:sz w:val="24"/>
              </w:rPr>
              <w:t>区域划</w:t>
            </w:r>
            <w:r>
              <w:rPr>
                <w:color w:val="0000FF"/>
                <w:kern w:val="0"/>
                <w:sz w:val="24"/>
              </w:rPr>
              <w:t>为</w:t>
            </w:r>
            <w:r>
              <w:rPr>
                <w:rFonts w:hint="eastAsia"/>
                <w:color w:val="0000FF"/>
                <w:kern w:val="0"/>
                <w:sz w:val="24"/>
              </w:rPr>
              <w:t>心土</w:t>
            </w:r>
            <w:r>
              <w:rPr>
                <w:color w:val="0000FF"/>
                <w:kern w:val="0"/>
                <w:sz w:val="24"/>
              </w:rPr>
              <w:t>层堆放区</w:t>
            </w:r>
            <w:r>
              <w:rPr>
                <w:rFonts w:hint="eastAsia"/>
                <w:color w:val="0000FF"/>
                <w:kern w:val="0"/>
                <w:sz w:val="24"/>
              </w:rPr>
              <w:t>，两个堆放区设置物理隔断，但考虑过高的隔断墙曾出现安全事故（现今过高隔断墙不符合安全规定），可在两区堆存的过程中，在隔断线上同步采用片石码垛隔离，确保两区分离。</w:t>
            </w:r>
          </w:p>
          <w:p>
            <w:pPr>
              <w:adjustRightInd w:val="0"/>
              <w:snapToGrid w:val="0"/>
              <w:spacing w:line="360" w:lineRule="auto"/>
              <w:ind w:firstLine="480" w:firstLineChars="200"/>
              <w:rPr>
                <w:color w:val="0000FF"/>
                <w:kern w:val="0"/>
                <w:sz w:val="24"/>
              </w:rPr>
            </w:pPr>
            <w:r>
              <w:rPr>
                <w:rFonts w:hint="eastAsia"/>
                <w:color w:val="0000FF"/>
                <w:kern w:val="0"/>
                <w:sz w:val="24"/>
              </w:rPr>
              <w:t>项目设弃渣场1座，为原项目排土场继续使用，用于</w:t>
            </w:r>
            <w:r>
              <w:rPr>
                <w:color w:val="0000FF"/>
                <w:kern w:val="0"/>
                <w:sz w:val="24"/>
              </w:rPr>
              <w:t>临时堆存矿区剥离风化废石，后期用于采空区回填</w:t>
            </w:r>
            <w:r>
              <w:rPr>
                <w:rFonts w:hint="eastAsia"/>
                <w:color w:val="0000FF"/>
                <w:kern w:val="0"/>
                <w:sz w:val="24"/>
              </w:rPr>
              <w:t>。位于矿区外南侧，占地1419</w:t>
            </w:r>
            <w:r>
              <w:rPr>
                <w:color w:val="0000FF"/>
                <w:kern w:val="0"/>
                <w:sz w:val="24"/>
              </w:rPr>
              <w:t>m</w:t>
            </w:r>
            <w:r>
              <w:rPr>
                <w:color w:val="0000FF"/>
                <w:kern w:val="0"/>
                <w:sz w:val="24"/>
                <w:vertAlign w:val="superscript"/>
              </w:rPr>
              <w:t>2</w:t>
            </w:r>
            <w:r>
              <w:rPr>
                <w:rFonts w:hint="eastAsia"/>
                <w:color w:val="0000FF"/>
                <w:kern w:val="0"/>
                <w:sz w:val="24"/>
              </w:rPr>
              <w:t>，设计堆存高度15m，锥形堆高，5m一个台阶，台阶边坡≤45°，设计堆存容量7095m</w:t>
            </w:r>
            <w:r>
              <w:rPr>
                <w:rFonts w:hint="eastAsia"/>
                <w:color w:val="0000FF"/>
                <w:kern w:val="0"/>
                <w:sz w:val="24"/>
                <w:vertAlign w:val="superscript"/>
              </w:rPr>
              <w:t>3</w:t>
            </w:r>
            <w:r>
              <w:rPr>
                <w:rFonts w:hint="eastAsia"/>
                <w:color w:val="0000FF"/>
                <w:kern w:val="0"/>
                <w:sz w:val="24"/>
              </w:rPr>
              <w:t>，现状已堆存风化废石2500m</w:t>
            </w:r>
            <w:r>
              <w:rPr>
                <w:rFonts w:hint="eastAsia"/>
                <w:color w:val="0000FF"/>
                <w:kern w:val="0"/>
                <w:sz w:val="24"/>
                <w:vertAlign w:val="superscript"/>
              </w:rPr>
              <w:t>3</w:t>
            </w:r>
            <w:r>
              <w:rPr>
                <w:rFonts w:hint="eastAsia"/>
                <w:color w:val="0000FF"/>
                <w:kern w:val="0"/>
                <w:sz w:val="24"/>
              </w:rPr>
              <w:t>，余量4595m</w:t>
            </w:r>
            <w:r>
              <w:rPr>
                <w:rFonts w:hint="eastAsia"/>
                <w:color w:val="0000FF"/>
                <w:kern w:val="0"/>
                <w:sz w:val="24"/>
                <w:vertAlign w:val="superscript"/>
              </w:rPr>
              <w:t>3</w:t>
            </w:r>
            <w:r>
              <w:rPr>
                <w:color w:val="0000FF"/>
                <w:kern w:val="0"/>
                <w:sz w:val="24"/>
              </w:rPr>
              <w:t>。排土场</w:t>
            </w:r>
            <w:r>
              <w:rPr>
                <w:rFonts w:hint="eastAsia"/>
                <w:color w:val="0000FF"/>
                <w:kern w:val="0"/>
                <w:sz w:val="24"/>
              </w:rPr>
              <w:t>南</w:t>
            </w:r>
            <w:r>
              <w:rPr>
                <w:color w:val="0000FF"/>
                <w:kern w:val="0"/>
                <w:sz w:val="24"/>
              </w:rPr>
              <w:t>侧低洼处新设挡墙</w:t>
            </w:r>
            <w:r>
              <w:rPr>
                <w:rFonts w:hint="eastAsia"/>
                <w:color w:val="0000FF"/>
                <w:kern w:val="0"/>
                <w:sz w:val="24"/>
              </w:rPr>
              <w:t>，挡墙高度约5m。</w:t>
            </w:r>
          </w:p>
          <w:p>
            <w:pPr>
              <w:adjustRightInd w:val="0"/>
              <w:snapToGrid w:val="0"/>
              <w:spacing w:line="360" w:lineRule="auto"/>
              <w:ind w:firstLine="482" w:firstLineChars="200"/>
              <w:rPr>
                <w:b/>
                <w:bCs/>
                <w:kern w:val="0"/>
                <w:sz w:val="24"/>
              </w:rPr>
            </w:pPr>
            <w:r>
              <w:rPr>
                <w:rFonts w:hint="eastAsia"/>
                <w:b/>
                <w:bCs/>
                <w:kern w:val="0"/>
                <w:sz w:val="24"/>
              </w:rPr>
              <w:t>（4）</w:t>
            </w:r>
            <w:r>
              <w:rPr>
                <w:b/>
                <w:bCs/>
                <w:kern w:val="0"/>
                <w:sz w:val="24"/>
              </w:rPr>
              <w:t>运输道路</w:t>
            </w:r>
          </w:p>
          <w:p>
            <w:pPr>
              <w:adjustRightInd w:val="0"/>
              <w:snapToGrid w:val="0"/>
              <w:spacing w:line="360" w:lineRule="auto"/>
              <w:ind w:firstLine="480" w:firstLineChars="200"/>
              <w:rPr>
                <w:kern w:val="0"/>
                <w:sz w:val="24"/>
              </w:rPr>
            </w:pPr>
            <w:r>
              <w:rPr>
                <w:rFonts w:hint="eastAsia"/>
                <w:kern w:val="0"/>
                <w:sz w:val="24"/>
              </w:rPr>
              <w:t>卸料口至</w:t>
            </w:r>
            <w:r>
              <w:rPr>
                <w:kern w:val="0"/>
                <w:sz w:val="24"/>
              </w:rPr>
              <w:t>采区</w:t>
            </w:r>
            <w:r>
              <w:rPr>
                <w:rFonts w:hint="eastAsia"/>
                <w:kern w:val="0"/>
                <w:sz w:val="24"/>
              </w:rPr>
              <w:t>、</w:t>
            </w:r>
            <w:r>
              <w:rPr>
                <w:rFonts w:hint="eastAsia"/>
                <w:color w:val="0000FF"/>
                <w:kern w:val="0"/>
                <w:sz w:val="24"/>
              </w:rPr>
              <w:t>排土场、弃渣场</w:t>
            </w:r>
            <w:r>
              <w:rPr>
                <w:rFonts w:hint="eastAsia"/>
                <w:kern w:val="0"/>
                <w:sz w:val="24"/>
              </w:rPr>
              <w:t>建设</w:t>
            </w:r>
            <w:r>
              <w:rPr>
                <w:kern w:val="0"/>
                <w:sz w:val="24"/>
              </w:rPr>
              <w:t>运输道路，路宽约</w:t>
            </w:r>
            <w:r>
              <w:rPr>
                <w:rFonts w:hint="eastAsia"/>
                <w:kern w:val="0"/>
                <w:sz w:val="24"/>
              </w:rPr>
              <w:t>10</w:t>
            </w:r>
            <w:r>
              <w:rPr>
                <w:kern w:val="0"/>
                <w:sz w:val="24"/>
              </w:rPr>
              <w:t>m，长</w:t>
            </w:r>
            <w:r>
              <w:rPr>
                <w:rFonts w:hint="eastAsia"/>
                <w:kern w:val="0"/>
                <w:sz w:val="24"/>
              </w:rPr>
              <w:t>568</w:t>
            </w:r>
            <w:r>
              <w:rPr>
                <w:kern w:val="0"/>
                <w:sz w:val="24"/>
              </w:rPr>
              <w:t>m，其中：</w:t>
            </w:r>
            <w:r>
              <w:rPr>
                <w:rFonts w:hint="eastAsia"/>
                <w:kern w:val="0"/>
                <w:sz w:val="24"/>
              </w:rPr>
              <w:t>62m位于矿区内，修建为</w:t>
            </w:r>
            <w:r>
              <w:rPr>
                <w:kern w:val="0"/>
                <w:sz w:val="24"/>
              </w:rPr>
              <w:t>泥石路；</w:t>
            </w:r>
            <w:r>
              <w:rPr>
                <w:rFonts w:hint="eastAsia"/>
                <w:kern w:val="0"/>
                <w:sz w:val="24"/>
              </w:rPr>
              <w:t>506</w:t>
            </w:r>
            <w:r>
              <w:rPr>
                <w:kern w:val="0"/>
                <w:sz w:val="24"/>
              </w:rPr>
              <w:t>m位于矿界外</w:t>
            </w:r>
            <w:r>
              <w:rPr>
                <w:rFonts w:hint="eastAsia"/>
                <w:kern w:val="0"/>
                <w:sz w:val="24"/>
              </w:rPr>
              <w:t>，修建为水泥路。</w:t>
            </w:r>
            <w:r>
              <w:rPr>
                <w:kern w:val="0"/>
                <w:sz w:val="24"/>
              </w:rPr>
              <w:t>主要用于采区开采毛</w:t>
            </w:r>
            <w:r>
              <w:rPr>
                <w:rFonts w:hint="eastAsia"/>
                <w:kern w:val="0"/>
                <w:sz w:val="24"/>
              </w:rPr>
              <w:t>料及剥离物的转运</w:t>
            </w:r>
            <w:r>
              <w:rPr>
                <w:kern w:val="0"/>
                <w:sz w:val="24"/>
              </w:rPr>
              <w:t>；</w:t>
            </w:r>
            <w:r>
              <w:rPr>
                <w:rFonts w:hint="eastAsia"/>
                <w:kern w:val="0"/>
                <w:sz w:val="24"/>
              </w:rPr>
              <w:t>工业广场西侧紧邻村道，路宽约6m，水泥路，沿该村道西行256m可与S525省道相接，可用于成品的外运及人员进场</w:t>
            </w:r>
            <w:r>
              <w:rPr>
                <w:kern w:val="0"/>
                <w:sz w:val="24"/>
              </w:rPr>
              <w:t>。</w:t>
            </w:r>
          </w:p>
          <w:p>
            <w:pPr>
              <w:adjustRightInd w:val="0"/>
              <w:snapToGrid w:val="0"/>
              <w:spacing w:line="360" w:lineRule="auto"/>
              <w:ind w:firstLine="480" w:firstLineChars="200"/>
              <w:rPr>
                <w:kern w:val="0"/>
                <w:sz w:val="24"/>
              </w:rPr>
            </w:pPr>
            <w:r>
              <w:rPr>
                <w:kern w:val="0"/>
                <w:sz w:val="24"/>
              </w:rPr>
              <w:t>综上，拟建项目各生产单元分块设置，通过场内运输通道有机连接，交通便利，布局合理。</w:t>
            </w:r>
          </w:p>
          <w:p>
            <w:pPr>
              <w:adjustRightInd w:val="0"/>
              <w:snapToGrid w:val="0"/>
              <w:spacing w:line="360" w:lineRule="auto"/>
              <w:ind w:firstLine="562" w:firstLineChars="200"/>
              <w:rPr>
                <w:b/>
                <w:kern w:val="0"/>
                <w:sz w:val="28"/>
                <w:szCs w:val="28"/>
              </w:rPr>
            </w:pPr>
            <w:r>
              <w:rPr>
                <w:b/>
                <w:kern w:val="0"/>
                <w:sz w:val="28"/>
                <w:szCs w:val="28"/>
              </w:rPr>
              <w:t>2.4、拟建项目施工布置情况简述</w:t>
            </w:r>
          </w:p>
          <w:p>
            <w:pPr>
              <w:adjustRightInd w:val="0"/>
              <w:snapToGrid w:val="0"/>
              <w:spacing w:line="360" w:lineRule="auto"/>
              <w:ind w:firstLine="480" w:firstLineChars="200"/>
              <w:rPr>
                <w:kern w:val="0"/>
                <w:sz w:val="24"/>
              </w:rPr>
            </w:pPr>
            <w:r>
              <w:rPr>
                <w:rFonts w:hint="eastAsia"/>
                <w:kern w:val="0"/>
                <w:sz w:val="24"/>
              </w:rPr>
              <w:t>施工期间</w:t>
            </w:r>
            <w:r>
              <w:rPr>
                <w:rFonts w:hint="eastAsia" w:ascii="宋体" w:hAnsi="宋体" w:cs="宋体"/>
                <w:kern w:val="0"/>
                <w:sz w:val="24"/>
              </w:rPr>
              <w:t>截排水沟及雨水沉淀池的修建、</w:t>
            </w:r>
            <w:r>
              <w:rPr>
                <w:rFonts w:hint="eastAsia"/>
                <w:sz w:val="24"/>
              </w:rPr>
              <w:t>厂房搭建</w:t>
            </w:r>
            <w:r>
              <w:rPr>
                <w:rFonts w:hint="eastAsia" w:ascii="宋体" w:hAnsi="宋体" w:cs="宋体"/>
                <w:kern w:val="0"/>
                <w:sz w:val="24"/>
              </w:rPr>
              <w:t>、场内</w:t>
            </w:r>
            <w:r>
              <w:rPr>
                <w:rFonts w:hint="eastAsia"/>
                <w:sz w:val="24"/>
              </w:rPr>
              <w:t>运输道路的开拓、首采面的剥顶、恢复治理区迹地修复、覆盖仿真绿叶网，均为建设单位自行施工，施工人员15人，均不在厂区食宿，将办公楼直接作为施工期间的施工营地，无需另行修建施工营地；设备安装由厂家自行送货安装，且安装时间极短（约3天），厂区不提供食宿。</w:t>
            </w:r>
          </w:p>
          <w:p>
            <w:pPr>
              <w:adjustRightInd w:val="0"/>
              <w:snapToGrid w:val="0"/>
              <w:spacing w:line="360" w:lineRule="auto"/>
              <w:ind w:firstLine="480" w:firstLineChars="200"/>
              <w:rPr>
                <w:kern w:val="0"/>
                <w:sz w:val="24"/>
              </w:rPr>
            </w:pPr>
            <w:r>
              <w:rPr>
                <w:rFonts w:hint="eastAsia"/>
                <w:kern w:val="0"/>
                <w:sz w:val="24"/>
              </w:rPr>
              <w:t>拟建</w:t>
            </w:r>
            <w:r>
              <w:rPr>
                <w:kern w:val="0"/>
                <w:sz w:val="24"/>
              </w:rPr>
              <w:t>项目</w:t>
            </w:r>
            <w:r>
              <w:rPr>
                <w:rFonts w:hint="eastAsia"/>
                <w:kern w:val="0"/>
                <w:sz w:val="24"/>
              </w:rPr>
              <w:t>无大型土建工程施工，无需使用混凝土。</w:t>
            </w:r>
          </w:p>
          <w:p>
            <w:pPr>
              <w:adjustRightInd w:val="0"/>
              <w:snapToGrid w:val="0"/>
              <w:spacing w:line="360" w:lineRule="auto"/>
              <w:ind w:firstLine="480" w:firstLineChars="200"/>
              <w:rPr>
                <w:kern w:val="0"/>
                <w:sz w:val="24"/>
              </w:rPr>
            </w:pPr>
            <w:r>
              <w:rPr>
                <w:rFonts w:hint="eastAsia"/>
                <w:kern w:val="0"/>
                <w:sz w:val="24"/>
              </w:rPr>
              <w:t>拟建</w:t>
            </w:r>
            <w:r>
              <w:rPr>
                <w:kern w:val="0"/>
                <w:sz w:val="24"/>
              </w:rPr>
              <w:t>项目</w:t>
            </w:r>
            <w:r>
              <w:rPr>
                <w:rFonts w:hint="eastAsia"/>
                <w:kern w:val="0"/>
                <w:sz w:val="24"/>
              </w:rPr>
              <w:t>修建的场内外运输道路即作为</w:t>
            </w:r>
            <w:r>
              <w:rPr>
                <w:kern w:val="0"/>
                <w:sz w:val="24"/>
              </w:rPr>
              <w:t>施工期间</w:t>
            </w:r>
            <w:r>
              <w:rPr>
                <w:rFonts w:hint="eastAsia"/>
                <w:kern w:val="0"/>
                <w:sz w:val="24"/>
              </w:rPr>
              <w:t>的</w:t>
            </w:r>
            <w:r>
              <w:rPr>
                <w:kern w:val="0"/>
                <w:sz w:val="24"/>
              </w:rPr>
              <w:t>施工便道</w:t>
            </w:r>
            <w:r>
              <w:rPr>
                <w:rFonts w:hint="eastAsia"/>
                <w:kern w:val="0"/>
                <w:sz w:val="24"/>
              </w:rPr>
              <w:t>，无需新设便道</w:t>
            </w:r>
            <w:r>
              <w:rPr>
                <w:kern w:val="0"/>
                <w:sz w:val="24"/>
              </w:rPr>
              <w:t>。</w:t>
            </w:r>
          </w:p>
          <w:p>
            <w:pPr>
              <w:adjustRightInd w:val="0"/>
              <w:snapToGrid w:val="0"/>
              <w:spacing w:line="360" w:lineRule="auto"/>
              <w:ind w:firstLine="480" w:firstLineChars="200"/>
              <w:rPr>
                <w:b/>
                <w:kern w:val="0"/>
                <w:sz w:val="24"/>
              </w:rPr>
            </w:pPr>
            <w:r>
              <w:rPr>
                <w:rFonts w:hint="eastAsia"/>
                <w:kern w:val="0"/>
                <w:sz w:val="24"/>
              </w:rPr>
              <w:t>项目水泥、钢材等施工原料均在酉阳县城购买，项目施工简单，钢材、木材等材料加工依靠外委完成，施工场地内不再建设预制场。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29" w:hRule="atLeast"/>
          <w:jc w:val="center"/>
        </w:trPr>
        <w:tc>
          <w:tcPr>
            <w:tcW w:w="521" w:type="dxa"/>
            <w:vAlign w:val="center"/>
          </w:tcPr>
          <w:p>
            <w:pPr>
              <w:adjustRightInd w:val="0"/>
              <w:snapToGrid w:val="0"/>
              <w:jc w:val="center"/>
              <w:rPr>
                <w:kern w:val="0"/>
                <w:sz w:val="24"/>
              </w:rPr>
            </w:pPr>
            <w:r>
              <w:br w:type="page"/>
            </w:r>
            <w:r>
              <w:rPr>
                <w:kern w:val="0"/>
                <w:sz w:val="24"/>
              </w:rPr>
              <w:t>施工方案</w:t>
            </w:r>
          </w:p>
        </w:tc>
        <w:tc>
          <w:tcPr>
            <w:tcW w:w="9205" w:type="dxa"/>
          </w:tcPr>
          <w:p>
            <w:pPr>
              <w:adjustRightInd w:val="0"/>
              <w:snapToGrid w:val="0"/>
              <w:spacing w:line="360" w:lineRule="auto"/>
              <w:ind w:firstLine="562" w:firstLineChars="200"/>
              <w:rPr>
                <w:b/>
                <w:kern w:val="0"/>
                <w:sz w:val="28"/>
                <w:szCs w:val="28"/>
              </w:rPr>
            </w:pPr>
            <w:r>
              <w:rPr>
                <w:b/>
                <w:kern w:val="0"/>
                <w:sz w:val="28"/>
                <w:szCs w:val="28"/>
              </w:rPr>
              <w:t>2.5、施工期建设内容</w:t>
            </w:r>
          </w:p>
          <w:p>
            <w:pPr>
              <w:adjustRightInd w:val="0"/>
              <w:snapToGrid w:val="0"/>
              <w:spacing w:line="360" w:lineRule="auto"/>
              <w:ind w:firstLine="480" w:firstLineChars="200"/>
              <w:rPr>
                <w:kern w:val="0"/>
                <w:sz w:val="24"/>
              </w:rPr>
            </w:pPr>
            <w:r>
              <w:rPr>
                <w:kern w:val="0"/>
                <w:sz w:val="24"/>
              </w:rPr>
              <w:t>采区的主要工程量为</w:t>
            </w:r>
            <w:r>
              <w:rPr>
                <w:rFonts w:hint="eastAsia"/>
                <w:kern w:val="0"/>
                <w:sz w:val="24"/>
              </w:rPr>
              <w:t>场内</w:t>
            </w:r>
            <w:r>
              <w:rPr>
                <w:kern w:val="0"/>
                <w:sz w:val="24"/>
              </w:rPr>
              <w:t>运输道路</w:t>
            </w:r>
            <w:r>
              <w:rPr>
                <w:rFonts w:hint="eastAsia"/>
                <w:kern w:val="0"/>
                <w:sz w:val="24"/>
              </w:rPr>
              <w:t>开拓</w:t>
            </w:r>
            <w:r>
              <w:rPr>
                <w:kern w:val="0"/>
                <w:sz w:val="24"/>
              </w:rPr>
              <w:t>、</w:t>
            </w:r>
            <w:r>
              <w:rPr>
                <w:rFonts w:hint="eastAsia"/>
                <w:kern w:val="0"/>
                <w:sz w:val="24"/>
              </w:rPr>
              <w:t>首采面剥顶形成工作面</w:t>
            </w:r>
            <w:r>
              <w:rPr>
                <w:kern w:val="0"/>
                <w:sz w:val="24"/>
              </w:rPr>
              <w:t>、截排水沟的建设</w:t>
            </w:r>
            <w:r>
              <w:rPr>
                <w:rFonts w:hint="eastAsia"/>
                <w:kern w:val="0"/>
                <w:sz w:val="24"/>
              </w:rPr>
              <w:t>、覆盖仿真绿叶网</w:t>
            </w:r>
            <w:r>
              <w:rPr>
                <w:kern w:val="0"/>
                <w:sz w:val="24"/>
              </w:rPr>
              <w:t>；</w:t>
            </w:r>
          </w:p>
          <w:p>
            <w:pPr>
              <w:adjustRightInd w:val="0"/>
              <w:snapToGrid w:val="0"/>
              <w:spacing w:line="360" w:lineRule="auto"/>
              <w:ind w:firstLine="480" w:firstLineChars="200"/>
              <w:rPr>
                <w:kern w:val="0"/>
                <w:sz w:val="24"/>
              </w:rPr>
            </w:pPr>
            <w:r>
              <w:rPr>
                <w:kern w:val="0"/>
                <w:sz w:val="24"/>
              </w:rPr>
              <w:t>工业广场的主要工程量为厂房搭建、各类设备的安装</w:t>
            </w:r>
            <w:r>
              <w:rPr>
                <w:rFonts w:hint="eastAsia"/>
                <w:kern w:val="0"/>
                <w:sz w:val="24"/>
              </w:rPr>
              <w:t>升级、道路硬化、</w:t>
            </w:r>
            <w:r>
              <w:rPr>
                <w:kern w:val="0"/>
                <w:sz w:val="24"/>
              </w:rPr>
              <w:t>截排水沟</w:t>
            </w:r>
            <w:r>
              <w:rPr>
                <w:rFonts w:hint="eastAsia"/>
                <w:kern w:val="0"/>
                <w:sz w:val="24"/>
              </w:rPr>
              <w:t>及雨水沉淀池</w:t>
            </w:r>
            <w:r>
              <w:rPr>
                <w:kern w:val="0"/>
                <w:sz w:val="24"/>
              </w:rPr>
              <w:t>的建设。</w:t>
            </w:r>
          </w:p>
          <w:p>
            <w:pPr>
              <w:adjustRightInd w:val="0"/>
              <w:snapToGrid w:val="0"/>
              <w:spacing w:line="360" w:lineRule="auto"/>
              <w:ind w:firstLine="480" w:firstLineChars="200"/>
              <w:rPr>
                <w:kern w:val="0"/>
                <w:sz w:val="24"/>
              </w:rPr>
            </w:pPr>
            <w:r>
              <w:rPr>
                <w:rFonts w:hint="eastAsia"/>
                <w:sz w:val="24"/>
              </w:rPr>
              <w:t>恢复治理区的</w:t>
            </w:r>
            <w:r>
              <w:rPr>
                <w:kern w:val="0"/>
                <w:sz w:val="24"/>
              </w:rPr>
              <w:t>要工程量为</w:t>
            </w:r>
            <w:r>
              <w:rPr>
                <w:rFonts w:hint="eastAsia"/>
                <w:sz w:val="24"/>
              </w:rPr>
              <w:t>浮石清理，</w:t>
            </w:r>
            <w:r>
              <w:rPr>
                <w:rFonts w:hint="eastAsia"/>
                <w:kern w:val="0"/>
                <w:sz w:val="24"/>
              </w:rPr>
              <w:t>基岩区域覆土复绿，其他区域直接复绿。</w:t>
            </w:r>
          </w:p>
          <w:p>
            <w:pPr>
              <w:adjustRightInd w:val="0"/>
              <w:snapToGrid w:val="0"/>
              <w:spacing w:line="360" w:lineRule="auto"/>
              <w:ind w:firstLine="562" w:firstLineChars="200"/>
              <w:rPr>
                <w:b/>
                <w:kern w:val="0"/>
                <w:sz w:val="28"/>
                <w:szCs w:val="28"/>
              </w:rPr>
            </w:pPr>
            <w:r>
              <w:rPr>
                <w:b/>
                <w:kern w:val="0"/>
                <w:sz w:val="28"/>
                <w:szCs w:val="28"/>
              </w:rPr>
              <w:t>2.6、施工工艺</w:t>
            </w:r>
          </w:p>
          <w:p>
            <w:pPr>
              <w:adjustRightInd w:val="0"/>
              <w:snapToGrid w:val="0"/>
              <w:spacing w:line="360" w:lineRule="auto"/>
              <w:ind w:firstLine="480" w:firstLineChars="200"/>
              <w:rPr>
                <w:kern w:val="0"/>
                <w:sz w:val="24"/>
              </w:rPr>
            </w:pPr>
            <w:r>
              <w:rPr>
                <w:kern w:val="0"/>
                <w:sz w:val="24"/>
              </w:rPr>
              <w:t>其施工期主要施工工艺见图2-</w:t>
            </w:r>
            <w:r>
              <w:rPr>
                <w:rFonts w:hint="eastAsia"/>
                <w:kern w:val="0"/>
                <w:sz w:val="24"/>
              </w:rPr>
              <w:t>4</w:t>
            </w:r>
            <w:r>
              <w:rPr>
                <w:kern w:val="0"/>
                <w:sz w:val="24"/>
              </w:rPr>
              <w:t>。</w:t>
            </w:r>
          </w:p>
          <w:p>
            <w:pPr>
              <w:adjustRightInd w:val="0"/>
              <w:snapToGrid w:val="0"/>
              <w:spacing w:line="360" w:lineRule="auto"/>
              <w:jc w:val="center"/>
              <w:rPr>
                <w:kern w:val="0"/>
                <w:sz w:val="24"/>
              </w:rPr>
            </w:pPr>
            <w:r>
              <w:rPr>
                <w:rFonts w:hint="eastAsia"/>
              </w:rPr>
              <w:object>
                <v:shape id="_x0000_i1027" o:spt="75" type="#_x0000_t75" style="height:24.2pt;width:449.2pt;" o:ole="t" filled="f" o:preferrelative="t" stroked="f" coordsize="21600,21600">
                  <v:path/>
                  <v:fill on="f" focussize="0,0"/>
                  <v:stroke on="f" joinstyle="miter"/>
                  <v:imagedata r:id="rId17" o:title=""/>
                  <o:lock v:ext="edit" aspectratio="t"/>
                  <w10:wrap type="none"/>
                  <w10:anchorlock/>
                </v:shape>
                <o:OLEObject Type="Embed" ProgID="Visio.Drawing.15" ShapeID="_x0000_i1027" DrawAspect="Content" ObjectID="_1468075727" r:id="rId16">
                  <o:LockedField>false</o:LockedField>
                </o:OLEObject>
              </w:object>
            </w:r>
          </w:p>
          <w:p>
            <w:pPr>
              <w:adjustRightInd w:val="0"/>
              <w:snapToGrid w:val="0"/>
              <w:spacing w:line="360" w:lineRule="auto"/>
              <w:jc w:val="center"/>
              <w:rPr>
                <w:b/>
                <w:kern w:val="0"/>
                <w:sz w:val="24"/>
              </w:rPr>
            </w:pPr>
            <w:r>
              <w:rPr>
                <w:b/>
                <w:kern w:val="0"/>
                <w:sz w:val="24"/>
              </w:rPr>
              <w:t>图2-</w:t>
            </w:r>
            <w:r>
              <w:rPr>
                <w:rFonts w:hint="eastAsia"/>
                <w:b/>
                <w:kern w:val="0"/>
                <w:sz w:val="24"/>
              </w:rPr>
              <w:t>4</w:t>
            </w:r>
            <w:r>
              <w:rPr>
                <w:b/>
                <w:kern w:val="0"/>
                <w:sz w:val="24"/>
              </w:rPr>
              <w:t xml:space="preserve">  施工期主要</w:t>
            </w:r>
            <w:r>
              <w:rPr>
                <w:rFonts w:hint="eastAsia"/>
                <w:b/>
                <w:kern w:val="0"/>
                <w:sz w:val="24"/>
              </w:rPr>
              <w:t>施工</w:t>
            </w:r>
            <w:r>
              <w:rPr>
                <w:b/>
                <w:kern w:val="0"/>
                <w:sz w:val="24"/>
              </w:rPr>
              <w:t>流程图</w:t>
            </w:r>
          </w:p>
          <w:p>
            <w:pPr>
              <w:adjustRightInd w:val="0"/>
              <w:snapToGrid w:val="0"/>
              <w:spacing w:line="360" w:lineRule="auto"/>
              <w:ind w:firstLine="562" w:firstLineChars="200"/>
              <w:rPr>
                <w:b/>
                <w:kern w:val="0"/>
                <w:sz w:val="28"/>
                <w:szCs w:val="28"/>
              </w:rPr>
            </w:pPr>
            <w:r>
              <w:rPr>
                <w:b/>
                <w:kern w:val="0"/>
                <w:sz w:val="28"/>
                <w:szCs w:val="28"/>
              </w:rPr>
              <w:t>2.7、施工时序</w:t>
            </w:r>
          </w:p>
          <w:p>
            <w:pPr>
              <w:adjustRightInd w:val="0"/>
              <w:snapToGrid w:val="0"/>
              <w:spacing w:line="360" w:lineRule="auto"/>
              <w:ind w:firstLine="480" w:firstLineChars="200"/>
              <w:rPr>
                <w:rFonts w:hint="eastAsia" w:ascii="宋体" w:hAnsi="宋体" w:cs="宋体"/>
                <w:kern w:val="0"/>
                <w:sz w:val="24"/>
              </w:rPr>
            </w:pPr>
            <w:r>
              <w:rPr>
                <w:rFonts w:hint="eastAsia" w:ascii="宋体" w:hAnsi="宋体" w:cs="宋体"/>
                <w:kern w:val="0"/>
                <w:sz w:val="24"/>
              </w:rPr>
              <w:t>①</w:t>
            </w:r>
            <w:r>
              <w:rPr>
                <w:rFonts w:hint="eastAsia"/>
                <w:kern w:val="0"/>
                <w:sz w:val="24"/>
              </w:rPr>
              <w:t>场内运输道路进行开拓，矿外道路进行硬化，同时进行</w:t>
            </w:r>
            <w:r>
              <w:rPr>
                <w:rFonts w:hint="eastAsia" w:ascii="宋体" w:hAnsi="宋体" w:cs="宋体"/>
                <w:kern w:val="0"/>
                <w:sz w:val="24"/>
              </w:rPr>
              <w:t>截排水沟及雨水沉淀池的修建、</w:t>
            </w:r>
            <w:r>
              <w:rPr>
                <w:rFonts w:hint="eastAsia"/>
                <w:kern w:val="0"/>
                <w:sz w:val="24"/>
              </w:rPr>
              <w:t>仿真绿叶网的覆盖</w:t>
            </w:r>
            <w:r>
              <w:rPr>
                <w:rFonts w:hint="eastAsia" w:ascii="宋体" w:hAnsi="宋体" w:cs="宋体"/>
                <w:kern w:val="0"/>
                <w:sz w:val="24"/>
              </w:rPr>
              <w:t>；</w:t>
            </w:r>
          </w:p>
          <w:p>
            <w:pPr>
              <w:adjustRightInd w:val="0"/>
              <w:snapToGrid w:val="0"/>
              <w:spacing w:line="360" w:lineRule="auto"/>
              <w:ind w:firstLine="480" w:firstLineChars="200"/>
              <w:rPr>
                <w:kern w:val="0"/>
                <w:sz w:val="24"/>
              </w:rPr>
            </w:pPr>
            <w:r>
              <w:rPr>
                <w:rFonts w:hint="eastAsia"/>
                <w:kern w:val="0"/>
                <w:sz w:val="24"/>
              </w:rPr>
              <w:t>②</w:t>
            </w:r>
            <w:r>
              <w:rPr>
                <w:rFonts w:hint="eastAsia" w:ascii="宋体" w:hAnsi="宋体" w:cs="宋体"/>
                <w:kern w:val="0"/>
                <w:sz w:val="24"/>
              </w:rPr>
              <w:t>工业广场设备安装、厂房搭建；</w:t>
            </w:r>
          </w:p>
          <w:p>
            <w:pPr>
              <w:adjustRightInd w:val="0"/>
              <w:snapToGrid w:val="0"/>
              <w:spacing w:line="360" w:lineRule="auto"/>
              <w:ind w:firstLine="480" w:firstLineChars="200"/>
              <w:rPr>
                <w:kern w:val="0"/>
                <w:sz w:val="24"/>
              </w:rPr>
            </w:pPr>
            <w:r>
              <w:rPr>
                <w:rFonts w:hint="eastAsia"/>
                <w:kern w:val="0"/>
                <w:sz w:val="24"/>
              </w:rPr>
              <w:t>③采区首采面的剥顶形成工作面。</w:t>
            </w:r>
          </w:p>
          <w:p>
            <w:pPr>
              <w:adjustRightInd w:val="0"/>
              <w:snapToGrid w:val="0"/>
              <w:spacing w:line="360" w:lineRule="auto"/>
              <w:ind w:firstLine="480" w:firstLineChars="200"/>
              <w:rPr>
                <w:kern w:val="0"/>
                <w:sz w:val="24"/>
              </w:rPr>
            </w:pPr>
            <w:r>
              <w:rPr>
                <w:rFonts w:hint="eastAsia"/>
                <w:kern w:val="0"/>
                <w:sz w:val="24"/>
              </w:rPr>
              <w:t>④</w:t>
            </w:r>
            <w:r>
              <w:rPr>
                <w:rFonts w:hint="eastAsia"/>
                <w:sz w:val="24"/>
              </w:rPr>
              <w:t>恢复治理区完成迹地修复。</w:t>
            </w:r>
          </w:p>
          <w:p>
            <w:pPr>
              <w:adjustRightInd w:val="0"/>
              <w:snapToGrid w:val="0"/>
              <w:spacing w:line="360" w:lineRule="auto"/>
              <w:ind w:firstLine="562" w:firstLineChars="200"/>
              <w:rPr>
                <w:b/>
                <w:kern w:val="0"/>
                <w:sz w:val="28"/>
                <w:szCs w:val="28"/>
              </w:rPr>
            </w:pPr>
            <w:r>
              <w:rPr>
                <w:b/>
                <w:kern w:val="0"/>
                <w:sz w:val="28"/>
                <w:szCs w:val="28"/>
              </w:rPr>
              <w:t>2.8、建设周期</w:t>
            </w:r>
          </w:p>
          <w:p>
            <w:pPr>
              <w:adjustRightInd w:val="0"/>
              <w:snapToGrid w:val="0"/>
              <w:spacing w:line="360" w:lineRule="auto"/>
              <w:ind w:firstLine="480" w:firstLineChars="200"/>
              <w:rPr>
                <w:kern w:val="0"/>
                <w:sz w:val="24"/>
              </w:rPr>
            </w:pPr>
            <w:r>
              <w:rPr>
                <w:kern w:val="0"/>
                <w:sz w:val="24"/>
              </w:rPr>
              <w:t>拟建工程计划于202</w:t>
            </w:r>
            <w:r>
              <w:rPr>
                <w:rFonts w:hint="eastAsia"/>
                <w:kern w:val="0"/>
                <w:sz w:val="24"/>
              </w:rPr>
              <w:t>5</w:t>
            </w:r>
            <w:r>
              <w:rPr>
                <w:kern w:val="0"/>
                <w:sz w:val="24"/>
              </w:rPr>
              <w:t>年</w:t>
            </w:r>
            <w:r>
              <w:rPr>
                <w:rFonts w:hint="eastAsia"/>
                <w:color w:val="0000FF"/>
                <w:kern w:val="0"/>
                <w:sz w:val="24"/>
              </w:rPr>
              <w:t>11</w:t>
            </w:r>
            <w:r>
              <w:rPr>
                <w:color w:val="0000FF"/>
                <w:kern w:val="0"/>
                <w:sz w:val="24"/>
              </w:rPr>
              <w:t>月1日</w:t>
            </w:r>
            <w:r>
              <w:rPr>
                <w:kern w:val="0"/>
                <w:sz w:val="24"/>
              </w:rPr>
              <w:t>开始施工，202</w:t>
            </w:r>
            <w:r>
              <w:rPr>
                <w:rFonts w:hint="eastAsia"/>
                <w:kern w:val="0"/>
                <w:sz w:val="24"/>
              </w:rPr>
              <w:t>6</w:t>
            </w:r>
            <w:r>
              <w:rPr>
                <w:kern w:val="0"/>
                <w:sz w:val="24"/>
              </w:rPr>
              <w:t>年</w:t>
            </w:r>
            <w:r>
              <w:rPr>
                <w:rFonts w:hint="eastAsia"/>
                <w:color w:val="0000FF"/>
                <w:kern w:val="0"/>
                <w:sz w:val="24"/>
              </w:rPr>
              <w:t>4</w:t>
            </w:r>
            <w:r>
              <w:rPr>
                <w:color w:val="0000FF"/>
                <w:kern w:val="0"/>
                <w:sz w:val="24"/>
              </w:rPr>
              <w:t>月</w:t>
            </w:r>
            <w:r>
              <w:rPr>
                <w:rFonts w:hint="eastAsia"/>
                <w:color w:val="0000FF"/>
                <w:kern w:val="0"/>
                <w:sz w:val="24"/>
              </w:rPr>
              <w:t>30</w:t>
            </w:r>
            <w:r>
              <w:rPr>
                <w:color w:val="0000FF"/>
                <w:kern w:val="0"/>
                <w:sz w:val="24"/>
              </w:rPr>
              <w:t>日</w:t>
            </w:r>
            <w:r>
              <w:rPr>
                <w:kern w:val="0"/>
                <w:sz w:val="24"/>
              </w:rPr>
              <w:t>完工，建设周期预计为</w:t>
            </w:r>
            <w:r>
              <w:rPr>
                <w:rFonts w:hint="eastAsia"/>
                <w:kern w:val="0"/>
                <w:sz w:val="24"/>
              </w:rPr>
              <w:t>6</w:t>
            </w:r>
            <w:r>
              <w:rPr>
                <w:kern w:val="0"/>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75" w:hRule="atLeast"/>
          <w:jc w:val="center"/>
        </w:trPr>
        <w:tc>
          <w:tcPr>
            <w:tcW w:w="521" w:type="dxa"/>
            <w:vAlign w:val="center"/>
          </w:tcPr>
          <w:p>
            <w:pPr>
              <w:adjustRightInd w:val="0"/>
              <w:snapToGrid w:val="0"/>
              <w:rPr>
                <w:kern w:val="0"/>
                <w:sz w:val="24"/>
              </w:rPr>
            </w:pPr>
            <w:r>
              <w:rPr>
                <w:kern w:val="0"/>
                <w:sz w:val="24"/>
              </w:rPr>
              <w:t>其他</w:t>
            </w:r>
          </w:p>
        </w:tc>
        <w:tc>
          <w:tcPr>
            <w:tcW w:w="9205" w:type="dxa"/>
            <w:vAlign w:val="center"/>
          </w:tcPr>
          <w:p>
            <w:pPr>
              <w:adjustRightInd w:val="0"/>
              <w:snapToGrid w:val="0"/>
              <w:spacing w:line="360" w:lineRule="auto"/>
              <w:ind w:firstLine="480" w:firstLineChars="200"/>
              <w:rPr>
                <w:kern w:val="0"/>
                <w:sz w:val="24"/>
              </w:rPr>
            </w:pPr>
            <w:r>
              <w:rPr>
                <w:kern w:val="0"/>
                <w:sz w:val="24"/>
              </w:rPr>
              <w:t>无。</w:t>
            </w:r>
          </w:p>
        </w:tc>
      </w:tr>
    </w:tbl>
    <w:p>
      <w:pPr>
        <w:pStyle w:val="13"/>
        <w:jc w:val="center"/>
        <w:outlineLvl w:val="0"/>
        <w:rPr>
          <w:rFonts w:ascii="Times New Roman" w:hAnsi="Times New Roman" w:eastAsia="黑体"/>
          <w:snapToGrid w:val="0"/>
          <w:sz w:val="30"/>
          <w:szCs w:val="30"/>
        </w:rPr>
      </w:pPr>
      <w:r>
        <w:rPr>
          <w:rFonts w:ascii="Times New Roman" w:hAnsi="Times New Roman" w:eastAsia="仿宋_GB2312"/>
          <w:b/>
          <w:bCs/>
        </w:rPr>
        <w:br w:type="page"/>
      </w:r>
      <w:r>
        <w:rPr>
          <w:rFonts w:ascii="Times New Roman" w:hAnsi="Times New Roman" w:eastAsia="黑体"/>
          <w:snapToGrid w:val="0"/>
          <w:sz w:val="30"/>
          <w:szCs w:val="30"/>
        </w:rPr>
        <w:t>三、生态环境现状、保护目标及评价标准</w:t>
      </w: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4"/>
        <w:gridCol w:w="92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596" w:hRule="atLeast"/>
          <w:jc w:val="center"/>
        </w:trPr>
        <w:tc>
          <w:tcPr>
            <w:tcW w:w="484" w:type="dxa"/>
            <w:vAlign w:val="center"/>
          </w:tcPr>
          <w:p>
            <w:pPr>
              <w:adjustRightInd w:val="0"/>
              <w:snapToGrid w:val="0"/>
              <w:jc w:val="center"/>
              <w:rPr>
                <w:kern w:val="0"/>
                <w:sz w:val="24"/>
              </w:rPr>
            </w:pPr>
            <w:r>
              <w:rPr>
                <w:kern w:val="0"/>
                <w:sz w:val="24"/>
              </w:rPr>
              <w:t>生态环境现状</w:t>
            </w:r>
          </w:p>
        </w:tc>
        <w:tc>
          <w:tcPr>
            <w:tcW w:w="9242" w:type="dxa"/>
          </w:tcPr>
          <w:p>
            <w:pPr>
              <w:adjustRightInd w:val="0"/>
              <w:snapToGrid w:val="0"/>
              <w:spacing w:line="360" w:lineRule="auto"/>
              <w:ind w:firstLine="562" w:firstLineChars="200"/>
              <w:rPr>
                <w:b/>
                <w:kern w:val="0"/>
                <w:sz w:val="28"/>
                <w:szCs w:val="28"/>
              </w:rPr>
            </w:pPr>
            <w:r>
              <w:rPr>
                <w:b/>
                <w:kern w:val="0"/>
                <w:sz w:val="28"/>
                <w:szCs w:val="28"/>
              </w:rPr>
              <w:t>3.1、生态环境质量现状</w:t>
            </w:r>
          </w:p>
          <w:p>
            <w:pPr>
              <w:adjustRightInd w:val="0"/>
              <w:snapToGrid w:val="0"/>
              <w:spacing w:line="360" w:lineRule="auto"/>
              <w:ind w:firstLine="482" w:firstLineChars="200"/>
              <w:rPr>
                <w:b/>
                <w:kern w:val="0"/>
                <w:sz w:val="24"/>
              </w:rPr>
            </w:pPr>
            <w:r>
              <w:rPr>
                <w:b/>
                <w:kern w:val="0"/>
                <w:sz w:val="24"/>
              </w:rPr>
              <w:t>（1）酉阳土家族苗族自治县生态环境质量现状</w:t>
            </w:r>
          </w:p>
          <w:p>
            <w:pPr>
              <w:adjustRightInd w:val="0"/>
              <w:snapToGrid w:val="0"/>
              <w:spacing w:line="360" w:lineRule="auto"/>
              <w:ind w:firstLine="482" w:firstLineChars="200"/>
              <w:rPr>
                <w:b/>
                <w:kern w:val="0"/>
                <w:sz w:val="24"/>
              </w:rPr>
            </w:pPr>
            <w:r>
              <w:rPr>
                <w:b/>
                <w:kern w:val="0"/>
                <w:sz w:val="24"/>
              </w:rPr>
              <w:t>1）主体功能区划及生态功能区划情况</w:t>
            </w:r>
          </w:p>
          <w:p>
            <w:pPr>
              <w:adjustRightInd w:val="0"/>
              <w:snapToGrid w:val="0"/>
              <w:spacing w:line="360" w:lineRule="auto"/>
              <w:ind w:firstLine="480" w:firstLineChars="200"/>
              <w:rPr>
                <w:kern w:val="0"/>
                <w:sz w:val="24"/>
              </w:rPr>
            </w:pPr>
            <w:r>
              <w:rPr>
                <w:rFonts w:hint="eastAsia" w:ascii="宋体" w:hAnsi="宋体" w:cs="宋体"/>
                <w:kern w:val="0"/>
                <w:sz w:val="24"/>
              </w:rPr>
              <w:t>①</w:t>
            </w:r>
            <w:r>
              <w:rPr>
                <w:kern w:val="0"/>
                <w:sz w:val="24"/>
              </w:rPr>
              <w:t>主体功能区划</w:t>
            </w:r>
          </w:p>
          <w:p>
            <w:pPr>
              <w:adjustRightInd w:val="0"/>
              <w:snapToGrid w:val="0"/>
              <w:spacing w:line="360" w:lineRule="auto"/>
              <w:ind w:firstLine="480" w:firstLineChars="200"/>
              <w:rPr>
                <w:kern w:val="0"/>
                <w:sz w:val="24"/>
              </w:rPr>
            </w:pPr>
            <w:r>
              <w:rPr>
                <w:kern w:val="0"/>
                <w:sz w:val="24"/>
              </w:rPr>
              <w:t>根据《全国主体功能区规划》（国发〔2010〕46号），国家重点生态功能区（限制开发区域）包括大小兴安岭森林生态功能区等25个地区，其中，酉阳县地处</w:t>
            </w:r>
            <w:r>
              <w:rPr>
                <w:rFonts w:hint="eastAsia"/>
                <w:kern w:val="0"/>
                <w:sz w:val="24"/>
              </w:rPr>
              <w:t>武陵山区生物多样性与水土保持生态功能区</w:t>
            </w:r>
            <w:r>
              <w:rPr>
                <w:kern w:val="0"/>
                <w:sz w:val="24"/>
              </w:rPr>
              <w:t>。</w:t>
            </w:r>
          </w:p>
          <w:p>
            <w:pPr>
              <w:adjustRightInd w:val="0"/>
              <w:snapToGrid w:val="0"/>
              <w:spacing w:line="360" w:lineRule="auto"/>
              <w:jc w:val="center"/>
              <w:rPr>
                <w:kern w:val="0"/>
                <w:sz w:val="24"/>
              </w:rPr>
            </w:pPr>
            <w:r>
              <w:rPr>
                <w:rFonts w:eastAsia="仿宋"/>
              </w:rPr>
              <mc:AlternateContent>
                <mc:Choice Requires="wps">
                  <w:drawing>
                    <wp:anchor distT="0" distB="0" distL="114300" distR="114300" simplePos="0" relativeHeight="251659264" behindDoc="0" locked="0" layoutInCell="1" allowOverlap="1">
                      <wp:simplePos x="0" y="0"/>
                      <wp:positionH relativeFrom="column">
                        <wp:posOffset>2418080</wp:posOffset>
                      </wp:positionH>
                      <wp:positionV relativeFrom="paragraph">
                        <wp:posOffset>3241675</wp:posOffset>
                      </wp:positionV>
                      <wp:extent cx="868680" cy="243205"/>
                      <wp:effectExtent l="0" t="381000" r="464820" b="23495"/>
                      <wp:wrapNone/>
                      <wp:docPr id="21" name="自选图形 2"/>
                      <wp:cNvGraphicFramePr/>
                      <a:graphic xmlns:a="http://schemas.openxmlformats.org/drawingml/2006/main">
                        <a:graphicData uri="http://schemas.microsoft.com/office/word/2010/wordprocessingShape">
                          <wps:wsp>
                            <wps:cNvSpPr>
                              <a:spLocks noChangeArrowheads="1"/>
                            </wps:cNvSpPr>
                            <wps:spPr bwMode="auto">
                              <a:xfrm>
                                <a:off x="0" y="0"/>
                                <a:ext cx="868680" cy="243205"/>
                              </a:xfrm>
                              <a:prstGeom prst="wedgeRectCallout">
                                <a:avLst>
                                  <a:gd name="adj1" fmla="val 95453"/>
                                  <a:gd name="adj2" fmla="val -187528"/>
                                </a:avLst>
                              </a:prstGeom>
                              <a:solidFill>
                                <a:srgbClr val="FFFFFF"/>
                              </a:solidFill>
                              <a:ln w="9525">
                                <a:solidFill>
                                  <a:srgbClr val="000000"/>
                                </a:solidFill>
                                <a:miter lim="800000"/>
                              </a:ln>
                            </wps:spPr>
                            <wps:txbx>
                              <w:txbxContent>
                                <w:p>
                                  <w:r>
                                    <w:rPr>
                                      <w:rFonts w:hint="eastAsia"/>
                                    </w:rPr>
                                    <w:t>项目</w:t>
                                  </w:r>
                                  <w:r>
                                    <w:t>所在地</w:t>
                                  </w:r>
                                </w:p>
                              </w:txbxContent>
                            </wps:txbx>
                            <wps:bodyPr rot="0" vert="horz" wrap="square" lIns="91440" tIns="45720" rIns="91440" bIns="45720" anchor="t" anchorCtr="0" upright="1">
                              <a:noAutofit/>
                            </wps:bodyPr>
                          </wps:wsp>
                        </a:graphicData>
                      </a:graphic>
                    </wp:anchor>
                  </w:drawing>
                </mc:Choice>
                <mc:Fallback>
                  <w:pict>
                    <v:shape id="自选图形 2" o:spid="_x0000_s1026" o:spt="61" type="#_x0000_t61" style="position:absolute;left:0pt;margin-left:190.4pt;margin-top:255.25pt;height:19.15pt;width:68.4pt;z-index:251659264;mso-width-relative:page;mso-height-relative:page;" fillcolor="#FFFFFF" filled="t" stroked="t" coordsize="21600,21600" o:gfxdata="UEsDBAoAAAAAAIdO4kAAAAAAAAAAAAAAAAAEAAAAZHJzL1BLAwQUAAAACACHTuJAnTEB/toAAAAL&#10;AQAADwAAAGRycy9kb3ducmV2LnhtbE2PvU7EMBCEeyTewVokOs42kBCFOFcgQAga7jgBpRMvSUS8&#10;DrHvh7dnqaDb0Y5mvqmWBz+KHc5xCGRALxQIpDa4gToDm5e7swJETJacHQOhgW+MsKyPjypburCn&#10;Fe7WqRMcQrG0BvqUplLK2PbobVyECYl/H2H2NrGcO+lmu+dwP8pzpXLp7UDc0NsJb3psP9dbbyB2&#10;j/o54m3/umlW92/v7dfTQ54bc3qi1TWIhIf0Z4ZffEaHmpmasCUXxWjgolCMngxkWmUg2JHpqxxE&#10;w8dlUYCsK/l/Q/0DUEsDBBQAAAAIAIdO4kCS9GF2UQIAAJEEAAAOAAAAZHJzL2Uyb0RvYy54bWyt&#10;VM1u1DAQviPxDpbvbTbppt2NNltVWxUhFagoPIBjO4nBf9jezZZTb4hn4MaRd4C3qQRvwcSbLSlw&#10;QjiS5fGMv/n5ZrI43SqJNtx5YXSJ08MJRlxTw4RuSvz61cXBDCMfiGZEGs1LfMM9Pl0+frTobMEz&#10;0xrJuEMAon3R2RK3IdgiSTxtuSL+0FiuQVkbp0gA0TUJc6QDdCWTbDI5TjrjmHWGcu/h9nynxMuI&#10;X9echhd17XlAssQQW4i7i3vV78lyQYrGEdsKOoRB/iEKRYQGp/dQ5yQQtHbiDyglqDPe1OGQGpWY&#10;uhaUxxwgm3TyWzbXLbE85gLF8fa+TP7/wdLnmyuHBCtxlmKkiQKOvn/48uP2492nb3dfP6OsL1Fn&#10;fQGW1/bK9Ul6e2noW4+0WbVEN/zMOdO1nDAILO3tkwcPesHDU1R1zwwDB2QdTKzWtnaqB4Q6oG0k&#10;5eaeFL4NiMLl7Bg+oI6CKpseZZM8eiDF/rF1PjzhRqH+UOKOs4a/BOJXREqzDtER2Vz6EPlhQ5KE&#10;vYGEayWB7g2RaJ5P86OhHUY22djmIJ2d5Nls8D9gJqTYRxBrY6RgF0LKKLimWkmHwEGJL+IaHvux&#10;mdSoK/E8z/IY7AOdH0NM4vobhBIB5kgKBQUbG0k9sNETsCMybKvtwGll2A3w4sxuLmCO4dAa9x6j&#10;DmaixP7dmjiOkXyqgdt5Op32QxSFaX6SgeDGmmqsIZoCVIkDRrvjKuwGb22daFrwlMZ0tTmDfqhF&#10;2DfOLqohbuh7OD0YrLEcrX79SZ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0xAf7aAAAACwEA&#10;AA8AAAAAAAAAAQAgAAAAIgAAAGRycy9kb3ducmV2LnhtbFBLAQIUABQAAAAIAIdO4kCS9GF2UQIA&#10;AJEEAAAOAAAAAAAAAAEAIAAAACkBAABkcnMvZTJvRG9jLnhtbFBLBQYAAAAABgAGAFkBAADsBQAA&#10;AAA=&#10;" adj="31418,-29706">
                      <v:fill on="t" focussize="0,0"/>
                      <v:stroke color="#000000" miterlimit="8" joinstyle="miter"/>
                      <v:imagedata o:title=""/>
                      <o:lock v:ext="edit" aspectratio="f"/>
                      <v:textbox>
                        <w:txbxContent>
                          <w:p>
                            <w:r>
                              <w:rPr>
                                <w:rFonts w:hint="eastAsia"/>
                              </w:rPr>
                              <w:t>项目</w:t>
                            </w:r>
                            <w:r>
                              <w:t>所在地</w:t>
                            </w:r>
                          </w:p>
                        </w:txbxContent>
                      </v:textbox>
                    </v:shape>
                  </w:pict>
                </mc:Fallback>
              </mc:AlternateContent>
            </w:r>
            <w:r>
              <w:rPr>
                <w:rFonts w:eastAsia="仿宋"/>
              </w:rPr>
              <w:drawing>
                <wp:inline distT="0" distB="0" distL="0" distR="0">
                  <wp:extent cx="4505960" cy="3686810"/>
                  <wp:effectExtent l="0" t="0" r="0" b="0"/>
                  <wp:docPr id="12" name="图片 174" descr="C:\Users\Administrator\AppData\Local\Temp\15727734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4" descr="C:\Users\Administrator\AppData\Local\Temp\1572773436(1).jpg"/>
                          <pic:cNvPicPr>
                            <a:picLocks noChangeAspect="1" noChangeArrowheads="1"/>
                          </pic:cNvPicPr>
                        </pic:nvPicPr>
                        <pic:blipFill>
                          <a:blip r:embed="rId18">
                            <a:extLst>
                              <a:ext uri="{28A0092B-C50C-407E-A947-70E740481C1C}">
                                <a14:useLocalDpi xmlns:a14="http://schemas.microsoft.com/office/drawing/2010/main" val="0"/>
                              </a:ext>
                            </a:extLst>
                          </a:blip>
                          <a:srcRect l="6842" t="15514" r="25885" b="6693"/>
                          <a:stretch>
                            <a:fillRect/>
                          </a:stretch>
                        </pic:blipFill>
                        <pic:spPr>
                          <a:xfrm>
                            <a:off x="0" y="0"/>
                            <a:ext cx="4505960" cy="3686810"/>
                          </a:xfrm>
                          <a:prstGeom prst="rect">
                            <a:avLst/>
                          </a:prstGeom>
                          <a:noFill/>
                          <a:ln>
                            <a:noFill/>
                          </a:ln>
                        </pic:spPr>
                      </pic:pic>
                    </a:graphicData>
                  </a:graphic>
                </wp:inline>
              </w:drawing>
            </w:r>
          </w:p>
          <w:p>
            <w:pPr>
              <w:adjustRightInd w:val="0"/>
              <w:snapToGrid w:val="0"/>
              <w:spacing w:line="360" w:lineRule="auto"/>
              <w:jc w:val="center"/>
              <w:rPr>
                <w:b/>
                <w:kern w:val="0"/>
                <w:sz w:val="24"/>
              </w:rPr>
            </w:pPr>
            <w:r>
              <w:rPr>
                <w:b/>
                <w:kern w:val="0"/>
                <w:sz w:val="24"/>
              </w:rPr>
              <w:t>图3-1  重庆市重点生态功能区分布图</w:t>
            </w:r>
          </w:p>
          <w:p>
            <w:pPr>
              <w:adjustRightInd w:val="0"/>
              <w:snapToGrid w:val="0"/>
              <w:spacing w:line="360" w:lineRule="auto"/>
              <w:ind w:firstLine="480" w:firstLineChars="200"/>
              <w:rPr>
                <w:kern w:val="0"/>
                <w:sz w:val="24"/>
              </w:rPr>
            </w:pPr>
            <w:r>
              <w:rPr>
                <w:kern w:val="0"/>
                <w:sz w:val="24"/>
              </w:rPr>
              <w:fldChar w:fldCharType="begin"/>
            </w:r>
            <w:r>
              <w:rPr>
                <w:kern w:val="0"/>
                <w:sz w:val="24"/>
              </w:rPr>
              <w:instrText xml:space="preserve"> = 2 \* GB3 </w:instrText>
            </w:r>
            <w:r>
              <w:rPr>
                <w:kern w:val="0"/>
                <w:sz w:val="24"/>
              </w:rPr>
              <w:fldChar w:fldCharType="separate"/>
            </w:r>
            <w:r>
              <w:rPr>
                <w:rFonts w:hint="eastAsia" w:ascii="宋体" w:hAnsi="宋体" w:cs="宋体"/>
                <w:kern w:val="0"/>
                <w:sz w:val="24"/>
              </w:rPr>
              <w:t>②</w:t>
            </w:r>
            <w:r>
              <w:rPr>
                <w:kern w:val="0"/>
                <w:sz w:val="24"/>
              </w:rPr>
              <w:fldChar w:fldCharType="end"/>
            </w:r>
            <w:r>
              <w:rPr>
                <w:kern w:val="0"/>
                <w:sz w:val="24"/>
              </w:rPr>
              <w:t>全国生态功能区划</w:t>
            </w:r>
          </w:p>
          <w:p>
            <w:pPr>
              <w:adjustRightInd w:val="0"/>
              <w:snapToGrid w:val="0"/>
              <w:spacing w:line="360" w:lineRule="auto"/>
              <w:ind w:firstLine="480" w:firstLineChars="200"/>
              <w:rPr>
                <w:kern w:val="0"/>
                <w:sz w:val="24"/>
              </w:rPr>
            </w:pPr>
            <w:r>
              <w:rPr>
                <w:kern w:val="0"/>
                <w:sz w:val="24"/>
              </w:rPr>
              <w:t>根据《全国生态功能区划》（修编），包括3大类、9个类型和242个生态功能区，其中生态调节功能区148个、产品提供功能区63个，人居保障功能区31个。确定63个重要生态功能区。酉阳县地处</w:t>
            </w:r>
            <w:r>
              <w:rPr>
                <w:rFonts w:hint="eastAsia" w:ascii="宋体" w:hAnsi="宋体"/>
                <w:kern w:val="0"/>
                <w:sz w:val="24"/>
              </w:rPr>
              <w:t>武陵山区生物多样性保护与水源涵养重要区</w:t>
            </w:r>
            <w:r>
              <w:rPr>
                <w:kern w:val="0"/>
                <w:sz w:val="24"/>
              </w:rPr>
              <w:t>。</w:t>
            </w:r>
          </w:p>
          <w:p>
            <w:pPr>
              <w:adjustRightInd w:val="0"/>
              <w:snapToGrid w:val="0"/>
              <w:spacing w:line="360" w:lineRule="auto"/>
              <w:jc w:val="center"/>
              <w:rPr>
                <w:kern w:val="0"/>
                <w:sz w:val="24"/>
              </w:rPr>
            </w:pPr>
            <w:r>
              <w:rPr>
                <w:b/>
                <w:kern w:val="0"/>
                <w:sz w:val="28"/>
                <w:szCs w:val="28"/>
              </w:rPr>
              <mc:AlternateContent>
                <mc:Choice Requires="wps">
                  <w:drawing>
                    <wp:anchor distT="0" distB="0" distL="114300" distR="114300" simplePos="0" relativeHeight="251660288" behindDoc="0" locked="0" layoutInCell="1" allowOverlap="1">
                      <wp:simplePos x="0" y="0"/>
                      <wp:positionH relativeFrom="column">
                        <wp:posOffset>2406650</wp:posOffset>
                      </wp:positionH>
                      <wp:positionV relativeFrom="paragraph">
                        <wp:posOffset>3037840</wp:posOffset>
                      </wp:positionV>
                      <wp:extent cx="868680" cy="266700"/>
                      <wp:effectExtent l="0" t="342900" r="464820" b="19050"/>
                      <wp:wrapNone/>
                      <wp:docPr id="18" name="自选图形 3"/>
                      <wp:cNvGraphicFramePr/>
                      <a:graphic xmlns:a="http://schemas.openxmlformats.org/drawingml/2006/main">
                        <a:graphicData uri="http://schemas.microsoft.com/office/word/2010/wordprocessingShape">
                          <wps:wsp>
                            <wps:cNvSpPr>
                              <a:spLocks noChangeArrowheads="1"/>
                            </wps:cNvSpPr>
                            <wps:spPr bwMode="auto">
                              <a:xfrm>
                                <a:off x="0" y="0"/>
                                <a:ext cx="868680" cy="266700"/>
                              </a:xfrm>
                              <a:prstGeom prst="wedgeRectCallout">
                                <a:avLst>
                                  <a:gd name="adj1" fmla="val 94825"/>
                                  <a:gd name="adj2" fmla="val -163361"/>
                                </a:avLst>
                              </a:prstGeom>
                              <a:solidFill>
                                <a:srgbClr val="FFFFFF"/>
                              </a:solidFill>
                              <a:ln w="9525">
                                <a:solidFill>
                                  <a:srgbClr val="000000"/>
                                </a:solidFill>
                                <a:miter lim="800000"/>
                              </a:ln>
                            </wps:spPr>
                            <wps:txbx>
                              <w:txbxContent>
                                <w:p>
                                  <w:r>
                                    <w:rPr>
                                      <w:rFonts w:hint="eastAsia"/>
                                    </w:rPr>
                                    <w:t>项目</w:t>
                                  </w:r>
                                  <w:r>
                                    <w:t>所在地</w:t>
                                  </w:r>
                                </w:p>
                              </w:txbxContent>
                            </wps:txbx>
                            <wps:bodyPr rot="0" vert="horz" wrap="square" lIns="91440" tIns="45720" rIns="91440" bIns="45720" anchor="t" anchorCtr="0" upright="1">
                              <a:noAutofit/>
                            </wps:bodyPr>
                          </wps:wsp>
                        </a:graphicData>
                      </a:graphic>
                    </wp:anchor>
                  </w:drawing>
                </mc:Choice>
                <mc:Fallback>
                  <w:pict>
                    <v:shape id="自选图形 3" o:spid="_x0000_s1026" o:spt="61" type="#_x0000_t61" style="position:absolute;left:0pt;margin-left:189.5pt;margin-top:239.2pt;height:21pt;width:68.4pt;z-index:251660288;mso-width-relative:page;mso-height-relative:page;" fillcolor="#FFFFFF" filled="t" stroked="t" coordsize="21600,21600" o:gfxdata="UEsDBAoAAAAAAIdO4kAAAAAAAAAAAAAAAAAEAAAAZHJzL1BLAwQUAAAACACHTuJAneVw19sAAAAL&#10;AQAADwAAAGRycy9kb3ducmV2LnhtbE2Py07DMBBF90j8gzVI7KidkD5I41QICQmxa6gESzd246jx&#10;OIrdtM3XM6zobkZzdeecYnNxHRvNEFqPEpKZAGaw9rrFRsLu6/1pBSxEhVp1Ho2EqwmwKe/vCpVr&#10;f8atGavYMCrBkCsJNsY+5zzU1jgVZr43SLeDH5yKtA4N14M6U7nreCrEgjvVIn2wqjdv1tTH6uQk&#10;fKTfr5/6OMafxVXZabubqmyYpHx8SMQaWDSX+B+GP3xCh5KY9v6EOrBOwvPyhVyihGy5yoBRYp7M&#10;SWZPQyoy4GXBbx3KX1BLAwQUAAAACACHTuJAjm8SxlACAACRBAAADgAAAGRycy9lMm9Eb2MueG1s&#10;rVTBbtQwEL0j8Q+W72022+22jZqtqq2KkApUFD7AazuJwfYY27vZcuKG+AZuHPkH+JtK8BdMnLSk&#10;gDggEsnyZMZv3szz5PhkazTZSB8U2JLmuxNKpOUglK1L+vLF+c4hJSEyK5gGK0t6LQM9WTx8cNy6&#10;Qk6hAS2kJwhiQ9G6kjYxuiLLAm+kYWEXnLTorMAbFtH0dSY8axHd6Gw6mcyzFrxwHrgMAb+e9U66&#10;SPhVJXl8VlVBRqJLitxiWn1aV92aLY5ZUXvmGsUHGuwfWBimLCa9gzpjkZG1V79BGcU9BKjiLgeT&#10;QVUpLlMNWE0++aWaq4Y5mWrB5gR316bw/2D5082lJ0qgdqiUZQY1+vb+8/d3H24+fr358onsdS1q&#10;XSgw8spd+q7I4C6Avw7EwrJhtpan3kPbSCaQWN7FZ/cOdEbAo2TVPgGBCdg6QurWtvKmA8Q+kG0S&#10;5fpOFLmNhOPHwzm+KB1H13Q+P5gk0TJW3B52PsRHEgzpNiVtpajlcxR+ybSGdUyJ2OYixKSPGIpk&#10;4lVOSWU0yr1hmhzNDqf7w3UYxUzHMTv5fG9v3lfIigETmdwySL0BrcS50joZvl4ttSeYoKTn6Unt&#10;wRaOw7QlbUmP9pHA3yEm6fkThFER50grgw0bB2k7qNEJ0AsZt6vtoOkKxDXq4qGfC5xj3DTg31LS&#10;4kyUNLxZMy8p0Y8tanuUz2bdECVjtn8wRcOPPauxh1mOUCWNlPTbZewHb+28qhvMlKdyLZzifahU&#10;vL04PauBN9573N0brLGdon7+SR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3lcNfbAAAACwEA&#10;AA8AAAAAAAAAAQAgAAAAIgAAAGRycy9kb3ducmV2LnhtbFBLAQIUABQAAAAIAIdO4kCObxLGUAIA&#10;AJEEAAAOAAAAAAAAAAEAIAAAACoBAABkcnMvZTJvRG9jLnhtbFBLBQYAAAAABgAGAFkBAADsBQAA&#10;AAA=&#10;" adj="31282,-24486">
                      <v:fill on="t" focussize="0,0"/>
                      <v:stroke color="#000000" miterlimit="8" joinstyle="miter"/>
                      <v:imagedata o:title=""/>
                      <o:lock v:ext="edit" aspectratio="f"/>
                      <v:textbox>
                        <w:txbxContent>
                          <w:p>
                            <w:r>
                              <w:rPr>
                                <w:rFonts w:hint="eastAsia"/>
                              </w:rPr>
                              <w:t>项目</w:t>
                            </w:r>
                            <w:r>
                              <w:t>所在地</w:t>
                            </w:r>
                          </w:p>
                        </w:txbxContent>
                      </v:textbox>
                    </v:shape>
                  </w:pict>
                </mc:Fallback>
              </mc:AlternateContent>
            </w:r>
            <w:r>
              <w:rPr>
                <w:rFonts w:eastAsia="仿宋"/>
              </w:rPr>
              <w:drawing>
                <wp:inline distT="0" distB="0" distL="0" distR="0">
                  <wp:extent cx="4328160" cy="3474720"/>
                  <wp:effectExtent l="0" t="0" r="0" b="0"/>
                  <wp:docPr id="13" name="图片 175" descr="C:\Users\Administrator\AppData\Local\Temp\1572773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5" descr="C:\Users\Administrator\AppData\Local\Temp\1572773484(1).jpg"/>
                          <pic:cNvPicPr>
                            <a:picLocks noChangeAspect="1" noChangeArrowheads="1"/>
                          </pic:cNvPicPr>
                        </pic:nvPicPr>
                        <pic:blipFill>
                          <a:blip r:embed="rId19">
                            <a:extLst>
                              <a:ext uri="{28A0092B-C50C-407E-A947-70E740481C1C}">
                                <a14:useLocalDpi xmlns:a14="http://schemas.microsoft.com/office/drawing/2010/main" val="0"/>
                              </a:ext>
                            </a:extLst>
                          </a:blip>
                          <a:srcRect l="5333" t="15651" r="26315" b="6635"/>
                          <a:stretch>
                            <a:fillRect/>
                          </a:stretch>
                        </pic:blipFill>
                        <pic:spPr>
                          <a:xfrm>
                            <a:off x="0" y="0"/>
                            <a:ext cx="4336869" cy="3482126"/>
                          </a:xfrm>
                          <a:prstGeom prst="rect">
                            <a:avLst/>
                          </a:prstGeom>
                          <a:noFill/>
                          <a:ln>
                            <a:noFill/>
                          </a:ln>
                        </pic:spPr>
                      </pic:pic>
                    </a:graphicData>
                  </a:graphic>
                </wp:inline>
              </w:drawing>
            </w:r>
          </w:p>
          <w:p>
            <w:pPr>
              <w:adjustRightInd w:val="0"/>
              <w:snapToGrid w:val="0"/>
              <w:spacing w:line="360" w:lineRule="auto"/>
              <w:jc w:val="center"/>
              <w:rPr>
                <w:b/>
                <w:kern w:val="0"/>
                <w:sz w:val="24"/>
              </w:rPr>
            </w:pPr>
            <w:r>
              <w:rPr>
                <w:b/>
                <w:kern w:val="0"/>
                <w:sz w:val="24"/>
              </w:rPr>
              <w:t>图3-2  重庆市重</w:t>
            </w:r>
            <w:r>
              <w:rPr>
                <w:rFonts w:hint="eastAsia"/>
                <w:b/>
                <w:kern w:val="0"/>
                <w:sz w:val="24"/>
              </w:rPr>
              <w:t>要</w:t>
            </w:r>
            <w:r>
              <w:rPr>
                <w:b/>
                <w:kern w:val="0"/>
                <w:sz w:val="24"/>
              </w:rPr>
              <w:t>生态功能区分布图</w:t>
            </w:r>
          </w:p>
          <w:p>
            <w:pPr>
              <w:adjustRightInd w:val="0"/>
              <w:snapToGrid w:val="0"/>
              <w:spacing w:line="360" w:lineRule="auto"/>
              <w:ind w:firstLine="480" w:firstLineChars="200"/>
              <w:rPr>
                <w:kern w:val="0"/>
                <w:sz w:val="24"/>
              </w:rPr>
            </w:pPr>
            <w:r>
              <w:rPr>
                <w:rFonts w:ascii="宋体" w:hAnsi="宋体" w:cs="宋体"/>
                <w:kern w:val="0"/>
                <w:sz w:val="24"/>
              </w:rPr>
              <w:t>③</w:t>
            </w:r>
            <w:r>
              <w:rPr>
                <w:kern w:val="0"/>
                <w:sz w:val="24"/>
              </w:rPr>
              <w:t>重庆市生态功能区划</w:t>
            </w:r>
          </w:p>
          <w:p>
            <w:pPr>
              <w:adjustRightInd w:val="0"/>
              <w:snapToGrid w:val="0"/>
              <w:spacing w:line="360" w:lineRule="auto"/>
              <w:ind w:firstLine="480" w:firstLineChars="200"/>
              <w:rPr>
                <w:kern w:val="0"/>
                <w:sz w:val="24"/>
              </w:rPr>
            </w:pPr>
            <w:r>
              <w:rPr>
                <w:kern w:val="0"/>
                <w:sz w:val="24"/>
              </w:rPr>
              <w:t>根据《重庆市生态功能区划（修编）》（渝府〔2008〕133号），酉阳县属</w:t>
            </w:r>
            <w:r>
              <w:rPr>
                <w:rFonts w:hint="eastAsia"/>
                <w:kern w:val="0"/>
                <w:sz w:val="24"/>
              </w:rPr>
              <w:t>（</w:t>
            </w:r>
            <w:r>
              <w:rPr>
                <w:kern w:val="0"/>
                <w:sz w:val="24"/>
              </w:rPr>
              <w:t>Ⅲ</w:t>
            </w:r>
            <w:r>
              <w:rPr>
                <w:rFonts w:hint="eastAsia"/>
                <w:kern w:val="0"/>
                <w:sz w:val="24"/>
              </w:rPr>
              <w:t>）渝东南、湘西及黔鄂山地常绿阔叶林生态区、（</w:t>
            </w:r>
            <w:r>
              <w:rPr>
                <w:kern w:val="0"/>
                <w:sz w:val="24"/>
              </w:rPr>
              <w:t>Ⅲ</w:t>
            </w:r>
            <w:r>
              <w:rPr>
                <w:rFonts w:hint="eastAsia"/>
                <w:kern w:val="0"/>
                <w:sz w:val="24"/>
              </w:rPr>
              <w:t>2）渝东南岩溶石山林草生态亚区、（</w:t>
            </w:r>
            <w:r>
              <w:rPr>
                <w:kern w:val="0"/>
                <w:sz w:val="24"/>
              </w:rPr>
              <w:t>Ⅲ</w:t>
            </w:r>
            <w:r>
              <w:rPr>
                <w:rFonts w:hint="eastAsia"/>
                <w:kern w:val="0"/>
                <w:sz w:val="24"/>
              </w:rPr>
              <w:t>2-2）酉阳—秀山水源涵养生态功能区</w:t>
            </w:r>
            <w:r>
              <w:rPr>
                <w:kern w:val="0"/>
                <w:sz w:val="24"/>
              </w:rPr>
              <w:t>。</w:t>
            </w:r>
          </w:p>
          <w:p>
            <w:pPr>
              <w:adjustRightInd w:val="0"/>
              <w:snapToGrid w:val="0"/>
              <w:spacing w:line="360" w:lineRule="auto"/>
              <w:jc w:val="center"/>
              <w:rPr>
                <w:kern w:val="0"/>
                <w:sz w:val="24"/>
              </w:rPr>
            </w:pPr>
            <w:r>
              <w:rPr>
                <w:b/>
                <w:kern w:val="0"/>
                <w:sz w:val="28"/>
                <w:szCs w:val="28"/>
              </w:rPr>
              <mc:AlternateContent>
                <mc:Choice Requires="wps">
                  <w:drawing>
                    <wp:anchor distT="0" distB="0" distL="114300" distR="114300" simplePos="0" relativeHeight="251661312" behindDoc="0" locked="0" layoutInCell="1" allowOverlap="1">
                      <wp:simplePos x="0" y="0"/>
                      <wp:positionH relativeFrom="column">
                        <wp:posOffset>2329180</wp:posOffset>
                      </wp:positionH>
                      <wp:positionV relativeFrom="paragraph">
                        <wp:posOffset>2908300</wp:posOffset>
                      </wp:positionV>
                      <wp:extent cx="868680" cy="270510"/>
                      <wp:effectExtent l="0" t="285750" r="502920" b="15240"/>
                      <wp:wrapNone/>
                      <wp:docPr id="11" name="自选图形 4"/>
                      <wp:cNvGraphicFramePr/>
                      <a:graphic xmlns:a="http://schemas.openxmlformats.org/drawingml/2006/main">
                        <a:graphicData uri="http://schemas.microsoft.com/office/word/2010/wordprocessingShape">
                          <wps:wsp>
                            <wps:cNvSpPr>
                              <a:spLocks noChangeArrowheads="1"/>
                            </wps:cNvSpPr>
                            <wps:spPr bwMode="auto">
                              <a:xfrm>
                                <a:off x="0" y="0"/>
                                <a:ext cx="868680" cy="270510"/>
                              </a:xfrm>
                              <a:prstGeom prst="wedgeRectCallout">
                                <a:avLst>
                                  <a:gd name="adj1" fmla="val 99845"/>
                                  <a:gd name="adj2" fmla="val -147807"/>
                                </a:avLst>
                              </a:prstGeom>
                              <a:solidFill>
                                <a:srgbClr val="FFFFFF"/>
                              </a:solidFill>
                              <a:ln w="9525">
                                <a:solidFill>
                                  <a:srgbClr val="000000"/>
                                </a:solidFill>
                                <a:miter lim="800000"/>
                              </a:ln>
                            </wps:spPr>
                            <wps:txbx>
                              <w:txbxContent>
                                <w:p>
                                  <w:r>
                                    <w:rPr>
                                      <w:rFonts w:hint="eastAsia"/>
                                    </w:rPr>
                                    <w:t>项目</w:t>
                                  </w:r>
                                  <w:r>
                                    <w:t>所在地</w:t>
                                  </w:r>
                                </w:p>
                              </w:txbxContent>
                            </wps:txbx>
                            <wps:bodyPr rot="0" vert="horz" wrap="square" lIns="91440" tIns="45720" rIns="91440" bIns="45720" anchor="t" anchorCtr="0" upright="1">
                              <a:noAutofit/>
                            </wps:bodyPr>
                          </wps:wsp>
                        </a:graphicData>
                      </a:graphic>
                    </wp:anchor>
                  </w:drawing>
                </mc:Choice>
                <mc:Fallback>
                  <w:pict>
                    <v:shape id="自选图形 4" o:spid="_x0000_s1026" o:spt="61" type="#_x0000_t61" style="position:absolute;left:0pt;margin-left:183.4pt;margin-top:229pt;height:21.3pt;width:68.4pt;z-index:251661312;mso-width-relative:page;mso-height-relative:page;" fillcolor="#FFFFFF" filled="t" stroked="t" coordsize="21600,21600" o:gfxdata="UEsDBAoAAAAAAIdO4kAAAAAAAAAAAAAAAAAEAAAAZHJzL1BLAwQUAAAACACHTuJAYaZGwNgAAAAL&#10;AQAADwAAAGRycy9kb3ducmV2LnhtbE2PzU7DMBCE70i8g7VI3KhdStIqxKkACU4Voj8P4MbbOCJe&#10;W7H7w9uzPcFtVjOa/aZeXvwgTjimPpCG6USBQGqD7anTsNu+PyxApGzImiEQavjBBMvm9qY2lQ1n&#10;WuNpkzvBJZQqo8HlHCspU+vQmzQJEYm9Qxi9yXyOnbSjOXO5H+SjUqX0pif+4EzEN4ft9+boNVBb&#10;bFer10N8+frcxY+5XYe5c1rf303VM4iMl/wXhis+o0PDTPtwJJvEoGFWloyeNTwVCx7FiULNShD7&#10;q1AlyKaW/zc0v1BLAwQUAAAACACHTuJAnfaxb1ECAACRBAAADgAAAGRycy9lMm9Eb2MueG1srVTN&#10;jtMwEL4j8Q6W79skVbtto6arVVdFSAusWHgA13YSg/+w3abLiduKZ+DGkXeAt1kJ3oKJm5YUOCES&#10;yfJkxt98M58n84udkmjLnRdGFzgbpBhxTQ0Tuirw61ersylGPhDNiDSaF/iOe3yxePxo3ticD01t&#10;JOMOAYj2eWMLXIdg8yTxtOaK+IGxXIOzNE6RAKarEuZIA+hKJsM0PU8a45h1hnLv4evV3okXEb8s&#10;OQ0vytLzgGSBgVuIq4vrul2TxZzklSO2FrSjQf6BhSJCQ9Ij1BUJBG2c+ANKCeqMN2UYUKMSU5aC&#10;8lgDVJOlv1VzWxPLYy3QHG+PbfL/D5Y+3944JBhol2GkiQKNvt9/+fHh48Onbw9fP6NR26LG+hwi&#10;b+2Na4v09trQtx5ps6yJrvilc6apOWFALGvjk5MDreHhKFo3zwyDBGQTTOzWrnSqBYQ+oF0U5e4o&#10;Ct8FROHj9BxekI6CazhJx1kULSH54bB1PjzhRqF2U+CGs4q/BOGXREqzCTER2V77EPVhXZGEvYGC&#10;SyVB7i2RaDabjsbddejFDPsxZ9loMk0nsUKSd5jA5MAg9sZIwVZCymi4ar2UDkGCAq/i0x32/TCp&#10;UVPg2Xg4jmRPfL4PkcbnbxBKBJgjKRQ0rB8kdadGK8BeyLBb7zpN14bdgS7O7OcC5hg2tXHvMWpg&#10;Jgrs322I4xjJpxq0nWWjUTtE0RiNJ0MwXN+z7nuIpgBV4IDRfrsM+8HbWCeqGjJlsVxtLuE+lCIc&#10;Ls6eVccb7j3sTgarb8eoX3+S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hpkbA2AAAAAsBAAAP&#10;AAAAAAAAAAEAIAAAACIAAABkcnMvZG93bnJldi54bWxQSwECFAAUAAAACACHTuJAnfaxb1ECAACR&#10;BAAADgAAAAAAAAABACAAAAAnAQAAZHJzL2Uyb0RvYy54bWxQSwUGAAAAAAYABgBZAQAA6gUAAAAA&#10;" adj="32367,-21126">
                      <v:fill on="t" focussize="0,0"/>
                      <v:stroke color="#000000" miterlimit="8" joinstyle="miter"/>
                      <v:imagedata o:title=""/>
                      <o:lock v:ext="edit" aspectratio="f"/>
                      <v:textbox>
                        <w:txbxContent>
                          <w:p>
                            <w:r>
                              <w:rPr>
                                <w:rFonts w:hint="eastAsia"/>
                              </w:rPr>
                              <w:t>项目</w:t>
                            </w:r>
                            <w:r>
                              <w:t>所在地</w:t>
                            </w:r>
                          </w:p>
                        </w:txbxContent>
                      </v:textbox>
                    </v:shape>
                  </w:pict>
                </mc:Fallback>
              </mc:AlternateContent>
            </w:r>
            <w:r>
              <w:rPr>
                <w:rFonts w:eastAsia="仿宋"/>
                <w:szCs w:val="21"/>
              </w:rPr>
              <w:drawing>
                <wp:inline distT="0" distB="0" distL="0" distR="0">
                  <wp:extent cx="4159250" cy="3358515"/>
                  <wp:effectExtent l="0" t="0" r="0" b="0"/>
                  <wp:docPr id="14"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8"/>
                          <pic:cNvPicPr>
                            <a:picLocks noChangeAspect="1" noChangeArrowheads="1"/>
                          </pic:cNvPicPr>
                        </pic:nvPicPr>
                        <pic:blipFill>
                          <a:blip r:embed="rId20">
                            <a:extLst>
                              <a:ext uri="{28A0092B-C50C-407E-A947-70E740481C1C}">
                                <a14:useLocalDpi xmlns:a14="http://schemas.microsoft.com/office/drawing/2010/main" val="0"/>
                              </a:ext>
                            </a:extLst>
                          </a:blip>
                          <a:srcRect l="5444" t="15335" r="25873" b="6416"/>
                          <a:stretch>
                            <a:fillRect/>
                          </a:stretch>
                        </pic:blipFill>
                        <pic:spPr>
                          <a:xfrm>
                            <a:off x="0" y="0"/>
                            <a:ext cx="4167670" cy="3365554"/>
                          </a:xfrm>
                          <a:prstGeom prst="rect">
                            <a:avLst/>
                          </a:prstGeom>
                          <a:noFill/>
                          <a:ln>
                            <a:noFill/>
                          </a:ln>
                        </pic:spPr>
                      </pic:pic>
                    </a:graphicData>
                  </a:graphic>
                </wp:inline>
              </w:drawing>
            </w:r>
          </w:p>
          <w:p>
            <w:pPr>
              <w:adjustRightInd w:val="0"/>
              <w:snapToGrid w:val="0"/>
              <w:spacing w:line="360" w:lineRule="auto"/>
              <w:jc w:val="center"/>
              <w:rPr>
                <w:kern w:val="0"/>
                <w:sz w:val="24"/>
              </w:rPr>
            </w:pPr>
            <w:r>
              <w:rPr>
                <w:b/>
                <w:kern w:val="0"/>
                <w:sz w:val="24"/>
              </w:rPr>
              <w:t>图3-3  重庆市生态功能区划三级区划图</w:t>
            </w:r>
          </w:p>
          <w:p>
            <w:pPr>
              <w:adjustRightInd w:val="0"/>
              <w:snapToGrid w:val="0"/>
              <w:spacing w:line="360" w:lineRule="auto"/>
              <w:ind w:firstLine="480" w:firstLineChars="200"/>
              <w:rPr>
                <w:kern w:val="0"/>
                <w:sz w:val="24"/>
              </w:rPr>
            </w:pPr>
            <w:r>
              <w:rPr>
                <w:rFonts w:ascii="宋体" w:hAnsi="宋体" w:cs="宋体"/>
                <w:kern w:val="0"/>
                <w:sz w:val="24"/>
              </w:rPr>
              <w:t>④</w:t>
            </w:r>
            <w:r>
              <w:rPr>
                <w:kern w:val="0"/>
                <w:sz w:val="24"/>
              </w:rPr>
              <w:t>主要生态问题及生态保护方向</w:t>
            </w:r>
          </w:p>
          <w:p>
            <w:pPr>
              <w:adjustRightInd w:val="0"/>
              <w:snapToGrid w:val="0"/>
              <w:spacing w:line="360" w:lineRule="auto"/>
              <w:ind w:firstLine="480" w:firstLineChars="200"/>
              <w:rPr>
                <w:kern w:val="0"/>
                <w:sz w:val="24"/>
              </w:rPr>
            </w:pPr>
            <w:r>
              <w:rPr>
                <w:kern w:val="0"/>
                <w:sz w:val="24"/>
              </w:rPr>
              <w:t>酉阳县主体功能区划及生态功能区划汇总情况见表3-1。</w:t>
            </w:r>
          </w:p>
          <w:p>
            <w:pPr>
              <w:adjustRightInd w:val="0"/>
              <w:snapToGrid w:val="0"/>
              <w:jc w:val="center"/>
              <w:rPr>
                <w:b/>
                <w:kern w:val="0"/>
                <w:sz w:val="24"/>
              </w:rPr>
            </w:pPr>
            <w:r>
              <w:rPr>
                <w:b/>
                <w:kern w:val="0"/>
                <w:sz w:val="24"/>
              </w:rPr>
              <w:t>表3-1  酉阳县主体功能区划及生态功能区划情况一览表</w:t>
            </w:r>
          </w:p>
          <w:tbl>
            <w:tblPr>
              <w:tblStyle w:val="15"/>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581"/>
              <w:gridCol w:w="3082"/>
              <w:gridCol w:w="3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49" w:type="dxa"/>
                  <w:vMerge w:val="restart"/>
                  <w:vAlign w:val="center"/>
                </w:tcPr>
                <w:p>
                  <w:pPr>
                    <w:pStyle w:val="42"/>
                  </w:pPr>
                  <w:r>
                    <w:t>全国主体功能区规划</w:t>
                  </w:r>
                </w:p>
              </w:tc>
              <w:tc>
                <w:tcPr>
                  <w:tcW w:w="1581" w:type="dxa"/>
                  <w:vAlign w:val="center"/>
                </w:tcPr>
                <w:p>
                  <w:pPr>
                    <w:pStyle w:val="42"/>
                  </w:pPr>
                  <w:r>
                    <w:t>区域</w:t>
                  </w:r>
                </w:p>
              </w:tc>
              <w:tc>
                <w:tcPr>
                  <w:tcW w:w="3082" w:type="dxa"/>
                  <w:vAlign w:val="center"/>
                </w:tcPr>
                <w:p>
                  <w:pPr>
                    <w:pStyle w:val="42"/>
                  </w:pPr>
                  <w:r>
                    <w:t>综合评价</w:t>
                  </w:r>
                </w:p>
                <w:p>
                  <w:pPr>
                    <w:pStyle w:val="42"/>
                  </w:pPr>
                  <w:r>
                    <w:t>（主要生态问题）</w:t>
                  </w:r>
                </w:p>
              </w:tc>
              <w:tc>
                <w:tcPr>
                  <w:tcW w:w="3704" w:type="dxa"/>
                  <w:vAlign w:val="center"/>
                </w:tcPr>
                <w:p>
                  <w:pPr>
                    <w:pStyle w:val="42"/>
                  </w:pPr>
                  <w:r>
                    <w:t>发展方向</w:t>
                  </w:r>
                </w:p>
                <w:p>
                  <w:pPr>
                    <w:pStyle w:val="42"/>
                  </w:pPr>
                  <w:r>
                    <w:t>（生态保护主要措施/生态功能定位）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49" w:type="dxa"/>
                  <w:vMerge w:val="continue"/>
                  <w:vAlign w:val="center"/>
                </w:tcPr>
                <w:p>
                  <w:pPr>
                    <w:pStyle w:val="42"/>
                  </w:pPr>
                </w:p>
              </w:tc>
              <w:tc>
                <w:tcPr>
                  <w:tcW w:w="1581" w:type="dxa"/>
                  <w:vAlign w:val="center"/>
                </w:tcPr>
                <w:p>
                  <w:pPr>
                    <w:pStyle w:val="42"/>
                  </w:pPr>
                  <w:r>
                    <w:rPr>
                      <w:rFonts w:hint="eastAsia"/>
                    </w:rPr>
                    <w:t>武陵山区生物多样性与水土保持生态功能区</w:t>
                  </w:r>
                </w:p>
              </w:tc>
              <w:tc>
                <w:tcPr>
                  <w:tcW w:w="3082" w:type="dxa"/>
                  <w:vAlign w:val="center"/>
                </w:tcPr>
                <w:p>
                  <w:pPr>
                    <w:pStyle w:val="42"/>
                  </w:pPr>
                  <w:r>
                    <w:t>土壤侵蚀较严重，地质灾害较多，生物多样性受到威胁。</w:t>
                  </w:r>
                </w:p>
              </w:tc>
              <w:tc>
                <w:tcPr>
                  <w:tcW w:w="3704" w:type="dxa"/>
                  <w:vAlign w:val="center"/>
                </w:tcPr>
                <w:p>
                  <w:pPr>
                    <w:pStyle w:val="42"/>
                  </w:pPr>
                  <w:r>
                    <w:t>扩大天然林保护范围，巩固退耕还林成果，恢复森林植被和生物多样性。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49" w:type="dxa"/>
                  <w:vAlign w:val="center"/>
                </w:tcPr>
                <w:p>
                  <w:pPr>
                    <w:pStyle w:val="42"/>
                  </w:pPr>
                  <w:r>
                    <w:t>全国生态功能区划（修编）</w:t>
                  </w:r>
                </w:p>
              </w:tc>
              <w:tc>
                <w:tcPr>
                  <w:tcW w:w="1581" w:type="dxa"/>
                  <w:vAlign w:val="center"/>
                </w:tcPr>
                <w:p>
                  <w:pPr>
                    <w:pStyle w:val="42"/>
                  </w:pPr>
                  <w:r>
                    <w:rPr>
                      <w:rFonts w:hint="eastAsia"/>
                    </w:rPr>
                    <w:t>武陵山区生物多样性保护与水源涵养重要区</w:t>
                  </w:r>
                </w:p>
              </w:tc>
              <w:tc>
                <w:tcPr>
                  <w:tcW w:w="3082" w:type="dxa"/>
                  <w:vAlign w:val="center"/>
                </w:tcPr>
                <w:p>
                  <w:pPr>
                    <w:pStyle w:val="42"/>
                  </w:pPr>
                  <w:r>
                    <w:rPr>
                      <w:rFonts w:hint="eastAsia"/>
                    </w:rPr>
                    <w:t>森林资源不合理开发利用带来生态功能退化问题较为突出，主要表现为水土流失加重、石漠化问题突出、地质灾害增多、野生动植物栖息地破坏较严重</w:t>
                  </w:r>
                  <w:r>
                    <w:t>。</w:t>
                  </w:r>
                </w:p>
              </w:tc>
              <w:tc>
                <w:tcPr>
                  <w:tcW w:w="3704" w:type="dxa"/>
                  <w:vAlign w:val="center"/>
                </w:tcPr>
                <w:p>
                  <w:pPr>
                    <w:pStyle w:val="42"/>
                  </w:pPr>
                  <w:r>
                    <w:rPr>
                      <w:rFonts w:hint="eastAsia"/>
                    </w:rPr>
                    <w:t>加强自然保护区群建设，扩大保护范围；坚持自然恢复，恢复常绿阔叶林的乔、灌、草植被体系，优化森林生态系统结构；继续实施退耕还林、还草工程，以及石漠化治理工程；加强地质灾害的监督与预防</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49" w:type="dxa"/>
                  <w:vAlign w:val="center"/>
                </w:tcPr>
                <w:p>
                  <w:pPr>
                    <w:pStyle w:val="42"/>
                  </w:pPr>
                  <w:r>
                    <w:t>重庆市生态功能区划（修编）</w:t>
                  </w:r>
                </w:p>
              </w:tc>
              <w:tc>
                <w:tcPr>
                  <w:tcW w:w="1581" w:type="dxa"/>
                  <w:vAlign w:val="center"/>
                </w:tcPr>
                <w:p>
                  <w:pPr>
                    <w:pStyle w:val="42"/>
                  </w:pPr>
                  <w:r>
                    <w:rPr>
                      <w:rFonts w:hint="eastAsia"/>
                    </w:rPr>
                    <w:t>酉阳-秀山水源涵养生态功能区</w:t>
                  </w:r>
                </w:p>
              </w:tc>
              <w:tc>
                <w:tcPr>
                  <w:tcW w:w="3082" w:type="dxa"/>
                  <w:vAlign w:val="center"/>
                </w:tcPr>
                <w:p>
                  <w:pPr>
                    <w:pStyle w:val="42"/>
                  </w:pPr>
                  <w:r>
                    <w:rPr>
                      <w:rFonts w:hint="eastAsia"/>
                    </w:rPr>
                    <w:t>土地和环境承载能力有限，水土流失严重，森林覆盖率低，生物多样性减少，草场退化明显，土地石漠化严重，自然灾害频繁，季节性干旱、洪涝灾害严重</w:t>
                  </w:r>
                  <w:r>
                    <w:t>。</w:t>
                  </w:r>
                </w:p>
              </w:tc>
              <w:tc>
                <w:tcPr>
                  <w:tcW w:w="3704" w:type="dxa"/>
                  <w:vAlign w:val="center"/>
                </w:tcPr>
                <w:p>
                  <w:pPr>
                    <w:pStyle w:val="42"/>
                  </w:pPr>
                  <w:r>
                    <w:rPr>
                      <w:rFonts w:hint="eastAsia"/>
                    </w:rPr>
                    <w:t>主导生态功能为水文调蓄，辅助功能为水土保持。生态功能保护与建设的主导方向为植被恢复，突出水土保持，增加森林覆盖率，强化水文调蓄功能。重点任务是实施植被恢复、水土保持建设工程、加强矿山生态保护和恢复、构筑地质灾害应急预警和防治体系、调整产业结构，优化经济发展模式。阿蓬江、龚滩古镇、酉阳乌江百里画廊等原生态自然山水应重点保护</w:t>
                  </w:r>
                  <w:r>
                    <w:t>。</w:t>
                  </w:r>
                </w:p>
              </w:tc>
            </w:tr>
          </w:tbl>
          <w:p>
            <w:pPr>
              <w:adjustRightInd w:val="0"/>
              <w:snapToGrid w:val="0"/>
              <w:spacing w:line="360" w:lineRule="auto"/>
              <w:ind w:firstLine="482" w:firstLineChars="200"/>
              <w:rPr>
                <w:b/>
                <w:kern w:val="0"/>
                <w:sz w:val="24"/>
              </w:rPr>
            </w:pPr>
            <w:r>
              <w:rPr>
                <w:b/>
                <w:kern w:val="0"/>
                <w:sz w:val="24"/>
              </w:rPr>
              <w:t>2）土地利用现状</w:t>
            </w:r>
          </w:p>
          <w:p>
            <w:pPr>
              <w:adjustRightInd w:val="0"/>
              <w:snapToGrid w:val="0"/>
              <w:spacing w:line="360" w:lineRule="auto"/>
              <w:ind w:firstLine="480" w:firstLineChars="200"/>
              <w:rPr>
                <w:kern w:val="0"/>
                <w:sz w:val="24"/>
              </w:rPr>
            </w:pPr>
            <w:r>
              <w:rPr>
                <w:kern w:val="0"/>
                <w:sz w:val="24"/>
              </w:rPr>
              <w:t>根据酉阳县第三次土地调查数据，县域面积</w:t>
            </w:r>
            <w:r>
              <w:t>5167.25</w:t>
            </w:r>
            <w:r>
              <w:rPr>
                <w:rFonts w:hint="eastAsia"/>
                <w:kern w:val="0"/>
                <w:sz w:val="24"/>
              </w:rPr>
              <w:t>k</w:t>
            </w:r>
            <w:r>
              <w:rPr>
                <w:kern w:val="0"/>
                <w:sz w:val="24"/>
              </w:rPr>
              <w:t>m</w:t>
            </w:r>
            <w:r>
              <w:rPr>
                <w:kern w:val="0"/>
                <w:sz w:val="24"/>
                <w:vertAlign w:val="superscript"/>
              </w:rPr>
              <w:t>2</w:t>
            </w:r>
            <w:r>
              <w:rPr>
                <w:kern w:val="0"/>
                <w:sz w:val="24"/>
              </w:rPr>
              <w:t>，</w:t>
            </w:r>
            <w:r>
              <w:rPr>
                <w:rFonts w:hint="eastAsia"/>
                <w:kern w:val="0"/>
                <w:sz w:val="24"/>
              </w:rPr>
              <w:t>其中农用地最多，面积为</w:t>
            </w:r>
            <w:r>
              <w:rPr>
                <w:kern w:val="0"/>
                <w:sz w:val="24"/>
              </w:rPr>
              <w:t>4532.53km</w:t>
            </w:r>
            <w:r>
              <w:rPr>
                <w:kern w:val="0"/>
                <w:sz w:val="24"/>
                <w:vertAlign w:val="superscript"/>
              </w:rPr>
              <w:t>2</w:t>
            </w:r>
            <w:r>
              <w:rPr>
                <w:kern w:val="0"/>
                <w:sz w:val="24"/>
              </w:rPr>
              <w:t>，占总用地面积的87.72%</w:t>
            </w:r>
            <w:r>
              <w:rPr>
                <w:rFonts w:hint="eastAsia"/>
                <w:kern w:val="0"/>
                <w:sz w:val="24"/>
              </w:rPr>
              <w:t>，酉阳县土地利用现状见表3-2</w:t>
            </w:r>
            <w:r>
              <w:rPr>
                <w:kern w:val="0"/>
                <w:sz w:val="24"/>
              </w:rPr>
              <w:t>。</w:t>
            </w:r>
          </w:p>
          <w:p>
            <w:pPr>
              <w:adjustRightInd w:val="0"/>
              <w:snapToGrid w:val="0"/>
              <w:jc w:val="center"/>
              <w:rPr>
                <w:b/>
                <w:kern w:val="0"/>
                <w:sz w:val="24"/>
              </w:rPr>
            </w:pPr>
            <w:r>
              <w:rPr>
                <w:b/>
                <w:kern w:val="0"/>
                <w:sz w:val="24"/>
              </w:rPr>
              <w:t>表3-2   酉阳县土地利用现状表</w:t>
            </w:r>
          </w:p>
          <w:tbl>
            <w:tblPr>
              <w:tblStyle w:val="15"/>
              <w:tblW w:w="90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173"/>
              <w:gridCol w:w="1480"/>
              <w:gridCol w:w="1172"/>
              <w:gridCol w:w="1300"/>
              <w:gridCol w:w="1461"/>
              <w:gridCol w:w="1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26" w:type="dxa"/>
                  <w:gridSpan w:val="3"/>
                  <w:vAlign w:val="center"/>
                </w:tcPr>
                <w:p>
                  <w:pPr>
                    <w:pStyle w:val="42"/>
                  </w:pPr>
                  <w:r>
                    <w:t>二级类</w:t>
                  </w:r>
                </w:p>
              </w:tc>
              <w:tc>
                <w:tcPr>
                  <w:tcW w:w="3933" w:type="dxa"/>
                  <w:gridSpan w:val="3"/>
                  <w:vAlign w:val="center"/>
                </w:tcPr>
                <w:p>
                  <w:pPr>
                    <w:pStyle w:val="42"/>
                  </w:pPr>
                  <w:r>
                    <w:t>三级类</w:t>
                  </w:r>
                </w:p>
              </w:tc>
              <w:tc>
                <w:tcPr>
                  <w:tcW w:w="1257" w:type="dxa"/>
                  <w:vMerge w:val="restart"/>
                  <w:vAlign w:val="center"/>
                </w:tcPr>
                <w:p>
                  <w:pPr>
                    <w:pStyle w:val="42"/>
                  </w:pPr>
                  <w:r>
                    <w:t>三大类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Align w:val="center"/>
                </w:tcPr>
                <w:p>
                  <w:pPr>
                    <w:pStyle w:val="42"/>
                  </w:pPr>
                  <w:r>
                    <w:t>类别编码</w:t>
                  </w:r>
                </w:p>
              </w:tc>
              <w:tc>
                <w:tcPr>
                  <w:tcW w:w="1173" w:type="dxa"/>
                  <w:vAlign w:val="center"/>
                </w:tcPr>
                <w:p>
                  <w:pPr>
                    <w:pStyle w:val="42"/>
                  </w:pPr>
                  <w:r>
                    <w:t>类别名称</w:t>
                  </w:r>
                </w:p>
              </w:tc>
              <w:tc>
                <w:tcPr>
                  <w:tcW w:w="1480" w:type="dxa"/>
                  <w:vAlign w:val="center"/>
                </w:tcPr>
                <w:p>
                  <w:pPr>
                    <w:pStyle w:val="42"/>
                  </w:pPr>
                  <w:r>
                    <w:t>面积（km²）</w:t>
                  </w:r>
                </w:p>
              </w:tc>
              <w:tc>
                <w:tcPr>
                  <w:tcW w:w="1172" w:type="dxa"/>
                  <w:vAlign w:val="center"/>
                </w:tcPr>
                <w:p>
                  <w:pPr>
                    <w:pStyle w:val="42"/>
                  </w:pPr>
                  <w:r>
                    <w:t>类别编码</w:t>
                  </w:r>
                </w:p>
              </w:tc>
              <w:tc>
                <w:tcPr>
                  <w:tcW w:w="1300" w:type="dxa"/>
                  <w:vAlign w:val="center"/>
                </w:tcPr>
                <w:p>
                  <w:pPr>
                    <w:pStyle w:val="42"/>
                  </w:pPr>
                  <w:r>
                    <w:t>类别名称</w:t>
                  </w:r>
                </w:p>
              </w:tc>
              <w:tc>
                <w:tcPr>
                  <w:tcW w:w="1461" w:type="dxa"/>
                  <w:vAlign w:val="center"/>
                </w:tcPr>
                <w:p>
                  <w:pPr>
                    <w:pStyle w:val="42"/>
                  </w:pPr>
                  <w:r>
                    <w:t>面积（km²）</w:t>
                  </w:r>
                </w:p>
              </w:tc>
              <w:tc>
                <w:tcPr>
                  <w:tcW w:w="1257" w:type="dxa"/>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restart"/>
                  <w:vAlign w:val="center"/>
                </w:tcPr>
                <w:p>
                  <w:pPr>
                    <w:pStyle w:val="42"/>
                  </w:pPr>
                  <w:r>
                    <w:t>1</w:t>
                  </w:r>
                </w:p>
              </w:tc>
              <w:tc>
                <w:tcPr>
                  <w:tcW w:w="1173" w:type="dxa"/>
                  <w:vMerge w:val="restart"/>
                  <w:vAlign w:val="center"/>
                </w:tcPr>
                <w:p>
                  <w:pPr>
                    <w:pStyle w:val="42"/>
                  </w:pPr>
                  <w:r>
                    <w:t>耕地</w:t>
                  </w:r>
                </w:p>
              </w:tc>
              <w:tc>
                <w:tcPr>
                  <w:tcW w:w="1480" w:type="dxa"/>
                  <w:vMerge w:val="restart"/>
                  <w:vAlign w:val="center"/>
                </w:tcPr>
                <w:p>
                  <w:pPr>
                    <w:pStyle w:val="42"/>
                  </w:pPr>
                  <w:r>
                    <w:t>1103.69</w:t>
                  </w:r>
                </w:p>
              </w:tc>
              <w:tc>
                <w:tcPr>
                  <w:tcW w:w="1172" w:type="dxa"/>
                  <w:vAlign w:val="center"/>
                </w:tcPr>
                <w:p>
                  <w:pPr>
                    <w:pStyle w:val="42"/>
                  </w:pPr>
                  <w:r>
                    <w:t>11</w:t>
                  </w:r>
                </w:p>
              </w:tc>
              <w:tc>
                <w:tcPr>
                  <w:tcW w:w="1300" w:type="dxa"/>
                  <w:vAlign w:val="center"/>
                </w:tcPr>
                <w:p>
                  <w:pPr>
                    <w:pStyle w:val="42"/>
                  </w:pPr>
                  <w:r>
                    <w:t>水田</w:t>
                  </w:r>
                </w:p>
              </w:tc>
              <w:tc>
                <w:tcPr>
                  <w:tcW w:w="1461" w:type="dxa"/>
                  <w:vAlign w:val="center"/>
                </w:tcPr>
                <w:p>
                  <w:pPr>
                    <w:pStyle w:val="42"/>
                  </w:pPr>
                  <w:r>
                    <w:t>240.83</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13</w:t>
                  </w:r>
                </w:p>
              </w:tc>
              <w:tc>
                <w:tcPr>
                  <w:tcW w:w="1300" w:type="dxa"/>
                  <w:vAlign w:val="center"/>
                </w:tcPr>
                <w:p>
                  <w:pPr>
                    <w:pStyle w:val="42"/>
                  </w:pPr>
                  <w:r>
                    <w:t>旱地</w:t>
                  </w:r>
                </w:p>
              </w:tc>
              <w:tc>
                <w:tcPr>
                  <w:tcW w:w="1461" w:type="dxa"/>
                  <w:vAlign w:val="center"/>
                </w:tcPr>
                <w:p>
                  <w:pPr>
                    <w:pStyle w:val="42"/>
                  </w:pPr>
                  <w:r>
                    <w:t>862.87</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restart"/>
                  <w:vAlign w:val="center"/>
                </w:tcPr>
                <w:p>
                  <w:pPr>
                    <w:pStyle w:val="42"/>
                  </w:pPr>
                  <w:r>
                    <w:t>2</w:t>
                  </w:r>
                </w:p>
              </w:tc>
              <w:tc>
                <w:tcPr>
                  <w:tcW w:w="1173" w:type="dxa"/>
                  <w:vMerge w:val="restart"/>
                  <w:vAlign w:val="center"/>
                </w:tcPr>
                <w:p>
                  <w:pPr>
                    <w:pStyle w:val="42"/>
                  </w:pPr>
                  <w:r>
                    <w:t>园地</w:t>
                  </w:r>
                </w:p>
              </w:tc>
              <w:tc>
                <w:tcPr>
                  <w:tcW w:w="1480" w:type="dxa"/>
                  <w:vMerge w:val="restart"/>
                  <w:vAlign w:val="center"/>
                </w:tcPr>
                <w:p>
                  <w:pPr>
                    <w:pStyle w:val="42"/>
                  </w:pPr>
                  <w:r>
                    <w:t>20.90</w:t>
                  </w:r>
                </w:p>
              </w:tc>
              <w:tc>
                <w:tcPr>
                  <w:tcW w:w="1172" w:type="dxa"/>
                  <w:vAlign w:val="center"/>
                </w:tcPr>
                <w:p>
                  <w:pPr>
                    <w:pStyle w:val="42"/>
                  </w:pPr>
                  <w:r>
                    <w:t>21</w:t>
                  </w:r>
                </w:p>
              </w:tc>
              <w:tc>
                <w:tcPr>
                  <w:tcW w:w="1300" w:type="dxa"/>
                  <w:vAlign w:val="center"/>
                </w:tcPr>
                <w:p>
                  <w:pPr>
                    <w:pStyle w:val="42"/>
                  </w:pPr>
                  <w:r>
                    <w:t>果园</w:t>
                  </w:r>
                </w:p>
              </w:tc>
              <w:tc>
                <w:tcPr>
                  <w:tcW w:w="1461" w:type="dxa"/>
                  <w:vAlign w:val="center"/>
                </w:tcPr>
                <w:p>
                  <w:pPr>
                    <w:pStyle w:val="42"/>
                  </w:pPr>
                  <w:r>
                    <w:t>5.07</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22</w:t>
                  </w:r>
                </w:p>
              </w:tc>
              <w:tc>
                <w:tcPr>
                  <w:tcW w:w="1300" w:type="dxa"/>
                  <w:vAlign w:val="center"/>
                </w:tcPr>
                <w:p>
                  <w:pPr>
                    <w:pStyle w:val="42"/>
                  </w:pPr>
                  <w:r>
                    <w:t>茶园</w:t>
                  </w:r>
                </w:p>
              </w:tc>
              <w:tc>
                <w:tcPr>
                  <w:tcW w:w="1461" w:type="dxa"/>
                  <w:vAlign w:val="center"/>
                </w:tcPr>
                <w:p>
                  <w:pPr>
                    <w:pStyle w:val="42"/>
                  </w:pPr>
                  <w:r>
                    <w:t>2.73</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23</w:t>
                  </w:r>
                </w:p>
              </w:tc>
              <w:tc>
                <w:tcPr>
                  <w:tcW w:w="1300" w:type="dxa"/>
                  <w:vAlign w:val="center"/>
                </w:tcPr>
                <w:p>
                  <w:pPr>
                    <w:pStyle w:val="42"/>
                  </w:pPr>
                  <w:r>
                    <w:t>其他园地</w:t>
                  </w:r>
                </w:p>
              </w:tc>
              <w:tc>
                <w:tcPr>
                  <w:tcW w:w="1461" w:type="dxa"/>
                  <w:vAlign w:val="center"/>
                </w:tcPr>
                <w:p>
                  <w:pPr>
                    <w:pStyle w:val="42"/>
                  </w:pPr>
                  <w:r>
                    <w:t>13.09</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restart"/>
                  <w:vAlign w:val="center"/>
                </w:tcPr>
                <w:p>
                  <w:pPr>
                    <w:pStyle w:val="42"/>
                  </w:pPr>
                  <w:r>
                    <w:t>3</w:t>
                  </w:r>
                </w:p>
              </w:tc>
              <w:tc>
                <w:tcPr>
                  <w:tcW w:w="1173" w:type="dxa"/>
                  <w:vMerge w:val="restart"/>
                  <w:vAlign w:val="center"/>
                </w:tcPr>
                <w:p>
                  <w:pPr>
                    <w:pStyle w:val="42"/>
                  </w:pPr>
                  <w:r>
                    <w:t>林地</w:t>
                  </w:r>
                </w:p>
              </w:tc>
              <w:tc>
                <w:tcPr>
                  <w:tcW w:w="1480" w:type="dxa"/>
                  <w:vMerge w:val="restart"/>
                  <w:vAlign w:val="center"/>
                </w:tcPr>
                <w:p>
                  <w:pPr>
                    <w:pStyle w:val="42"/>
                  </w:pPr>
                  <w:r>
                    <w:t>3185.33</w:t>
                  </w:r>
                </w:p>
              </w:tc>
              <w:tc>
                <w:tcPr>
                  <w:tcW w:w="1172" w:type="dxa"/>
                  <w:vAlign w:val="center"/>
                </w:tcPr>
                <w:p>
                  <w:pPr>
                    <w:pStyle w:val="42"/>
                  </w:pPr>
                  <w:r>
                    <w:t>31</w:t>
                  </w:r>
                </w:p>
              </w:tc>
              <w:tc>
                <w:tcPr>
                  <w:tcW w:w="1300" w:type="dxa"/>
                  <w:vAlign w:val="center"/>
                </w:tcPr>
                <w:p>
                  <w:pPr>
                    <w:pStyle w:val="42"/>
                  </w:pPr>
                  <w:r>
                    <w:t>有林地</w:t>
                  </w:r>
                </w:p>
              </w:tc>
              <w:tc>
                <w:tcPr>
                  <w:tcW w:w="1461" w:type="dxa"/>
                  <w:vAlign w:val="center"/>
                </w:tcPr>
                <w:p>
                  <w:pPr>
                    <w:pStyle w:val="42"/>
                  </w:pPr>
                  <w:r>
                    <w:t>1338.79</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32</w:t>
                  </w:r>
                </w:p>
              </w:tc>
              <w:tc>
                <w:tcPr>
                  <w:tcW w:w="1300" w:type="dxa"/>
                  <w:vAlign w:val="center"/>
                </w:tcPr>
                <w:p>
                  <w:pPr>
                    <w:pStyle w:val="42"/>
                  </w:pPr>
                  <w:r>
                    <w:t>灌木林地</w:t>
                  </w:r>
                </w:p>
              </w:tc>
              <w:tc>
                <w:tcPr>
                  <w:tcW w:w="1461" w:type="dxa"/>
                  <w:vAlign w:val="center"/>
                </w:tcPr>
                <w:p>
                  <w:pPr>
                    <w:pStyle w:val="42"/>
                  </w:pPr>
                  <w:r>
                    <w:t>1600.19</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33</w:t>
                  </w:r>
                </w:p>
              </w:tc>
              <w:tc>
                <w:tcPr>
                  <w:tcW w:w="1300" w:type="dxa"/>
                  <w:vAlign w:val="center"/>
                </w:tcPr>
                <w:p>
                  <w:pPr>
                    <w:pStyle w:val="42"/>
                  </w:pPr>
                  <w:r>
                    <w:t>其他林地</w:t>
                  </w:r>
                </w:p>
              </w:tc>
              <w:tc>
                <w:tcPr>
                  <w:tcW w:w="1461" w:type="dxa"/>
                  <w:vAlign w:val="center"/>
                </w:tcPr>
                <w:p>
                  <w:pPr>
                    <w:pStyle w:val="42"/>
                  </w:pPr>
                  <w:r>
                    <w:t>246.35</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Align w:val="center"/>
                </w:tcPr>
                <w:p>
                  <w:pPr>
                    <w:pStyle w:val="42"/>
                  </w:pPr>
                  <w:r>
                    <w:t>4</w:t>
                  </w:r>
                </w:p>
              </w:tc>
              <w:tc>
                <w:tcPr>
                  <w:tcW w:w="1173" w:type="dxa"/>
                  <w:vAlign w:val="center"/>
                </w:tcPr>
                <w:p>
                  <w:pPr>
                    <w:pStyle w:val="42"/>
                  </w:pPr>
                  <w:r>
                    <w:t>草地</w:t>
                  </w:r>
                </w:p>
              </w:tc>
              <w:tc>
                <w:tcPr>
                  <w:tcW w:w="1480" w:type="dxa"/>
                  <w:vAlign w:val="center"/>
                </w:tcPr>
                <w:p>
                  <w:pPr>
                    <w:pStyle w:val="42"/>
                  </w:pPr>
                  <w:r>
                    <w:t>434.41</w:t>
                  </w:r>
                </w:p>
              </w:tc>
              <w:tc>
                <w:tcPr>
                  <w:tcW w:w="1172" w:type="dxa"/>
                  <w:vAlign w:val="center"/>
                </w:tcPr>
                <w:p>
                  <w:pPr>
                    <w:pStyle w:val="42"/>
                  </w:pPr>
                  <w:r>
                    <w:t>43</w:t>
                  </w:r>
                </w:p>
              </w:tc>
              <w:tc>
                <w:tcPr>
                  <w:tcW w:w="1300" w:type="dxa"/>
                  <w:vAlign w:val="center"/>
                </w:tcPr>
                <w:p>
                  <w:pPr>
                    <w:pStyle w:val="42"/>
                  </w:pPr>
                  <w:r>
                    <w:t>其他草地</w:t>
                  </w:r>
                </w:p>
              </w:tc>
              <w:tc>
                <w:tcPr>
                  <w:tcW w:w="1461" w:type="dxa"/>
                  <w:vAlign w:val="center"/>
                </w:tcPr>
                <w:p>
                  <w:pPr>
                    <w:pStyle w:val="42"/>
                  </w:pPr>
                  <w:r>
                    <w:t>434.41</w:t>
                  </w:r>
                </w:p>
              </w:tc>
              <w:tc>
                <w:tcPr>
                  <w:tcW w:w="1257" w:type="dxa"/>
                  <w:vAlign w:val="center"/>
                </w:tcPr>
                <w:p>
                  <w:pPr>
                    <w:pStyle w:val="42"/>
                  </w:pPr>
                  <w:r>
                    <w:t>未利用地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restart"/>
                  <w:vAlign w:val="center"/>
                </w:tcPr>
                <w:p>
                  <w:pPr>
                    <w:pStyle w:val="42"/>
                  </w:pPr>
                  <w:r>
                    <w:t>20</w:t>
                  </w:r>
                </w:p>
              </w:tc>
              <w:tc>
                <w:tcPr>
                  <w:tcW w:w="1173" w:type="dxa"/>
                  <w:vMerge w:val="restart"/>
                  <w:vAlign w:val="center"/>
                </w:tcPr>
                <w:p>
                  <w:pPr>
                    <w:pStyle w:val="42"/>
                  </w:pPr>
                  <w:r>
                    <w:t>城镇村及工矿用地</w:t>
                  </w:r>
                </w:p>
              </w:tc>
              <w:tc>
                <w:tcPr>
                  <w:tcW w:w="1480" w:type="dxa"/>
                  <w:vMerge w:val="restart"/>
                  <w:vAlign w:val="center"/>
                </w:tcPr>
                <w:p>
                  <w:pPr>
                    <w:pStyle w:val="42"/>
                  </w:pPr>
                  <w:r>
                    <w:t>121.70</w:t>
                  </w:r>
                </w:p>
              </w:tc>
              <w:tc>
                <w:tcPr>
                  <w:tcW w:w="1172" w:type="dxa"/>
                  <w:vAlign w:val="center"/>
                </w:tcPr>
                <w:p>
                  <w:pPr>
                    <w:pStyle w:val="42"/>
                  </w:pPr>
                  <w:r>
                    <w:t>201</w:t>
                  </w:r>
                </w:p>
              </w:tc>
              <w:tc>
                <w:tcPr>
                  <w:tcW w:w="1300" w:type="dxa"/>
                  <w:vAlign w:val="center"/>
                </w:tcPr>
                <w:p>
                  <w:pPr>
                    <w:pStyle w:val="42"/>
                  </w:pPr>
                  <w:r>
                    <w:t>城市</w:t>
                  </w:r>
                </w:p>
              </w:tc>
              <w:tc>
                <w:tcPr>
                  <w:tcW w:w="1461" w:type="dxa"/>
                  <w:vAlign w:val="center"/>
                </w:tcPr>
                <w:p>
                  <w:pPr>
                    <w:pStyle w:val="42"/>
                  </w:pPr>
                  <w:r>
                    <w:t>3.02</w:t>
                  </w:r>
                </w:p>
              </w:tc>
              <w:tc>
                <w:tcPr>
                  <w:tcW w:w="1257" w:type="dxa"/>
                  <w:vAlign w:val="center"/>
                </w:tcPr>
                <w:p>
                  <w:pPr>
                    <w:pStyle w:val="42"/>
                  </w:pPr>
                  <w: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202</w:t>
                  </w:r>
                </w:p>
              </w:tc>
              <w:tc>
                <w:tcPr>
                  <w:tcW w:w="1300" w:type="dxa"/>
                  <w:vAlign w:val="center"/>
                </w:tcPr>
                <w:p>
                  <w:pPr>
                    <w:pStyle w:val="42"/>
                  </w:pPr>
                  <w:r>
                    <w:t>建制镇</w:t>
                  </w:r>
                </w:p>
              </w:tc>
              <w:tc>
                <w:tcPr>
                  <w:tcW w:w="1461" w:type="dxa"/>
                  <w:vAlign w:val="center"/>
                </w:tcPr>
                <w:p>
                  <w:pPr>
                    <w:pStyle w:val="42"/>
                  </w:pPr>
                  <w:r>
                    <w:t>15.90</w:t>
                  </w:r>
                </w:p>
              </w:tc>
              <w:tc>
                <w:tcPr>
                  <w:tcW w:w="1257" w:type="dxa"/>
                  <w:vAlign w:val="center"/>
                </w:tcPr>
                <w:p>
                  <w:pPr>
                    <w:pStyle w:val="42"/>
                  </w:pPr>
                  <w: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203</w:t>
                  </w:r>
                </w:p>
              </w:tc>
              <w:tc>
                <w:tcPr>
                  <w:tcW w:w="1300" w:type="dxa"/>
                  <w:vAlign w:val="center"/>
                </w:tcPr>
                <w:p>
                  <w:pPr>
                    <w:pStyle w:val="42"/>
                  </w:pPr>
                  <w:r>
                    <w:t>村庄</w:t>
                  </w:r>
                </w:p>
              </w:tc>
              <w:tc>
                <w:tcPr>
                  <w:tcW w:w="1461" w:type="dxa"/>
                  <w:vAlign w:val="center"/>
                </w:tcPr>
                <w:p>
                  <w:pPr>
                    <w:pStyle w:val="42"/>
                  </w:pPr>
                  <w:r>
                    <w:t>102.95</w:t>
                  </w:r>
                </w:p>
              </w:tc>
              <w:tc>
                <w:tcPr>
                  <w:tcW w:w="1257" w:type="dxa"/>
                  <w:vAlign w:val="center"/>
                </w:tcPr>
                <w:p>
                  <w:pPr>
                    <w:pStyle w:val="42"/>
                  </w:pPr>
                  <w: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204</w:t>
                  </w:r>
                </w:p>
              </w:tc>
              <w:tc>
                <w:tcPr>
                  <w:tcW w:w="1300" w:type="dxa"/>
                  <w:vAlign w:val="center"/>
                </w:tcPr>
                <w:p>
                  <w:pPr>
                    <w:pStyle w:val="42"/>
                  </w:pPr>
                  <w:r>
                    <w:t>采矿用地</w:t>
                  </w:r>
                </w:p>
              </w:tc>
              <w:tc>
                <w:tcPr>
                  <w:tcW w:w="1461" w:type="dxa"/>
                  <w:vAlign w:val="center"/>
                </w:tcPr>
                <w:p>
                  <w:pPr>
                    <w:pStyle w:val="42"/>
                  </w:pPr>
                  <w:r>
                    <w:t>2.16</w:t>
                  </w:r>
                </w:p>
              </w:tc>
              <w:tc>
                <w:tcPr>
                  <w:tcW w:w="1257" w:type="dxa"/>
                  <w:vAlign w:val="center"/>
                </w:tcPr>
                <w:p>
                  <w:pPr>
                    <w:pStyle w:val="42"/>
                  </w:pPr>
                  <w: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205</w:t>
                  </w:r>
                </w:p>
              </w:tc>
              <w:tc>
                <w:tcPr>
                  <w:tcW w:w="1300" w:type="dxa"/>
                  <w:vAlign w:val="center"/>
                </w:tcPr>
                <w:p>
                  <w:pPr>
                    <w:pStyle w:val="42"/>
                  </w:pPr>
                  <w:r>
                    <w:t>风景名胜及特殊用地</w:t>
                  </w:r>
                </w:p>
              </w:tc>
              <w:tc>
                <w:tcPr>
                  <w:tcW w:w="1461" w:type="dxa"/>
                  <w:vAlign w:val="center"/>
                </w:tcPr>
                <w:p>
                  <w:pPr>
                    <w:pStyle w:val="42"/>
                  </w:pPr>
                  <w:r>
                    <w:t>0.69</w:t>
                  </w:r>
                </w:p>
              </w:tc>
              <w:tc>
                <w:tcPr>
                  <w:tcW w:w="1257" w:type="dxa"/>
                  <w:vAlign w:val="center"/>
                </w:tcPr>
                <w:p>
                  <w:pPr>
                    <w:pStyle w:val="42"/>
                  </w:pPr>
                  <w: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restart"/>
                  <w:vAlign w:val="center"/>
                </w:tcPr>
                <w:p>
                  <w:pPr>
                    <w:pStyle w:val="42"/>
                  </w:pPr>
                  <w:r>
                    <w:t>10</w:t>
                  </w:r>
                </w:p>
              </w:tc>
              <w:tc>
                <w:tcPr>
                  <w:tcW w:w="1173" w:type="dxa"/>
                  <w:vMerge w:val="restart"/>
                  <w:vAlign w:val="center"/>
                </w:tcPr>
                <w:p>
                  <w:pPr>
                    <w:pStyle w:val="42"/>
                  </w:pPr>
                  <w:r>
                    <w:t>交通运输用地</w:t>
                  </w:r>
                </w:p>
              </w:tc>
              <w:tc>
                <w:tcPr>
                  <w:tcW w:w="1480" w:type="dxa"/>
                  <w:vMerge w:val="restart"/>
                  <w:vAlign w:val="center"/>
                </w:tcPr>
                <w:p>
                  <w:pPr>
                    <w:pStyle w:val="42"/>
                  </w:pPr>
                  <w:r>
                    <w:t>33.88</w:t>
                  </w:r>
                </w:p>
              </w:tc>
              <w:tc>
                <w:tcPr>
                  <w:tcW w:w="1172" w:type="dxa"/>
                  <w:vAlign w:val="center"/>
                </w:tcPr>
                <w:p>
                  <w:pPr>
                    <w:pStyle w:val="42"/>
                  </w:pPr>
                  <w:r>
                    <w:t>101</w:t>
                  </w:r>
                </w:p>
              </w:tc>
              <w:tc>
                <w:tcPr>
                  <w:tcW w:w="1300" w:type="dxa"/>
                  <w:vAlign w:val="center"/>
                </w:tcPr>
                <w:p>
                  <w:pPr>
                    <w:pStyle w:val="42"/>
                  </w:pPr>
                  <w:r>
                    <w:t>铁路用地</w:t>
                  </w:r>
                </w:p>
              </w:tc>
              <w:tc>
                <w:tcPr>
                  <w:tcW w:w="1461" w:type="dxa"/>
                  <w:vAlign w:val="center"/>
                </w:tcPr>
                <w:p>
                  <w:pPr>
                    <w:pStyle w:val="42"/>
                  </w:pPr>
                  <w:r>
                    <w:t>1.76</w:t>
                  </w:r>
                </w:p>
              </w:tc>
              <w:tc>
                <w:tcPr>
                  <w:tcW w:w="1257" w:type="dxa"/>
                  <w:vAlign w:val="center"/>
                </w:tcPr>
                <w:p>
                  <w:pPr>
                    <w:pStyle w:val="42"/>
                  </w:pPr>
                  <w: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102</w:t>
                  </w:r>
                </w:p>
              </w:tc>
              <w:tc>
                <w:tcPr>
                  <w:tcW w:w="1300" w:type="dxa"/>
                  <w:vAlign w:val="center"/>
                </w:tcPr>
                <w:p>
                  <w:pPr>
                    <w:pStyle w:val="42"/>
                  </w:pPr>
                  <w:r>
                    <w:t>公路用地</w:t>
                  </w:r>
                </w:p>
              </w:tc>
              <w:tc>
                <w:tcPr>
                  <w:tcW w:w="1461" w:type="dxa"/>
                  <w:vAlign w:val="center"/>
                </w:tcPr>
                <w:p>
                  <w:pPr>
                    <w:pStyle w:val="42"/>
                  </w:pPr>
                  <w:r>
                    <w:t>14.80</w:t>
                  </w:r>
                </w:p>
              </w:tc>
              <w:tc>
                <w:tcPr>
                  <w:tcW w:w="1257" w:type="dxa"/>
                  <w:vAlign w:val="center"/>
                </w:tcPr>
                <w:p>
                  <w:pPr>
                    <w:pStyle w:val="42"/>
                  </w:pPr>
                  <w: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104</w:t>
                  </w:r>
                </w:p>
              </w:tc>
              <w:tc>
                <w:tcPr>
                  <w:tcW w:w="1300" w:type="dxa"/>
                  <w:vAlign w:val="center"/>
                </w:tcPr>
                <w:p>
                  <w:pPr>
                    <w:pStyle w:val="42"/>
                  </w:pPr>
                  <w:r>
                    <w:t>农村道路</w:t>
                  </w:r>
                </w:p>
              </w:tc>
              <w:tc>
                <w:tcPr>
                  <w:tcW w:w="1461" w:type="dxa"/>
                  <w:vAlign w:val="center"/>
                </w:tcPr>
                <w:p>
                  <w:pPr>
                    <w:pStyle w:val="42"/>
                  </w:pPr>
                  <w:r>
                    <w:t>17.32</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107</w:t>
                  </w:r>
                </w:p>
              </w:tc>
              <w:tc>
                <w:tcPr>
                  <w:tcW w:w="1300" w:type="dxa"/>
                  <w:vAlign w:val="center"/>
                </w:tcPr>
                <w:p>
                  <w:pPr>
                    <w:pStyle w:val="42"/>
                  </w:pPr>
                  <w:r>
                    <w:t>管道运输用地</w:t>
                  </w:r>
                </w:p>
              </w:tc>
              <w:tc>
                <w:tcPr>
                  <w:tcW w:w="1461" w:type="dxa"/>
                  <w:vAlign w:val="center"/>
                </w:tcPr>
                <w:p>
                  <w:pPr>
                    <w:pStyle w:val="42"/>
                  </w:pPr>
                  <w:r>
                    <w:t>0</w:t>
                  </w:r>
                </w:p>
              </w:tc>
              <w:tc>
                <w:tcPr>
                  <w:tcW w:w="1257" w:type="dxa"/>
                  <w:vAlign w:val="center"/>
                </w:tcPr>
                <w:p>
                  <w:pPr>
                    <w:pStyle w:val="42"/>
                  </w:pPr>
                  <w: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restart"/>
                  <w:vAlign w:val="center"/>
                </w:tcPr>
                <w:p>
                  <w:pPr>
                    <w:pStyle w:val="42"/>
                  </w:pPr>
                  <w:r>
                    <w:t>11</w:t>
                  </w:r>
                </w:p>
              </w:tc>
              <w:tc>
                <w:tcPr>
                  <w:tcW w:w="1173" w:type="dxa"/>
                  <w:vMerge w:val="restart"/>
                  <w:vAlign w:val="center"/>
                </w:tcPr>
                <w:p>
                  <w:pPr>
                    <w:pStyle w:val="42"/>
                  </w:pPr>
                  <w:r>
                    <w:t>水域及水利设施用地</w:t>
                  </w:r>
                </w:p>
              </w:tc>
              <w:tc>
                <w:tcPr>
                  <w:tcW w:w="1480" w:type="dxa"/>
                  <w:vMerge w:val="restart"/>
                  <w:vAlign w:val="center"/>
                </w:tcPr>
                <w:p>
                  <w:pPr>
                    <w:pStyle w:val="42"/>
                  </w:pPr>
                  <w:r>
                    <w:t>59.54</w:t>
                  </w:r>
                </w:p>
              </w:tc>
              <w:tc>
                <w:tcPr>
                  <w:tcW w:w="1172" w:type="dxa"/>
                  <w:vAlign w:val="center"/>
                </w:tcPr>
                <w:p>
                  <w:pPr>
                    <w:pStyle w:val="42"/>
                  </w:pPr>
                  <w:r>
                    <w:t>111</w:t>
                  </w:r>
                </w:p>
              </w:tc>
              <w:tc>
                <w:tcPr>
                  <w:tcW w:w="1300" w:type="dxa"/>
                  <w:vAlign w:val="center"/>
                </w:tcPr>
                <w:p>
                  <w:pPr>
                    <w:pStyle w:val="42"/>
                  </w:pPr>
                  <w:r>
                    <w:t>河流水面</w:t>
                  </w:r>
                </w:p>
              </w:tc>
              <w:tc>
                <w:tcPr>
                  <w:tcW w:w="1461" w:type="dxa"/>
                  <w:vAlign w:val="center"/>
                </w:tcPr>
                <w:p>
                  <w:pPr>
                    <w:pStyle w:val="42"/>
                  </w:pPr>
                  <w:r>
                    <w:t>44.76</w:t>
                  </w:r>
                </w:p>
              </w:tc>
              <w:tc>
                <w:tcPr>
                  <w:tcW w:w="1257" w:type="dxa"/>
                  <w:vAlign w:val="center"/>
                </w:tcPr>
                <w:p>
                  <w:pPr>
                    <w:pStyle w:val="42"/>
                  </w:pPr>
                  <w:r>
                    <w:t>未利用地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113</w:t>
                  </w:r>
                </w:p>
              </w:tc>
              <w:tc>
                <w:tcPr>
                  <w:tcW w:w="1300" w:type="dxa"/>
                  <w:vAlign w:val="center"/>
                </w:tcPr>
                <w:p>
                  <w:pPr>
                    <w:pStyle w:val="42"/>
                  </w:pPr>
                  <w:r>
                    <w:t>水库水面</w:t>
                  </w:r>
                </w:p>
              </w:tc>
              <w:tc>
                <w:tcPr>
                  <w:tcW w:w="1461" w:type="dxa"/>
                  <w:vAlign w:val="center"/>
                </w:tcPr>
                <w:p>
                  <w:pPr>
                    <w:pStyle w:val="42"/>
                  </w:pPr>
                  <w:r>
                    <w:t>10.80</w:t>
                  </w:r>
                </w:p>
              </w:tc>
              <w:tc>
                <w:tcPr>
                  <w:tcW w:w="1257" w:type="dxa"/>
                  <w:vAlign w:val="center"/>
                </w:tcPr>
                <w:p>
                  <w:pPr>
                    <w:pStyle w:val="42"/>
                  </w:pPr>
                  <w: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114</w:t>
                  </w:r>
                </w:p>
              </w:tc>
              <w:tc>
                <w:tcPr>
                  <w:tcW w:w="1300" w:type="dxa"/>
                  <w:vAlign w:val="center"/>
                </w:tcPr>
                <w:p>
                  <w:pPr>
                    <w:pStyle w:val="42"/>
                  </w:pPr>
                  <w:r>
                    <w:t>坑塘水面</w:t>
                  </w:r>
                </w:p>
              </w:tc>
              <w:tc>
                <w:tcPr>
                  <w:tcW w:w="1461" w:type="dxa"/>
                  <w:vAlign w:val="center"/>
                </w:tcPr>
                <w:p>
                  <w:pPr>
                    <w:pStyle w:val="42"/>
                  </w:pPr>
                  <w:r>
                    <w:t>0.79</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116</w:t>
                  </w:r>
                </w:p>
              </w:tc>
              <w:tc>
                <w:tcPr>
                  <w:tcW w:w="1300" w:type="dxa"/>
                  <w:vAlign w:val="center"/>
                </w:tcPr>
                <w:p>
                  <w:pPr>
                    <w:pStyle w:val="42"/>
                  </w:pPr>
                  <w:r>
                    <w:t>内陆滩涂</w:t>
                  </w:r>
                </w:p>
              </w:tc>
              <w:tc>
                <w:tcPr>
                  <w:tcW w:w="1461" w:type="dxa"/>
                  <w:vAlign w:val="center"/>
                </w:tcPr>
                <w:p>
                  <w:pPr>
                    <w:pStyle w:val="42"/>
                  </w:pPr>
                  <w:r>
                    <w:t>0.87</w:t>
                  </w:r>
                </w:p>
              </w:tc>
              <w:tc>
                <w:tcPr>
                  <w:tcW w:w="1257" w:type="dxa"/>
                  <w:vAlign w:val="center"/>
                </w:tcPr>
                <w:p>
                  <w:pPr>
                    <w:pStyle w:val="42"/>
                  </w:pPr>
                  <w:r>
                    <w:t>未利用地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117</w:t>
                  </w:r>
                </w:p>
              </w:tc>
              <w:tc>
                <w:tcPr>
                  <w:tcW w:w="1300" w:type="dxa"/>
                  <w:vAlign w:val="center"/>
                </w:tcPr>
                <w:p>
                  <w:pPr>
                    <w:pStyle w:val="42"/>
                  </w:pPr>
                  <w:r>
                    <w:t>沟渠</w:t>
                  </w:r>
                </w:p>
              </w:tc>
              <w:tc>
                <w:tcPr>
                  <w:tcW w:w="1461" w:type="dxa"/>
                  <w:vAlign w:val="center"/>
                </w:tcPr>
                <w:p>
                  <w:pPr>
                    <w:pStyle w:val="42"/>
                  </w:pPr>
                  <w:r>
                    <w:t>1.67</w:t>
                  </w:r>
                </w:p>
              </w:tc>
              <w:tc>
                <w:tcPr>
                  <w:tcW w:w="1257" w:type="dxa"/>
                  <w:vAlign w:val="center"/>
                </w:tcPr>
                <w:p>
                  <w:pPr>
                    <w:pStyle w:val="42"/>
                  </w:pPr>
                  <w: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118</w:t>
                  </w:r>
                </w:p>
              </w:tc>
              <w:tc>
                <w:tcPr>
                  <w:tcW w:w="1300" w:type="dxa"/>
                  <w:vAlign w:val="center"/>
                </w:tcPr>
                <w:p>
                  <w:pPr>
                    <w:pStyle w:val="42"/>
                  </w:pPr>
                  <w:r>
                    <w:t>水工建筑用地</w:t>
                  </w:r>
                </w:p>
              </w:tc>
              <w:tc>
                <w:tcPr>
                  <w:tcW w:w="1461" w:type="dxa"/>
                  <w:vAlign w:val="center"/>
                </w:tcPr>
                <w:p>
                  <w:pPr>
                    <w:pStyle w:val="42"/>
                  </w:pPr>
                  <w:r>
                    <w:t>0.66</w:t>
                  </w:r>
                </w:p>
              </w:tc>
              <w:tc>
                <w:tcPr>
                  <w:tcW w:w="1257" w:type="dxa"/>
                  <w:vAlign w:val="center"/>
                </w:tcPr>
                <w:p>
                  <w:pPr>
                    <w:pStyle w:val="42"/>
                  </w:pPr>
                  <w: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restart"/>
                  <w:vAlign w:val="center"/>
                </w:tcPr>
                <w:p>
                  <w:pPr>
                    <w:pStyle w:val="42"/>
                  </w:pPr>
                  <w:r>
                    <w:t>12</w:t>
                  </w:r>
                </w:p>
              </w:tc>
              <w:tc>
                <w:tcPr>
                  <w:tcW w:w="1173" w:type="dxa"/>
                  <w:vMerge w:val="restart"/>
                  <w:vAlign w:val="center"/>
                </w:tcPr>
                <w:p>
                  <w:pPr>
                    <w:pStyle w:val="42"/>
                  </w:pPr>
                  <w:r>
                    <w:t>其他土地</w:t>
                  </w:r>
                </w:p>
              </w:tc>
              <w:tc>
                <w:tcPr>
                  <w:tcW w:w="1480" w:type="dxa"/>
                  <w:vMerge w:val="restart"/>
                  <w:vAlign w:val="center"/>
                </w:tcPr>
                <w:p>
                  <w:pPr>
                    <w:pStyle w:val="42"/>
                  </w:pPr>
                  <w:r>
                    <w:t>207.79</w:t>
                  </w:r>
                </w:p>
              </w:tc>
              <w:tc>
                <w:tcPr>
                  <w:tcW w:w="1172" w:type="dxa"/>
                  <w:vAlign w:val="center"/>
                </w:tcPr>
                <w:p>
                  <w:pPr>
                    <w:pStyle w:val="42"/>
                  </w:pPr>
                  <w:r>
                    <w:t>122</w:t>
                  </w:r>
                </w:p>
              </w:tc>
              <w:tc>
                <w:tcPr>
                  <w:tcW w:w="1300" w:type="dxa"/>
                  <w:vAlign w:val="center"/>
                </w:tcPr>
                <w:p>
                  <w:pPr>
                    <w:pStyle w:val="42"/>
                  </w:pPr>
                  <w:r>
                    <w:t>设施农用地</w:t>
                  </w:r>
                </w:p>
              </w:tc>
              <w:tc>
                <w:tcPr>
                  <w:tcW w:w="1461" w:type="dxa"/>
                  <w:vAlign w:val="center"/>
                </w:tcPr>
                <w:p>
                  <w:pPr>
                    <w:pStyle w:val="42"/>
                  </w:pPr>
                  <w:r>
                    <w:t>0.90</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123</w:t>
                  </w:r>
                </w:p>
              </w:tc>
              <w:tc>
                <w:tcPr>
                  <w:tcW w:w="1300" w:type="dxa"/>
                  <w:vAlign w:val="center"/>
                </w:tcPr>
                <w:p>
                  <w:pPr>
                    <w:pStyle w:val="42"/>
                  </w:pPr>
                  <w:r>
                    <w:t>田坎</w:t>
                  </w:r>
                </w:p>
              </w:tc>
              <w:tc>
                <w:tcPr>
                  <w:tcW w:w="1461" w:type="dxa"/>
                  <w:vAlign w:val="center"/>
                </w:tcPr>
                <w:p>
                  <w:pPr>
                    <w:pStyle w:val="42"/>
                  </w:pPr>
                  <w:r>
                    <w:t>203.60</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127</w:t>
                  </w:r>
                </w:p>
              </w:tc>
              <w:tc>
                <w:tcPr>
                  <w:tcW w:w="1300" w:type="dxa"/>
                  <w:vAlign w:val="center"/>
                </w:tcPr>
                <w:p>
                  <w:pPr>
                    <w:pStyle w:val="42"/>
                  </w:pPr>
                  <w:r>
                    <w:t>裸地</w:t>
                  </w:r>
                </w:p>
              </w:tc>
              <w:tc>
                <w:tcPr>
                  <w:tcW w:w="1461" w:type="dxa"/>
                  <w:vAlign w:val="center"/>
                </w:tcPr>
                <w:p>
                  <w:pPr>
                    <w:pStyle w:val="42"/>
                  </w:pPr>
                  <w:r>
                    <w:t>0.27</w:t>
                  </w:r>
                </w:p>
              </w:tc>
              <w:tc>
                <w:tcPr>
                  <w:tcW w:w="1257" w:type="dxa"/>
                  <w:vAlign w:val="center"/>
                </w:tcPr>
                <w:p>
                  <w:pPr>
                    <w:pStyle w:val="42"/>
                  </w:pPr>
                  <w:r>
                    <w:t>未利用地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98" w:type="dxa"/>
                  <w:gridSpan w:val="5"/>
                  <w:vAlign w:val="center"/>
                </w:tcPr>
                <w:p>
                  <w:pPr>
                    <w:pStyle w:val="42"/>
                  </w:pPr>
                  <w:r>
                    <w:t>合计</w:t>
                  </w:r>
                </w:p>
              </w:tc>
              <w:tc>
                <w:tcPr>
                  <w:tcW w:w="1461" w:type="dxa"/>
                  <w:vAlign w:val="center"/>
                </w:tcPr>
                <w:p>
                  <w:pPr>
                    <w:pStyle w:val="42"/>
                  </w:pPr>
                  <w:r>
                    <w:t>5167.25</w:t>
                  </w:r>
                </w:p>
              </w:tc>
              <w:tc>
                <w:tcPr>
                  <w:tcW w:w="1257" w:type="dxa"/>
                  <w:vAlign w:val="center"/>
                </w:tcPr>
                <w:p>
                  <w:pPr>
                    <w:pStyle w:val="42"/>
                  </w:pPr>
                </w:p>
              </w:tc>
            </w:tr>
          </w:tbl>
          <w:p>
            <w:pPr>
              <w:adjustRightInd w:val="0"/>
              <w:snapToGrid w:val="0"/>
              <w:spacing w:line="360" w:lineRule="auto"/>
              <w:ind w:firstLine="482" w:firstLineChars="200"/>
              <w:rPr>
                <w:b/>
                <w:kern w:val="0"/>
                <w:sz w:val="24"/>
              </w:rPr>
            </w:pPr>
            <w:r>
              <w:rPr>
                <w:b/>
                <w:kern w:val="0"/>
                <w:sz w:val="24"/>
              </w:rPr>
              <w:t>4）土壤类型</w:t>
            </w:r>
          </w:p>
          <w:p>
            <w:pPr>
              <w:adjustRightInd w:val="0"/>
              <w:snapToGrid w:val="0"/>
              <w:spacing w:line="360" w:lineRule="auto"/>
              <w:ind w:firstLine="480" w:firstLineChars="200"/>
              <w:rPr>
                <w:kern w:val="0"/>
                <w:sz w:val="24"/>
              </w:rPr>
            </w:pPr>
            <w:r>
              <w:rPr>
                <w:rFonts w:hint="eastAsia"/>
                <w:kern w:val="0"/>
                <w:sz w:val="24"/>
              </w:rPr>
              <w:t>酉阳县土壤类型土壤共分6个土类，分别为水稻土、冲积土、紫色土、黄壤土、黄棕壤、石灰岩土，12个亚类，16个土属，56个土种。其中黄壤所占比例最大，高达67.96%。其成土母质主要为石灰岩风化物，养分含量不高，结构不良，耕性较差，肥力水平不高</w:t>
            </w:r>
            <w:r>
              <w:rPr>
                <w:kern w:val="0"/>
                <w:sz w:val="24"/>
              </w:rPr>
              <w:t>。</w:t>
            </w:r>
          </w:p>
          <w:p>
            <w:pPr>
              <w:adjustRightInd w:val="0"/>
              <w:snapToGrid w:val="0"/>
              <w:spacing w:line="360" w:lineRule="auto"/>
              <w:ind w:firstLine="482" w:firstLineChars="200"/>
              <w:rPr>
                <w:b/>
                <w:kern w:val="0"/>
                <w:sz w:val="24"/>
              </w:rPr>
            </w:pPr>
            <w:r>
              <w:rPr>
                <w:b/>
                <w:kern w:val="0"/>
                <w:sz w:val="24"/>
              </w:rPr>
              <w:t>5）生物多样性</w:t>
            </w:r>
          </w:p>
          <w:p>
            <w:pPr>
              <w:adjustRightInd w:val="0"/>
              <w:snapToGrid w:val="0"/>
              <w:spacing w:line="360" w:lineRule="auto"/>
              <w:ind w:firstLine="480" w:firstLineChars="200"/>
              <w:rPr>
                <w:kern w:val="0"/>
                <w:sz w:val="24"/>
              </w:rPr>
            </w:pPr>
            <w:r>
              <w:rPr>
                <w:rFonts w:hint="eastAsia"/>
                <w:kern w:val="0"/>
                <w:sz w:val="24"/>
              </w:rPr>
              <w:t>依据《中国植被及其地理格局》酉阳县区域植被所在区系为</w:t>
            </w:r>
            <w:r>
              <w:rPr>
                <w:kern w:val="0"/>
                <w:sz w:val="24"/>
              </w:rPr>
              <w:t>Ⅳ</w:t>
            </w:r>
            <w:r>
              <w:rPr>
                <w:rFonts w:hint="eastAsia"/>
                <w:kern w:val="0"/>
                <w:sz w:val="24"/>
              </w:rPr>
              <w:t>亚热带常绿阔叶林区域（</w:t>
            </w:r>
            <w:r>
              <w:rPr>
                <w:kern w:val="0"/>
                <w:sz w:val="24"/>
              </w:rPr>
              <w:t>Ⅳ</w:t>
            </w:r>
            <w:r>
              <w:rPr>
                <w:rFonts w:hint="eastAsia"/>
                <w:kern w:val="0"/>
                <w:sz w:val="24"/>
              </w:rPr>
              <w:t>Aiia-5h七曜山甜槠、宜昌润楠林小区）。</w:t>
            </w:r>
          </w:p>
          <w:p>
            <w:pPr>
              <w:adjustRightInd w:val="0"/>
              <w:snapToGrid w:val="0"/>
              <w:spacing w:line="360" w:lineRule="auto"/>
              <w:ind w:firstLine="480" w:firstLineChars="200"/>
              <w:rPr>
                <w:kern w:val="0"/>
                <w:sz w:val="24"/>
              </w:rPr>
            </w:pPr>
            <w:r>
              <w:rPr>
                <w:rFonts w:hint="eastAsia"/>
                <w:kern w:val="0"/>
                <w:sz w:val="24"/>
              </w:rPr>
              <w:t>酉阳县内主要植被型组为针叶林、阔叶林、灌丛和草丛、栽培植被等四种植被型组。区域内针叶林：主要有马尾松林、杉木林、柏木林等；阔叶林：落叶阔叶林主要有雷公鹅耳枥林、栎类林、亮叶水青冈林等；常绿、落叶阔叶混交林主要为褐叶青冈、包果石栎、亮叶水青冈、雷公鹅耳枥林；竹林主要为慈竹林、毛竹林；灌丛和草丛：落叶阔叶灌丛主要有马桑灌丛、水麻灌丛，常绿阔叶灌丛主要为川莓灌丛、火棘灌丛，灌草丛主要为白茅草丛、芒草丛、白蒿草丛、蕨草丛；栽培植被中经济林以柑橘、核桃为主经济作物，旱地作物以玉米、甘薯、小麦、油菜为主的农作物</w:t>
            </w:r>
            <w:r>
              <w:rPr>
                <w:kern w:val="0"/>
                <w:sz w:val="24"/>
              </w:rPr>
              <w:t>。</w:t>
            </w:r>
          </w:p>
          <w:p>
            <w:pPr>
              <w:adjustRightInd w:val="0"/>
              <w:snapToGrid w:val="0"/>
              <w:spacing w:line="360" w:lineRule="auto"/>
              <w:ind w:firstLine="480" w:firstLineChars="200"/>
              <w:rPr>
                <w:kern w:val="0"/>
                <w:sz w:val="24"/>
              </w:rPr>
            </w:pPr>
            <w:r>
              <w:rPr>
                <w:rFonts w:hint="eastAsia"/>
                <w:kern w:val="0"/>
                <w:sz w:val="24"/>
              </w:rPr>
              <w:t>酉阳县内有兽类5目12科33种、爬行类4目7科14种、两栖类10种、鸟类149种</w:t>
            </w:r>
            <w:r>
              <w:rPr>
                <w:kern w:val="0"/>
                <w:sz w:val="24"/>
              </w:rPr>
              <w:t>。</w:t>
            </w:r>
            <w:r>
              <w:rPr>
                <w:rFonts w:hint="eastAsia"/>
                <w:kern w:val="0"/>
                <w:sz w:val="24"/>
              </w:rPr>
              <w:t>根据调查统计，酉阳县</w:t>
            </w:r>
            <w:r>
              <w:rPr>
                <w:kern w:val="0"/>
                <w:sz w:val="24"/>
              </w:rPr>
              <w:t>有国家Ⅰ级保护植物南方红豆杉、秃杉、珙桐、银杏等，国家Ⅱ级保护植物香果树</w:t>
            </w:r>
            <w:r>
              <w:rPr>
                <w:rFonts w:hint="eastAsia"/>
                <w:kern w:val="0"/>
                <w:sz w:val="24"/>
              </w:rPr>
              <w:t>、</w:t>
            </w:r>
            <w:r>
              <w:rPr>
                <w:kern w:val="0"/>
                <w:sz w:val="24"/>
              </w:rPr>
              <w:t>红椿</w:t>
            </w:r>
            <w:r>
              <w:rPr>
                <w:rFonts w:hint="eastAsia"/>
                <w:kern w:val="0"/>
                <w:sz w:val="24"/>
              </w:rPr>
              <w:t>、</w:t>
            </w:r>
            <w:r>
              <w:rPr>
                <w:kern w:val="0"/>
                <w:sz w:val="24"/>
              </w:rPr>
              <w:t>榉树等</w:t>
            </w:r>
            <w:r>
              <w:rPr>
                <w:rFonts w:hint="eastAsia"/>
                <w:kern w:val="0"/>
                <w:sz w:val="24"/>
              </w:rPr>
              <w:t>；有国家</w:t>
            </w:r>
            <w:r>
              <w:rPr>
                <w:kern w:val="0"/>
                <w:sz w:val="24"/>
              </w:rPr>
              <w:t>Ⅰ</w:t>
            </w:r>
            <w:r>
              <w:rPr>
                <w:rFonts w:hint="eastAsia"/>
                <w:kern w:val="0"/>
                <w:sz w:val="24"/>
              </w:rPr>
              <w:t>级重点保护动物豹、云豹、林麝等，国家</w:t>
            </w:r>
            <w:r>
              <w:rPr>
                <w:kern w:val="0"/>
                <w:sz w:val="24"/>
              </w:rPr>
              <w:t>Ⅱ</w:t>
            </w:r>
            <w:r>
              <w:rPr>
                <w:rFonts w:hint="eastAsia"/>
                <w:kern w:val="0"/>
                <w:sz w:val="24"/>
              </w:rPr>
              <w:t>级重点保护动物大鲵、穿山甲、猕猴、豺、水獭、大灵猫、小灵猫、鬣羚；鸟纲有鸳鸯、红腹角雉、白冠长尾雉、红腹锦鸡、白腹锦鸡、黑耳鸢、白腹鹞、白尾鹞、鹊鹞、松雀鹰、雀鹰、普通鵟、苍鹰、红隼、红脚隼、草鸮、领角鸮、领鸺鹠、斑头鸺鹠、雕鸮、黄脚渔鸮、鹰鸮、长耳鸮、短耳鸮等。酉阳县重点保护野生动植物主要分布在大板营市级自然保护区、三黛沟大鲵县级自然保护区、青华山市级森林公园、翠屏山市级森林公园、巴尔盖国家森林公园、桃花源国家森林公园等环境敏感区内。</w:t>
            </w:r>
          </w:p>
          <w:p>
            <w:pPr>
              <w:adjustRightInd w:val="0"/>
              <w:snapToGrid w:val="0"/>
              <w:spacing w:line="360" w:lineRule="auto"/>
              <w:ind w:firstLine="482" w:firstLineChars="200"/>
              <w:rPr>
                <w:b/>
                <w:kern w:val="0"/>
                <w:sz w:val="24"/>
              </w:rPr>
            </w:pPr>
            <w:r>
              <w:rPr>
                <w:b/>
                <w:kern w:val="0"/>
                <w:sz w:val="24"/>
              </w:rPr>
              <w:t>6）土壤侵蚀现状</w:t>
            </w:r>
          </w:p>
          <w:p>
            <w:pPr>
              <w:adjustRightInd w:val="0"/>
              <w:snapToGrid w:val="0"/>
              <w:spacing w:line="360" w:lineRule="auto"/>
              <w:ind w:firstLine="480" w:firstLineChars="200"/>
              <w:rPr>
                <w:kern w:val="0"/>
                <w:sz w:val="24"/>
              </w:rPr>
            </w:pPr>
            <w:r>
              <w:rPr>
                <w:kern w:val="0"/>
                <w:sz w:val="24"/>
              </w:rPr>
              <w:t>根据《重庆市水土保持公报（202</w:t>
            </w:r>
            <w:r>
              <w:rPr>
                <w:rFonts w:hint="eastAsia"/>
                <w:kern w:val="0"/>
                <w:sz w:val="24"/>
              </w:rPr>
              <w:t>4年</w:t>
            </w:r>
            <w:r>
              <w:rPr>
                <w:kern w:val="0"/>
                <w:sz w:val="24"/>
              </w:rPr>
              <w:t>）》，酉阳县水土流失总面积</w:t>
            </w:r>
            <w:r>
              <w:rPr>
                <w:rFonts w:hint="eastAsia"/>
                <w:kern w:val="0"/>
                <w:sz w:val="24"/>
              </w:rPr>
              <w:t>1415.69</w:t>
            </w:r>
            <w:r>
              <w:rPr>
                <w:kern w:val="0"/>
                <w:sz w:val="24"/>
              </w:rPr>
              <w:t>km</w:t>
            </w:r>
            <w:r>
              <w:rPr>
                <w:kern w:val="0"/>
                <w:sz w:val="24"/>
                <w:vertAlign w:val="superscript"/>
              </w:rPr>
              <w:t>2</w:t>
            </w:r>
            <w:r>
              <w:rPr>
                <w:kern w:val="0"/>
                <w:sz w:val="24"/>
              </w:rPr>
              <w:t>，占土地总面积的</w:t>
            </w:r>
            <w:r>
              <w:rPr>
                <w:rFonts w:hint="eastAsia"/>
                <w:kern w:val="0"/>
                <w:sz w:val="24"/>
              </w:rPr>
              <w:t>27.39</w:t>
            </w:r>
            <w:r>
              <w:rPr>
                <w:kern w:val="0"/>
                <w:sz w:val="24"/>
              </w:rPr>
              <w:t>%，流失类型主要为水力侵蚀。其中：轻度侵蚀面积</w:t>
            </w:r>
            <w:r>
              <w:rPr>
                <w:rFonts w:hint="eastAsia"/>
                <w:kern w:val="0"/>
                <w:sz w:val="24"/>
              </w:rPr>
              <w:t>1145.67</w:t>
            </w:r>
            <w:r>
              <w:rPr>
                <w:kern w:val="0"/>
                <w:sz w:val="24"/>
              </w:rPr>
              <w:t>km</w:t>
            </w:r>
            <w:r>
              <w:rPr>
                <w:kern w:val="0"/>
                <w:sz w:val="24"/>
                <w:vertAlign w:val="superscript"/>
              </w:rPr>
              <w:t>2</w:t>
            </w:r>
            <w:r>
              <w:rPr>
                <w:kern w:val="0"/>
                <w:sz w:val="24"/>
              </w:rPr>
              <w:t>；中度侵蚀面积</w:t>
            </w:r>
            <w:r>
              <w:rPr>
                <w:rFonts w:hint="eastAsia"/>
                <w:kern w:val="0"/>
                <w:sz w:val="24"/>
              </w:rPr>
              <w:t>95.80</w:t>
            </w:r>
            <w:r>
              <w:rPr>
                <w:kern w:val="0"/>
                <w:sz w:val="24"/>
              </w:rPr>
              <w:t>km</w:t>
            </w:r>
            <w:r>
              <w:rPr>
                <w:kern w:val="0"/>
                <w:sz w:val="24"/>
                <w:vertAlign w:val="superscript"/>
              </w:rPr>
              <w:t>2</w:t>
            </w:r>
            <w:r>
              <w:rPr>
                <w:kern w:val="0"/>
                <w:sz w:val="24"/>
              </w:rPr>
              <w:t>；强烈侵蚀面积</w:t>
            </w:r>
            <w:r>
              <w:rPr>
                <w:rFonts w:hint="eastAsia"/>
                <w:kern w:val="0"/>
                <w:sz w:val="24"/>
              </w:rPr>
              <w:t>76.59</w:t>
            </w:r>
            <w:r>
              <w:rPr>
                <w:kern w:val="0"/>
                <w:sz w:val="24"/>
              </w:rPr>
              <w:t>km</w:t>
            </w:r>
            <w:r>
              <w:rPr>
                <w:kern w:val="0"/>
                <w:sz w:val="24"/>
                <w:vertAlign w:val="superscript"/>
              </w:rPr>
              <w:t>2</w:t>
            </w:r>
            <w:r>
              <w:rPr>
                <w:kern w:val="0"/>
                <w:sz w:val="24"/>
              </w:rPr>
              <w:t>；极强烈侵蚀面积</w:t>
            </w:r>
            <w:r>
              <w:rPr>
                <w:rFonts w:hint="eastAsia"/>
                <w:kern w:val="0"/>
                <w:sz w:val="24"/>
              </w:rPr>
              <w:t>81.80</w:t>
            </w:r>
            <w:r>
              <w:rPr>
                <w:kern w:val="0"/>
                <w:sz w:val="24"/>
              </w:rPr>
              <w:t>km</w:t>
            </w:r>
            <w:r>
              <w:rPr>
                <w:kern w:val="0"/>
                <w:sz w:val="24"/>
                <w:vertAlign w:val="superscript"/>
              </w:rPr>
              <w:t>2</w:t>
            </w:r>
            <w:r>
              <w:rPr>
                <w:kern w:val="0"/>
                <w:sz w:val="24"/>
              </w:rPr>
              <w:t>；剧烈侵蚀面积</w:t>
            </w:r>
            <w:r>
              <w:rPr>
                <w:rFonts w:hint="eastAsia"/>
                <w:kern w:val="0"/>
                <w:sz w:val="24"/>
              </w:rPr>
              <w:t>15.83</w:t>
            </w:r>
            <w:r>
              <w:rPr>
                <w:kern w:val="0"/>
                <w:sz w:val="24"/>
              </w:rPr>
              <w:t>km</w:t>
            </w:r>
            <w:r>
              <w:rPr>
                <w:kern w:val="0"/>
                <w:sz w:val="24"/>
                <w:vertAlign w:val="superscript"/>
              </w:rPr>
              <w:t>2</w:t>
            </w:r>
            <w:r>
              <w:rPr>
                <w:kern w:val="0"/>
                <w:sz w:val="24"/>
              </w:rPr>
              <w:t>。平均土壤侵蚀模数</w:t>
            </w:r>
            <w:r>
              <w:rPr>
                <w:rFonts w:hint="eastAsia"/>
                <w:kern w:val="0"/>
                <w:sz w:val="24"/>
              </w:rPr>
              <w:t>18</w:t>
            </w:r>
            <w:r>
              <w:rPr>
                <w:kern w:val="0"/>
                <w:sz w:val="24"/>
              </w:rPr>
              <w:t>55.</w:t>
            </w:r>
            <w:r>
              <w:rPr>
                <w:rFonts w:hint="eastAsia"/>
                <w:kern w:val="0"/>
                <w:sz w:val="24"/>
              </w:rPr>
              <w:t>11t</w:t>
            </w:r>
            <w:r>
              <w:rPr>
                <w:kern w:val="0"/>
                <w:sz w:val="24"/>
              </w:rPr>
              <w:t>/km</w:t>
            </w:r>
            <w:r>
              <w:rPr>
                <w:kern w:val="0"/>
                <w:sz w:val="24"/>
                <w:vertAlign w:val="superscript"/>
              </w:rPr>
              <w:t>2</w:t>
            </w:r>
            <w:r>
              <w:rPr>
                <w:kern w:val="0"/>
                <w:sz w:val="24"/>
              </w:rPr>
              <w:t>·</w:t>
            </w:r>
            <w:r>
              <w:rPr>
                <w:rFonts w:hint="eastAsia"/>
                <w:kern w:val="0"/>
                <w:sz w:val="24"/>
              </w:rPr>
              <w:t>a</w:t>
            </w:r>
            <w:r>
              <w:rPr>
                <w:kern w:val="0"/>
                <w:sz w:val="24"/>
              </w:rPr>
              <w:t>，年均土壤侵蚀总量</w:t>
            </w:r>
            <w:r>
              <w:rPr>
                <w:rFonts w:hint="eastAsia"/>
                <w:kern w:val="0"/>
                <w:sz w:val="24"/>
              </w:rPr>
              <w:t>262.63</w:t>
            </w:r>
            <w:r>
              <w:rPr>
                <w:kern w:val="0"/>
                <w:sz w:val="24"/>
              </w:rPr>
              <w:t>万</w:t>
            </w:r>
            <w:r>
              <w:rPr>
                <w:rFonts w:hint="eastAsia"/>
                <w:kern w:val="0"/>
                <w:sz w:val="24"/>
              </w:rPr>
              <w:t>t</w:t>
            </w:r>
            <w:r>
              <w:rPr>
                <w:kern w:val="0"/>
                <w:sz w:val="24"/>
              </w:rPr>
              <w:t>。</w:t>
            </w:r>
          </w:p>
          <w:p>
            <w:pPr>
              <w:adjustRightInd w:val="0"/>
              <w:snapToGrid w:val="0"/>
              <w:spacing w:line="360" w:lineRule="auto"/>
              <w:ind w:firstLine="482" w:firstLineChars="200"/>
              <w:rPr>
                <w:b/>
                <w:kern w:val="0"/>
                <w:sz w:val="24"/>
              </w:rPr>
            </w:pPr>
            <w:r>
              <w:rPr>
                <w:b/>
                <w:kern w:val="0"/>
                <w:sz w:val="24"/>
              </w:rPr>
              <w:t>（2）生态评价范围内生态环境质量现状</w:t>
            </w:r>
          </w:p>
          <w:p>
            <w:pPr>
              <w:adjustRightInd w:val="0"/>
              <w:snapToGrid w:val="0"/>
              <w:spacing w:line="360" w:lineRule="auto"/>
              <w:ind w:firstLine="482" w:firstLineChars="200"/>
              <w:rPr>
                <w:b/>
                <w:bCs/>
                <w:sz w:val="24"/>
              </w:rPr>
            </w:pPr>
            <w:r>
              <w:rPr>
                <w:b/>
                <w:bCs/>
                <w:sz w:val="24"/>
              </w:rPr>
              <w:t>1）调查范围</w:t>
            </w:r>
          </w:p>
          <w:p>
            <w:pPr>
              <w:adjustRightInd w:val="0"/>
              <w:snapToGrid w:val="0"/>
              <w:spacing w:line="360" w:lineRule="auto"/>
              <w:ind w:firstLine="480" w:firstLineChars="200"/>
              <w:rPr>
                <w:bCs/>
                <w:sz w:val="24"/>
              </w:rPr>
            </w:pPr>
            <w:r>
              <w:rPr>
                <w:bCs/>
                <w:sz w:val="24"/>
              </w:rPr>
              <w:t>拟建项目生态评价范围分为直接影响区域与间接影响区域。直接影响区：</w:t>
            </w:r>
            <w:r>
              <w:rPr>
                <w:rFonts w:hint="eastAsia"/>
                <w:bCs/>
                <w:sz w:val="24"/>
              </w:rPr>
              <w:t>拟建项目占地范围</w:t>
            </w:r>
            <w:r>
              <w:rPr>
                <w:bCs/>
                <w:sz w:val="24"/>
              </w:rPr>
              <w:t>；间接影响区：</w:t>
            </w:r>
            <w:r>
              <w:rPr>
                <w:rFonts w:hint="eastAsia"/>
                <w:bCs/>
                <w:sz w:val="24"/>
              </w:rPr>
              <w:t>厂界</w:t>
            </w:r>
            <w:r>
              <w:rPr>
                <w:bCs/>
                <w:sz w:val="24"/>
              </w:rPr>
              <w:t>外延500m的区域，评价范围详见附图10。</w:t>
            </w:r>
          </w:p>
          <w:p>
            <w:pPr>
              <w:adjustRightInd w:val="0"/>
              <w:snapToGrid w:val="0"/>
              <w:spacing w:line="360" w:lineRule="auto"/>
              <w:ind w:firstLine="482" w:firstLineChars="200"/>
              <w:rPr>
                <w:b/>
                <w:bCs/>
                <w:sz w:val="24"/>
              </w:rPr>
            </w:pPr>
            <w:r>
              <w:rPr>
                <w:b/>
                <w:bCs/>
                <w:sz w:val="24"/>
              </w:rPr>
              <w:t>2）调查方法</w:t>
            </w:r>
          </w:p>
          <w:p>
            <w:pPr>
              <w:adjustRightInd w:val="0"/>
              <w:snapToGrid w:val="0"/>
              <w:spacing w:line="360" w:lineRule="auto"/>
              <w:ind w:firstLine="480" w:firstLineChars="200"/>
              <w:rPr>
                <w:bCs/>
                <w:sz w:val="24"/>
                <w:lang w:bidi="en-US"/>
              </w:rPr>
            </w:pPr>
            <w:r>
              <w:rPr>
                <w:rFonts w:hint="eastAsia"/>
                <w:bCs/>
                <w:sz w:val="24"/>
                <w:lang w:bidi="en-US"/>
              </w:rPr>
              <w:t>通过现场调查的方法，同时结合区域卫星影像图大致统计</w:t>
            </w:r>
            <w:r>
              <w:rPr>
                <w:bCs/>
                <w:sz w:val="24"/>
                <w:lang w:bidi="en-US"/>
              </w:rPr>
              <w:t>生态评价范围内植被类型</w:t>
            </w:r>
            <w:r>
              <w:rPr>
                <w:rFonts w:hint="eastAsia"/>
                <w:bCs/>
                <w:sz w:val="24"/>
                <w:lang w:bidi="en-US"/>
              </w:rPr>
              <w:t>及面积等数据</w:t>
            </w:r>
            <w:r>
              <w:rPr>
                <w:bCs/>
                <w:sz w:val="24"/>
                <w:lang w:bidi="en-US"/>
              </w:rPr>
              <w:t>。</w:t>
            </w:r>
          </w:p>
          <w:p>
            <w:pPr>
              <w:adjustRightInd w:val="0"/>
              <w:snapToGrid w:val="0"/>
              <w:spacing w:line="360" w:lineRule="auto"/>
              <w:ind w:firstLine="482" w:firstLineChars="200"/>
              <w:rPr>
                <w:b/>
                <w:bCs/>
                <w:sz w:val="24"/>
                <w:lang w:bidi="en-US"/>
              </w:rPr>
            </w:pPr>
            <w:r>
              <w:rPr>
                <w:b/>
                <w:bCs/>
                <w:sz w:val="24"/>
                <w:lang w:bidi="en-US"/>
              </w:rPr>
              <w:t>3）生态系统现状调查</w:t>
            </w:r>
          </w:p>
          <w:p>
            <w:pPr>
              <w:adjustRightInd w:val="0"/>
              <w:snapToGrid w:val="0"/>
              <w:spacing w:line="360" w:lineRule="auto"/>
              <w:ind w:firstLine="480" w:firstLineChars="200"/>
              <w:rPr>
                <w:bCs/>
                <w:sz w:val="24"/>
                <w:lang w:bidi="en-US"/>
              </w:rPr>
            </w:pPr>
            <w:r>
              <w:rPr>
                <w:rFonts w:hint="eastAsia"/>
                <w:bCs/>
                <w:kern w:val="0"/>
                <w:sz w:val="24"/>
                <w:lang w:bidi="en-US"/>
              </w:rPr>
              <w:t>经</w:t>
            </w:r>
            <w:r>
              <w:rPr>
                <w:bCs/>
                <w:kern w:val="0"/>
                <w:sz w:val="24"/>
                <w:lang w:bidi="en-US"/>
              </w:rPr>
              <w:t>现场调查，</w:t>
            </w:r>
            <w:r>
              <w:rPr>
                <w:bCs/>
                <w:sz w:val="24"/>
                <w:lang w:bidi="en-US"/>
              </w:rPr>
              <w:t>生态评价范围内生态系统类型主要包括森林生态系统、灌丛生态系统、草丛生态系统、</w:t>
            </w:r>
            <w:r>
              <w:rPr>
                <w:rFonts w:hint="eastAsia"/>
                <w:bCs/>
                <w:sz w:val="24"/>
                <w:lang w:bidi="en-US"/>
              </w:rPr>
              <w:t>农田</w:t>
            </w:r>
            <w:r>
              <w:rPr>
                <w:bCs/>
                <w:sz w:val="24"/>
                <w:lang w:bidi="en-US"/>
              </w:rPr>
              <w:t>生态系统</w:t>
            </w:r>
            <w:r>
              <w:rPr>
                <w:rFonts w:hint="eastAsia"/>
                <w:bCs/>
                <w:sz w:val="24"/>
                <w:lang w:bidi="en-US"/>
              </w:rPr>
              <w:t>、</w:t>
            </w:r>
            <w:r>
              <w:rPr>
                <w:bCs/>
                <w:sz w:val="24"/>
                <w:lang w:bidi="en-US"/>
              </w:rPr>
              <w:t>村庄及道路系统。</w:t>
            </w:r>
          </w:p>
          <w:p>
            <w:pPr>
              <w:adjustRightInd w:val="0"/>
              <w:snapToGrid w:val="0"/>
              <w:spacing w:line="360" w:lineRule="auto"/>
              <w:ind w:firstLine="480" w:firstLineChars="200"/>
              <w:rPr>
                <w:bCs/>
                <w:sz w:val="24"/>
                <w:lang w:bidi="en-US"/>
              </w:rPr>
            </w:pPr>
            <w:r>
              <w:rPr>
                <w:rFonts w:hint="eastAsia" w:ascii="宋体" w:hAnsi="宋体" w:cs="宋体"/>
                <w:bCs/>
                <w:sz w:val="24"/>
                <w:lang w:bidi="en-US"/>
              </w:rPr>
              <w:t>①</w:t>
            </w:r>
            <w:r>
              <w:rPr>
                <w:bCs/>
                <w:sz w:val="24"/>
                <w:lang w:bidi="en-US"/>
              </w:rPr>
              <w:t>森林生态系统</w:t>
            </w:r>
          </w:p>
          <w:p>
            <w:pPr>
              <w:adjustRightInd w:val="0"/>
              <w:snapToGrid w:val="0"/>
              <w:spacing w:line="360" w:lineRule="auto"/>
              <w:ind w:firstLine="480" w:firstLineChars="200"/>
              <w:rPr>
                <w:bCs/>
                <w:sz w:val="24"/>
                <w:lang w:bidi="en-US"/>
              </w:rPr>
            </w:pPr>
            <w:r>
              <w:rPr>
                <w:bCs/>
                <w:sz w:val="24"/>
                <w:lang w:bidi="en-US"/>
              </w:rPr>
              <w:t>森林生态系统由森林中的土壤、水、空气、阳光、微生物、植物、动物等共同组成，是陆地上生物总量最高的生态系统，对陆地生态环境有决定性影响。其主要特点是动植物种类繁多，群落的结构复杂，种群密度和群落结构能够长期处于较稳定状态。森林生态系统是人类的资源宝库，不仅能够为人类提供大量的木材和林副业产品，而且在维持生物圈稳定、改善生态环境等方面也起着重要作用，同时还具有潜在的生态效益，它能调节生物圈中O</w:t>
            </w:r>
            <w:r>
              <w:rPr>
                <w:bCs/>
                <w:sz w:val="24"/>
                <w:vertAlign w:val="subscript"/>
                <w:lang w:bidi="en-US"/>
              </w:rPr>
              <w:t>2</w:t>
            </w:r>
            <w:r>
              <w:rPr>
                <w:bCs/>
                <w:sz w:val="24"/>
                <w:lang w:bidi="en-US"/>
              </w:rPr>
              <w:t>与CO</w:t>
            </w:r>
            <w:r>
              <w:rPr>
                <w:bCs/>
                <w:sz w:val="24"/>
                <w:vertAlign w:val="subscript"/>
                <w:lang w:bidi="en-US"/>
              </w:rPr>
              <w:t>2</w:t>
            </w:r>
            <w:r>
              <w:rPr>
                <w:bCs/>
                <w:sz w:val="24"/>
                <w:lang w:bidi="en-US"/>
              </w:rPr>
              <w:t>平衡，改善生态环境；涵养水源、保持水土，</w:t>
            </w:r>
            <w:r>
              <w:rPr>
                <w:rFonts w:ascii="宋体" w:hAnsi="宋体"/>
                <w:bCs/>
                <w:sz w:val="24"/>
                <w:lang w:bidi="en-US"/>
              </w:rPr>
              <w:t>有“绿色水库”之</w:t>
            </w:r>
            <w:r>
              <w:rPr>
                <w:bCs/>
                <w:sz w:val="24"/>
                <w:lang w:bidi="en-US"/>
              </w:rPr>
              <w:t>称。</w:t>
            </w:r>
          </w:p>
          <w:p>
            <w:pPr>
              <w:adjustRightInd w:val="0"/>
              <w:snapToGrid w:val="0"/>
              <w:spacing w:line="360" w:lineRule="auto"/>
              <w:ind w:firstLine="480" w:firstLineChars="200"/>
              <w:rPr>
                <w:bCs/>
                <w:sz w:val="24"/>
                <w:lang w:bidi="en-US"/>
              </w:rPr>
            </w:pPr>
            <w:r>
              <w:rPr>
                <w:bCs/>
                <w:sz w:val="24"/>
                <w:lang w:bidi="en-US"/>
              </w:rPr>
              <w:t>森林广泛分布于生态评价范围</w:t>
            </w:r>
            <w:r>
              <w:rPr>
                <w:rFonts w:hint="eastAsia"/>
                <w:bCs/>
                <w:sz w:val="24"/>
                <w:lang w:bidi="en-US"/>
              </w:rPr>
              <w:t>内</w:t>
            </w:r>
            <w:r>
              <w:rPr>
                <w:bCs/>
                <w:sz w:val="24"/>
                <w:lang w:bidi="en-US"/>
              </w:rPr>
              <w:t>，资源较丰富。森林对于区域生态系统的水、氮、钙、磷等物质循环有着十分重要的意义。</w:t>
            </w:r>
          </w:p>
          <w:p>
            <w:pPr>
              <w:adjustRightInd w:val="0"/>
              <w:snapToGrid w:val="0"/>
              <w:spacing w:line="360" w:lineRule="auto"/>
              <w:ind w:firstLine="480" w:firstLineChars="200"/>
              <w:rPr>
                <w:bCs/>
                <w:sz w:val="24"/>
                <w:lang w:bidi="en-US"/>
              </w:rPr>
            </w:pPr>
            <w:r>
              <w:rPr>
                <w:rFonts w:hint="eastAsia" w:ascii="宋体" w:hAnsi="宋体" w:cs="宋体"/>
                <w:bCs/>
                <w:sz w:val="24"/>
                <w:lang w:bidi="en-US"/>
              </w:rPr>
              <w:t>②</w:t>
            </w:r>
            <w:r>
              <w:rPr>
                <w:bCs/>
                <w:sz w:val="24"/>
                <w:lang w:bidi="en-US"/>
              </w:rPr>
              <w:t>灌丛生态系统</w:t>
            </w:r>
          </w:p>
          <w:p>
            <w:pPr>
              <w:adjustRightInd w:val="0"/>
              <w:snapToGrid w:val="0"/>
              <w:spacing w:line="360" w:lineRule="auto"/>
              <w:ind w:firstLine="480" w:firstLineChars="200"/>
              <w:rPr>
                <w:bCs/>
                <w:sz w:val="24"/>
                <w:lang w:bidi="en-US"/>
              </w:rPr>
            </w:pPr>
            <w:r>
              <w:rPr>
                <w:bCs/>
                <w:sz w:val="24"/>
                <w:lang w:bidi="en-US"/>
              </w:rPr>
              <w:t>生态评价范围内灌木、草本种类多，覆盖度较高。灌丛生态中野生动物活动很少，主要为常见的鸟类以及爬行类动物。高覆盖率的灌草丛在物质循环、能量转换、水土保持方面起到了重要的生态效益。</w:t>
            </w:r>
          </w:p>
          <w:p>
            <w:pPr>
              <w:adjustRightInd w:val="0"/>
              <w:snapToGrid w:val="0"/>
              <w:spacing w:line="360" w:lineRule="auto"/>
              <w:ind w:firstLine="480" w:firstLineChars="200"/>
              <w:rPr>
                <w:bCs/>
                <w:sz w:val="24"/>
                <w:lang w:bidi="en-US"/>
              </w:rPr>
            </w:pPr>
            <w:r>
              <w:rPr>
                <w:rFonts w:hint="eastAsia" w:ascii="宋体" w:hAnsi="宋体" w:cs="宋体"/>
                <w:bCs/>
                <w:sz w:val="24"/>
                <w:lang w:bidi="en-US"/>
              </w:rPr>
              <w:t>③</w:t>
            </w:r>
            <w:r>
              <w:rPr>
                <w:bCs/>
                <w:sz w:val="24"/>
                <w:lang w:bidi="en-US"/>
              </w:rPr>
              <w:t>草丛生态系统</w:t>
            </w:r>
          </w:p>
          <w:p>
            <w:pPr>
              <w:adjustRightInd w:val="0"/>
              <w:snapToGrid w:val="0"/>
              <w:spacing w:line="360" w:lineRule="auto"/>
              <w:ind w:firstLine="480" w:firstLineChars="200"/>
              <w:rPr>
                <w:bCs/>
                <w:sz w:val="24"/>
                <w:lang w:bidi="en-US"/>
              </w:rPr>
            </w:pPr>
            <w:r>
              <w:rPr>
                <w:bCs/>
                <w:sz w:val="24"/>
                <w:lang w:bidi="en-US"/>
              </w:rPr>
              <w:t>生态评价范围草地生态系统主要为山地草丛，零星分布于田间路头、荒野山坡</w:t>
            </w:r>
            <w:r>
              <w:rPr>
                <w:rFonts w:hint="eastAsia"/>
                <w:bCs/>
                <w:sz w:val="24"/>
                <w:lang w:bidi="en-US"/>
              </w:rPr>
              <w:t>角</w:t>
            </w:r>
            <w:r>
              <w:rPr>
                <w:bCs/>
                <w:sz w:val="24"/>
                <w:lang w:bidi="en-US"/>
              </w:rPr>
              <w:t>。草地生态系统主要生态功能为水土保持。</w:t>
            </w:r>
          </w:p>
          <w:p>
            <w:pPr>
              <w:adjustRightInd w:val="0"/>
              <w:snapToGrid w:val="0"/>
              <w:spacing w:line="360" w:lineRule="auto"/>
              <w:ind w:firstLine="480" w:firstLineChars="200"/>
              <w:rPr>
                <w:bCs/>
                <w:sz w:val="24"/>
                <w:lang w:bidi="en-US"/>
              </w:rPr>
            </w:pPr>
            <w:r>
              <w:rPr>
                <w:rFonts w:hint="eastAsia" w:ascii="宋体" w:hAnsi="宋体" w:cs="宋体"/>
                <w:bCs/>
                <w:sz w:val="24"/>
                <w:lang w:bidi="en-US"/>
              </w:rPr>
              <w:t>④</w:t>
            </w:r>
            <w:r>
              <w:rPr>
                <w:bCs/>
                <w:sz w:val="24"/>
                <w:lang w:bidi="en-US"/>
              </w:rPr>
              <w:t>农田生态系统</w:t>
            </w:r>
          </w:p>
          <w:p>
            <w:pPr>
              <w:adjustRightInd w:val="0"/>
              <w:snapToGrid w:val="0"/>
              <w:spacing w:line="360" w:lineRule="auto"/>
              <w:ind w:firstLine="480" w:firstLineChars="200"/>
              <w:rPr>
                <w:rFonts w:hint="eastAsia" w:ascii="宋体" w:hAnsi="宋体" w:cs="宋体"/>
                <w:bCs/>
                <w:sz w:val="24"/>
                <w:lang w:bidi="en-US"/>
              </w:rPr>
            </w:pPr>
            <w:r>
              <w:rPr>
                <w:bCs/>
                <w:sz w:val="24"/>
                <w:lang w:bidi="en-US"/>
              </w:rPr>
              <w:t>农田生态系统是以作物为中心的农田中，生物群落与其生态环境间在能量和物质交换及其相互作用上所构成的一种生态系统。与陆地自然生态系统的主要区别是：系统中的生物群落结构较简单，优势群落往往只有一种或数种作物；伴生生物为杂草、昆虫、土壤微生物、鼠、鸟及少量其他小动物；大部分经济产品随收获而移出系统，留给残渣食物链的较少；养分循环主要靠系统外投入而保持平衡。农田生态系统的稳定有赖于一系列耕作栽培的人工措施，在相似的自然条件下，土地生产力远高于自然生态系统。</w:t>
            </w:r>
          </w:p>
          <w:p>
            <w:pPr>
              <w:adjustRightInd w:val="0"/>
              <w:snapToGrid w:val="0"/>
              <w:spacing w:line="360" w:lineRule="auto"/>
              <w:ind w:firstLine="480" w:firstLineChars="200"/>
              <w:rPr>
                <w:bCs/>
                <w:sz w:val="24"/>
                <w:lang w:bidi="en-US"/>
              </w:rPr>
            </w:pPr>
            <w:r>
              <w:rPr>
                <w:rFonts w:hint="eastAsia" w:ascii="宋体" w:hAnsi="宋体" w:cs="宋体"/>
                <w:bCs/>
                <w:sz w:val="24"/>
                <w:lang w:bidi="en-US"/>
              </w:rPr>
              <w:t>⑤</w:t>
            </w:r>
            <w:r>
              <w:rPr>
                <w:bCs/>
                <w:sz w:val="24"/>
                <w:lang w:bidi="en-US"/>
              </w:rPr>
              <w:t>村庄及道路系统</w:t>
            </w:r>
          </w:p>
          <w:p>
            <w:pPr>
              <w:adjustRightInd w:val="0"/>
              <w:snapToGrid w:val="0"/>
              <w:spacing w:line="360" w:lineRule="auto"/>
              <w:ind w:firstLine="480" w:firstLineChars="200"/>
              <w:rPr>
                <w:bCs/>
                <w:sz w:val="24"/>
                <w:lang w:bidi="en-US"/>
              </w:rPr>
            </w:pPr>
            <w:r>
              <w:rPr>
                <w:bCs/>
                <w:sz w:val="24"/>
                <w:lang w:bidi="en-US"/>
              </w:rPr>
              <w:t>村庄及道路系统是一个人工生态系统，交通流量及人类活密集活动区域，受人为干预大。</w:t>
            </w:r>
          </w:p>
          <w:p>
            <w:pPr>
              <w:adjustRightInd w:val="0"/>
              <w:snapToGrid w:val="0"/>
              <w:spacing w:line="360" w:lineRule="auto"/>
              <w:ind w:firstLine="480" w:firstLineChars="200"/>
              <w:rPr>
                <w:bCs/>
                <w:sz w:val="24"/>
              </w:rPr>
            </w:pPr>
            <w:r>
              <w:rPr>
                <w:bCs/>
                <w:sz w:val="24"/>
                <w:lang w:bidi="en-US"/>
              </w:rPr>
              <w:t>总体上看，评价区具有生态系统类型多样、复杂的特点，其中</w:t>
            </w:r>
            <w:r>
              <w:rPr>
                <w:rFonts w:hint="eastAsia"/>
                <w:bCs/>
                <w:sz w:val="24"/>
                <w:lang w:bidi="en-US"/>
              </w:rPr>
              <w:t>：</w:t>
            </w:r>
            <w:r>
              <w:rPr>
                <w:bCs/>
                <w:sz w:val="24"/>
                <w:lang w:bidi="en-US"/>
              </w:rPr>
              <w:t>森林生态系统所占比例较高，</w:t>
            </w:r>
            <w:r>
              <w:rPr>
                <w:rFonts w:hint="eastAsia"/>
                <w:bCs/>
                <w:sz w:val="24"/>
                <w:lang w:bidi="en-US"/>
              </w:rPr>
              <w:t>农田</w:t>
            </w:r>
            <w:r>
              <w:rPr>
                <w:bCs/>
                <w:sz w:val="24"/>
                <w:lang w:bidi="en-US"/>
              </w:rPr>
              <w:t>生态系统、灌丛生态系统次之，村庄道路生态系统、草地生态系统分布较少。</w:t>
            </w:r>
          </w:p>
          <w:p>
            <w:pPr>
              <w:adjustRightInd w:val="0"/>
              <w:snapToGrid w:val="0"/>
              <w:spacing w:line="360" w:lineRule="auto"/>
              <w:ind w:firstLine="482" w:firstLineChars="200"/>
              <w:rPr>
                <w:b/>
                <w:kern w:val="0"/>
                <w:sz w:val="24"/>
              </w:rPr>
            </w:pPr>
            <w:r>
              <w:rPr>
                <w:b/>
                <w:kern w:val="0"/>
                <w:sz w:val="24"/>
              </w:rPr>
              <w:t>4）土地利用现状</w:t>
            </w:r>
          </w:p>
          <w:p>
            <w:pPr>
              <w:adjustRightInd w:val="0"/>
              <w:snapToGrid w:val="0"/>
              <w:spacing w:line="360" w:lineRule="auto"/>
              <w:ind w:firstLine="480" w:firstLineChars="200"/>
              <w:rPr>
                <w:bCs/>
                <w:kern w:val="0"/>
                <w:sz w:val="24"/>
                <w:lang w:bidi="en-US"/>
              </w:rPr>
            </w:pPr>
            <w:r>
              <w:rPr>
                <w:rFonts w:hint="eastAsia"/>
                <w:bCs/>
                <w:kern w:val="0"/>
                <w:sz w:val="24"/>
                <w:lang w:bidi="en-US"/>
              </w:rPr>
              <w:t>经</w:t>
            </w:r>
            <w:r>
              <w:rPr>
                <w:bCs/>
                <w:kern w:val="0"/>
                <w:sz w:val="24"/>
                <w:lang w:bidi="en-US"/>
              </w:rPr>
              <w:t>现场调查，</w:t>
            </w:r>
            <w:r>
              <w:rPr>
                <w:kern w:val="0"/>
                <w:sz w:val="24"/>
              </w:rPr>
              <w:t>拟建项目</w:t>
            </w:r>
            <w:r>
              <w:rPr>
                <w:rFonts w:hint="eastAsia"/>
                <w:kern w:val="0"/>
                <w:sz w:val="24"/>
              </w:rPr>
              <w:t>用地范围、</w:t>
            </w:r>
            <w:r>
              <w:rPr>
                <w:bCs/>
                <w:kern w:val="0"/>
                <w:sz w:val="24"/>
                <w:lang w:bidi="en-US"/>
              </w:rPr>
              <w:t>生态评价范围</w:t>
            </w:r>
            <w:r>
              <w:rPr>
                <w:rFonts w:hint="eastAsia"/>
                <w:bCs/>
                <w:kern w:val="0"/>
                <w:sz w:val="24"/>
                <w:lang w:bidi="en-US"/>
              </w:rPr>
              <w:t>内</w:t>
            </w:r>
            <w:r>
              <w:rPr>
                <w:bCs/>
                <w:kern w:val="0"/>
                <w:sz w:val="24"/>
                <w:lang w:bidi="en-US"/>
              </w:rPr>
              <w:t>土地利用统计</w:t>
            </w:r>
            <w:r>
              <w:rPr>
                <w:rFonts w:hint="eastAsia"/>
                <w:bCs/>
                <w:kern w:val="0"/>
                <w:sz w:val="24"/>
                <w:lang w:bidi="en-US"/>
              </w:rPr>
              <w:t>情况分别</w:t>
            </w:r>
            <w:r>
              <w:rPr>
                <w:bCs/>
                <w:kern w:val="0"/>
                <w:sz w:val="24"/>
                <w:lang w:bidi="en-US"/>
              </w:rPr>
              <w:t>见表3-3</w:t>
            </w:r>
            <w:r>
              <w:rPr>
                <w:rFonts w:hint="eastAsia"/>
                <w:bCs/>
                <w:kern w:val="0"/>
                <w:sz w:val="24"/>
                <w:lang w:bidi="en-US"/>
              </w:rPr>
              <w:t>、</w:t>
            </w:r>
            <w:r>
              <w:rPr>
                <w:bCs/>
                <w:kern w:val="0"/>
                <w:sz w:val="24"/>
                <w:lang w:bidi="en-US"/>
              </w:rPr>
              <w:t>表3-4</w:t>
            </w:r>
            <w:r>
              <w:rPr>
                <w:rFonts w:hint="eastAsia"/>
                <w:bCs/>
                <w:kern w:val="0"/>
                <w:sz w:val="24"/>
                <w:lang w:bidi="en-US"/>
              </w:rPr>
              <w:t>、附图1</w:t>
            </w:r>
            <w:r>
              <w:rPr>
                <w:bCs/>
                <w:kern w:val="0"/>
                <w:sz w:val="24"/>
                <w:lang w:bidi="en-US"/>
              </w:rPr>
              <w:t>1。</w:t>
            </w:r>
          </w:p>
          <w:p>
            <w:pPr>
              <w:adjustRightInd w:val="0"/>
              <w:snapToGrid w:val="0"/>
              <w:jc w:val="center"/>
              <w:rPr>
                <w:b/>
                <w:kern w:val="0"/>
                <w:sz w:val="24"/>
              </w:rPr>
            </w:pPr>
            <w:r>
              <w:rPr>
                <w:b/>
                <w:kern w:val="0"/>
                <w:sz w:val="24"/>
              </w:rPr>
              <w:t>表3-3  项目</w:t>
            </w:r>
            <w:r>
              <w:rPr>
                <w:rFonts w:hint="eastAsia"/>
                <w:b/>
                <w:kern w:val="0"/>
                <w:sz w:val="24"/>
              </w:rPr>
              <w:t>用地范围</w:t>
            </w:r>
            <w:r>
              <w:rPr>
                <w:b/>
                <w:kern w:val="0"/>
                <w:sz w:val="24"/>
              </w:rPr>
              <w:t>土地利用现状表</w:t>
            </w:r>
          </w:p>
          <w:tbl>
            <w:tblPr>
              <w:tblStyle w:val="15"/>
              <w:tblW w:w="9016"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36"/>
              <w:gridCol w:w="2081"/>
              <w:gridCol w:w="2552"/>
              <w:gridCol w:w="224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2136" w:type="dxa"/>
                  <w:vMerge w:val="restart"/>
                  <w:tcBorders>
                    <w:tl2br w:val="single" w:color="auto" w:sz="4" w:space="0"/>
                  </w:tcBorders>
                  <w:vAlign w:val="center"/>
                </w:tcPr>
                <w:p>
                  <w:pPr>
                    <w:pStyle w:val="42"/>
                    <w:jc w:val="right"/>
                  </w:pPr>
                  <w:r>
                    <w:t>性质</w:t>
                  </w:r>
                </w:p>
                <w:p>
                  <w:pPr>
                    <w:pStyle w:val="42"/>
                    <w:jc w:val="left"/>
                  </w:pPr>
                  <w:r>
                    <w:t>分区</w:t>
                  </w:r>
                </w:p>
              </w:tc>
              <w:tc>
                <w:tcPr>
                  <w:tcW w:w="6880" w:type="dxa"/>
                  <w:gridSpan w:val="3"/>
                  <w:tcBorders>
                    <w:left w:val="single" w:color="auto" w:sz="4" w:space="0"/>
                  </w:tcBorders>
                </w:tcPr>
                <w:p>
                  <w:pPr>
                    <w:pStyle w:val="42"/>
                  </w:pPr>
                  <w:r>
                    <w:t>占地面积（hm</w:t>
                  </w:r>
                  <w:r>
                    <w:rPr>
                      <w:vertAlign w:val="superscript"/>
                    </w:rPr>
                    <w:t>2</w:t>
                  </w:r>
                  <w: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2136" w:type="dxa"/>
                  <w:vMerge w:val="continue"/>
                  <w:tcBorders>
                    <w:bottom w:val="single" w:color="auto" w:sz="6" w:space="0"/>
                  </w:tcBorders>
                  <w:vAlign w:val="center"/>
                </w:tcPr>
                <w:p>
                  <w:pPr>
                    <w:pStyle w:val="42"/>
                  </w:pPr>
                </w:p>
              </w:tc>
              <w:tc>
                <w:tcPr>
                  <w:tcW w:w="2081" w:type="dxa"/>
                  <w:tcBorders>
                    <w:left w:val="single" w:color="auto" w:sz="4" w:space="0"/>
                    <w:bottom w:val="single" w:color="auto" w:sz="6" w:space="0"/>
                  </w:tcBorders>
                  <w:vAlign w:val="center"/>
                </w:tcPr>
                <w:p>
                  <w:pPr>
                    <w:pStyle w:val="42"/>
                  </w:pPr>
                  <w:r>
                    <w:rPr>
                      <w:rFonts w:hint="eastAsia"/>
                    </w:rPr>
                    <w:t>采矿用地</w:t>
                  </w:r>
                </w:p>
              </w:tc>
              <w:tc>
                <w:tcPr>
                  <w:tcW w:w="2552" w:type="dxa"/>
                  <w:tcBorders>
                    <w:bottom w:val="single" w:color="auto" w:sz="6" w:space="0"/>
                    <w:right w:val="single" w:color="auto" w:sz="6" w:space="0"/>
                  </w:tcBorders>
                  <w:vAlign w:val="center"/>
                </w:tcPr>
                <w:p>
                  <w:pPr>
                    <w:pStyle w:val="42"/>
                  </w:pPr>
                  <w:r>
                    <w:rPr>
                      <w:rFonts w:hint="eastAsia"/>
                    </w:rPr>
                    <w:t>乔木</w:t>
                  </w:r>
                  <w:r>
                    <w:t>林地</w:t>
                  </w:r>
                </w:p>
              </w:tc>
              <w:tc>
                <w:tcPr>
                  <w:tcW w:w="2247" w:type="dxa"/>
                  <w:tcBorders>
                    <w:top w:val="single" w:color="auto" w:sz="6" w:space="0"/>
                    <w:left w:val="single" w:color="auto" w:sz="6" w:space="0"/>
                    <w:bottom w:val="single" w:color="auto" w:sz="6" w:space="0"/>
                    <w:right w:val="single" w:color="auto" w:sz="6" w:space="0"/>
                  </w:tcBorders>
                  <w:vAlign w:val="center"/>
                </w:tcPr>
                <w:p>
                  <w:pPr>
                    <w:pStyle w:val="42"/>
                  </w:pPr>
                  <w:r>
                    <w:t>小计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2136" w:type="dxa"/>
                  <w:tcBorders>
                    <w:top w:val="single" w:color="auto" w:sz="6" w:space="0"/>
                    <w:left w:val="single" w:color="auto" w:sz="6" w:space="0"/>
                    <w:bottom w:val="single" w:color="auto" w:sz="6" w:space="0"/>
                  </w:tcBorders>
                  <w:vAlign w:val="center"/>
                </w:tcPr>
                <w:p>
                  <w:pPr>
                    <w:pStyle w:val="42"/>
                  </w:pPr>
                  <w:r>
                    <w:rPr>
                      <w:rFonts w:hint="eastAsia"/>
                    </w:rPr>
                    <w:t>占地范围</w:t>
                  </w:r>
                </w:p>
              </w:tc>
              <w:tc>
                <w:tcPr>
                  <w:tcW w:w="2081" w:type="dxa"/>
                  <w:tcBorders>
                    <w:top w:val="single" w:color="auto" w:sz="6" w:space="0"/>
                    <w:bottom w:val="single" w:color="auto" w:sz="6" w:space="0"/>
                  </w:tcBorders>
                  <w:vAlign w:val="center"/>
                </w:tcPr>
                <w:p>
                  <w:pPr>
                    <w:pStyle w:val="42"/>
                  </w:pPr>
                  <w:r>
                    <w:t>5.365</w:t>
                  </w:r>
                  <w:r>
                    <w:rPr>
                      <w:rFonts w:hint="eastAsia"/>
                    </w:rPr>
                    <w:t>1</w:t>
                  </w:r>
                </w:p>
              </w:tc>
              <w:tc>
                <w:tcPr>
                  <w:tcW w:w="2552" w:type="dxa"/>
                  <w:tcBorders>
                    <w:top w:val="single" w:color="auto" w:sz="6" w:space="0"/>
                    <w:bottom w:val="single" w:color="auto" w:sz="6" w:space="0"/>
                    <w:right w:val="single" w:color="auto" w:sz="6" w:space="0"/>
                  </w:tcBorders>
                  <w:vAlign w:val="center"/>
                </w:tcPr>
                <w:p>
                  <w:pPr>
                    <w:pStyle w:val="42"/>
                  </w:pPr>
                  <w:r>
                    <w:t>1.</w:t>
                  </w:r>
                  <w:r>
                    <w:rPr>
                      <w:rFonts w:hint="eastAsia"/>
                    </w:rPr>
                    <w:t>6091</w:t>
                  </w:r>
                </w:p>
              </w:tc>
              <w:tc>
                <w:tcPr>
                  <w:tcW w:w="2247" w:type="dxa"/>
                  <w:tcBorders>
                    <w:top w:val="single" w:color="auto" w:sz="6" w:space="0"/>
                    <w:left w:val="single" w:color="auto" w:sz="6" w:space="0"/>
                    <w:bottom w:val="single" w:color="auto" w:sz="6" w:space="0"/>
                    <w:right w:val="single" w:color="auto" w:sz="6" w:space="0"/>
                  </w:tcBorders>
                  <w:vAlign w:val="center"/>
                </w:tcPr>
                <w:p>
                  <w:pPr>
                    <w:pStyle w:val="42"/>
                  </w:pPr>
                  <w:r>
                    <w:t>6.9742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9016" w:type="dxa"/>
                  <w:gridSpan w:val="4"/>
                  <w:tcBorders>
                    <w:top w:val="single" w:color="auto" w:sz="6" w:space="0"/>
                  </w:tcBorders>
                  <w:vAlign w:val="center"/>
                </w:tcPr>
                <w:p>
                  <w:pPr>
                    <w:ind w:firstLine="420" w:firstLineChars="200"/>
                    <w:rPr>
                      <w:rFonts w:eastAsia="等线"/>
                      <w:szCs w:val="21"/>
                    </w:rPr>
                  </w:pPr>
                  <w:r>
                    <w:rPr>
                      <w:szCs w:val="21"/>
                    </w:rPr>
                    <w:t>注：根据建设单位于</w:t>
                  </w:r>
                  <w:r>
                    <w:rPr>
                      <w:rFonts w:hint="eastAsia"/>
                      <w:szCs w:val="21"/>
                    </w:rPr>
                    <w:t>当地相关部门</w:t>
                  </w:r>
                  <w:r>
                    <w:rPr>
                      <w:szCs w:val="21"/>
                    </w:rPr>
                    <w:t>核实，</w:t>
                  </w:r>
                  <w:r>
                    <w:rPr>
                      <w:color w:val="0000FF"/>
                      <w:szCs w:val="21"/>
                    </w:rPr>
                    <w:t>项目占用的林地按主导功能均分类为商品林地，无公益林</w:t>
                  </w:r>
                  <w:r>
                    <w:rPr>
                      <w:rFonts w:hint="eastAsia"/>
                      <w:color w:val="0000FF"/>
                      <w:szCs w:val="21"/>
                    </w:rPr>
                    <w:t>、天然林，见附件8；且项目已办理用地范围内林地占地手续，见附件21；项目用地范围</w:t>
                  </w:r>
                  <w:r>
                    <w:rPr>
                      <w:szCs w:val="21"/>
                    </w:rPr>
                    <w:t>不占用基本农田</w:t>
                  </w:r>
                  <w:r>
                    <w:rPr>
                      <w:rFonts w:hint="eastAsia"/>
                      <w:color w:val="0000FF"/>
                      <w:szCs w:val="21"/>
                    </w:rPr>
                    <w:t>，见附件12</w:t>
                  </w:r>
                  <w:r>
                    <w:rPr>
                      <w:szCs w:val="21"/>
                    </w:rPr>
                    <w:t>。</w:t>
                  </w:r>
                </w:p>
              </w:tc>
            </w:tr>
          </w:tbl>
          <w:p>
            <w:pPr>
              <w:adjustRightInd w:val="0"/>
              <w:snapToGrid w:val="0"/>
              <w:jc w:val="center"/>
              <w:rPr>
                <w:b/>
                <w:bCs/>
                <w:kern w:val="0"/>
                <w:sz w:val="24"/>
                <w:lang w:bidi="en-US"/>
              </w:rPr>
            </w:pPr>
            <w:r>
              <w:rPr>
                <w:b/>
                <w:bCs/>
                <w:kern w:val="0"/>
                <w:sz w:val="24"/>
                <w:lang w:bidi="en-US"/>
              </w:rPr>
              <w:t>表3-4   生态评价范围土地利用现状统计表</w:t>
            </w:r>
          </w:p>
          <w:tbl>
            <w:tblPr>
              <w:tblStyle w:val="15"/>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9"/>
              <w:gridCol w:w="2835"/>
              <w:gridCol w:w="1700"/>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2799" w:type="dxa"/>
                  <w:noWrap/>
                  <w:vAlign w:val="center"/>
                </w:tcPr>
                <w:p>
                  <w:pPr>
                    <w:pStyle w:val="42"/>
                  </w:pPr>
                  <w:r>
                    <w:t>一级类</w:t>
                  </w:r>
                </w:p>
              </w:tc>
              <w:tc>
                <w:tcPr>
                  <w:tcW w:w="2835" w:type="dxa"/>
                  <w:vAlign w:val="center"/>
                </w:tcPr>
                <w:p>
                  <w:pPr>
                    <w:pStyle w:val="42"/>
                  </w:pPr>
                  <w:r>
                    <w:rPr>
                      <w:rFonts w:hint="eastAsia"/>
                    </w:rPr>
                    <w:t>二</w:t>
                  </w:r>
                  <w:r>
                    <w:t>级类</w:t>
                  </w:r>
                </w:p>
              </w:tc>
              <w:tc>
                <w:tcPr>
                  <w:tcW w:w="1700" w:type="dxa"/>
                  <w:noWrap/>
                  <w:vAlign w:val="center"/>
                </w:tcPr>
                <w:p>
                  <w:pPr>
                    <w:pStyle w:val="42"/>
                  </w:pPr>
                  <w:r>
                    <w:t>面积（hm</w:t>
                  </w:r>
                  <w:r>
                    <w:rPr>
                      <w:vertAlign w:val="superscript"/>
                    </w:rPr>
                    <w:t>2</w:t>
                  </w:r>
                  <w:r>
                    <w:t>）</w:t>
                  </w:r>
                </w:p>
              </w:tc>
              <w:tc>
                <w:tcPr>
                  <w:tcW w:w="1682" w:type="dxa"/>
                  <w:noWrap/>
                  <w:vAlign w:val="center"/>
                </w:tcPr>
                <w:p>
                  <w:pPr>
                    <w:pStyle w:val="42"/>
                  </w:pPr>
                  <w: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2799" w:type="dxa"/>
                  <w:noWrap/>
                  <w:vAlign w:val="center"/>
                </w:tcPr>
                <w:p>
                  <w:pPr>
                    <w:pStyle w:val="42"/>
                  </w:pPr>
                  <w:r>
                    <w:rPr>
                      <w:rFonts w:hint="eastAsia"/>
                    </w:rPr>
                    <w:t>耕地</w:t>
                  </w:r>
                </w:p>
              </w:tc>
              <w:tc>
                <w:tcPr>
                  <w:tcW w:w="2835" w:type="dxa"/>
                  <w:vAlign w:val="center"/>
                </w:tcPr>
                <w:p>
                  <w:pPr>
                    <w:pStyle w:val="42"/>
                  </w:pPr>
                  <w:r>
                    <w:rPr>
                      <w:rFonts w:hint="eastAsia"/>
                    </w:rPr>
                    <w:t>旱地</w:t>
                  </w:r>
                </w:p>
              </w:tc>
              <w:tc>
                <w:tcPr>
                  <w:tcW w:w="1700" w:type="dxa"/>
                  <w:noWrap/>
                  <w:vAlign w:val="center"/>
                </w:tcPr>
                <w:p>
                  <w:pPr>
                    <w:pStyle w:val="42"/>
                  </w:pPr>
                  <w:r>
                    <w:t>29.65</w:t>
                  </w:r>
                  <w:r>
                    <w:rPr>
                      <w:rFonts w:hint="eastAsia"/>
                    </w:rPr>
                    <w:t>08</w:t>
                  </w:r>
                </w:p>
              </w:tc>
              <w:tc>
                <w:tcPr>
                  <w:tcW w:w="1682" w:type="dxa"/>
                  <w:noWrap/>
                  <w:vAlign w:val="center"/>
                </w:tcPr>
                <w:p>
                  <w:pPr>
                    <w:pStyle w:val="42"/>
                  </w:pPr>
                  <w:r>
                    <w:t>21.32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2799" w:type="dxa"/>
                  <w:noWrap/>
                  <w:vAlign w:val="center"/>
                </w:tcPr>
                <w:p>
                  <w:pPr>
                    <w:pStyle w:val="42"/>
                  </w:pPr>
                  <w:r>
                    <w:rPr>
                      <w:rFonts w:hint="eastAsia"/>
                    </w:rPr>
                    <w:t>园地</w:t>
                  </w:r>
                </w:p>
              </w:tc>
              <w:tc>
                <w:tcPr>
                  <w:tcW w:w="2835" w:type="dxa"/>
                  <w:vAlign w:val="center"/>
                </w:tcPr>
                <w:p>
                  <w:pPr>
                    <w:pStyle w:val="42"/>
                  </w:pPr>
                  <w:r>
                    <w:rPr>
                      <w:rFonts w:hint="eastAsia"/>
                    </w:rPr>
                    <w:t>果园</w:t>
                  </w:r>
                </w:p>
              </w:tc>
              <w:tc>
                <w:tcPr>
                  <w:tcW w:w="1700" w:type="dxa"/>
                  <w:noWrap/>
                  <w:vAlign w:val="center"/>
                </w:tcPr>
                <w:p>
                  <w:pPr>
                    <w:pStyle w:val="42"/>
                  </w:pPr>
                  <w:r>
                    <w:t>0.1112</w:t>
                  </w:r>
                </w:p>
              </w:tc>
              <w:tc>
                <w:tcPr>
                  <w:tcW w:w="1682" w:type="dxa"/>
                  <w:noWrap/>
                  <w:vAlign w:val="center"/>
                </w:tcPr>
                <w:p>
                  <w:pPr>
                    <w:pStyle w:val="42"/>
                  </w:pPr>
                  <w:r>
                    <w:t>0.0</w:t>
                  </w:r>
                  <w:r>
                    <w:rPr>
                      <w:rFonts w:hint="eastAsi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restart"/>
                  <w:noWrap/>
                  <w:vAlign w:val="center"/>
                </w:tcPr>
                <w:p>
                  <w:pPr>
                    <w:pStyle w:val="42"/>
                  </w:pPr>
                  <w:r>
                    <w:rPr>
                      <w:rFonts w:hint="eastAsia"/>
                    </w:rPr>
                    <w:t>林地</w:t>
                  </w:r>
                </w:p>
              </w:tc>
              <w:tc>
                <w:tcPr>
                  <w:tcW w:w="2835" w:type="dxa"/>
                  <w:vAlign w:val="center"/>
                </w:tcPr>
                <w:p>
                  <w:pPr>
                    <w:pStyle w:val="42"/>
                  </w:pPr>
                  <w:r>
                    <w:rPr>
                      <w:rFonts w:hint="eastAsia"/>
                    </w:rPr>
                    <w:t>乔木林地</w:t>
                  </w:r>
                </w:p>
              </w:tc>
              <w:tc>
                <w:tcPr>
                  <w:tcW w:w="1700" w:type="dxa"/>
                  <w:noWrap/>
                  <w:vAlign w:val="center"/>
                </w:tcPr>
                <w:p>
                  <w:pPr>
                    <w:widowControl/>
                    <w:jc w:val="center"/>
                    <w:rPr>
                      <w:rFonts w:eastAsia="等线"/>
                      <w:kern w:val="0"/>
                      <w:szCs w:val="21"/>
                    </w:rPr>
                  </w:pPr>
                  <w:r>
                    <w:rPr>
                      <w:rFonts w:eastAsia="等线"/>
                      <w:kern w:val="0"/>
                      <w:szCs w:val="21"/>
                    </w:rPr>
                    <w:t>80.6893</w:t>
                  </w:r>
                </w:p>
              </w:tc>
              <w:tc>
                <w:tcPr>
                  <w:tcW w:w="1682" w:type="dxa"/>
                  <w:noWrap/>
                  <w:vAlign w:val="center"/>
                </w:tcPr>
                <w:p>
                  <w:pPr>
                    <w:widowControl/>
                    <w:jc w:val="center"/>
                    <w:rPr>
                      <w:rFonts w:eastAsia="等线"/>
                      <w:kern w:val="0"/>
                      <w:szCs w:val="21"/>
                    </w:rPr>
                  </w:pPr>
                  <w:r>
                    <w:rPr>
                      <w:szCs w:val="21"/>
                    </w:rPr>
                    <w:t>58.01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continue"/>
                  <w:noWrap/>
                  <w:vAlign w:val="center"/>
                </w:tcPr>
                <w:p>
                  <w:pPr>
                    <w:pStyle w:val="42"/>
                  </w:pPr>
                </w:p>
              </w:tc>
              <w:tc>
                <w:tcPr>
                  <w:tcW w:w="2835" w:type="dxa"/>
                  <w:vAlign w:val="center"/>
                </w:tcPr>
                <w:p>
                  <w:pPr>
                    <w:pStyle w:val="42"/>
                  </w:pPr>
                  <w:r>
                    <w:rPr>
                      <w:rFonts w:hint="eastAsia"/>
                    </w:rPr>
                    <w:t>竹林地</w:t>
                  </w:r>
                </w:p>
              </w:tc>
              <w:tc>
                <w:tcPr>
                  <w:tcW w:w="1700" w:type="dxa"/>
                  <w:noWrap/>
                  <w:vAlign w:val="center"/>
                </w:tcPr>
                <w:p>
                  <w:pPr>
                    <w:widowControl/>
                    <w:jc w:val="center"/>
                    <w:rPr>
                      <w:rFonts w:eastAsia="等线"/>
                      <w:kern w:val="0"/>
                      <w:szCs w:val="21"/>
                    </w:rPr>
                  </w:pPr>
                  <w:r>
                    <w:rPr>
                      <w:rFonts w:eastAsia="等线"/>
                      <w:kern w:val="0"/>
                      <w:szCs w:val="21"/>
                    </w:rPr>
                    <w:t>0.5537</w:t>
                  </w:r>
                </w:p>
              </w:tc>
              <w:tc>
                <w:tcPr>
                  <w:tcW w:w="1682" w:type="dxa"/>
                  <w:noWrap/>
                  <w:vAlign w:val="center"/>
                </w:tcPr>
                <w:p>
                  <w:pPr>
                    <w:widowControl/>
                    <w:jc w:val="center"/>
                    <w:rPr>
                      <w:rFonts w:eastAsia="等线"/>
                      <w:kern w:val="0"/>
                      <w:szCs w:val="21"/>
                    </w:rPr>
                  </w:pPr>
                  <w:r>
                    <w:rPr>
                      <w:szCs w:val="21"/>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continue"/>
                  <w:noWrap/>
                  <w:vAlign w:val="center"/>
                </w:tcPr>
                <w:p>
                  <w:pPr>
                    <w:pStyle w:val="42"/>
                  </w:pPr>
                </w:p>
              </w:tc>
              <w:tc>
                <w:tcPr>
                  <w:tcW w:w="2835" w:type="dxa"/>
                  <w:vAlign w:val="center"/>
                </w:tcPr>
                <w:p>
                  <w:pPr>
                    <w:pStyle w:val="42"/>
                  </w:pPr>
                  <w:r>
                    <w:rPr>
                      <w:rFonts w:hint="eastAsia"/>
                    </w:rPr>
                    <w:t>灌木</w:t>
                  </w:r>
                  <w:r>
                    <w:t>林地</w:t>
                  </w:r>
                </w:p>
              </w:tc>
              <w:tc>
                <w:tcPr>
                  <w:tcW w:w="1700" w:type="dxa"/>
                  <w:noWrap/>
                  <w:vAlign w:val="center"/>
                </w:tcPr>
                <w:p>
                  <w:pPr>
                    <w:jc w:val="center"/>
                    <w:rPr>
                      <w:rFonts w:eastAsia="等线"/>
                      <w:szCs w:val="21"/>
                    </w:rPr>
                  </w:pPr>
                  <w:r>
                    <w:rPr>
                      <w:rFonts w:eastAsia="等线"/>
                      <w:szCs w:val="21"/>
                    </w:rPr>
                    <w:t>12.6964</w:t>
                  </w:r>
                </w:p>
              </w:tc>
              <w:tc>
                <w:tcPr>
                  <w:tcW w:w="1682" w:type="dxa"/>
                  <w:noWrap/>
                  <w:vAlign w:val="center"/>
                </w:tcPr>
                <w:p>
                  <w:pPr>
                    <w:jc w:val="center"/>
                    <w:rPr>
                      <w:rFonts w:eastAsia="等线"/>
                      <w:szCs w:val="21"/>
                    </w:rPr>
                  </w:pPr>
                  <w:r>
                    <w:rPr>
                      <w:szCs w:val="21"/>
                    </w:rPr>
                    <w:t>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noWrap/>
                  <w:vAlign w:val="center"/>
                </w:tcPr>
                <w:p>
                  <w:pPr>
                    <w:pStyle w:val="42"/>
                  </w:pPr>
                  <w:r>
                    <w:rPr>
                      <w:rFonts w:hint="eastAsia"/>
                    </w:rPr>
                    <w:t>草地</w:t>
                  </w:r>
                </w:p>
              </w:tc>
              <w:tc>
                <w:tcPr>
                  <w:tcW w:w="2835" w:type="dxa"/>
                  <w:vAlign w:val="center"/>
                </w:tcPr>
                <w:p>
                  <w:pPr>
                    <w:pStyle w:val="42"/>
                  </w:pPr>
                  <w:r>
                    <w:rPr>
                      <w:rFonts w:hint="eastAsia"/>
                    </w:rPr>
                    <w:t>其他</w:t>
                  </w:r>
                  <w:r>
                    <w:t>草地</w:t>
                  </w:r>
                </w:p>
              </w:tc>
              <w:tc>
                <w:tcPr>
                  <w:tcW w:w="1700" w:type="dxa"/>
                  <w:noWrap/>
                  <w:vAlign w:val="center"/>
                </w:tcPr>
                <w:p>
                  <w:pPr>
                    <w:jc w:val="center"/>
                    <w:rPr>
                      <w:rFonts w:eastAsia="等线"/>
                      <w:szCs w:val="21"/>
                    </w:rPr>
                  </w:pPr>
                  <w:r>
                    <w:rPr>
                      <w:rFonts w:eastAsia="等线"/>
                      <w:szCs w:val="21"/>
                    </w:rPr>
                    <w:t>0.1986</w:t>
                  </w:r>
                </w:p>
              </w:tc>
              <w:tc>
                <w:tcPr>
                  <w:tcW w:w="1682" w:type="dxa"/>
                  <w:noWrap/>
                  <w:vAlign w:val="center"/>
                </w:tcPr>
                <w:p>
                  <w:pPr>
                    <w:jc w:val="center"/>
                    <w:rPr>
                      <w:rFonts w:eastAsia="等线"/>
                      <w:szCs w:val="21"/>
                    </w:rPr>
                  </w:pPr>
                  <w:r>
                    <w:rPr>
                      <w:szCs w:val="21"/>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noWrap/>
                  <w:vAlign w:val="center"/>
                </w:tcPr>
                <w:p>
                  <w:pPr>
                    <w:pStyle w:val="42"/>
                  </w:pPr>
                  <w:r>
                    <w:rPr>
                      <w:rFonts w:hint="eastAsia"/>
                    </w:rPr>
                    <w:t>商服用地</w:t>
                  </w:r>
                </w:p>
              </w:tc>
              <w:tc>
                <w:tcPr>
                  <w:tcW w:w="2835" w:type="dxa"/>
                  <w:vAlign w:val="center"/>
                </w:tcPr>
                <w:p>
                  <w:pPr>
                    <w:pStyle w:val="42"/>
                  </w:pPr>
                  <w:r>
                    <w:rPr>
                      <w:rFonts w:hint="eastAsia"/>
                    </w:rPr>
                    <w:t>商业服务业设施用地</w:t>
                  </w:r>
                </w:p>
              </w:tc>
              <w:tc>
                <w:tcPr>
                  <w:tcW w:w="1700" w:type="dxa"/>
                  <w:noWrap/>
                  <w:vAlign w:val="center"/>
                </w:tcPr>
                <w:p>
                  <w:pPr>
                    <w:jc w:val="center"/>
                    <w:rPr>
                      <w:rFonts w:eastAsia="等线"/>
                      <w:szCs w:val="21"/>
                    </w:rPr>
                  </w:pPr>
                  <w:r>
                    <w:rPr>
                      <w:rFonts w:eastAsia="等线"/>
                      <w:szCs w:val="21"/>
                    </w:rPr>
                    <w:t>0.0378</w:t>
                  </w:r>
                </w:p>
              </w:tc>
              <w:tc>
                <w:tcPr>
                  <w:tcW w:w="1682" w:type="dxa"/>
                  <w:noWrap/>
                  <w:vAlign w:val="center"/>
                </w:tcPr>
                <w:p>
                  <w:pPr>
                    <w:jc w:val="center"/>
                    <w:rPr>
                      <w:rFonts w:eastAsia="等线"/>
                      <w:szCs w:val="21"/>
                    </w:rPr>
                  </w:pPr>
                  <w:r>
                    <w:rPr>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restart"/>
                  <w:noWrap/>
                  <w:vAlign w:val="center"/>
                </w:tcPr>
                <w:p>
                  <w:pPr>
                    <w:pStyle w:val="42"/>
                  </w:pPr>
                  <w:r>
                    <w:rPr>
                      <w:rFonts w:hint="eastAsia"/>
                    </w:rPr>
                    <w:t>工矿仓储用地</w:t>
                  </w:r>
                </w:p>
              </w:tc>
              <w:tc>
                <w:tcPr>
                  <w:tcW w:w="2835" w:type="dxa"/>
                  <w:vAlign w:val="center"/>
                </w:tcPr>
                <w:p>
                  <w:pPr>
                    <w:pStyle w:val="42"/>
                  </w:pPr>
                  <w:r>
                    <w:rPr>
                      <w:rFonts w:hint="eastAsia"/>
                    </w:rPr>
                    <w:t>工业用地</w:t>
                  </w:r>
                </w:p>
              </w:tc>
              <w:tc>
                <w:tcPr>
                  <w:tcW w:w="1700" w:type="dxa"/>
                  <w:noWrap/>
                  <w:vAlign w:val="center"/>
                </w:tcPr>
                <w:p>
                  <w:pPr>
                    <w:jc w:val="center"/>
                    <w:rPr>
                      <w:rFonts w:eastAsia="等线"/>
                      <w:szCs w:val="21"/>
                    </w:rPr>
                  </w:pPr>
                  <w:r>
                    <w:rPr>
                      <w:rFonts w:eastAsia="等线"/>
                      <w:szCs w:val="21"/>
                    </w:rPr>
                    <w:t>0.827</w:t>
                  </w:r>
                  <w:r>
                    <w:rPr>
                      <w:rFonts w:hint="eastAsia" w:eastAsia="等线"/>
                      <w:szCs w:val="21"/>
                    </w:rPr>
                    <w:t>0</w:t>
                  </w:r>
                </w:p>
              </w:tc>
              <w:tc>
                <w:tcPr>
                  <w:tcW w:w="1682" w:type="dxa"/>
                  <w:noWrap/>
                  <w:vAlign w:val="center"/>
                </w:tcPr>
                <w:p>
                  <w:pPr>
                    <w:jc w:val="center"/>
                    <w:rPr>
                      <w:rFonts w:eastAsia="等线"/>
                      <w:szCs w:val="21"/>
                    </w:rPr>
                  </w:pPr>
                  <w:r>
                    <w:rPr>
                      <w:szCs w:val="21"/>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continue"/>
                  <w:noWrap/>
                  <w:vAlign w:val="center"/>
                </w:tcPr>
                <w:p>
                  <w:pPr>
                    <w:pStyle w:val="42"/>
                  </w:pPr>
                </w:p>
              </w:tc>
              <w:tc>
                <w:tcPr>
                  <w:tcW w:w="2835" w:type="dxa"/>
                  <w:vAlign w:val="center"/>
                </w:tcPr>
                <w:p>
                  <w:pPr>
                    <w:pStyle w:val="42"/>
                  </w:pPr>
                  <w:r>
                    <w:rPr>
                      <w:rFonts w:hint="eastAsia"/>
                    </w:rPr>
                    <w:t>采矿用地</w:t>
                  </w:r>
                </w:p>
              </w:tc>
              <w:tc>
                <w:tcPr>
                  <w:tcW w:w="1700" w:type="dxa"/>
                  <w:noWrap/>
                  <w:vAlign w:val="center"/>
                </w:tcPr>
                <w:p>
                  <w:pPr>
                    <w:jc w:val="center"/>
                    <w:rPr>
                      <w:rFonts w:eastAsia="等线"/>
                      <w:szCs w:val="21"/>
                    </w:rPr>
                  </w:pPr>
                  <w:r>
                    <w:rPr>
                      <w:rFonts w:eastAsia="等线"/>
                      <w:szCs w:val="21"/>
                    </w:rPr>
                    <w:t>5.3651</w:t>
                  </w:r>
                </w:p>
              </w:tc>
              <w:tc>
                <w:tcPr>
                  <w:tcW w:w="1682" w:type="dxa"/>
                  <w:noWrap/>
                  <w:vAlign w:val="center"/>
                </w:tcPr>
                <w:p>
                  <w:pPr>
                    <w:jc w:val="center"/>
                    <w:rPr>
                      <w:rFonts w:eastAsia="等线"/>
                      <w:szCs w:val="21"/>
                    </w:rPr>
                  </w:pPr>
                  <w:r>
                    <w:rPr>
                      <w:szCs w:val="21"/>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restart"/>
                  <w:noWrap/>
                  <w:vAlign w:val="center"/>
                </w:tcPr>
                <w:p>
                  <w:pPr>
                    <w:pStyle w:val="42"/>
                  </w:pPr>
                  <w:r>
                    <w:rPr>
                      <w:rFonts w:hint="eastAsia"/>
                    </w:rPr>
                    <w:t>住宅用地</w:t>
                  </w:r>
                </w:p>
              </w:tc>
              <w:tc>
                <w:tcPr>
                  <w:tcW w:w="2835" w:type="dxa"/>
                  <w:vAlign w:val="center"/>
                </w:tcPr>
                <w:p>
                  <w:pPr>
                    <w:pStyle w:val="42"/>
                  </w:pPr>
                  <w:r>
                    <w:rPr>
                      <w:rFonts w:hint="eastAsia"/>
                    </w:rPr>
                    <w:t>城镇住宅用地</w:t>
                  </w:r>
                </w:p>
              </w:tc>
              <w:tc>
                <w:tcPr>
                  <w:tcW w:w="1700" w:type="dxa"/>
                  <w:noWrap/>
                  <w:vAlign w:val="center"/>
                </w:tcPr>
                <w:p>
                  <w:pPr>
                    <w:jc w:val="center"/>
                    <w:rPr>
                      <w:rFonts w:eastAsia="等线"/>
                      <w:szCs w:val="21"/>
                    </w:rPr>
                  </w:pPr>
                  <w:r>
                    <w:rPr>
                      <w:rFonts w:eastAsia="等线"/>
                      <w:szCs w:val="21"/>
                    </w:rPr>
                    <w:t>2.6682</w:t>
                  </w:r>
                </w:p>
              </w:tc>
              <w:tc>
                <w:tcPr>
                  <w:tcW w:w="1682" w:type="dxa"/>
                  <w:noWrap/>
                  <w:vAlign w:val="center"/>
                </w:tcPr>
                <w:p>
                  <w:pPr>
                    <w:jc w:val="center"/>
                    <w:rPr>
                      <w:rFonts w:eastAsia="等线"/>
                      <w:szCs w:val="21"/>
                    </w:rPr>
                  </w:pPr>
                  <w:r>
                    <w:rPr>
                      <w:szCs w:val="21"/>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continue"/>
                  <w:noWrap/>
                  <w:vAlign w:val="center"/>
                </w:tcPr>
                <w:p>
                  <w:pPr>
                    <w:pStyle w:val="42"/>
                  </w:pPr>
                </w:p>
              </w:tc>
              <w:tc>
                <w:tcPr>
                  <w:tcW w:w="2835" w:type="dxa"/>
                  <w:vAlign w:val="center"/>
                </w:tcPr>
                <w:p>
                  <w:pPr>
                    <w:pStyle w:val="42"/>
                  </w:pPr>
                  <w:r>
                    <w:rPr>
                      <w:rFonts w:hint="eastAsia"/>
                    </w:rPr>
                    <w:t>农村宅基地</w:t>
                  </w:r>
                </w:p>
              </w:tc>
              <w:tc>
                <w:tcPr>
                  <w:tcW w:w="1700" w:type="dxa"/>
                  <w:noWrap/>
                  <w:vAlign w:val="center"/>
                </w:tcPr>
                <w:p>
                  <w:pPr>
                    <w:jc w:val="center"/>
                    <w:rPr>
                      <w:rFonts w:eastAsia="等线"/>
                      <w:szCs w:val="21"/>
                    </w:rPr>
                  </w:pPr>
                  <w:r>
                    <w:rPr>
                      <w:rFonts w:eastAsia="等线"/>
                      <w:szCs w:val="21"/>
                    </w:rPr>
                    <w:t>2.1714</w:t>
                  </w:r>
                </w:p>
              </w:tc>
              <w:tc>
                <w:tcPr>
                  <w:tcW w:w="1682" w:type="dxa"/>
                  <w:noWrap/>
                  <w:vAlign w:val="center"/>
                </w:tcPr>
                <w:p>
                  <w:pPr>
                    <w:jc w:val="center"/>
                    <w:rPr>
                      <w:rFonts w:eastAsia="等线"/>
                      <w:szCs w:val="21"/>
                    </w:rPr>
                  </w:pPr>
                  <w:r>
                    <w:rPr>
                      <w:szCs w:val="21"/>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noWrap/>
                  <w:vAlign w:val="center"/>
                </w:tcPr>
                <w:p>
                  <w:pPr>
                    <w:pStyle w:val="42"/>
                  </w:pPr>
                  <w:r>
                    <w:rPr>
                      <w:rFonts w:hint="eastAsia"/>
                    </w:rPr>
                    <w:t>公共管理与公共服务用地</w:t>
                  </w:r>
                </w:p>
              </w:tc>
              <w:tc>
                <w:tcPr>
                  <w:tcW w:w="2835" w:type="dxa"/>
                  <w:vAlign w:val="center"/>
                </w:tcPr>
                <w:p>
                  <w:pPr>
                    <w:pStyle w:val="42"/>
                  </w:pPr>
                  <w:r>
                    <w:rPr>
                      <w:rFonts w:hint="eastAsia"/>
                    </w:rPr>
                    <w:t>机关团体新闻出版用地</w:t>
                  </w:r>
                </w:p>
              </w:tc>
              <w:tc>
                <w:tcPr>
                  <w:tcW w:w="1700" w:type="dxa"/>
                  <w:noWrap/>
                  <w:vAlign w:val="center"/>
                </w:tcPr>
                <w:p>
                  <w:pPr>
                    <w:jc w:val="center"/>
                    <w:rPr>
                      <w:rFonts w:eastAsia="等线"/>
                      <w:szCs w:val="21"/>
                    </w:rPr>
                  </w:pPr>
                  <w:r>
                    <w:rPr>
                      <w:rFonts w:eastAsia="等线"/>
                      <w:szCs w:val="21"/>
                    </w:rPr>
                    <w:t>0.5211</w:t>
                  </w:r>
                </w:p>
              </w:tc>
              <w:tc>
                <w:tcPr>
                  <w:tcW w:w="1682" w:type="dxa"/>
                  <w:noWrap/>
                  <w:vAlign w:val="center"/>
                </w:tcPr>
                <w:p>
                  <w:pPr>
                    <w:jc w:val="center"/>
                    <w:rPr>
                      <w:rFonts w:eastAsia="等线"/>
                      <w:szCs w:val="21"/>
                    </w:rPr>
                  </w:pPr>
                  <w:r>
                    <w:rPr>
                      <w:szCs w:val="21"/>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restart"/>
                  <w:noWrap/>
                  <w:vAlign w:val="center"/>
                </w:tcPr>
                <w:p>
                  <w:pPr>
                    <w:pStyle w:val="42"/>
                  </w:pPr>
                  <w:r>
                    <w:rPr>
                      <w:rFonts w:hint="eastAsia"/>
                    </w:rPr>
                    <w:t>交通运输用地</w:t>
                  </w:r>
                </w:p>
              </w:tc>
              <w:tc>
                <w:tcPr>
                  <w:tcW w:w="2835" w:type="dxa"/>
                  <w:vAlign w:val="center"/>
                </w:tcPr>
                <w:p>
                  <w:pPr>
                    <w:pStyle w:val="42"/>
                  </w:pPr>
                  <w:r>
                    <w:rPr>
                      <w:rFonts w:hint="eastAsia"/>
                    </w:rPr>
                    <w:t>公路用地</w:t>
                  </w:r>
                </w:p>
              </w:tc>
              <w:tc>
                <w:tcPr>
                  <w:tcW w:w="1700" w:type="dxa"/>
                  <w:noWrap/>
                  <w:vAlign w:val="center"/>
                </w:tcPr>
                <w:p>
                  <w:pPr>
                    <w:jc w:val="center"/>
                    <w:rPr>
                      <w:rFonts w:eastAsia="等线"/>
                      <w:szCs w:val="21"/>
                    </w:rPr>
                  </w:pPr>
                  <w:r>
                    <w:rPr>
                      <w:rFonts w:eastAsia="等线"/>
                      <w:szCs w:val="21"/>
                    </w:rPr>
                    <w:t>1.7834</w:t>
                  </w:r>
                </w:p>
              </w:tc>
              <w:tc>
                <w:tcPr>
                  <w:tcW w:w="1682" w:type="dxa"/>
                  <w:noWrap/>
                  <w:vAlign w:val="center"/>
                </w:tcPr>
                <w:p>
                  <w:pPr>
                    <w:jc w:val="center"/>
                    <w:rPr>
                      <w:rFonts w:eastAsia="等线"/>
                      <w:szCs w:val="21"/>
                    </w:rPr>
                  </w:pPr>
                  <w:r>
                    <w:rPr>
                      <w:szCs w:val="21"/>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continue"/>
                  <w:noWrap/>
                  <w:vAlign w:val="center"/>
                </w:tcPr>
                <w:p>
                  <w:pPr>
                    <w:pStyle w:val="42"/>
                  </w:pPr>
                </w:p>
              </w:tc>
              <w:tc>
                <w:tcPr>
                  <w:tcW w:w="2835" w:type="dxa"/>
                  <w:vAlign w:val="center"/>
                </w:tcPr>
                <w:p>
                  <w:pPr>
                    <w:pStyle w:val="42"/>
                  </w:pPr>
                  <w:r>
                    <w:rPr>
                      <w:rFonts w:hint="eastAsia"/>
                    </w:rPr>
                    <w:t>农村道路</w:t>
                  </w:r>
                </w:p>
              </w:tc>
              <w:tc>
                <w:tcPr>
                  <w:tcW w:w="1700" w:type="dxa"/>
                  <w:noWrap/>
                  <w:vAlign w:val="center"/>
                </w:tcPr>
                <w:p>
                  <w:pPr>
                    <w:jc w:val="center"/>
                    <w:rPr>
                      <w:rFonts w:eastAsia="等线"/>
                      <w:szCs w:val="21"/>
                    </w:rPr>
                  </w:pPr>
                  <w:r>
                    <w:rPr>
                      <w:rFonts w:eastAsia="等线"/>
                      <w:szCs w:val="21"/>
                    </w:rPr>
                    <w:t>0.9019</w:t>
                  </w:r>
                </w:p>
              </w:tc>
              <w:tc>
                <w:tcPr>
                  <w:tcW w:w="1682" w:type="dxa"/>
                  <w:noWrap/>
                  <w:vAlign w:val="center"/>
                </w:tcPr>
                <w:p>
                  <w:pPr>
                    <w:jc w:val="center"/>
                    <w:rPr>
                      <w:rFonts w:eastAsia="等线"/>
                      <w:szCs w:val="21"/>
                    </w:rPr>
                  </w:pPr>
                  <w:r>
                    <w:rPr>
                      <w:szCs w:val="21"/>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restart"/>
                  <w:noWrap/>
                  <w:vAlign w:val="center"/>
                </w:tcPr>
                <w:p>
                  <w:pPr>
                    <w:pStyle w:val="42"/>
                  </w:pPr>
                  <w:r>
                    <w:rPr>
                      <w:rFonts w:hint="eastAsia"/>
                    </w:rPr>
                    <w:t>水域及水利设施用地</w:t>
                  </w:r>
                </w:p>
              </w:tc>
              <w:tc>
                <w:tcPr>
                  <w:tcW w:w="2835" w:type="dxa"/>
                  <w:vAlign w:val="center"/>
                </w:tcPr>
                <w:p>
                  <w:pPr>
                    <w:pStyle w:val="42"/>
                  </w:pPr>
                  <w:r>
                    <w:rPr>
                      <w:rFonts w:hint="eastAsia"/>
                    </w:rPr>
                    <w:t>坑塘水面</w:t>
                  </w:r>
                </w:p>
              </w:tc>
              <w:tc>
                <w:tcPr>
                  <w:tcW w:w="1700" w:type="dxa"/>
                  <w:noWrap/>
                  <w:vAlign w:val="center"/>
                </w:tcPr>
                <w:p>
                  <w:pPr>
                    <w:jc w:val="center"/>
                    <w:rPr>
                      <w:rFonts w:eastAsia="等线"/>
                      <w:szCs w:val="21"/>
                    </w:rPr>
                  </w:pPr>
                  <w:r>
                    <w:rPr>
                      <w:rFonts w:eastAsia="等线"/>
                      <w:szCs w:val="21"/>
                    </w:rPr>
                    <w:t>0.6333</w:t>
                  </w:r>
                </w:p>
              </w:tc>
              <w:tc>
                <w:tcPr>
                  <w:tcW w:w="1682" w:type="dxa"/>
                  <w:noWrap/>
                  <w:vAlign w:val="center"/>
                </w:tcPr>
                <w:p>
                  <w:pPr>
                    <w:jc w:val="center"/>
                    <w:rPr>
                      <w:rFonts w:eastAsia="等线"/>
                      <w:szCs w:val="21"/>
                    </w:rPr>
                  </w:pPr>
                  <w:r>
                    <w:rPr>
                      <w:szCs w:val="21"/>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continue"/>
                  <w:noWrap/>
                  <w:vAlign w:val="center"/>
                </w:tcPr>
                <w:p>
                  <w:pPr>
                    <w:pStyle w:val="42"/>
                  </w:pPr>
                </w:p>
              </w:tc>
              <w:tc>
                <w:tcPr>
                  <w:tcW w:w="2835" w:type="dxa"/>
                  <w:vAlign w:val="center"/>
                </w:tcPr>
                <w:p>
                  <w:pPr>
                    <w:pStyle w:val="42"/>
                  </w:pPr>
                  <w:r>
                    <w:rPr>
                      <w:rFonts w:hint="eastAsia"/>
                    </w:rPr>
                    <w:t>沟渠</w:t>
                  </w:r>
                </w:p>
              </w:tc>
              <w:tc>
                <w:tcPr>
                  <w:tcW w:w="1700" w:type="dxa"/>
                  <w:noWrap/>
                  <w:vAlign w:val="center"/>
                </w:tcPr>
                <w:p>
                  <w:pPr>
                    <w:jc w:val="center"/>
                    <w:rPr>
                      <w:rFonts w:eastAsia="等线"/>
                      <w:szCs w:val="21"/>
                    </w:rPr>
                  </w:pPr>
                  <w:r>
                    <w:rPr>
                      <w:rFonts w:eastAsia="等线"/>
                      <w:szCs w:val="21"/>
                    </w:rPr>
                    <w:t>0.0839</w:t>
                  </w:r>
                </w:p>
              </w:tc>
              <w:tc>
                <w:tcPr>
                  <w:tcW w:w="1682" w:type="dxa"/>
                  <w:noWrap/>
                  <w:vAlign w:val="center"/>
                </w:tcPr>
                <w:p>
                  <w:pPr>
                    <w:jc w:val="center"/>
                    <w:rPr>
                      <w:rFonts w:eastAsia="等线"/>
                      <w:szCs w:val="21"/>
                    </w:rPr>
                  </w:pPr>
                  <w:r>
                    <w:rPr>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restart"/>
                  <w:noWrap/>
                  <w:vAlign w:val="center"/>
                </w:tcPr>
                <w:p>
                  <w:pPr>
                    <w:pStyle w:val="42"/>
                  </w:pPr>
                  <w:r>
                    <w:rPr>
                      <w:rFonts w:hint="eastAsia"/>
                    </w:rPr>
                    <w:t>其他土地</w:t>
                  </w:r>
                </w:p>
              </w:tc>
              <w:tc>
                <w:tcPr>
                  <w:tcW w:w="2835" w:type="dxa"/>
                  <w:vAlign w:val="center"/>
                </w:tcPr>
                <w:p>
                  <w:pPr>
                    <w:pStyle w:val="42"/>
                  </w:pPr>
                  <w:r>
                    <w:rPr>
                      <w:rFonts w:hint="eastAsia"/>
                    </w:rPr>
                    <w:t>设施农用地</w:t>
                  </w:r>
                </w:p>
              </w:tc>
              <w:tc>
                <w:tcPr>
                  <w:tcW w:w="1700" w:type="dxa"/>
                  <w:noWrap/>
                  <w:vAlign w:val="center"/>
                </w:tcPr>
                <w:p>
                  <w:pPr>
                    <w:jc w:val="center"/>
                    <w:rPr>
                      <w:rFonts w:eastAsia="等线"/>
                      <w:szCs w:val="21"/>
                    </w:rPr>
                  </w:pPr>
                  <w:r>
                    <w:rPr>
                      <w:rFonts w:eastAsia="等线"/>
                      <w:szCs w:val="21"/>
                    </w:rPr>
                    <w:t>0.1447</w:t>
                  </w:r>
                </w:p>
              </w:tc>
              <w:tc>
                <w:tcPr>
                  <w:tcW w:w="1682" w:type="dxa"/>
                  <w:noWrap/>
                  <w:vAlign w:val="center"/>
                </w:tcPr>
                <w:p>
                  <w:pPr>
                    <w:jc w:val="center"/>
                    <w:rPr>
                      <w:rFonts w:eastAsia="等线"/>
                      <w:szCs w:val="21"/>
                    </w:rPr>
                  </w:pPr>
                  <w:r>
                    <w:rPr>
                      <w:szCs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continue"/>
                  <w:noWrap/>
                  <w:vAlign w:val="center"/>
                </w:tcPr>
                <w:p>
                  <w:pPr>
                    <w:pStyle w:val="42"/>
                  </w:pPr>
                </w:p>
              </w:tc>
              <w:tc>
                <w:tcPr>
                  <w:tcW w:w="2835" w:type="dxa"/>
                  <w:vAlign w:val="center"/>
                </w:tcPr>
                <w:p>
                  <w:pPr>
                    <w:pStyle w:val="42"/>
                  </w:pPr>
                  <w:r>
                    <w:rPr>
                      <w:rFonts w:hint="eastAsia"/>
                    </w:rPr>
                    <w:t>裸岩石砾地</w:t>
                  </w:r>
                </w:p>
              </w:tc>
              <w:tc>
                <w:tcPr>
                  <w:tcW w:w="1700" w:type="dxa"/>
                  <w:noWrap/>
                  <w:vAlign w:val="center"/>
                </w:tcPr>
                <w:p>
                  <w:pPr>
                    <w:jc w:val="center"/>
                    <w:rPr>
                      <w:rFonts w:eastAsia="等线"/>
                      <w:szCs w:val="21"/>
                    </w:rPr>
                  </w:pPr>
                  <w:r>
                    <w:rPr>
                      <w:rFonts w:eastAsia="等线"/>
                      <w:szCs w:val="21"/>
                    </w:rPr>
                    <w:t>0.0658</w:t>
                  </w:r>
                </w:p>
              </w:tc>
              <w:tc>
                <w:tcPr>
                  <w:tcW w:w="1682" w:type="dxa"/>
                  <w:noWrap/>
                  <w:vAlign w:val="center"/>
                </w:tcPr>
                <w:p>
                  <w:pPr>
                    <w:jc w:val="center"/>
                    <w:rPr>
                      <w:rFonts w:eastAsia="等线"/>
                      <w:szCs w:val="21"/>
                    </w:rPr>
                  </w:pPr>
                  <w:r>
                    <w:rPr>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5634" w:type="dxa"/>
                  <w:gridSpan w:val="2"/>
                  <w:noWrap/>
                  <w:vAlign w:val="center"/>
                </w:tcPr>
                <w:p>
                  <w:pPr>
                    <w:pStyle w:val="42"/>
                  </w:pPr>
                  <w:r>
                    <w:t>合计</w:t>
                  </w:r>
                </w:p>
              </w:tc>
              <w:tc>
                <w:tcPr>
                  <w:tcW w:w="1700" w:type="dxa"/>
                  <w:noWrap/>
                  <w:vAlign w:val="center"/>
                </w:tcPr>
                <w:p>
                  <w:pPr>
                    <w:pStyle w:val="42"/>
                  </w:pPr>
                  <w:r>
                    <w:rPr>
                      <w:rFonts w:hint="eastAsia"/>
                    </w:rPr>
                    <w:t>139.1036</w:t>
                  </w:r>
                </w:p>
              </w:tc>
              <w:tc>
                <w:tcPr>
                  <w:tcW w:w="1682" w:type="dxa"/>
                  <w:noWrap/>
                  <w:vAlign w:val="center"/>
                </w:tcPr>
                <w:p>
                  <w:pPr>
                    <w:pStyle w:val="42"/>
                  </w:pPr>
                  <w:r>
                    <w:t>100.0</w:t>
                  </w:r>
                  <w:r>
                    <w:rPr>
                      <w:rFonts w:hint="eastAsia"/>
                    </w:rPr>
                    <w:t>0</w:t>
                  </w:r>
                </w:p>
              </w:tc>
            </w:tr>
          </w:tbl>
          <w:p>
            <w:pPr>
              <w:adjustRightInd w:val="0"/>
              <w:snapToGrid w:val="0"/>
              <w:spacing w:line="360" w:lineRule="auto"/>
              <w:ind w:firstLine="482" w:firstLineChars="200"/>
              <w:rPr>
                <w:b/>
                <w:kern w:val="0"/>
                <w:sz w:val="24"/>
              </w:rPr>
            </w:pPr>
            <w:r>
              <w:rPr>
                <w:b/>
                <w:kern w:val="0"/>
                <w:sz w:val="24"/>
              </w:rPr>
              <w:t>5）植被类型</w:t>
            </w:r>
          </w:p>
          <w:p>
            <w:pPr>
              <w:adjustRightInd w:val="0"/>
              <w:snapToGrid w:val="0"/>
              <w:spacing w:line="360" w:lineRule="auto"/>
              <w:ind w:firstLine="480" w:firstLineChars="200"/>
              <w:rPr>
                <w:kern w:val="0"/>
                <w:sz w:val="24"/>
              </w:rPr>
            </w:pPr>
            <w:r>
              <w:rPr>
                <w:kern w:val="0"/>
                <w:sz w:val="24"/>
              </w:rPr>
              <w:t>按照《中国植被》的植被分类原则和系统对评价区内的植被类型进行划分，可分为2个植被系列，</w:t>
            </w:r>
            <w:r>
              <w:rPr>
                <w:rFonts w:hint="eastAsia"/>
                <w:kern w:val="0"/>
                <w:sz w:val="24"/>
              </w:rPr>
              <w:t>其中：自然植被有6</w:t>
            </w:r>
            <w:r>
              <w:rPr>
                <w:kern w:val="0"/>
                <w:sz w:val="24"/>
              </w:rPr>
              <w:t>个植被型组、7个植被型、</w:t>
            </w:r>
            <w:r>
              <w:rPr>
                <w:rFonts w:hint="eastAsia"/>
                <w:kern w:val="0"/>
                <w:sz w:val="24"/>
              </w:rPr>
              <w:t>9</w:t>
            </w:r>
            <w:r>
              <w:rPr>
                <w:kern w:val="0"/>
                <w:sz w:val="24"/>
              </w:rPr>
              <w:t>个典型群系。</w:t>
            </w:r>
          </w:p>
          <w:p>
            <w:pPr>
              <w:adjustRightInd w:val="0"/>
              <w:snapToGrid w:val="0"/>
              <w:spacing w:line="360" w:lineRule="auto"/>
              <w:ind w:firstLine="480" w:firstLineChars="200"/>
              <w:rPr>
                <w:kern w:val="0"/>
                <w:sz w:val="24"/>
              </w:rPr>
            </w:pPr>
            <w:r>
              <w:rPr>
                <w:kern w:val="0"/>
                <w:sz w:val="24"/>
              </w:rPr>
              <w:t>本项目评价范围内主要植被类型为：针叶林、阔叶林、针阔混交林、竹林、灌丛、山地草丛</w:t>
            </w:r>
            <w:r>
              <w:rPr>
                <w:rFonts w:hint="eastAsia"/>
                <w:kern w:val="0"/>
                <w:sz w:val="24"/>
              </w:rPr>
              <w:t>、农田植被</w:t>
            </w:r>
            <w:r>
              <w:rPr>
                <w:kern w:val="0"/>
                <w:sz w:val="24"/>
              </w:rPr>
              <w:t>。评价范围受人为活动扰动程度较高，其中，</w:t>
            </w:r>
            <w:r>
              <w:rPr>
                <w:rFonts w:hint="eastAsia"/>
                <w:kern w:val="0"/>
                <w:sz w:val="24"/>
              </w:rPr>
              <w:t>乔木林均</w:t>
            </w:r>
            <w:r>
              <w:rPr>
                <w:kern w:val="0"/>
                <w:sz w:val="24"/>
              </w:rPr>
              <w:t>以人工</w:t>
            </w:r>
            <w:r>
              <w:rPr>
                <w:rFonts w:hint="eastAsia"/>
                <w:kern w:val="0"/>
                <w:sz w:val="24"/>
              </w:rPr>
              <w:t>林或</w:t>
            </w:r>
            <w:r>
              <w:rPr>
                <w:kern w:val="0"/>
                <w:sz w:val="24"/>
              </w:rPr>
              <w:t>间伐后次生林。</w:t>
            </w:r>
          </w:p>
          <w:p>
            <w:pPr>
              <w:adjustRightInd w:val="0"/>
              <w:snapToGrid w:val="0"/>
              <w:spacing w:line="360" w:lineRule="auto"/>
              <w:ind w:firstLine="480" w:firstLineChars="200"/>
              <w:rPr>
                <w:kern w:val="0"/>
                <w:sz w:val="24"/>
              </w:rPr>
            </w:pPr>
            <w:r>
              <w:rPr>
                <w:kern w:val="0"/>
                <w:sz w:val="24"/>
              </w:rPr>
              <w:t>经现场调查及资料整理，评价区</w:t>
            </w:r>
            <w:r>
              <w:rPr>
                <w:rFonts w:hint="eastAsia"/>
                <w:kern w:val="0"/>
                <w:sz w:val="24"/>
              </w:rPr>
              <w:t>总</w:t>
            </w:r>
            <w:r>
              <w:rPr>
                <w:kern w:val="0"/>
                <w:sz w:val="24"/>
              </w:rPr>
              <w:t>面积</w:t>
            </w:r>
            <w:r>
              <w:rPr>
                <w:rFonts w:hint="eastAsia"/>
                <w:sz w:val="24"/>
              </w:rPr>
              <w:t>139.1036</w:t>
            </w:r>
            <w:r>
              <w:rPr>
                <w:kern w:val="0"/>
                <w:sz w:val="24"/>
              </w:rPr>
              <w:t>hm</w:t>
            </w:r>
            <w:r>
              <w:rPr>
                <w:kern w:val="0"/>
                <w:sz w:val="24"/>
                <w:vertAlign w:val="superscript"/>
              </w:rPr>
              <w:t>2</w:t>
            </w:r>
            <w:r>
              <w:rPr>
                <w:kern w:val="0"/>
                <w:sz w:val="24"/>
              </w:rPr>
              <w:t>，</w:t>
            </w:r>
            <w:r>
              <w:rPr>
                <w:rFonts w:hint="eastAsia"/>
                <w:kern w:val="0"/>
                <w:sz w:val="24"/>
              </w:rPr>
              <w:t>有</w:t>
            </w:r>
            <w:r>
              <w:rPr>
                <w:kern w:val="0"/>
                <w:sz w:val="24"/>
              </w:rPr>
              <w:t>植被</w:t>
            </w:r>
            <w:r>
              <w:rPr>
                <w:rFonts w:hint="eastAsia"/>
                <w:kern w:val="0"/>
                <w:sz w:val="24"/>
              </w:rPr>
              <w:t>区域</w:t>
            </w:r>
            <w:r>
              <w:rPr>
                <w:kern w:val="0"/>
                <w:sz w:val="24"/>
              </w:rPr>
              <w:t>面积约123.9hm</w:t>
            </w:r>
            <w:r>
              <w:rPr>
                <w:kern w:val="0"/>
                <w:sz w:val="24"/>
                <w:vertAlign w:val="superscript"/>
              </w:rPr>
              <w:t>2</w:t>
            </w:r>
            <w:r>
              <w:rPr>
                <w:kern w:val="0"/>
                <w:sz w:val="24"/>
              </w:rPr>
              <w:t>，占评价区面积的89.07%</w:t>
            </w:r>
            <w:r>
              <w:rPr>
                <w:rFonts w:hint="eastAsia"/>
                <w:kern w:val="0"/>
                <w:sz w:val="24"/>
              </w:rPr>
              <w:t>。</w:t>
            </w:r>
            <w:r>
              <w:rPr>
                <w:kern w:val="0"/>
                <w:sz w:val="24"/>
              </w:rPr>
              <w:t>其中</w:t>
            </w:r>
            <w:r>
              <w:rPr>
                <w:rFonts w:hint="eastAsia"/>
                <w:kern w:val="0"/>
                <w:sz w:val="24"/>
              </w:rPr>
              <w:t>：针阔混交林</w:t>
            </w:r>
            <w:r>
              <w:rPr>
                <w:kern w:val="0"/>
                <w:sz w:val="24"/>
              </w:rPr>
              <w:t>面积最大，约35.8760hm</w:t>
            </w:r>
            <w:r>
              <w:rPr>
                <w:kern w:val="0"/>
                <w:sz w:val="24"/>
                <w:vertAlign w:val="superscript"/>
              </w:rPr>
              <w:t>2</w:t>
            </w:r>
            <w:r>
              <w:rPr>
                <w:kern w:val="0"/>
                <w:sz w:val="24"/>
              </w:rPr>
              <w:t>，占评价区面积的</w:t>
            </w:r>
            <w:r>
              <w:rPr>
                <w:rFonts w:hint="eastAsia"/>
                <w:kern w:val="0"/>
                <w:sz w:val="24"/>
              </w:rPr>
              <w:t>25.80</w:t>
            </w:r>
            <w:r>
              <w:rPr>
                <w:kern w:val="0"/>
                <w:sz w:val="24"/>
              </w:rPr>
              <w:t>%；无植被面积15.2036hm</w:t>
            </w:r>
            <w:r>
              <w:rPr>
                <w:kern w:val="0"/>
                <w:sz w:val="24"/>
                <w:vertAlign w:val="superscript"/>
              </w:rPr>
              <w:t>2</w:t>
            </w:r>
            <w:r>
              <w:rPr>
                <w:kern w:val="0"/>
                <w:sz w:val="24"/>
              </w:rPr>
              <w:t>，占评价区面积的10.9</w:t>
            </w:r>
            <w:r>
              <w:rPr>
                <w:rFonts w:hint="eastAsia"/>
                <w:kern w:val="0"/>
                <w:sz w:val="24"/>
              </w:rPr>
              <w:t>3</w:t>
            </w:r>
            <w:r>
              <w:rPr>
                <w:kern w:val="0"/>
                <w:sz w:val="24"/>
              </w:rPr>
              <w:t>%。</w:t>
            </w:r>
          </w:p>
          <w:p>
            <w:pPr>
              <w:adjustRightInd w:val="0"/>
              <w:snapToGrid w:val="0"/>
              <w:spacing w:line="360" w:lineRule="auto"/>
              <w:ind w:firstLine="480" w:firstLineChars="200"/>
              <w:rPr>
                <w:kern w:val="0"/>
                <w:sz w:val="24"/>
              </w:rPr>
            </w:pPr>
            <w:r>
              <w:rPr>
                <w:kern w:val="0"/>
                <w:sz w:val="24"/>
              </w:rPr>
              <w:t>本项目生态评价范围内各植被类型统计汇总情况见下表3-5、3-6。</w:t>
            </w:r>
          </w:p>
          <w:p>
            <w:pPr>
              <w:adjustRightInd w:val="0"/>
              <w:snapToGrid w:val="0"/>
              <w:jc w:val="center"/>
              <w:rPr>
                <w:kern w:val="0"/>
                <w:sz w:val="24"/>
              </w:rPr>
            </w:pPr>
            <w:r>
              <w:rPr>
                <w:b/>
                <w:kern w:val="0"/>
                <w:sz w:val="24"/>
              </w:rPr>
              <w:t>表3-5</w:t>
            </w:r>
            <w:r>
              <w:rPr>
                <w:kern w:val="0"/>
                <w:sz w:val="24"/>
              </w:rPr>
              <w:t xml:space="preserve">   </w:t>
            </w:r>
            <w:r>
              <w:rPr>
                <w:b/>
                <w:bCs/>
                <w:kern w:val="0"/>
                <w:sz w:val="24"/>
                <w:lang w:bidi="en-US"/>
              </w:rPr>
              <w:t>生态评价范围</w:t>
            </w:r>
            <w:r>
              <w:rPr>
                <w:b/>
                <w:kern w:val="0"/>
                <w:sz w:val="24"/>
              </w:rPr>
              <w:t>植被现状统计表</w:t>
            </w:r>
          </w:p>
          <w:tbl>
            <w:tblPr>
              <w:tblStyle w:val="15"/>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3193"/>
              <w:gridCol w:w="2339"/>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1416" w:type="dxa"/>
                  <w:vAlign w:val="center"/>
                </w:tcPr>
                <w:p>
                  <w:pPr>
                    <w:pStyle w:val="42"/>
                  </w:pPr>
                  <w:r>
                    <w:t>分类</w:t>
                  </w:r>
                </w:p>
              </w:tc>
              <w:tc>
                <w:tcPr>
                  <w:tcW w:w="3193" w:type="dxa"/>
                  <w:vAlign w:val="center"/>
                </w:tcPr>
                <w:p>
                  <w:pPr>
                    <w:pStyle w:val="42"/>
                  </w:pPr>
                  <w:r>
                    <w:t>植被类型</w:t>
                  </w:r>
                </w:p>
              </w:tc>
              <w:tc>
                <w:tcPr>
                  <w:tcW w:w="2339" w:type="dxa"/>
                  <w:vAlign w:val="center"/>
                </w:tcPr>
                <w:p>
                  <w:pPr>
                    <w:pStyle w:val="42"/>
                  </w:pPr>
                  <w:r>
                    <w:t>面积（hm</w:t>
                  </w:r>
                  <w:r>
                    <w:rPr>
                      <w:vertAlign w:val="superscript"/>
                    </w:rPr>
                    <w:t>2</w:t>
                  </w:r>
                  <w:r>
                    <w:t>）</w:t>
                  </w:r>
                </w:p>
              </w:tc>
              <w:tc>
                <w:tcPr>
                  <w:tcW w:w="2068" w:type="dxa"/>
                  <w:vAlign w:val="center"/>
                </w:tcPr>
                <w:p>
                  <w:pPr>
                    <w:pStyle w:val="42"/>
                  </w:pPr>
                  <w: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6" w:type="dxa"/>
                  <w:vMerge w:val="restart"/>
                  <w:vAlign w:val="center"/>
                </w:tcPr>
                <w:p>
                  <w:pPr>
                    <w:pStyle w:val="42"/>
                  </w:pPr>
                  <w:r>
                    <w:t>植被</w:t>
                  </w:r>
                </w:p>
              </w:tc>
              <w:tc>
                <w:tcPr>
                  <w:tcW w:w="3193" w:type="dxa"/>
                  <w:vAlign w:val="center"/>
                </w:tcPr>
                <w:p>
                  <w:pPr>
                    <w:pStyle w:val="42"/>
                  </w:pPr>
                  <w:r>
                    <w:t>针叶林</w:t>
                  </w:r>
                </w:p>
              </w:tc>
              <w:tc>
                <w:tcPr>
                  <w:tcW w:w="2339" w:type="dxa"/>
                  <w:vAlign w:val="center"/>
                </w:tcPr>
                <w:p>
                  <w:pPr>
                    <w:pStyle w:val="42"/>
                  </w:pPr>
                  <w:r>
                    <w:t>20.2858</w:t>
                  </w:r>
                </w:p>
              </w:tc>
              <w:tc>
                <w:tcPr>
                  <w:tcW w:w="2068" w:type="dxa"/>
                  <w:noWrap/>
                  <w:vAlign w:val="center"/>
                </w:tcPr>
                <w:p>
                  <w:pPr>
                    <w:jc w:val="center"/>
                    <w:rPr>
                      <w:rFonts w:eastAsia="等线"/>
                      <w:szCs w:val="21"/>
                    </w:rPr>
                  </w:pPr>
                  <w:r>
                    <w:rPr>
                      <w:rFonts w:eastAsia="等线"/>
                      <w:szCs w:val="21"/>
                    </w:rPr>
                    <w:t>14.58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6" w:type="dxa"/>
                  <w:vMerge w:val="continue"/>
                  <w:vAlign w:val="center"/>
                </w:tcPr>
                <w:p>
                  <w:pPr>
                    <w:pStyle w:val="42"/>
                  </w:pPr>
                </w:p>
              </w:tc>
              <w:tc>
                <w:tcPr>
                  <w:tcW w:w="3193" w:type="dxa"/>
                  <w:vAlign w:val="center"/>
                </w:tcPr>
                <w:p>
                  <w:pPr>
                    <w:pStyle w:val="42"/>
                  </w:pPr>
                  <w:r>
                    <w:t>阔叶林</w:t>
                  </w:r>
                </w:p>
              </w:tc>
              <w:tc>
                <w:tcPr>
                  <w:tcW w:w="2339" w:type="dxa"/>
                  <w:vAlign w:val="center"/>
                </w:tcPr>
                <w:p>
                  <w:pPr>
                    <w:pStyle w:val="42"/>
                  </w:pPr>
                  <w:r>
                    <w:t>24.5275</w:t>
                  </w:r>
                </w:p>
              </w:tc>
              <w:tc>
                <w:tcPr>
                  <w:tcW w:w="2068" w:type="dxa"/>
                  <w:noWrap/>
                  <w:vAlign w:val="center"/>
                </w:tcPr>
                <w:p>
                  <w:pPr>
                    <w:jc w:val="center"/>
                    <w:rPr>
                      <w:rFonts w:eastAsia="等线"/>
                      <w:szCs w:val="21"/>
                    </w:rPr>
                  </w:pPr>
                  <w:r>
                    <w:rPr>
                      <w:rFonts w:eastAsia="等线"/>
                      <w:szCs w:val="21"/>
                    </w:rPr>
                    <w:t>17.63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6" w:type="dxa"/>
                  <w:vMerge w:val="continue"/>
                  <w:vAlign w:val="center"/>
                </w:tcPr>
                <w:p>
                  <w:pPr>
                    <w:pStyle w:val="42"/>
                  </w:pPr>
                </w:p>
              </w:tc>
              <w:tc>
                <w:tcPr>
                  <w:tcW w:w="3193" w:type="dxa"/>
                  <w:vAlign w:val="center"/>
                </w:tcPr>
                <w:p>
                  <w:pPr>
                    <w:pStyle w:val="42"/>
                  </w:pPr>
                  <w:r>
                    <w:t>针阔混交林</w:t>
                  </w:r>
                </w:p>
              </w:tc>
              <w:tc>
                <w:tcPr>
                  <w:tcW w:w="2339" w:type="dxa"/>
                  <w:vAlign w:val="center"/>
                </w:tcPr>
                <w:p>
                  <w:pPr>
                    <w:pStyle w:val="42"/>
                  </w:pPr>
                  <w:r>
                    <w:rPr>
                      <w:rFonts w:eastAsia="等线"/>
                      <w:szCs w:val="21"/>
                    </w:rPr>
                    <w:t>35.8760</w:t>
                  </w:r>
                </w:p>
              </w:tc>
              <w:tc>
                <w:tcPr>
                  <w:tcW w:w="2068" w:type="dxa"/>
                  <w:noWrap/>
                  <w:vAlign w:val="center"/>
                </w:tcPr>
                <w:p>
                  <w:pPr>
                    <w:jc w:val="center"/>
                    <w:rPr>
                      <w:rFonts w:eastAsia="等线"/>
                      <w:szCs w:val="21"/>
                    </w:rPr>
                  </w:pPr>
                  <w:r>
                    <w:rPr>
                      <w:rFonts w:eastAsia="等线"/>
                      <w:szCs w:val="21"/>
                    </w:rPr>
                    <w:t>25.</w:t>
                  </w:r>
                  <w:r>
                    <w:rPr>
                      <w:rFonts w:hint="eastAsia" w:eastAsia="等线"/>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6" w:type="dxa"/>
                  <w:vMerge w:val="continue"/>
                  <w:vAlign w:val="center"/>
                </w:tcPr>
                <w:p>
                  <w:pPr>
                    <w:pStyle w:val="42"/>
                  </w:pPr>
                </w:p>
              </w:tc>
              <w:tc>
                <w:tcPr>
                  <w:tcW w:w="3193" w:type="dxa"/>
                  <w:vAlign w:val="center"/>
                </w:tcPr>
                <w:p>
                  <w:pPr>
                    <w:pStyle w:val="42"/>
                  </w:pPr>
                  <w:r>
                    <w:rPr>
                      <w:rFonts w:hint="eastAsia"/>
                    </w:rPr>
                    <w:t>竹林</w:t>
                  </w:r>
                </w:p>
              </w:tc>
              <w:tc>
                <w:tcPr>
                  <w:tcW w:w="2339" w:type="dxa"/>
                  <w:vAlign w:val="center"/>
                </w:tcPr>
                <w:p>
                  <w:pPr>
                    <w:pStyle w:val="42"/>
                  </w:pPr>
                  <w:r>
                    <w:rPr>
                      <w:rFonts w:eastAsia="等线"/>
                      <w:szCs w:val="21"/>
                    </w:rPr>
                    <w:t>0.5537</w:t>
                  </w:r>
                </w:p>
              </w:tc>
              <w:tc>
                <w:tcPr>
                  <w:tcW w:w="2068" w:type="dxa"/>
                  <w:noWrap/>
                  <w:vAlign w:val="center"/>
                </w:tcPr>
                <w:p>
                  <w:pPr>
                    <w:jc w:val="center"/>
                    <w:rPr>
                      <w:rFonts w:eastAsia="等线"/>
                      <w:szCs w:val="21"/>
                    </w:rPr>
                  </w:pPr>
                  <w:r>
                    <w:rPr>
                      <w:rFonts w:eastAsia="等线"/>
                      <w:szCs w:val="21"/>
                    </w:rPr>
                    <w:t>0.4</w:t>
                  </w:r>
                  <w:r>
                    <w:rPr>
                      <w:rFonts w:hint="eastAsia" w:eastAsia="等线"/>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6" w:type="dxa"/>
                  <w:vMerge w:val="continue"/>
                  <w:vAlign w:val="center"/>
                </w:tcPr>
                <w:p>
                  <w:pPr>
                    <w:pStyle w:val="42"/>
                  </w:pPr>
                </w:p>
              </w:tc>
              <w:tc>
                <w:tcPr>
                  <w:tcW w:w="3193" w:type="dxa"/>
                  <w:vAlign w:val="center"/>
                </w:tcPr>
                <w:p>
                  <w:pPr>
                    <w:pStyle w:val="42"/>
                  </w:pPr>
                  <w:r>
                    <w:t>灌丛</w:t>
                  </w:r>
                </w:p>
              </w:tc>
              <w:tc>
                <w:tcPr>
                  <w:tcW w:w="2339" w:type="dxa"/>
                  <w:vAlign w:val="center"/>
                </w:tcPr>
                <w:p>
                  <w:pPr>
                    <w:jc w:val="center"/>
                    <w:rPr>
                      <w:rFonts w:eastAsia="等线"/>
                      <w:szCs w:val="21"/>
                    </w:rPr>
                  </w:pPr>
                  <w:r>
                    <w:rPr>
                      <w:rFonts w:eastAsia="等线"/>
                      <w:szCs w:val="21"/>
                    </w:rPr>
                    <w:t>12.6964</w:t>
                  </w:r>
                </w:p>
              </w:tc>
              <w:tc>
                <w:tcPr>
                  <w:tcW w:w="2068" w:type="dxa"/>
                  <w:noWrap/>
                  <w:vAlign w:val="center"/>
                </w:tcPr>
                <w:p>
                  <w:pPr>
                    <w:jc w:val="center"/>
                    <w:rPr>
                      <w:rFonts w:eastAsia="等线"/>
                      <w:szCs w:val="21"/>
                    </w:rPr>
                  </w:pPr>
                  <w:r>
                    <w:rPr>
                      <w:rFonts w:eastAsia="等线"/>
                      <w:szCs w:val="21"/>
                    </w:rPr>
                    <w:t>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6" w:type="dxa"/>
                  <w:vMerge w:val="continue"/>
                  <w:vAlign w:val="center"/>
                </w:tcPr>
                <w:p>
                  <w:pPr>
                    <w:pStyle w:val="42"/>
                  </w:pPr>
                </w:p>
              </w:tc>
              <w:tc>
                <w:tcPr>
                  <w:tcW w:w="3193" w:type="dxa"/>
                  <w:vAlign w:val="center"/>
                </w:tcPr>
                <w:p>
                  <w:pPr>
                    <w:pStyle w:val="42"/>
                  </w:pPr>
                  <w:r>
                    <w:t>草丛</w:t>
                  </w:r>
                </w:p>
              </w:tc>
              <w:tc>
                <w:tcPr>
                  <w:tcW w:w="2339" w:type="dxa"/>
                  <w:vAlign w:val="center"/>
                </w:tcPr>
                <w:p>
                  <w:pPr>
                    <w:jc w:val="center"/>
                    <w:rPr>
                      <w:rFonts w:eastAsia="等线"/>
                      <w:szCs w:val="21"/>
                    </w:rPr>
                  </w:pPr>
                  <w:r>
                    <w:rPr>
                      <w:rFonts w:eastAsia="等线"/>
                      <w:szCs w:val="21"/>
                    </w:rPr>
                    <w:t>0.1986</w:t>
                  </w:r>
                </w:p>
              </w:tc>
              <w:tc>
                <w:tcPr>
                  <w:tcW w:w="2068" w:type="dxa"/>
                  <w:noWrap/>
                  <w:vAlign w:val="center"/>
                </w:tcPr>
                <w:p>
                  <w:pPr>
                    <w:jc w:val="center"/>
                    <w:rPr>
                      <w:rFonts w:eastAsia="等线"/>
                      <w:szCs w:val="21"/>
                    </w:rPr>
                  </w:pPr>
                  <w:r>
                    <w:rPr>
                      <w:rFonts w:eastAsia="等线"/>
                      <w:szCs w:val="21"/>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6" w:type="dxa"/>
                  <w:vMerge w:val="continue"/>
                  <w:vAlign w:val="center"/>
                </w:tcPr>
                <w:p>
                  <w:pPr>
                    <w:pStyle w:val="42"/>
                  </w:pPr>
                </w:p>
              </w:tc>
              <w:tc>
                <w:tcPr>
                  <w:tcW w:w="3193" w:type="dxa"/>
                  <w:vAlign w:val="center"/>
                </w:tcPr>
                <w:p>
                  <w:pPr>
                    <w:pStyle w:val="42"/>
                  </w:pPr>
                  <w:r>
                    <w:t>农田植被</w:t>
                  </w:r>
                </w:p>
              </w:tc>
              <w:tc>
                <w:tcPr>
                  <w:tcW w:w="2339" w:type="dxa"/>
                  <w:vAlign w:val="center"/>
                </w:tcPr>
                <w:p>
                  <w:pPr>
                    <w:pStyle w:val="42"/>
                    <w:rPr>
                      <w:rFonts w:eastAsia="等线"/>
                      <w:kern w:val="0"/>
                    </w:rPr>
                  </w:pPr>
                  <w:r>
                    <w:rPr>
                      <w:rFonts w:eastAsia="等线"/>
                      <w:kern w:val="0"/>
                    </w:rPr>
                    <w:t>29.762</w:t>
                  </w:r>
                </w:p>
              </w:tc>
              <w:tc>
                <w:tcPr>
                  <w:tcW w:w="2068" w:type="dxa"/>
                  <w:noWrap/>
                  <w:vAlign w:val="center"/>
                </w:tcPr>
                <w:p>
                  <w:pPr>
                    <w:pStyle w:val="42"/>
                    <w:rPr>
                      <w:rFonts w:eastAsia="等线"/>
                    </w:rPr>
                  </w:pPr>
                  <w:r>
                    <w:rPr>
                      <w:szCs w:val="21"/>
                    </w:rPr>
                    <w:t>21.39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6" w:type="dxa"/>
                  <w:vMerge w:val="continue"/>
                  <w:vAlign w:val="center"/>
                </w:tcPr>
                <w:p>
                  <w:pPr>
                    <w:pStyle w:val="42"/>
                  </w:pPr>
                </w:p>
              </w:tc>
              <w:tc>
                <w:tcPr>
                  <w:tcW w:w="3193" w:type="dxa"/>
                  <w:vAlign w:val="center"/>
                </w:tcPr>
                <w:p>
                  <w:pPr>
                    <w:pStyle w:val="42"/>
                  </w:pPr>
                  <w:r>
                    <w:t>小计</w:t>
                  </w:r>
                </w:p>
              </w:tc>
              <w:tc>
                <w:tcPr>
                  <w:tcW w:w="2339" w:type="dxa"/>
                  <w:vAlign w:val="center"/>
                </w:tcPr>
                <w:p>
                  <w:pPr>
                    <w:pStyle w:val="42"/>
                  </w:pPr>
                  <w:r>
                    <w:t>123.9</w:t>
                  </w:r>
                  <w:r>
                    <w:rPr>
                      <w:rFonts w:hint="eastAsia"/>
                    </w:rPr>
                    <w:t>000</w:t>
                  </w:r>
                </w:p>
              </w:tc>
              <w:tc>
                <w:tcPr>
                  <w:tcW w:w="2068" w:type="dxa"/>
                  <w:noWrap/>
                  <w:vAlign w:val="center"/>
                </w:tcPr>
                <w:p>
                  <w:pPr>
                    <w:jc w:val="center"/>
                    <w:rPr>
                      <w:rFonts w:eastAsia="等线"/>
                      <w:szCs w:val="21"/>
                    </w:rPr>
                  </w:pPr>
                  <w:r>
                    <w:rPr>
                      <w:rFonts w:eastAsia="等线"/>
                      <w:szCs w:val="21"/>
                    </w:rPr>
                    <w:t>89.0</w:t>
                  </w:r>
                  <w:r>
                    <w:rPr>
                      <w:rFonts w:hint="eastAsia" w:eastAsia="等线"/>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6" w:type="dxa"/>
                  <w:vAlign w:val="center"/>
                </w:tcPr>
                <w:p>
                  <w:pPr>
                    <w:pStyle w:val="42"/>
                  </w:pPr>
                  <w:r>
                    <w:rPr>
                      <w:rFonts w:hint="eastAsia"/>
                    </w:rPr>
                    <w:t>无植被地段</w:t>
                  </w:r>
                </w:p>
              </w:tc>
              <w:tc>
                <w:tcPr>
                  <w:tcW w:w="3193" w:type="dxa"/>
                  <w:vAlign w:val="center"/>
                </w:tcPr>
                <w:p>
                  <w:pPr>
                    <w:pStyle w:val="42"/>
                  </w:pPr>
                  <w:r>
                    <w:t>无植被</w:t>
                  </w:r>
                </w:p>
              </w:tc>
              <w:tc>
                <w:tcPr>
                  <w:tcW w:w="2339" w:type="dxa"/>
                  <w:vAlign w:val="center"/>
                </w:tcPr>
                <w:p>
                  <w:pPr>
                    <w:pStyle w:val="42"/>
                    <w:rPr>
                      <w:rFonts w:eastAsia="等线"/>
                      <w:kern w:val="0"/>
                    </w:rPr>
                  </w:pPr>
                  <w:r>
                    <w:rPr>
                      <w:rFonts w:eastAsia="等线"/>
                      <w:kern w:val="0"/>
                    </w:rPr>
                    <w:t>14.4864</w:t>
                  </w:r>
                </w:p>
              </w:tc>
              <w:tc>
                <w:tcPr>
                  <w:tcW w:w="2068" w:type="dxa"/>
                  <w:noWrap/>
                  <w:vAlign w:val="center"/>
                </w:tcPr>
                <w:p>
                  <w:pPr>
                    <w:pStyle w:val="42"/>
                    <w:rPr>
                      <w:rFonts w:eastAsia="等线"/>
                    </w:rPr>
                  </w:pPr>
                  <w:r>
                    <w:rPr>
                      <w:rFonts w:eastAsia="等线"/>
                    </w:rPr>
                    <w:t>10.41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6" w:type="dxa"/>
                  <w:vAlign w:val="center"/>
                </w:tcPr>
                <w:p>
                  <w:pPr>
                    <w:pStyle w:val="42"/>
                  </w:pPr>
                  <w:r>
                    <w:rPr>
                      <w:rFonts w:hint="eastAsia"/>
                    </w:rPr>
                    <w:t>水域</w:t>
                  </w:r>
                </w:p>
              </w:tc>
              <w:tc>
                <w:tcPr>
                  <w:tcW w:w="3193" w:type="dxa"/>
                  <w:vAlign w:val="center"/>
                </w:tcPr>
                <w:p>
                  <w:pPr>
                    <w:pStyle w:val="42"/>
                  </w:pPr>
                  <w:r>
                    <w:t>无植被</w:t>
                  </w:r>
                </w:p>
              </w:tc>
              <w:tc>
                <w:tcPr>
                  <w:tcW w:w="2339" w:type="dxa"/>
                  <w:vAlign w:val="center"/>
                </w:tcPr>
                <w:p>
                  <w:pPr>
                    <w:pStyle w:val="42"/>
                    <w:rPr>
                      <w:rFonts w:eastAsia="等线"/>
                      <w:kern w:val="0"/>
                    </w:rPr>
                  </w:pPr>
                  <w:r>
                    <w:rPr>
                      <w:rFonts w:eastAsia="等线"/>
                      <w:kern w:val="0"/>
                    </w:rPr>
                    <w:t>0.7172</w:t>
                  </w:r>
                </w:p>
              </w:tc>
              <w:tc>
                <w:tcPr>
                  <w:tcW w:w="2068" w:type="dxa"/>
                  <w:noWrap/>
                  <w:vAlign w:val="center"/>
                </w:tcPr>
                <w:p>
                  <w:pPr>
                    <w:pStyle w:val="42"/>
                    <w:rPr>
                      <w:rFonts w:eastAsia="等线"/>
                    </w:rPr>
                  </w:pPr>
                  <w:r>
                    <w:rPr>
                      <w:szCs w:val="21"/>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6" w:type="dxa"/>
                  <w:vAlign w:val="center"/>
                </w:tcPr>
                <w:p>
                  <w:pPr>
                    <w:pStyle w:val="42"/>
                  </w:pPr>
                  <w:r>
                    <w:t>合计</w:t>
                  </w:r>
                </w:p>
              </w:tc>
              <w:tc>
                <w:tcPr>
                  <w:tcW w:w="3193" w:type="dxa"/>
                  <w:vAlign w:val="center"/>
                </w:tcPr>
                <w:p>
                  <w:pPr>
                    <w:pStyle w:val="42"/>
                  </w:pPr>
                  <w:r>
                    <w:rPr>
                      <w:rFonts w:hint="eastAsia"/>
                    </w:rPr>
                    <w:t>/</w:t>
                  </w:r>
                </w:p>
              </w:tc>
              <w:tc>
                <w:tcPr>
                  <w:tcW w:w="2339" w:type="dxa"/>
                  <w:noWrap/>
                  <w:vAlign w:val="center"/>
                </w:tcPr>
                <w:p>
                  <w:pPr>
                    <w:pStyle w:val="42"/>
                  </w:pPr>
                  <w:r>
                    <w:t>139.1036</w:t>
                  </w:r>
                </w:p>
              </w:tc>
              <w:tc>
                <w:tcPr>
                  <w:tcW w:w="2068" w:type="dxa"/>
                  <w:noWrap/>
                  <w:vAlign w:val="center"/>
                </w:tcPr>
                <w:p>
                  <w:pPr>
                    <w:pStyle w:val="42"/>
                  </w:pPr>
                  <w:r>
                    <w:t>100</w:t>
                  </w:r>
                  <w:r>
                    <w:rPr>
                      <w:rFonts w:hint="eastAsia"/>
                    </w:rPr>
                    <w:t>.00</w:t>
                  </w:r>
                </w:p>
              </w:tc>
            </w:tr>
          </w:tbl>
          <w:p>
            <w:pPr>
              <w:adjustRightInd w:val="0"/>
              <w:snapToGrid w:val="0"/>
              <w:spacing w:line="360" w:lineRule="auto"/>
              <w:ind w:firstLine="480" w:firstLineChars="200"/>
              <w:rPr>
                <w:kern w:val="0"/>
                <w:sz w:val="24"/>
              </w:rPr>
            </w:pPr>
          </w:p>
        </w:tc>
      </w:tr>
    </w:tbl>
    <w:p>
      <w:pPr>
        <w:sectPr>
          <w:pgSz w:w="11906" w:h="16838"/>
          <w:pgMar w:top="1440" w:right="1080" w:bottom="1440" w:left="1080" w:header="851" w:footer="1077" w:gutter="0"/>
          <w:cols w:space="720" w:num="1"/>
          <w:docGrid w:linePitch="312" w:charSpace="0"/>
        </w:sectPr>
      </w:pPr>
    </w:p>
    <w:tbl>
      <w:tblPr>
        <w:tblStyle w:val="15"/>
        <w:tblW w:w="139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4"/>
        <w:gridCol w:w="134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908" w:hRule="atLeast"/>
          <w:jc w:val="center"/>
        </w:trPr>
        <w:tc>
          <w:tcPr>
            <w:tcW w:w="524" w:type="dxa"/>
            <w:vAlign w:val="center"/>
          </w:tcPr>
          <w:p>
            <w:pPr>
              <w:adjustRightInd w:val="0"/>
              <w:snapToGrid w:val="0"/>
              <w:jc w:val="center"/>
              <w:rPr>
                <w:kern w:val="0"/>
                <w:sz w:val="24"/>
              </w:rPr>
            </w:pPr>
            <w:r>
              <w:rPr>
                <w:kern w:val="0"/>
                <w:sz w:val="24"/>
              </w:rPr>
              <w:t>生态环境现状</w:t>
            </w:r>
          </w:p>
        </w:tc>
        <w:tc>
          <w:tcPr>
            <w:tcW w:w="13414" w:type="dxa"/>
          </w:tcPr>
          <w:p>
            <w:pPr>
              <w:adjustRightInd w:val="0"/>
              <w:snapToGrid w:val="0"/>
              <w:jc w:val="center"/>
              <w:rPr>
                <w:b/>
                <w:kern w:val="0"/>
                <w:sz w:val="24"/>
              </w:rPr>
            </w:pPr>
            <w:r>
              <w:rPr>
                <w:b/>
                <w:kern w:val="0"/>
                <w:sz w:val="24"/>
              </w:rPr>
              <w:t>表3</w:t>
            </w:r>
            <w:r>
              <w:rPr>
                <w:b/>
                <w:kern w:val="0"/>
                <w:sz w:val="24"/>
              </w:rPr>
              <w:noBreakHyphen/>
            </w:r>
            <w:r>
              <w:rPr>
                <w:b/>
                <w:kern w:val="0"/>
                <w:sz w:val="24"/>
              </w:rPr>
              <w:t xml:space="preserve">6   </w:t>
            </w:r>
            <w:r>
              <w:rPr>
                <w:b/>
                <w:bCs/>
                <w:kern w:val="0"/>
                <w:sz w:val="24"/>
                <w:lang w:bidi="en-US"/>
              </w:rPr>
              <w:t>生态评价范围</w:t>
            </w:r>
            <w:r>
              <w:rPr>
                <w:b/>
                <w:kern w:val="0"/>
                <w:sz w:val="24"/>
              </w:rPr>
              <w:t>植被类型统计表</w:t>
            </w:r>
          </w:p>
          <w:tbl>
            <w:tblPr>
              <w:tblStyle w:val="15"/>
              <w:tblW w:w="13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203"/>
              <w:gridCol w:w="2039"/>
              <w:gridCol w:w="2366"/>
              <w:gridCol w:w="3503"/>
              <w:gridCol w:w="2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1112" w:type="dxa"/>
                  <w:vAlign w:val="center"/>
                </w:tcPr>
                <w:p>
                  <w:pPr>
                    <w:pStyle w:val="42"/>
                  </w:pPr>
                  <w:r>
                    <w:t>植被系列</w:t>
                  </w:r>
                </w:p>
              </w:tc>
              <w:tc>
                <w:tcPr>
                  <w:tcW w:w="1203" w:type="dxa"/>
                  <w:vAlign w:val="center"/>
                </w:tcPr>
                <w:p>
                  <w:pPr>
                    <w:pStyle w:val="42"/>
                  </w:pPr>
                  <w:r>
                    <w:t>植被型组</w:t>
                  </w:r>
                </w:p>
              </w:tc>
              <w:tc>
                <w:tcPr>
                  <w:tcW w:w="2039" w:type="dxa"/>
                  <w:vAlign w:val="center"/>
                </w:tcPr>
                <w:p>
                  <w:pPr>
                    <w:pStyle w:val="42"/>
                  </w:pPr>
                  <w:r>
                    <w:t>植被型</w:t>
                  </w:r>
                </w:p>
              </w:tc>
              <w:tc>
                <w:tcPr>
                  <w:tcW w:w="2366" w:type="dxa"/>
                  <w:vAlign w:val="center"/>
                </w:tcPr>
                <w:p>
                  <w:pPr>
                    <w:pStyle w:val="42"/>
                  </w:pPr>
                  <w:r>
                    <w:t>典型群系</w:t>
                  </w:r>
                </w:p>
              </w:tc>
              <w:tc>
                <w:tcPr>
                  <w:tcW w:w="3503" w:type="dxa"/>
                  <w:vAlign w:val="center"/>
                </w:tcPr>
                <w:p>
                  <w:pPr>
                    <w:pStyle w:val="42"/>
                  </w:pPr>
                  <w:r>
                    <w:t>群系拉丁名</w:t>
                  </w:r>
                </w:p>
              </w:tc>
              <w:tc>
                <w:tcPr>
                  <w:tcW w:w="2965" w:type="dxa"/>
                  <w:vAlign w:val="center"/>
                </w:tcPr>
                <w:p>
                  <w:pPr>
                    <w:pStyle w:val="42"/>
                  </w:pPr>
                  <w:r>
                    <w:t>分布地点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2" w:type="dxa"/>
                  <w:vMerge w:val="restart"/>
                  <w:vAlign w:val="center"/>
                </w:tcPr>
                <w:p>
                  <w:pPr>
                    <w:pStyle w:val="42"/>
                  </w:pPr>
                  <w:r>
                    <w:t>自然植被</w:t>
                  </w:r>
                </w:p>
              </w:tc>
              <w:tc>
                <w:tcPr>
                  <w:tcW w:w="1203" w:type="dxa"/>
                  <w:vAlign w:val="center"/>
                </w:tcPr>
                <w:p>
                  <w:pPr>
                    <w:pStyle w:val="42"/>
                  </w:pPr>
                  <w:r>
                    <w:t>针叶林</w:t>
                  </w:r>
                </w:p>
              </w:tc>
              <w:tc>
                <w:tcPr>
                  <w:tcW w:w="2039" w:type="dxa"/>
                  <w:vAlign w:val="center"/>
                </w:tcPr>
                <w:p>
                  <w:pPr>
                    <w:pStyle w:val="42"/>
                  </w:pPr>
                  <w:r>
                    <w:t>Ⅰ暖性</w:t>
                  </w:r>
                  <w:r>
                    <w:rPr>
                      <w:rFonts w:hint="eastAsia"/>
                    </w:rPr>
                    <w:t>常绿</w:t>
                  </w:r>
                  <w:r>
                    <w:t>针叶林</w:t>
                  </w:r>
                </w:p>
              </w:tc>
              <w:tc>
                <w:tcPr>
                  <w:tcW w:w="2366" w:type="dxa"/>
                  <w:vAlign w:val="center"/>
                </w:tcPr>
                <w:p>
                  <w:pPr>
                    <w:pStyle w:val="42"/>
                  </w:pPr>
                  <w:r>
                    <w:rPr>
                      <w:rFonts w:hint="eastAsia"/>
                    </w:rPr>
                    <w:t>柏木</w:t>
                  </w:r>
                  <w:r>
                    <w:t>群系</w:t>
                  </w:r>
                </w:p>
              </w:tc>
              <w:tc>
                <w:tcPr>
                  <w:tcW w:w="3503" w:type="dxa"/>
                  <w:vAlign w:val="center"/>
                </w:tcPr>
                <w:p>
                  <w:pPr>
                    <w:pStyle w:val="42"/>
                    <w:rPr>
                      <w:i/>
                    </w:rPr>
                  </w:pPr>
                  <w:r>
                    <w:rPr>
                      <w:iCs/>
                    </w:rPr>
                    <w:t>Form.</w:t>
                  </w:r>
                  <w:r>
                    <w:rPr>
                      <w:i/>
                      <w:iCs/>
                    </w:rPr>
                    <w:t>Cupressus funebris</w:t>
                  </w:r>
                </w:p>
              </w:tc>
              <w:tc>
                <w:tcPr>
                  <w:tcW w:w="2965" w:type="dxa"/>
                  <w:vAlign w:val="center"/>
                </w:tcPr>
                <w:p>
                  <w:pPr>
                    <w:pStyle w:val="42"/>
                  </w:pPr>
                  <w:r>
                    <w:rPr>
                      <w:rFonts w:hint="eastAsia"/>
                    </w:rPr>
                    <w:t>片状分布于评价区北部、中北部地势陡峭区域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2" w:type="dxa"/>
                  <w:vMerge w:val="continue"/>
                  <w:vAlign w:val="center"/>
                </w:tcPr>
                <w:p>
                  <w:pPr>
                    <w:pStyle w:val="42"/>
                  </w:pPr>
                </w:p>
              </w:tc>
              <w:tc>
                <w:tcPr>
                  <w:tcW w:w="1203" w:type="dxa"/>
                  <w:vMerge w:val="restart"/>
                  <w:vAlign w:val="center"/>
                </w:tcPr>
                <w:p>
                  <w:pPr>
                    <w:pStyle w:val="42"/>
                  </w:pPr>
                  <w:r>
                    <w:t>阔叶林</w:t>
                  </w:r>
                </w:p>
              </w:tc>
              <w:tc>
                <w:tcPr>
                  <w:tcW w:w="2039" w:type="dxa"/>
                  <w:vAlign w:val="center"/>
                </w:tcPr>
                <w:p>
                  <w:pPr>
                    <w:pStyle w:val="42"/>
                  </w:pPr>
                  <w:r>
                    <w:t>Ⅱ落叶阔叶林</w:t>
                  </w:r>
                </w:p>
              </w:tc>
              <w:tc>
                <w:tcPr>
                  <w:tcW w:w="2366" w:type="dxa"/>
                  <w:vAlign w:val="center"/>
                </w:tcPr>
                <w:p>
                  <w:pPr>
                    <w:pStyle w:val="42"/>
                  </w:pPr>
                  <w:r>
                    <w:rPr>
                      <w:rFonts w:hint="eastAsia"/>
                    </w:rPr>
                    <w:t>栓皮栎-麻栎</w:t>
                  </w:r>
                  <w:r>
                    <w:t>群系</w:t>
                  </w:r>
                </w:p>
              </w:tc>
              <w:tc>
                <w:tcPr>
                  <w:tcW w:w="3503" w:type="dxa"/>
                  <w:vAlign w:val="center"/>
                </w:tcPr>
                <w:p>
                  <w:pPr>
                    <w:pStyle w:val="42"/>
                    <w:rPr>
                      <w:i/>
                    </w:rPr>
                  </w:pPr>
                  <w:r>
                    <w:rPr>
                      <w:iCs/>
                    </w:rPr>
                    <w:t>Form</w:t>
                  </w:r>
                  <w:r>
                    <w:rPr>
                      <w:rFonts w:hint="eastAsia"/>
                      <w:i/>
                    </w:rPr>
                    <w:t>．</w:t>
                  </w:r>
                  <w:r>
                    <w:rPr>
                      <w:i/>
                      <w:iCs/>
                    </w:rPr>
                    <w:t>Quercus variabilis</w:t>
                  </w:r>
                  <w:r>
                    <w:t xml:space="preserve"> </w:t>
                  </w:r>
                  <w:r>
                    <w:rPr>
                      <w:i/>
                    </w:rPr>
                    <w:t xml:space="preserve">to </w:t>
                  </w:r>
                  <w:r>
                    <w:rPr>
                      <w:i/>
                      <w:iCs/>
                    </w:rPr>
                    <w:t>Quercus acutissima</w:t>
                  </w:r>
                </w:p>
              </w:tc>
              <w:tc>
                <w:tcPr>
                  <w:tcW w:w="2965" w:type="dxa"/>
                  <w:vAlign w:val="center"/>
                </w:tcPr>
                <w:p>
                  <w:pPr>
                    <w:pStyle w:val="42"/>
                  </w:pPr>
                  <w:r>
                    <w:rPr>
                      <w:rFonts w:hint="eastAsia"/>
                    </w:rPr>
                    <w:t>评价区东部、南部片状分布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2" w:type="dxa"/>
                  <w:vMerge w:val="continue"/>
                  <w:vAlign w:val="center"/>
                </w:tcPr>
                <w:p>
                  <w:pPr>
                    <w:pStyle w:val="42"/>
                  </w:pPr>
                </w:p>
              </w:tc>
              <w:tc>
                <w:tcPr>
                  <w:tcW w:w="1203" w:type="dxa"/>
                  <w:vMerge w:val="continue"/>
                  <w:vAlign w:val="center"/>
                </w:tcPr>
                <w:p>
                  <w:pPr>
                    <w:pStyle w:val="42"/>
                  </w:pPr>
                </w:p>
              </w:tc>
              <w:tc>
                <w:tcPr>
                  <w:tcW w:w="2039" w:type="dxa"/>
                  <w:vAlign w:val="center"/>
                </w:tcPr>
                <w:p>
                  <w:pPr>
                    <w:pStyle w:val="42"/>
                  </w:pPr>
                  <w:r>
                    <w:t>Ⅲ</w:t>
                  </w:r>
                  <w:r>
                    <w:rPr>
                      <w:rFonts w:hint="eastAsia"/>
                    </w:rPr>
                    <w:t>常绿阔叶林</w:t>
                  </w:r>
                </w:p>
              </w:tc>
              <w:tc>
                <w:tcPr>
                  <w:tcW w:w="2366" w:type="dxa"/>
                  <w:vAlign w:val="center"/>
                </w:tcPr>
                <w:p>
                  <w:pPr>
                    <w:pStyle w:val="42"/>
                  </w:pPr>
                  <w:r>
                    <w:rPr>
                      <w:rFonts w:hint="eastAsia"/>
                    </w:rPr>
                    <w:t>香樟群系</w:t>
                  </w:r>
                </w:p>
              </w:tc>
              <w:tc>
                <w:tcPr>
                  <w:tcW w:w="3503" w:type="dxa"/>
                  <w:vAlign w:val="center"/>
                </w:tcPr>
                <w:p>
                  <w:pPr>
                    <w:pStyle w:val="42"/>
                    <w:rPr>
                      <w:i/>
                    </w:rPr>
                  </w:pPr>
                  <w:r>
                    <w:rPr>
                      <w:iCs/>
                    </w:rPr>
                    <w:t>Form.</w:t>
                  </w:r>
                  <w:r>
                    <w:rPr>
                      <w:i/>
                      <w:iCs/>
                    </w:rPr>
                    <w:t>Camphora officinarum</w:t>
                  </w:r>
                </w:p>
              </w:tc>
              <w:tc>
                <w:tcPr>
                  <w:tcW w:w="2965" w:type="dxa"/>
                  <w:vAlign w:val="center"/>
                </w:tcPr>
                <w:p>
                  <w:pPr>
                    <w:pStyle w:val="42"/>
                  </w:pPr>
                  <w:r>
                    <w:rPr>
                      <w:rFonts w:hint="eastAsia"/>
                    </w:rPr>
                    <w:t>零星分布居民房屋前后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2" w:type="dxa"/>
                  <w:vMerge w:val="continue"/>
                  <w:vAlign w:val="center"/>
                </w:tcPr>
                <w:p>
                  <w:pPr>
                    <w:pStyle w:val="42"/>
                  </w:pPr>
                </w:p>
              </w:tc>
              <w:tc>
                <w:tcPr>
                  <w:tcW w:w="1203" w:type="dxa"/>
                  <w:vAlign w:val="center"/>
                </w:tcPr>
                <w:p>
                  <w:pPr>
                    <w:pStyle w:val="42"/>
                  </w:pPr>
                  <w:r>
                    <w:t>针阔混交林</w:t>
                  </w:r>
                </w:p>
              </w:tc>
              <w:tc>
                <w:tcPr>
                  <w:tcW w:w="2039" w:type="dxa"/>
                  <w:vAlign w:val="center"/>
                </w:tcPr>
                <w:p>
                  <w:pPr>
                    <w:pStyle w:val="42"/>
                  </w:pPr>
                  <w:r>
                    <w:t>Ⅳ针阔混交林</w:t>
                  </w:r>
                </w:p>
              </w:tc>
              <w:tc>
                <w:tcPr>
                  <w:tcW w:w="2366" w:type="dxa"/>
                  <w:vAlign w:val="center"/>
                </w:tcPr>
                <w:p>
                  <w:pPr>
                    <w:pStyle w:val="42"/>
                  </w:pPr>
                  <w:r>
                    <w:rPr>
                      <w:rFonts w:hint="eastAsia"/>
                    </w:rPr>
                    <w:t>柏木</w:t>
                  </w:r>
                  <w:r>
                    <w:t>-</w:t>
                  </w:r>
                  <w:r>
                    <w:rPr>
                      <w:rFonts w:hint="eastAsia"/>
                    </w:rPr>
                    <w:t>栓皮栎-麻栎</w:t>
                  </w:r>
                  <w:r>
                    <w:t>群系</w:t>
                  </w:r>
                </w:p>
              </w:tc>
              <w:tc>
                <w:tcPr>
                  <w:tcW w:w="3503" w:type="dxa"/>
                  <w:vAlign w:val="center"/>
                </w:tcPr>
                <w:p>
                  <w:pPr>
                    <w:pStyle w:val="42"/>
                    <w:rPr>
                      <w:i/>
                    </w:rPr>
                  </w:pPr>
                  <w:r>
                    <w:rPr>
                      <w:iCs/>
                    </w:rPr>
                    <w:t>Form．</w:t>
                  </w:r>
                  <w:r>
                    <w:rPr>
                      <w:i/>
                      <w:iCs/>
                    </w:rPr>
                    <w:t>Cupressus funebris</w:t>
                  </w:r>
                  <w:r>
                    <w:rPr>
                      <w:i/>
                    </w:rPr>
                    <w:t xml:space="preserve"> to </w:t>
                  </w:r>
                  <w:r>
                    <w:rPr>
                      <w:i/>
                      <w:iCs/>
                    </w:rPr>
                    <w:t>Quercus variabilis</w:t>
                  </w:r>
                  <w:r>
                    <w:t xml:space="preserve"> </w:t>
                  </w:r>
                  <w:r>
                    <w:rPr>
                      <w:i/>
                    </w:rPr>
                    <w:t xml:space="preserve">to </w:t>
                  </w:r>
                  <w:r>
                    <w:rPr>
                      <w:i/>
                      <w:iCs/>
                    </w:rPr>
                    <w:t>Quercus acutissima</w:t>
                  </w:r>
                </w:p>
              </w:tc>
              <w:tc>
                <w:tcPr>
                  <w:tcW w:w="2965" w:type="dxa"/>
                  <w:vAlign w:val="center"/>
                </w:tcPr>
                <w:p>
                  <w:pPr>
                    <w:pStyle w:val="42"/>
                  </w:pPr>
                  <w:r>
                    <w:rPr>
                      <w:rFonts w:hint="eastAsia"/>
                    </w:rPr>
                    <w:t>评价区广泛分布，项目区域四周尤为集中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2" w:type="dxa"/>
                  <w:vMerge w:val="continue"/>
                  <w:vAlign w:val="center"/>
                </w:tcPr>
                <w:p>
                  <w:pPr>
                    <w:pStyle w:val="42"/>
                  </w:pPr>
                </w:p>
              </w:tc>
              <w:tc>
                <w:tcPr>
                  <w:tcW w:w="1203" w:type="dxa"/>
                  <w:vAlign w:val="center"/>
                </w:tcPr>
                <w:p>
                  <w:pPr>
                    <w:pStyle w:val="42"/>
                  </w:pPr>
                  <w:r>
                    <w:t>竹林</w:t>
                  </w:r>
                </w:p>
              </w:tc>
              <w:tc>
                <w:tcPr>
                  <w:tcW w:w="2039" w:type="dxa"/>
                  <w:vAlign w:val="center"/>
                </w:tcPr>
                <w:p>
                  <w:pPr>
                    <w:pStyle w:val="42"/>
                  </w:pPr>
                  <w:r>
                    <w:fldChar w:fldCharType="begin"/>
                  </w:r>
                  <w:r>
                    <w:instrText xml:space="preserve"> = 5 \* ROMAN </w:instrText>
                  </w:r>
                  <w:r>
                    <w:fldChar w:fldCharType="separate"/>
                  </w:r>
                  <w:r>
                    <w:t>V</w:t>
                  </w:r>
                  <w:r>
                    <w:fldChar w:fldCharType="end"/>
                  </w:r>
                  <w:r>
                    <w:t>竹林</w:t>
                  </w:r>
                </w:p>
              </w:tc>
              <w:tc>
                <w:tcPr>
                  <w:tcW w:w="2366" w:type="dxa"/>
                  <w:vAlign w:val="center"/>
                </w:tcPr>
                <w:p>
                  <w:pPr>
                    <w:pStyle w:val="42"/>
                  </w:pPr>
                  <w:r>
                    <w:rPr>
                      <w:rFonts w:hint="eastAsia"/>
                    </w:rPr>
                    <w:t>毛竹</w:t>
                  </w:r>
                  <w:r>
                    <w:t>群系</w:t>
                  </w:r>
                </w:p>
              </w:tc>
              <w:tc>
                <w:tcPr>
                  <w:tcW w:w="3503" w:type="dxa"/>
                  <w:vAlign w:val="center"/>
                </w:tcPr>
                <w:p>
                  <w:pPr>
                    <w:pStyle w:val="42"/>
                    <w:rPr>
                      <w:iCs/>
                    </w:rPr>
                  </w:pPr>
                  <w:r>
                    <w:rPr>
                      <w:iCs/>
                    </w:rPr>
                    <w:t>Form．</w:t>
                  </w:r>
                  <w:r>
                    <w:rPr>
                      <w:i/>
                      <w:iCs/>
                    </w:rPr>
                    <w:t>Phyllostachys edulis</w:t>
                  </w:r>
                </w:p>
              </w:tc>
              <w:tc>
                <w:tcPr>
                  <w:tcW w:w="2965" w:type="dxa"/>
                  <w:vAlign w:val="center"/>
                </w:tcPr>
                <w:p>
                  <w:pPr>
                    <w:pStyle w:val="42"/>
                  </w:pPr>
                  <w:r>
                    <w:rPr>
                      <w:rFonts w:hint="eastAsia"/>
                    </w:rPr>
                    <w:t>多分布在住宅区房前屋后，也有部分零星分布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2" w:type="dxa"/>
                  <w:vMerge w:val="continue"/>
                  <w:vAlign w:val="center"/>
                </w:tcPr>
                <w:p>
                  <w:pPr>
                    <w:pStyle w:val="42"/>
                  </w:pPr>
                </w:p>
              </w:tc>
              <w:tc>
                <w:tcPr>
                  <w:tcW w:w="1203" w:type="dxa"/>
                  <w:vAlign w:val="center"/>
                </w:tcPr>
                <w:p>
                  <w:pPr>
                    <w:pStyle w:val="42"/>
                  </w:pPr>
                  <w:r>
                    <w:t>灌丛</w:t>
                  </w:r>
                </w:p>
              </w:tc>
              <w:tc>
                <w:tcPr>
                  <w:tcW w:w="2039" w:type="dxa"/>
                  <w:vAlign w:val="center"/>
                </w:tcPr>
                <w:p>
                  <w:pPr>
                    <w:pStyle w:val="42"/>
                  </w:pPr>
                  <w:r>
                    <w:fldChar w:fldCharType="begin"/>
                  </w:r>
                  <w:r>
                    <w:instrText xml:space="preserve"> = 6 \* ROMAN </w:instrText>
                  </w:r>
                  <w:r>
                    <w:fldChar w:fldCharType="separate"/>
                  </w:r>
                  <w:r>
                    <w:t>VI</w:t>
                  </w:r>
                  <w:r>
                    <w:fldChar w:fldCharType="end"/>
                  </w:r>
                  <w:r>
                    <w:rPr>
                      <w:rFonts w:hint="eastAsia"/>
                    </w:rPr>
                    <w:t>暖性</w:t>
                  </w:r>
                  <w:r>
                    <w:t>常绿</w:t>
                  </w:r>
                  <w:r>
                    <w:rPr>
                      <w:rFonts w:hint="eastAsia"/>
                    </w:rPr>
                    <w:t>或落叶</w:t>
                  </w:r>
                  <w:r>
                    <w:t>灌丛</w:t>
                  </w:r>
                </w:p>
              </w:tc>
              <w:tc>
                <w:tcPr>
                  <w:tcW w:w="2366" w:type="dxa"/>
                  <w:vAlign w:val="center"/>
                </w:tcPr>
                <w:p>
                  <w:pPr>
                    <w:pStyle w:val="42"/>
                  </w:pPr>
                  <w:r>
                    <w:t>小果蔷薇</w:t>
                  </w:r>
                  <w:r>
                    <w:rPr>
                      <w:rFonts w:hint="eastAsia"/>
                    </w:rPr>
                    <w:t>-</w:t>
                  </w:r>
                  <w:r>
                    <w:t>火棘群系</w:t>
                  </w:r>
                </w:p>
              </w:tc>
              <w:tc>
                <w:tcPr>
                  <w:tcW w:w="3503" w:type="dxa"/>
                  <w:vAlign w:val="center"/>
                </w:tcPr>
                <w:p>
                  <w:pPr>
                    <w:pStyle w:val="42"/>
                    <w:rPr>
                      <w:i/>
                    </w:rPr>
                  </w:pPr>
                  <w:r>
                    <w:rPr>
                      <w:iCs/>
                    </w:rPr>
                    <w:t>Form．</w:t>
                  </w:r>
                  <w:r>
                    <w:rPr>
                      <w:i/>
                    </w:rPr>
                    <w:t>Rosa cymosa</w:t>
                  </w:r>
                  <w:r>
                    <w:t xml:space="preserve"> </w:t>
                  </w:r>
                  <w:r>
                    <w:rPr>
                      <w:i/>
                    </w:rPr>
                    <w:t>to Pyracantha fortuneana</w:t>
                  </w:r>
                </w:p>
              </w:tc>
              <w:tc>
                <w:tcPr>
                  <w:tcW w:w="2965" w:type="dxa"/>
                  <w:vAlign w:val="center"/>
                </w:tcPr>
                <w:p>
                  <w:pPr>
                    <w:pStyle w:val="42"/>
                  </w:pPr>
                  <w:r>
                    <w:rPr>
                      <w:rFonts w:hint="eastAsia"/>
                    </w:rPr>
                    <w:t>分布于荒坡荒地、林缘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2" w:type="dxa"/>
                  <w:vMerge w:val="continue"/>
                  <w:vAlign w:val="center"/>
                </w:tcPr>
                <w:p>
                  <w:pPr>
                    <w:pStyle w:val="42"/>
                  </w:pPr>
                </w:p>
              </w:tc>
              <w:tc>
                <w:tcPr>
                  <w:tcW w:w="1203" w:type="dxa"/>
                  <w:vMerge w:val="restart"/>
                  <w:vAlign w:val="center"/>
                </w:tcPr>
                <w:p>
                  <w:pPr>
                    <w:pStyle w:val="42"/>
                  </w:pPr>
                  <w:r>
                    <w:t>草丛</w:t>
                  </w:r>
                </w:p>
              </w:tc>
              <w:tc>
                <w:tcPr>
                  <w:tcW w:w="2039" w:type="dxa"/>
                  <w:vMerge w:val="restart"/>
                  <w:vAlign w:val="center"/>
                </w:tcPr>
                <w:p>
                  <w:pPr>
                    <w:pStyle w:val="42"/>
                  </w:pPr>
                  <w:r>
                    <w:t>VII</w:t>
                  </w:r>
                  <w:r>
                    <w:rPr>
                      <w:rFonts w:hint="eastAsia"/>
                    </w:rPr>
                    <w:t>山地</w:t>
                  </w:r>
                  <w:r>
                    <w:t>草丛</w:t>
                  </w:r>
                </w:p>
              </w:tc>
              <w:tc>
                <w:tcPr>
                  <w:tcW w:w="2366" w:type="dxa"/>
                  <w:vAlign w:val="center"/>
                </w:tcPr>
                <w:p>
                  <w:pPr>
                    <w:pStyle w:val="42"/>
                  </w:pPr>
                  <w:r>
                    <w:t>蕨草群系</w:t>
                  </w:r>
                </w:p>
              </w:tc>
              <w:tc>
                <w:tcPr>
                  <w:tcW w:w="3503" w:type="dxa"/>
                  <w:vAlign w:val="center"/>
                </w:tcPr>
                <w:p>
                  <w:pPr>
                    <w:pStyle w:val="42"/>
                    <w:rPr>
                      <w:i/>
                    </w:rPr>
                  </w:pPr>
                  <w:r>
                    <w:rPr>
                      <w:iCs/>
                    </w:rPr>
                    <w:t>Form.</w:t>
                  </w:r>
                  <w:r>
                    <w:rPr>
                      <w:i/>
                    </w:rPr>
                    <w:t>Dicranopteris pedata</w:t>
                  </w:r>
                </w:p>
              </w:tc>
              <w:tc>
                <w:tcPr>
                  <w:tcW w:w="2965" w:type="dxa"/>
                  <w:vAlign w:val="center"/>
                </w:tcPr>
                <w:p>
                  <w:pPr>
                    <w:pStyle w:val="42"/>
                  </w:pPr>
                  <w:r>
                    <w:t>评价区</w:t>
                  </w:r>
                  <w:r>
                    <w:rPr>
                      <w:rFonts w:hint="eastAsia"/>
                    </w:rPr>
                    <w:t>林内及林缘广泛分布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2" w:type="dxa"/>
                  <w:vMerge w:val="continue"/>
                  <w:vAlign w:val="center"/>
                </w:tcPr>
                <w:p>
                  <w:pPr>
                    <w:pStyle w:val="42"/>
                  </w:pPr>
                </w:p>
              </w:tc>
              <w:tc>
                <w:tcPr>
                  <w:tcW w:w="1203" w:type="dxa"/>
                  <w:vMerge w:val="continue"/>
                  <w:vAlign w:val="center"/>
                </w:tcPr>
                <w:p>
                  <w:pPr>
                    <w:pStyle w:val="42"/>
                  </w:pPr>
                </w:p>
              </w:tc>
              <w:tc>
                <w:tcPr>
                  <w:tcW w:w="2039" w:type="dxa"/>
                  <w:vMerge w:val="continue"/>
                  <w:vAlign w:val="center"/>
                </w:tcPr>
                <w:p>
                  <w:pPr>
                    <w:pStyle w:val="42"/>
                  </w:pPr>
                </w:p>
              </w:tc>
              <w:tc>
                <w:tcPr>
                  <w:tcW w:w="2366" w:type="dxa"/>
                  <w:vAlign w:val="center"/>
                </w:tcPr>
                <w:p>
                  <w:pPr>
                    <w:pStyle w:val="42"/>
                  </w:pPr>
                  <w:r>
                    <w:rPr>
                      <w:rFonts w:hint="eastAsia"/>
                    </w:rPr>
                    <w:t>五节芒群系</w:t>
                  </w:r>
                </w:p>
              </w:tc>
              <w:tc>
                <w:tcPr>
                  <w:tcW w:w="3503" w:type="dxa"/>
                  <w:vAlign w:val="center"/>
                </w:tcPr>
                <w:p>
                  <w:pPr>
                    <w:pStyle w:val="42"/>
                    <w:rPr>
                      <w:i/>
                    </w:rPr>
                  </w:pPr>
                  <w:r>
                    <w:rPr>
                      <w:iCs/>
                    </w:rPr>
                    <w:t>Form.</w:t>
                  </w:r>
                  <w:r>
                    <w:rPr>
                      <w:i/>
                    </w:rPr>
                    <w:t>Miscanthus floridulus</w:t>
                  </w:r>
                </w:p>
              </w:tc>
              <w:tc>
                <w:tcPr>
                  <w:tcW w:w="2965" w:type="dxa"/>
                  <w:vAlign w:val="center"/>
                </w:tcPr>
                <w:p>
                  <w:pPr>
                    <w:pStyle w:val="42"/>
                  </w:pPr>
                  <w:r>
                    <w:t>评价区</w:t>
                  </w:r>
                  <w:r>
                    <w:rPr>
                      <w:rFonts w:hint="eastAsia"/>
                    </w:rPr>
                    <w:t>林缘及田坎区域广泛分布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2" w:type="dxa"/>
                  <w:vMerge w:val="continue"/>
                  <w:vAlign w:val="center"/>
                </w:tcPr>
                <w:p>
                  <w:pPr>
                    <w:pStyle w:val="42"/>
                  </w:pPr>
                </w:p>
              </w:tc>
              <w:tc>
                <w:tcPr>
                  <w:tcW w:w="1203" w:type="dxa"/>
                  <w:vMerge w:val="continue"/>
                  <w:vAlign w:val="center"/>
                </w:tcPr>
                <w:p>
                  <w:pPr>
                    <w:pStyle w:val="42"/>
                  </w:pPr>
                </w:p>
              </w:tc>
              <w:tc>
                <w:tcPr>
                  <w:tcW w:w="2039" w:type="dxa"/>
                  <w:vMerge w:val="continue"/>
                  <w:vAlign w:val="center"/>
                </w:tcPr>
                <w:p>
                  <w:pPr>
                    <w:pStyle w:val="42"/>
                  </w:pPr>
                </w:p>
              </w:tc>
              <w:tc>
                <w:tcPr>
                  <w:tcW w:w="2366" w:type="dxa"/>
                  <w:vAlign w:val="center"/>
                </w:tcPr>
                <w:p>
                  <w:pPr>
                    <w:pStyle w:val="42"/>
                  </w:pPr>
                  <w:r>
                    <w:rPr>
                      <w:rFonts w:hint="eastAsia"/>
                    </w:rPr>
                    <w:t>白茅</w:t>
                  </w:r>
                  <w:r>
                    <w:t>群系</w:t>
                  </w:r>
                </w:p>
              </w:tc>
              <w:tc>
                <w:tcPr>
                  <w:tcW w:w="3503" w:type="dxa"/>
                  <w:vAlign w:val="center"/>
                </w:tcPr>
                <w:p>
                  <w:pPr>
                    <w:pStyle w:val="42"/>
                    <w:rPr>
                      <w:i/>
                    </w:rPr>
                  </w:pPr>
                  <w:r>
                    <w:rPr>
                      <w:iCs/>
                    </w:rPr>
                    <w:t xml:space="preserve">Form. </w:t>
                  </w:r>
                  <w:r>
                    <w:rPr>
                      <w:i/>
                    </w:rPr>
                    <w:t>Imperata cylindrica</w:t>
                  </w:r>
                </w:p>
              </w:tc>
              <w:tc>
                <w:tcPr>
                  <w:tcW w:w="2965" w:type="dxa"/>
                  <w:vAlign w:val="center"/>
                </w:tcPr>
                <w:p>
                  <w:pPr>
                    <w:pStyle w:val="42"/>
                  </w:pPr>
                  <w:r>
                    <w:t>评价区</w:t>
                  </w:r>
                  <w:r>
                    <w:rPr>
                      <w:rFonts w:hint="eastAsia"/>
                    </w:rPr>
                    <w:t>丘陵山坡和河谷斜坡地带广泛分布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2" w:type="dxa"/>
                  <w:vAlign w:val="center"/>
                </w:tcPr>
                <w:p>
                  <w:pPr>
                    <w:pStyle w:val="42"/>
                  </w:pPr>
                  <w:r>
                    <w:t>人工植被</w:t>
                  </w:r>
                </w:p>
              </w:tc>
              <w:tc>
                <w:tcPr>
                  <w:tcW w:w="1203" w:type="dxa"/>
                  <w:vAlign w:val="center"/>
                </w:tcPr>
                <w:p>
                  <w:pPr>
                    <w:pStyle w:val="42"/>
                  </w:pPr>
                  <w:r>
                    <w:t>农田植被</w:t>
                  </w:r>
                </w:p>
              </w:tc>
              <w:tc>
                <w:tcPr>
                  <w:tcW w:w="2039" w:type="dxa"/>
                  <w:vAlign w:val="center"/>
                </w:tcPr>
                <w:p>
                  <w:pPr>
                    <w:pStyle w:val="42"/>
                  </w:pPr>
                  <w:r>
                    <w:t>Ⅷ农田植被</w:t>
                  </w:r>
                </w:p>
              </w:tc>
              <w:tc>
                <w:tcPr>
                  <w:tcW w:w="2366" w:type="dxa"/>
                  <w:vAlign w:val="center"/>
                </w:tcPr>
                <w:p>
                  <w:pPr>
                    <w:pStyle w:val="42"/>
                  </w:pPr>
                  <w:r>
                    <w:t>玉米、</w:t>
                  </w:r>
                  <w:r>
                    <w:rPr>
                      <w:rFonts w:hint="eastAsia"/>
                    </w:rPr>
                    <w:t>油菜</w:t>
                  </w:r>
                  <w:r>
                    <w:t>、大豆等</w:t>
                  </w:r>
                </w:p>
              </w:tc>
              <w:tc>
                <w:tcPr>
                  <w:tcW w:w="3503" w:type="dxa"/>
                  <w:vAlign w:val="center"/>
                </w:tcPr>
                <w:p>
                  <w:pPr>
                    <w:pStyle w:val="42"/>
                  </w:pPr>
                  <w:r>
                    <w:rPr>
                      <w:rFonts w:hint="eastAsia"/>
                    </w:rPr>
                    <w:t>/</w:t>
                  </w:r>
                </w:p>
              </w:tc>
              <w:tc>
                <w:tcPr>
                  <w:tcW w:w="2965" w:type="dxa"/>
                  <w:vAlign w:val="center"/>
                </w:tcPr>
                <w:p>
                  <w:pPr>
                    <w:pStyle w:val="42"/>
                  </w:pPr>
                  <w:r>
                    <w:t>评价区内广泛分布</w:t>
                  </w:r>
                </w:p>
              </w:tc>
            </w:tr>
          </w:tbl>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tc>
      </w:tr>
    </w:tbl>
    <w:p/>
    <w:p>
      <w:pPr>
        <w:sectPr>
          <w:pgSz w:w="16838" w:h="11906" w:orient="landscape"/>
          <w:pgMar w:top="1080" w:right="1440" w:bottom="1080" w:left="1440" w:header="851" w:footer="1077" w:gutter="0"/>
          <w:cols w:space="720" w:num="1"/>
          <w:docGrid w:linePitch="312" w:charSpace="0"/>
        </w:sectPr>
      </w:pP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2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305" w:hRule="atLeast"/>
          <w:jc w:val="center"/>
        </w:trPr>
        <w:tc>
          <w:tcPr>
            <w:tcW w:w="456" w:type="dxa"/>
            <w:vAlign w:val="center"/>
          </w:tcPr>
          <w:p>
            <w:pPr>
              <w:adjustRightInd w:val="0"/>
              <w:snapToGrid w:val="0"/>
              <w:jc w:val="center"/>
              <w:rPr>
                <w:kern w:val="0"/>
                <w:sz w:val="24"/>
              </w:rPr>
            </w:pPr>
            <w:r>
              <w:rPr>
                <w:kern w:val="0"/>
                <w:sz w:val="24"/>
              </w:rPr>
              <w:t>生态环境现状</w:t>
            </w:r>
          </w:p>
        </w:tc>
        <w:tc>
          <w:tcPr>
            <w:tcW w:w="9270" w:type="dxa"/>
            <w:tcBorders>
              <w:top w:val="single" w:color="auto" w:sz="8" w:space="0"/>
              <w:bottom w:val="single" w:color="auto" w:sz="6" w:space="0"/>
            </w:tcBorders>
          </w:tcPr>
          <w:p>
            <w:pPr>
              <w:adjustRightInd w:val="0"/>
              <w:snapToGrid w:val="0"/>
              <w:spacing w:line="360" w:lineRule="auto"/>
              <w:ind w:firstLine="482" w:firstLineChars="200"/>
              <w:rPr>
                <w:b/>
                <w:kern w:val="0"/>
                <w:sz w:val="24"/>
              </w:rPr>
            </w:pPr>
            <w:r>
              <w:rPr>
                <w:b/>
                <w:kern w:val="0"/>
                <w:sz w:val="24"/>
              </w:rPr>
              <w:t>6）主要植被类型描述</w:t>
            </w:r>
          </w:p>
          <w:p>
            <w:pPr>
              <w:adjustRightInd w:val="0"/>
              <w:snapToGrid w:val="0"/>
              <w:spacing w:line="360" w:lineRule="auto"/>
              <w:ind w:firstLine="480" w:firstLineChars="200"/>
              <w:rPr>
                <w:kern w:val="0"/>
                <w:sz w:val="24"/>
              </w:rPr>
            </w:pPr>
            <w:r>
              <w:rPr>
                <w:kern w:val="0"/>
                <w:sz w:val="24"/>
              </w:rPr>
              <w:t>根据对以上群系典型样地调查，结果如下：</w:t>
            </w:r>
          </w:p>
          <w:p>
            <w:pPr>
              <w:adjustRightInd w:val="0"/>
              <w:snapToGrid w:val="0"/>
              <w:spacing w:line="360" w:lineRule="auto"/>
              <w:ind w:firstLine="480" w:firstLineChars="200"/>
              <w:rPr>
                <w:kern w:val="0"/>
                <w:sz w:val="24"/>
              </w:rPr>
            </w:pPr>
            <w:r>
              <w:rPr>
                <w:rFonts w:hint="eastAsia" w:ascii="宋体" w:hAnsi="宋体" w:cs="宋体"/>
                <w:kern w:val="0"/>
                <w:sz w:val="24"/>
              </w:rPr>
              <w:t>①</w:t>
            </w:r>
            <w:r>
              <w:rPr>
                <w:kern w:val="0"/>
                <w:sz w:val="24"/>
              </w:rPr>
              <w:t>暖性</w:t>
            </w:r>
            <w:r>
              <w:rPr>
                <w:rFonts w:hint="eastAsia"/>
                <w:kern w:val="0"/>
                <w:sz w:val="24"/>
              </w:rPr>
              <w:t>常绿</w:t>
            </w:r>
            <w:r>
              <w:rPr>
                <w:kern w:val="0"/>
                <w:sz w:val="24"/>
              </w:rPr>
              <w:t>针叶林</w:t>
            </w:r>
          </w:p>
          <w:p>
            <w:pPr>
              <w:adjustRightInd w:val="0"/>
              <w:snapToGrid w:val="0"/>
              <w:spacing w:line="360" w:lineRule="auto"/>
              <w:ind w:firstLine="480" w:firstLineChars="200"/>
              <w:rPr>
                <w:kern w:val="0"/>
                <w:sz w:val="24"/>
              </w:rPr>
            </w:pPr>
            <w:r>
              <w:rPr>
                <w:kern w:val="0"/>
                <w:sz w:val="24"/>
              </w:rPr>
              <w:t>●</w:t>
            </w:r>
            <w:r>
              <w:rPr>
                <w:rFonts w:hint="eastAsia"/>
                <w:kern w:val="0"/>
                <w:sz w:val="24"/>
              </w:rPr>
              <w:t>柏木群系（</w:t>
            </w:r>
            <w:r>
              <w:rPr>
                <w:kern w:val="0"/>
                <w:sz w:val="24"/>
              </w:rPr>
              <w:t>Form.</w:t>
            </w:r>
            <w:r>
              <w:rPr>
                <w:i/>
                <w:iCs/>
                <w:kern w:val="0"/>
                <w:sz w:val="24"/>
              </w:rPr>
              <w:t>Cupressus funebris</w:t>
            </w:r>
            <w:r>
              <w:rPr>
                <w:rFonts w:hint="eastAsia"/>
                <w:kern w:val="0"/>
                <w:sz w:val="24"/>
              </w:rPr>
              <w:t>）</w:t>
            </w:r>
          </w:p>
          <w:p>
            <w:pPr>
              <w:adjustRightInd w:val="0"/>
              <w:snapToGrid w:val="0"/>
              <w:spacing w:line="360" w:lineRule="auto"/>
              <w:ind w:firstLine="480" w:firstLineChars="200"/>
              <w:rPr>
                <w:kern w:val="0"/>
                <w:sz w:val="24"/>
              </w:rPr>
            </w:pPr>
            <w:r>
              <w:rPr>
                <w:rFonts w:hint="eastAsia"/>
                <w:kern w:val="0"/>
                <w:sz w:val="24"/>
              </w:rPr>
              <w:t>片状分布于评价区北部、中北部地势陡峭区域，为附近居民人工引进，并作为熏制腊肉的主要原材料，后因居民饮食习惯的改变而大部分弃用。评价区内柏木多为人工林，少量为次生林。</w:t>
            </w:r>
          </w:p>
          <w:p>
            <w:pPr>
              <w:adjustRightInd w:val="0"/>
              <w:snapToGrid w:val="0"/>
              <w:spacing w:line="360" w:lineRule="auto"/>
              <w:ind w:firstLine="480" w:firstLineChars="200"/>
              <w:rPr>
                <w:kern w:val="0"/>
                <w:sz w:val="24"/>
              </w:rPr>
            </w:pPr>
            <w:r>
              <w:rPr>
                <w:rFonts w:hint="eastAsia"/>
                <w:kern w:val="0"/>
                <w:sz w:val="24"/>
              </w:rPr>
              <w:t>乔木层郁闭度0.4~0.70，因人工定向栽培，柏木林、马尾松林片状相交区域常见混生现象，但林内其他伴生种较少，偶见桤木、白栎、杉木。乔木层平均株高约11m，最高达14m，植株胸径平均约19cm，单株乔木平均冠幅3.5m，平均盖度60%。林下灌木层丰富度较低，灌木层均高2m，株盖度15~60%，以火棘为优势种，其他常见种有檵木、小果蔷薇、油茶、白栎、棕榈等，但仅零星分布。林下草本层均高0.3m，株盖度10~50%，以麦冬、翠云草为优势种，常见植物有蕨、芒萁、乌蕨、狗脊、毛蕨、芒、翠云草等。</w:t>
            </w:r>
          </w:p>
          <w:p>
            <w:pPr>
              <w:adjustRightInd w:val="0"/>
              <w:snapToGrid w:val="0"/>
              <w:spacing w:line="360" w:lineRule="auto"/>
              <w:ind w:firstLine="480" w:firstLineChars="200"/>
              <w:rPr>
                <w:kern w:val="0"/>
                <w:sz w:val="24"/>
              </w:rPr>
            </w:pPr>
            <w:r>
              <w:rPr>
                <w:rFonts w:hint="eastAsia" w:ascii="宋体" w:hAnsi="宋体" w:cs="宋体"/>
                <w:kern w:val="0"/>
                <w:sz w:val="24"/>
              </w:rPr>
              <w:t>②</w:t>
            </w:r>
            <w:r>
              <w:rPr>
                <w:kern w:val="0"/>
                <w:sz w:val="24"/>
              </w:rPr>
              <w:t>常绿或落叶阔叶林</w:t>
            </w:r>
          </w:p>
          <w:p>
            <w:pPr>
              <w:adjustRightInd w:val="0"/>
              <w:snapToGrid w:val="0"/>
              <w:spacing w:line="360" w:lineRule="auto"/>
              <w:ind w:firstLine="480" w:firstLineChars="200"/>
              <w:rPr>
                <w:kern w:val="0"/>
                <w:sz w:val="24"/>
              </w:rPr>
            </w:pPr>
            <w:r>
              <w:rPr>
                <w:kern w:val="0"/>
                <w:sz w:val="24"/>
              </w:rPr>
              <w:t>该植被类型以人工林半人工林为主，</w:t>
            </w:r>
            <w:r>
              <w:rPr>
                <w:rFonts w:hint="eastAsia"/>
                <w:kern w:val="0"/>
                <w:sz w:val="24"/>
              </w:rPr>
              <w:t>以落叶林为主</w:t>
            </w:r>
            <w:r>
              <w:rPr>
                <w:kern w:val="0"/>
                <w:sz w:val="24"/>
              </w:rPr>
              <w:t>。</w:t>
            </w:r>
          </w:p>
          <w:p>
            <w:pPr>
              <w:adjustRightInd w:val="0"/>
              <w:snapToGrid w:val="0"/>
              <w:spacing w:line="360" w:lineRule="auto"/>
              <w:ind w:firstLine="480" w:firstLineChars="200"/>
              <w:rPr>
                <w:kern w:val="0"/>
                <w:sz w:val="24"/>
              </w:rPr>
            </w:pPr>
            <w:r>
              <w:rPr>
                <w:kern w:val="0"/>
                <w:sz w:val="24"/>
              </w:rPr>
              <w:t>●</w:t>
            </w:r>
            <w:r>
              <w:rPr>
                <w:rFonts w:hint="eastAsia"/>
                <w:kern w:val="0"/>
                <w:sz w:val="24"/>
              </w:rPr>
              <w:t>栓皮栎-麻栎群系（</w:t>
            </w:r>
            <w:r>
              <w:rPr>
                <w:i/>
                <w:kern w:val="0"/>
                <w:sz w:val="24"/>
              </w:rPr>
              <w:t>Form</w:t>
            </w:r>
            <w:r>
              <w:rPr>
                <w:rFonts w:hint="eastAsia"/>
                <w:i/>
                <w:kern w:val="0"/>
                <w:sz w:val="24"/>
              </w:rPr>
              <w:t>．</w:t>
            </w:r>
            <w:r>
              <w:rPr>
                <w:i/>
                <w:iCs/>
                <w:kern w:val="0"/>
                <w:sz w:val="24"/>
              </w:rPr>
              <w:t>Quercus variabilis</w:t>
            </w:r>
            <w:r>
              <w:rPr>
                <w:kern w:val="0"/>
                <w:sz w:val="24"/>
              </w:rPr>
              <w:t xml:space="preserve"> </w:t>
            </w:r>
            <w:r>
              <w:rPr>
                <w:i/>
                <w:kern w:val="0"/>
                <w:sz w:val="24"/>
              </w:rPr>
              <w:t xml:space="preserve">to </w:t>
            </w:r>
            <w:r>
              <w:rPr>
                <w:i/>
                <w:iCs/>
                <w:kern w:val="0"/>
                <w:sz w:val="24"/>
              </w:rPr>
              <w:t>Quercus acutissima</w:t>
            </w:r>
            <w:r>
              <w:rPr>
                <w:rFonts w:hint="eastAsia"/>
                <w:kern w:val="0"/>
                <w:sz w:val="24"/>
              </w:rPr>
              <w:t>）</w:t>
            </w:r>
          </w:p>
          <w:p>
            <w:pPr>
              <w:adjustRightInd w:val="0"/>
              <w:snapToGrid w:val="0"/>
              <w:spacing w:line="360" w:lineRule="auto"/>
              <w:ind w:firstLine="480" w:firstLineChars="200"/>
              <w:rPr>
                <w:kern w:val="0"/>
                <w:sz w:val="24"/>
              </w:rPr>
            </w:pPr>
            <w:r>
              <w:rPr>
                <w:kern w:val="0"/>
                <w:sz w:val="24"/>
              </w:rPr>
              <w:t>群落中主要树种有</w:t>
            </w:r>
            <w:r>
              <w:rPr>
                <w:rFonts w:hint="eastAsia"/>
                <w:kern w:val="0"/>
                <w:sz w:val="24"/>
              </w:rPr>
              <w:t>栓皮栎、麻栎</w:t>
            </w:r>
            <w:r>
              <w:rPr>
                <w:kern w:val="0"/>
                <w:sz w:val="24"/>
              </w:rPr>
              <w:t>等，</w:t>
            </w:r>
            <w:r>
              <w:rPr>
                <w:rFonts w:hint="eastAsia"/>
                <w:kern w:val="0"/>
                <w:sz w:val="24"/>
              </w:rPr>
              <w:t>为落叶阔叶林，</w:t>
            </w:r>
            <w:r>
              <w:rPr>
                <w:kern w:val="0"/>
                <w:sz w:val="24"/>
              </w:rPr>
              <w:t>评价区</w:t>
            </w:r>
            <w:r>
              <w:rPr>
                <w:rFonts w:hint="eastAsia"/>
                <w:kern w:val="0"/>
                <w:sz w:val="24"/>
              </w:rPr>
              <w:t>东部、南部片状分布</w:t>
            </w:r>
            <w:r>
              <w:rPr>
                <w:kern w:val="0"/>
                <w:sz w:val="24"/>
              </w:rPr>
              <w:t>，外貌呈浅绿或棕绿色</w:t>
            </w:r>
            <w:r>
              <w:rPr>
                <w:rFonts w:hint="eastAsia"/>
                <w:kern w:val="0"/>
                <w:sz w:val="24"/>
              </w:rPr>
              <w:t>，经现场核实，以上林地植被全部为人工栽培。此外，该植被是一个生态幅度较大的森林类型，在不同气候类型的影响下，该植被类型生长发育都较好，表现出较强的适应性。这种较强的适应性，也表现在对林地的地形、岩石及土壤等环境无严格的选择上，常有慈竹、毛竹混生。通过对典型样地进行调查，样地总盖度约</w:t>
            </w:r>
            <w:r>
              <w:rPr>
                <w:kern w:val="0"/>
                <w:sz w:val="24"/>
              </w:rPr>
              <w:t>80%</w:t>
            </w:r>
            <w:r>
              <w:rPr>
                <w:rFonts w:hint="eastAsia"/>
                <w:kern w:val="0"/>
                <w:sz w:val="24"/>
              </w:rPr>
              <w:t>，平均胸径</w:t>
            </w:r>
            <w:r>
              <w:rPr>
                <w:kern w:val="0"/>
                <w:sz w:val="24"/>
              </w:rPr>
              <w:t>25</w:t>
            </w:r>
            <w:r>
              <w:rPr>
                <w:rFonts w:hint="eastAsia"/>
                <w:kern w:val="0"/>
                <w:sz w:val="24"/>
              </w:rPr>
              <w:t>c</w:t>
            </w:r>
            <w:r>
              <w:rPr>
                <w:kern w:val="0"/>
                <w:sz w:val="24"/>
              </w:rPr>
              <w:t>m</w:t>
            </w:r>
            <w:r>
              <w:rPr>
                <w:rFonts w:hint="eastAsia"/>
                <w:kern w:val="0"/>
                <w:sz w:val="24"/>
              </w:rPr>
              <w:t>，树高介于</w:t>
            </w:r>
            <w:r>
              <w:rPr>
                <w:kern w:val="0"/>
                <w:sz w:val="24"/>
              </w:rPr>
              <w:t>7</w:t>
            </w:r>
            <w:r>
              <w:rPr>
                <w:rFonts w:hint="eastAsia"/>
                <w:kern w:val="0"/>
                <w:sz w:val="24"/>
              </w:rPr>
              <w:t>~</w:t>
            </w:r>
            <w:r>
              <w:rPr>
                <w:kern w:val="0"/>
                <w:sz w:val="24"/>
              </w:rPr>
              <w:t>10</w:t>
            </w:r>
            <w:r>
              <w:rPr>
                <w:rFonts w:hint="eastAsia"/>
                <w:kern w:val="0"/>
                <w:sz w:val="24"/>
              </w:rPr>
              <w:t>m，郁闭度</w:t>
            </w:r>
            <w:r>
              <w:rPr>
                <w:kern w:val="0"/>
                <w:sz w:val="24"/>
              </w:rPr>
              <w:t>0.6</w:t>
            </w:r>
            <w:r>
              <w:rPr>
                <w:rFonts w:hint="eastAsia"/>
                <w:kern w:val="0"/>
                <w:sz w:val="24"/>
              </w:rPr>
              <w:t>。</w:t>
            </w:r>
          </w:p>
          <w:p>
            <w:pPr>
              <w:adjustRightInd w:val="0"/>
              <w:snapToGrid w:val="0"/>
              <w:spacing w:line="360" w:lineRule="auto"/>
              <w:ind w:firstLine="480" w:firstLineChars="200"/>
              <w:rPr>
                <w:kern w:val="0"/>
                <w:sz w:val="24"/>
              </w:rPr>
            </w:pPr>
            <w:r>
              <w:rPr>
                <w:rFonts w:hint="eastAsia"/>
                <w:kern w:val="0"/>
                <w:sz w:val="24"/>
              </w:rPr>
              <w:t>经调查，为给乔木层创造良好的营养物质累积条件，该植被群系地块权属人员一般每年针对灌木层进行一次砍伐，因此，调查期间，林下灌木较丰富。可见山胡椒、火棘、小果蔷薇、构树等，多为低矮灌木，平均高度约2.0m，总盖度在1</w:t>
            </w:r>
            <w:r>
              <w:rPr>
                <w:kern w:val="0"/>
                <w:sz w:val="24"/>
              </w:rPr>
              <w:t>0</w:t>
            </w:r>
            <w:r>
              <w:rPr>
                <w:rFonts w:hint="eastAsia"/>
                <w:kern w:val="0"/>
                <w:sz w:val="24"/>
              </w:rPr>
              <w:t>~30%。</w:t>
            </w:r>
          </w:p>
          <w:p>
            <w:pPr>
              <w:adjustRightInd w:val="0"/>
              <w:snapToGrid w:val="0"/>
              <w:spacing w:line="360" w:lineRule="auto"/>
              <w:ind w:firstLine="480" w:firstLineChars="200"/>
              <w:rPr>
                <w:kern w:val="0"/>
                <w:sz w:val="24"/>
              </w:rPr>
            </w:pPr>
            <w:r>
              <w:rPr>
                <w:kern w:val="0"/>
                <w:sz w:val="24"/>
              </w:rPr>
              <w:t>●</w:t>
            </w:r>
            <w:r>
              <w:rPr>
                <w:rFonts w:hint="eastAsia"/>
                <w:kern w:val="0"/>
                <w:sz w:val="24"/>
              </w:rPr>
              <w:t>香樟</w:t>
            </w:r>
            <w:r>
              <w:rPr>
                <w:kern w:val="0"/>
                <w:sz w:val="24"/>
              </w:rPr>
              <w:t>群系（</w:t>
            </w:r>
            <w:r>
              <w:rPr>
                <w:i/>
                <w:kern w:val="0"/>
                <w:sz w:val="24"/>
              </w:rPr>
              <w:t>Form．</w:t>
            </w:r>
            <w:r>
              <w:rPr>
                <w:i/>
                <w:iCs/>
                <w:kern w:val="0"/>
                <w:sz w:val="24"/>
              </w:rPr>
              <w:t>Camphora officinarum</w:t>
            </w:r>
            <w:r>
              <w:rPr>
                <w:kern w:val="0"/>
                <w:sz w:val="24"/>
              </w:rPr>
              <w:t>）</w:t>
            </w:r>
          </w:p>
          <w:p>
            <w:pPr>
              <w:adjustRightInd w:val="0"/>
              <w:snapToGrid w:val="0"/>
              <w:spacing w:line="360" w:lineRule="auto"/>
              <w:ind w:firstLine="480" w:firstLineChars="200"/>
              <w:rPr>
                <w:kern w:val="0"/>
                <w:sz w:val="24"/>
              </w:rPr>
            </w:pPr>
            <w:r>
              <w:rPr>
                <w:rFonts w:hint="eastAsia"/>
                <w:kern w:val="0"/>
                <w:sz w:val="24"/>
              </w:rPr>
              <w:t>该植被群系主要零星分布居民房屋前后，评价区香樟树型挺拔、均一，均为人工种植，天然林极少。通过对典型样地进行调查，样地总盖度约90%，乔木层树种以香樟为绝对优势种，平均高度18.0m，平均胸径14m，郁闭度0.85；林下灌木层不发育；林下草本层零星分布，有黄茅、牛筋草等，平均高度约0.15m，盖度约5%。</w:t>
            </w:r>
          </w:p>
          <w:p>
            <w:pPr>
              <w:adjustRightInd w:val="0"/>
              <w:snapToGrid w:val="0"/>
              <w:spacing w:line="360" w:lineRule="auto"/>
              <w:ind w:firstLine="480" w:firstLineChars="200"/>
              <w:rPr>
                <w:kern w:val="0"/>
                <w:sz w:val="24"/>
              </w:rPr>
            </w:pPr>
            <w:r>
              <w:rPr>
                <w:rFonts w:hint="eastAsia" w:ascii="宋体" w:hAnsi="宋体" w:cs="宋体"/>
                <w:kern w:val="0"/>
                <w:sz w:val="24"/>
              </w:rPr>
              <w:t>③</w:t>
            </w:r>
            <w:r>
              <w:rPr>
                <w:kern w:val="0"/>
                <w:sz w:val="24"/>
              </w:rPr>
              <w:t>针阔混交林</w:t>
            </w:r>
          </w:p>
          <w:p>
            <w:pPr>
              <w:adjustRightInd w:val="0"/>
              <w:snapToGrid w:val="0"/>
              <w:spacing w:line="360" w:lineRule="auto"/>
              <w:ind w:firstLine="480" w:firstLineChars="200"/>
              <w:rPr>
                <w:kern w:val="0"/>
                <w:sz w:val="24"/>
              </w:rPr>
            </w:pPr>
            <w:r>
              <w:rPr>
                <w:kern w:val="0"/>
                <w:sz w:val="24"/>
              </w:rPr>
              <w:t>●</w:t>
            </w:r>
            <w:r>
              <w:rPr>
                <w:rFonts w:hint="eastAsia"/>
                <w:kern w:val="0"/>
                <w:sz w:val="24"/>
              </w:rPr>
              <w:t>柏木-栓皮栎-麻栎群系</w:t>
            </w:r>
            <w:r>
              <w:rPr>
                <w:b/>
                <w:kern w:val="0"/>
                <w:sz w:val="24"/>
              </w:rPr>
              <w:t>（</w:t>
            </w:r>
            <w:r>
              <w:rPr>
                <w:iCs/>
                <w:kern w:val="0"/>
                <w:sz w:val="24"/>
              </w:rPr>
              <w:t>Form．</w:t>
            </w:r>
            <w:r>
              <w:rPr>
                <w:i/>
                <w:iCs/>
              </w:rPr>
              <w:t>Cupressus funebris to Quercus variabilis to Quercus acutissima</w:t>
            </w:r>
            <w:r>
              <w:rPr>
                <w:b/>
                <w:kern w:val="0"/>
                <w:sz w:val="24"/>
              </w:rPr>
              <w:t>）</w:t>
            </w:r>
          </w:p>
          <w:p>
            <w:pPr>
              <w:adjustRightInd w:val="0"/>
              <w:snapToGrid w:val="0"/>
              <w:spacing w:line="360" w:lineRule="auto"/>
              <w:ind w:firstLine="480" w:firstLineChars="200"/>
              <w:rPr>
                <w:kern w:val="0"/>
                <w:sz w:val="24"/>
              </w:rPr>
            </w:pPr>
            <w:r>
              <w:rPr>
                <w:kern w:val="0"/>
                <w:sz w:val="24"/>
              </w:rPr>
              <w:t>该植被类型多分布在针叶林与阔叶林交界区域，</w:t>
            </w:r>
            <w:r>
              <w:rPr>
                <w:rFonts w:hint="eastAsia"/>
                <w:kern w:val="0"/>
                <w:sz w:val="24"/>
              </w:rPr>
              <w:t>在评价区广泛分布，项目区域四周尤为集中</w:t>
            </w:r>
            <w:r>
              <w:rPr>
                <w:kern w:val="0"/>
                <w:sz w:val="24"/>
              </w:rPr>
              <w:t>，以人工针叶林间伐后天然次生形成的混合群系。针阔混交林结构相对复杂</w:t>
            </w:r>
            <w:r>
              <w:rPr>
                <w:rFonts w:hint="eastAsia"/>
                <w:kern w:val="0"/>
                <w:sz w:val="24"/>
              </w:rPr>
              <w:t>，区域比较典型的群系为柏木-栓皮栎-麻栎群系</w:t>
            </w:r>
            <w:r>
              <w:rPr>
                <w:kern w:val="0"/>
                <w:sz w:val="24"/>
              </w:rPr>
              <w:t>。</w:t>
            </w:r>
          </w:p>
          <w:p>
            <w:pPr>
              <w:adjustRightInd w:val="0"/>
              <w:snapToGrid w:val="0"/>
              <w:spacing w:line="360" w:lineRule="auto"/>
              <w:ind w:firstLine="480" w:firstLineChars="200"/>
              <w:rPr>
                <w:kern w:val="0"/>
                <w:sz w:val="24"/>
              </w:rPr>
            </w:pPr>
            <w:r>
              <w:rPr>
                <w:rFonts w:hint="eastAsia"/>
                <w:kern w:val="0"/>
                <w:sz w:val="24"/>
              </w:rPr>
              <w:t>评价区柏木-栓皮栎-麻栎群系</w:t>
            </w:r>
            <w:r>
              <w:rPr>
                <w:kern w:val="0"/>
                <w:sz w:val="24"/>
              </w:rPr>
              <w:t>总盖度</w:t>
            </w:r>
            <w:r>
              <w:rPr>
                <w:rFonts w:hint="eastAsia"/>
                <w:kern w:val="0"/>
                <w:sz w:val="24"/>
              </w:rPr>
              <w:t>最高可达76</w:t>
            </w:r>
            <w:r>
              <w:rPr>
                <w:kern w:val="0"/>
                <w:sz w:val="24"/>
              </w:rPr>
              <w:t>%，为半人工林次生林，处于群落演替中期，外貌呈青绿与墨绿相间。乔木层郁闭度0.5，平均高度约14m，平均胸径18cm，乔木层树种有</w:t>
            </w:r>
            <w:r>
              <w:rPr>
                <w:rFonts w:hint="eastAsia"/>
                <w:kern w:val="0"/>
                <w:sz w:val="24"/>
              </w:rPr>
              <w:t>柏木</w:t>
            </w:r>
            <w:r>
              <w:rPr>
                <w:kern w:val="0"/>
                <w:sz w:val="24"/>
              </w:rPr>
              <w:t>、</w:t>
            </w:r>
            <w:r>
              <w:rPr>
                <w:rFonts w:hint="eastAsia"/>
                <w:kern w:val="0"/>
                <w:sz w:val="24"/>
              </w:rPr>
              <w:t>栓皮栎、麻栎及少量</w:t>
            </w:r>
            <w:r>
              <w:rPr>
                <w:kern w:val="0"/>
                <w:sz w:val="24"/>
              </w:rPr>
              <w:t>苦楝、</w:t>
            </w:r>
            <w:r>
              <w:rPr>
                <w:rFonts w:hint="eastAsia"/>
                <w:kern w:val="0"/>
                <w:sz w:val="24"/>
              </w:rPr>
              <w:t>马尾松</w:t>
            </w:r>
            <w:r>
              <w:rPr>
                <w:kern w:val="0"/>
                <w:sz w:val="24"/>
              </w:rPr>
              <w:t>等；林下灌木层不发育，</w:t>
            </w:r>
            <w:r>
              <w:rPr>
                <w:rFonts w:hint="eastAsia"/>
                <w:kern w:val="0"/>
                <w:sz w:val="24"/>
              </w:rPr>
              <w:t>主要为构树</w:t>
            </w:r>
            <w:r>
              <w:rPr>
                <w:kern w:val="0"/>
                <w:sz w:val="24"/>
              </w:rPr>
              <w:t>等，灌木层平均高度约1.5m，盖度约8%；草本层有卷柏、荩草、芒、芒箕、鸡屎藤、蕨、苔草、常春藤、蒲公英、牛筋草等，平均高度约0.4m，盖度约50%。</w:t>
            </w:r>
          </w:p>
          <w:p>
            <w:pPr>
              <w:adjustRightInd w:val="0"/>
              <w:snapToGrid w:val="0"/>
              <w:jc w:val="center"/>
              <w:rPr>
                <w:kern w:val="0"/>
                <w:sz w:val="24"/>
              </w:rPr>
            </w:pPr>
            <w:r>
              <w:drawing>
                <wp:inline distT="0" distB="0" distL="0" distR="0">
                  <wp:extent cx="2877820" cy="2155825"/>
                  <wp:effectExtent l="0" t="0" r="0" b="0"/>
                  <wp:docPr id="1198246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46425" name="图片 1"/>
                          <pic:cNvPicPr>
                            <a:picLocks noChangeAspect="1"/>
                          </pic:cNvPicPr>
                        </pic:nvPicPr>
                        <pic:blipFill>
                          <a:blip r:embed="rId21" cstate="hqprint"/>
                          <a:stretch>
                            <a:fillRect/>
                          </a:stretch>
                        </pic:blipFill>
                        <pic:spPr>
                          <a:xfrm>
                            <a:off x="0" y="0"/>
                            <a:ext cx="2883839" cy="2160660"/>
                          </a:xfrm>
                          <a:prstGeom prst="rect">
                            <a:avLst/>
                          </a:prstGeom>
                        </pic:spPr>
                      </pic:pic>
                    </a:graphicData>
                  </a:graphic>
                </wp:inline>
              </w:drawing>
            </w:r>
            <w:r>
              <w:drawing>
                <wp:inline distT="0" distB="0" distL="0" distR="0">
                  <wp:extent cx="2858770" cy="2145665"/>
                  <wp:effectExtent l="0" t="0" r="0" b="6985"/>
                  <wp:docPr id="16093946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94668" name="图片 1"/>
                          <pic:cNvPicPr>
                            <a:picLocks noChangeAspect="1"/>
                          </pic:cNvPicPr>
                        </pic:nvPicPr>
                        <pic:blipFill>
                          <a:blip r:embed="rId22" cstate="hqprint"/>
                          <a:stretch>
                            <a:fillRect/>
                          </a:stretch>
                        </pic:blipFill>
                        <pic:spPr>
                          <a:xfrm>
                            <a:off x="0" y="0"/>
                            <a:ext cx="2859206" cy="2146018"/>
                          </a:xfrm>
                          <a:prstGeom prst="rect">
                            <a:avLst/>
                          </a:prstGeom>
                        </pic:spPr>
                      </pic:pic>
                    </a:graphicData>
                  </a:graphic>
                </wp:inline>
              </w:drawing>
            </w:r>
          </w:p>
          <w:p>
            <w:pPr>
              <w:adjustRightInd w:val="0"/>
              <w:snapToGrid w:val="0"/>
              <w:spacing w:line="360" w:lineRule="auto"/>
              <w:jc w:val="center"/>
              <w:rPr>
                <w:b/>
                <w:kern w:val="0"/>
                <w:sz w:val="24"/>
              </w:rPr>
            </w:pPr>
            <w:r>
              <w:rPr>
                <w:rFonts w:hint="eastAsia"/>
                <w:b/>
                <w:kern w:val="0"/>
                <w:sz w:val="24"/>
              </w:rPr>
              <w:t>项目区域周边针阔混交林</w:t>
            </w:r>
          </w:p>
          <w:p>
            <w:pPr>
              <w:adjustRightInd w:val="0"/>
              <w:snapToGrid w:val="0"/>
              <w:spacing w:line="360" w:lineRule="auto"/>
              <w:ind w:firstLine="480" w:firstLineChars="200"/>
              <w:rPr>
                <w:rFonts w:hint="eastAsia" w:ascii="宋体" w:hAnsi="宋体" w:cs="宋体"/>
                <w:kern w:val="0"/>
                <w:sz w:val="24"/>
              </w:rPr>
            </w:pPr>
            <w:r>
              <w:rPr>
                <w:rFonts w:hint="eastAsia" w:ascii="宋体" w:hAnsi="宋体" w:cs="宋体"/>
                <w:kern w:val="0"/>
                <w:sz w:val="24"/>
              </w:rPr>
              <w:t>④竹林</w:t>
            </w:r>
          </w:p>
          <w:p>
            <w:pPr>
              <w:adjustRightInd w:val="0"/>
              <w:snapToGrid w:val="0"/>
              <w:spacing w:line="360" w:lineRule="auto"/>
              <w:ind w:firstLine="480" w:firstLineChars="200"/>
              <w:rPr>
                <w:kern w:val="0"/>
                <w:sz w:val="24"/>
              </w:rPr>
            </w:pPr>
            <w:r>
              <w:rPr>
                <w:kern w:val="0"/>
                <w:sz w:val="24"/>
              </w:rPr>
              <w:t>该植被类型多分布在住宅区房前屋后，也有部分零星分布，多以人工栽植为主。</w:t>
            </w:r>
          </w:p>
          <w:p>
            <w:pPr>
              <w:adjustRightInd w:val="0"/>
              <w:snapToGrid w:val="0"/>
              <w:spacing w:line="360" w:lineRule="auto"/>
              <w:ind w:firstLine="480" w:firstLineChars="200"/>
              <w:rPr>
                <w:b/>
                <w:kern w:val="0"/>
                <w:sz w:val="24"/>
              </w:rPr>
            </w:pPr>
            <w:r>
              <w:rPr>
                <w:kern w:val="0"/>
                <w:sz w:val="24"/>
              </w:rPr>
              <w:t>●</w:t>
            </w:r>
            <w:r>
              <w:rPr>
                <w:rFonts w:hint="eastAsia"/>
                <w:kern w:val="0"/>
                <w:sz w:val="24"/>
              </w:rPr>
              <w:t>毛竹</w:t>
            </w:r>
            <w:r>
              <w:rPr>
                <w:kern w:val="0"/>
                <w:sz w:val="24"/>
              </w:rPr>
              <w:t>群系</w:t>
            </w:r>
            <w:r>
              <w:rPr>
                <w:b/>
                <w:kern w:val="0"/>
                <w:sz w:val="24"/>
              </w:rPr>
              <w:t>（</w:t>
            </w:r>
            <w:r>
              <w:rPr>
                <w:kern w:val="0"/>
                <w:sz w:val="24"/>
              </w:rPr>
              <w:t>Form．</w:t>
            </w:r>
            <w:r>
              <w:rPr>
                <w:i/>
                <w:iCs/>
                <w:kern w:val="0"/>
                <w:sz w:val="24"/>
              </w:rPr>
              <w:t>Phyllostachys edulis</w:t>
            </w:r>
            <w:r>
              <w:rPr>
                <w:b/>
                <w:kern w:val="0"/>
                <w:sz w:val="24"/>
              </w:rPr>
              <w:t>）</w:t>
            </w:r>
          </w:p>
          <w:p>
            <w:pPr>
              <w:adjustRightInd w:val="0"/>
              <w:snapToGrid w:val="0"/>
              <w:spacing w:line="360" w:lineRule="auto"/>
              <w:ind w:firstLine="480" w:firstLineChars="200"/>
              <w:rPr>
                <w:rFonts w:hint="eastAsia" w:ascii="宋体" w:hAnsi="宋体" w:cs="宋体"/>
                <w:kern w:val="0"/>
                <w:sz w:val="24"/>
              </w:rPr>
            </w:pPr>
            <w:r>
              <w:rPr>
                <w:kern w:val="0"/>
                <w:sz w:val="24"/>
              </w:rPr>
              <w:t>调查的典型</w:t>
            </w:r>
            <w:r>
              <w:rPr>
                <w:rFonts w:hint="eastAsia"/>
                <w:kern w:val="0"/>
                <w:sz w:val="24"/>
              </w:rPr>
              <w:t>毛竹</w:t>
            </w:r>
            <w:r>
              <w:rPr>
                <w:kern w:val="0"/>
                <w:sz w:val="24"/>
              </w:rPr>
              <w:t>样地总盖度约</w:t>
            </w:r>
            <w:r>
              <w:rPr>
                <w:rFonts w:hint="eastAsia"/>
                <w:kern w:val="0"/>
                <w:sz w:val="24"/>
              </w:rPr>
              <w:t>88</w:t>
            </w:r>
            <w:r>
              <w:rPr>
                <w:kern w:val="0"/>
                <w:sz w:val="24"/>
              </w:rPr>
              <w:t>%，乔木层仅有</w:t>
            </w:r>
            <w:r>
              <w:rPr>
                <w:rFonts w:hint="eastAsia"/>
                <w:kern w:val="0"/>
                <w:sz w:val="24"/>
              </w:rPr>
              <w:t>毛竹</w:t>
            </w:r>
            <w:r>
              <w:rPr>
                <w:kern w:val="0"/>
                <w:sz w:val="24"/>
              </w:rPr>
              <w:t>，物种单一，平均高度</w:t>
            </w:r>
            <w:r>
              <w:rPr>
                <w:rFonts w:hint="eastAsia"/>
                <w:kern w:val="0"/>
                <w:sz w:val="24"/>
              </w:rPr>
              <w:t>13</w:t>
            </w:r>
            <w:r>
              <w:rPr>
                <w:kern w:val="0"/>
                <w:sz w:val="24"/>
              </w:rPr>
              <w:t>m，胸径</w:t>
            </w:r>
            <w:r>
              <w:rPr>
                <w:rFonts w:hint="eastAsia"/>
                <w:kern w:val="0"/>
                <w:sz w:val="24"/>
              </w:rPr>
              <w:t>6</w:t>
            </w:r>
            <w:r>
              <w:rPr>
                <w:kern w:val="0"/>
                <w:sz w:val="24"/>
              </w:rPr>
              <w:t>cm，样地内共计</w:t>
            </w:r>
            <w:r>
              <w:rPr>
                <w:rFonts w:hint="eastAsia"/>
                <w:kern w:val="0"/>
                <w:sz w:val="24"/>
              </w:rPr>
              <w:t>223</w:t>
            </w:r>
            <w:r>
              <w:rPr>
                <w:kern w:val="0"/>
                <w:sz w:val="24"/>
              </w:rPr>
              <w:t>株。林下灌木及草本层不发育，灌木层有碎米花等，盖度约5%。无草本层。</w:t>
            </w:r>
          </w:p>
          <w:p>
            <w:pPr>
              <w:adjustRightInd w:val="0"/>
              <w:snapToGrid w:val="0"/>
              <w:spacing w:line="360" w:lineRule="auto"/>
              <w:ind w:firstLine="480" w:firstLineChars="200"/>
              <w:rPr>
                <w:kern w:val="0"/>
                <w:sz w:val="24"/>
              </w:rPr>
            </w:pPr>
            <w:r>
              <w:rPr>
                <w:rFonts w:hint="eastAsia"/>
                <w:kern w:val="0"/>
                <w:sz w:val="24"/>
              </w:rPr>
              <w:t>⑤</w:t>
            </w:r>
            <w:r>
              <w:rPr>
                <w:kern w:val="0"/>
                <w:sz w:val="24"/>
              </w:rPr>
              <w:t>灌从</w:t>
            </w:r>
          </w:p>
          <w:p>
            <w:pPr>
              <w:adjustRightInd w:val="0"/>
              <w:snapToGrid w:val="0"/>
              <w:spacing w:line="360" w:lineRule="auto"/>
              <w:ind w:firstLine="480" w:firstLineChars="200"/>
              <w:rPr>
                <w:kern w:val="0"/>
                <w:sz w:val="24"/>
              </w:rPr>
            </w:pPr>
            <w:r>
              <w:rPr>
                <w:kern w:val="0"/>
                <w:sz w:val="24"/>
              </w:rPr>
              <w:t>评价区内的灌丛一般是森林砍伐后发育起来的次生类型。由于人类活动的影响，森林受到强度砍伐或其他原因，改变了自然环境条件，致使多种阳性落叶阔叶灌木迅速繁生，形成各种灌丛。灌丛外貌、多度和结构较为杂乱，零星分布于荒坡荒地。</w:t>
            </w:r>
          </w:p>
          <w:p>
            <w:pPr>
              <w:adjustRightInd w:val="0"/>
              <w:snapToGrid w:val="0"/>
              <w:spacing w:line="360" w:lineRule="auto"/>
              <w:ind w:firstLine="480" w:firstLineChars="200"/>
              <w:rPr>
                <w:kern w:val="0"/>
                <w:sz w:val="24"/>
              </w:rPr>
            </w:pPr>
            <w:r>
              <w:rPr>
                <w:kern w:val="0"/>
                <w:sz w:val="24"/>
              </w:rPr>
              <w:t>●小果蔷薇</w:t>
            </w:r>
            <w:r>
              <w:rPr>
                <w:rFonts w:hint="eastAsia"/>
                <w:kern w:val="0"/>
                <w:sz w:val="24"/>
              </w:rPr>
              <w:t>-</w:t>
            </w:r>
            <w:r>
              <w:rPr>
                <w:kern w:val="0"/>
                <w:sz w:val="24"/>
              </w:rPr>
              <w:t>火棘</w:t>
            </w:r>
            <w:r>
              <w:rPr>
                <w:rFonts w:hint="eastAsia"/>
                <w:kern w:val="0"/>
                <w:sz w:val="24"/>
              </w:rPr>
              <w:t>群系</w:t>
            </w:r>
            <w:r>
              <w:rPr>
                <w:kern w:val="0"/>
                <w:sz w:val="24"/>
              </w:rPr>
              <w:t>（Form.</w:t>
            </w:r>
            <w:r>
              <w:rPr>
                <w:i/>
                <w:kern w:val="0"/>
                <w:sz w:val="24"/>
              </w:rPr>
              <w:t xml:space="preserve"> Rosa cymose</w:t>
            </w:r>
            <w:r>
              <w:rPr>
                <w:rFonts w:hint="eastAsia"/>
                <w:i/>
                <w:kern w:val="0"/>
                <w:sz w:val="24"/>
              </w:rPr>
              <w:t xml:space="preserve"> to </w:t>
            </w:r>
            <w:r>
              <w:rPr>
                <w:i/>
                <w:kern w:val="0"/>
                <w:sz w:val="24"/>
              </w:rPr>
              <w:t>Pyracantha fortuneana</w:t>
            </w:r>
            <w:r>
              <w:rPr>
                <w:kern w:val="0"/>
                <w:sz w:val="24"/>
              </w:rPr>
              <w:t>）</w:t>
            </w:r>
          </w:p>
          <w:p>
            <w:pPr>
              <w:adjustRightInd w:val="0"/>
              <w:snapToGrid w:val="0"/>
              <w:spacing w:line="360" w:lineRule="auto"/>
              <w:ind w:firstLine="480" w:firstLineChars="200"/>
              <w:rPr>
                <w:kern w:val="0"/>
                <w:sz w:val="24"/>
              </w:rPr>
            </w:pPr>
            <w:r>
              <w:rPr>
                <w:kern w:val="0"/>
                <w:sz w:val="24"/>
              </w:rPr>
              <w:t>多呈小块分布</w:t>
            </w:r>
            <w:r>
              <w:rPr>
                <w:rFonts w:hint="eastAsia"/>
                <w:kern w:val="0"/>
                <w:sz w:val="24"/>
              </w:rPr>
              <w:t>于</w:t>
            </w:r>
            <w:r>
              <w:rPr>
                <w:kern w:val="0"/>
                <w:sz w:val="24"/>
              </w:rPr>
              <w:t>土层瘠薄干旱，岩石裸露的地方，主要位于林缘。群落中的灌木多具刺，外貌绿色，呈团块状。灌丛高1~2m。小果蔷薇和火棘各占20~30%的盖度。伴生的灌木有雀梅藤、菝葜、荚蒾、野花椒等。草本植物主要有蕨、芒、扭黄茅、蜈蚣草、狗尾草等。层外植物有地瓜榕、常春藤等。</w:t>
            </w:r>
          </w:p>
          <w:p>
            <w:pPr>
              <w:adjustRightInd w:val="0"/>
              <w:snapToGrid w:val="0"/>
              <w:spacing w:line="360" w:lineRule="auto"/>
              <w:ind w:firstLine="480" w:firstLineChars="200"/>
              <w:rPr>
                <w:bCs/>
                <w:kern w:val="0"/>
                <w:sz w:val="24"/>
              </w:rPr>
            </w:pPr>
            <w:r>
              <w:rPr>
                <w:rFonts w:hint="eastAsia"/>
                <w:bCs/>
                <w:kern w:val="0"/>
                <w:sz w:val="24"/>
              </w:rPr>
              <w:t>⑥</w:t>
            </w:r>
            <w:r>
              <w:rPr>
                <w:bCs/>
                <w:kern w:val="0"/>
                <w:sz w:val="24"/>
              </w:rPr>
              <w:t>草丛</w:t>
            </w:r>
          </w:p>
          <w:p>
            <w:pPr>
              <w:adjustRightInd w:val="0"/>
              <w:snapToGrid w:val="0"/>
              <w:spacing w:line="360" w:lineRule="auto"/>
              <w:ind w:firstLine="480" w:firstLineChars="200"/>
              <w:rPr>
                <w:kern w:val="0"/>
                <w:sz w:val="24"/>
              </w:rPr>
            </w:pPr>
            <w:r>
              <w:rPr>
                <w:kern w:val="0"/>
                <w:sz w:val="24"/>
              </w:rPr>
              <w:t>山地草丛群落在评价区</w:t>
            </w:r>
            <w:r>
              <w:rPr>
                <w:rFonts w:hint="eastAsia"/>
                <w:kern w:val="0"/>
                <w:sz w:val="24"/>
              </w:rPr>
              <w:t>广泛</w:t>
            </w:r>
            <w:r>
              <w:rPr>
                <w:kern w:val="0"/>
                <w:sz w:val="24"/>
              </w:rPr>
              <w:t>分布。</w:t>
            </w:r>
          </w:p>
          <w:p>
            <w:pPr>
              <w:adjustRightInd w:val="0"/>
              <w:snapToGrid w:val="0"/>
              <w:spacing w:line="360" w:lineRule="auto"/>
              <w:ind w:firstLine="480" w:firstLineChars="200"/>
              <w:rPr>
                <w:kern w:val="0"/>
                <w:sz w:val="24"/>
              </w:rPr>
            </w:pPr>
            <w:r>
              <w:rPr>
                <w:kern w:val="0"/>
                <w:sz w:val="24"/>
              </w:rPr>
              <w:t>●蕨草群系（Form.</w:t>
            </w:r>
            <w:r>
              <w:rPr>
                <w:i/>
                <w:kern w:val="0"/>
                <w:sz w:val="24"/>
              </w:rPr>
              <w:t>Dicranopteris pedata</w:t>
            </w:r>
            <w:r>
              <w:rPr>
                <w:kern w:val="0"/>
                <w:sz w:val="24"/>
              </w:rPr>
              <w:t>）</w:t>
            </w:r>
          </w:p>
          <w:p>
            <w:pPr>
              <w:adjustRightInd w:val="0"/>
              <w:snapToGrid w:val="0"/>
              <w:spacing w:line="360" w:lineRule="auto"/>
              <w:ind w:firstLine="480" w:firstLineChars="200"/>
              <w:rPr>
                <w:kern w:val="0"/>
                <w:sz w:val="24"/>
              </w:rPr>
            </w:pPr>
            <w:r>
              <w:rPr>
                <w:kern w:val="0"/>
                <w:sz w:val="24"/>
              </w:rPr>
              <w:t>多呈散生零星分布，多为荒地弃耕发展而来的类型。群落外貌较整齐，生长均匀。盖度一般在50%，最大可达90%。草丛可分为两层，第一亚高层高70~100cm，以蕨和禾本科种类为主。以下为第二亚层，多为双子叶植物。蕨常在草丛中占绝对优势，盖度40~70%，草丛中常见的禾本科植物有白茅、野古草、黄背草、芒，其它杂草有香青、蕺菜、风轮菜、蓼、打破碗碗花、东方草莓和蛇莓等。评价范围</w:t>
            </w:r>
            <w:r>
              <w:rPr>
                <w:rFonts w:hint="eastAsia"/>
                <w:kern w:val="0"/>
                <w:sz w:val="24"/>
              </w:rPr>
              <w:t>道路两侧</w:t>
            </w:r>
            <w:r>
              <w:rPr>
                <w:kern w:val="0"/>
                <w:sz w:val="24"/>
              </w:rPr>
              <w:t>较为广泛。</w:t>
            </w:r>
          </w:p>
          <w:p>
            <w:pPr>
              <w:adjustRightInd w:val="0"/>
              <w:snapToGrid w:val="0"/>
              <w:spacing w:line="360" w:lineRule="auto"/>
              <w:ind w:firstLine="480" w:firstLineChars="200"/>
              <w:rPr>
                <w:kern w:val="0"/>
                <w:sz w:val="24"/>
              </w:rPr>
            </w:pPr>
            <w:r>
              <w:rPr>
                <w:kern w:val="0"/>
                <w:sz w:val="24"/>
              </w:rPr>
              <w:t>●五节芒群系（Form.</w:t>
            </w:r>
            <w:r>
              <w:rPr>
                <w:i/>
                <w:kern w:val="0"/>
                <w:sz w:val="24"/>
              </w:rPr>
              <w:t>Miscanthus floridulus</w:t>
            </w:r>
            <w:r>
              <w:rPr>
                <w:kern w:val="0"/>
                <w:sz w:val="24"/>
              </w:rPr>
              <w:t>）</w:t>
            </w:r>
          </w:p>
          <w:p>
            <w:pPr>
              <w:adjustRightInd w:val="0"/>
              <w:snapToGrid w:val="0"/>
              <w:spacing w:line="360" w:lineRule="auto"/>
              <w:ind w:firstLine="480" w:firstLineChars="200"/>
              <w:rPr>
                <w:kern w:val="0"/>
                <w:sz w:val="24"/>
              </w:rPr>
            </w:pPr>
            <w:r>
              <w:rPr>
                <w:kern w:val="0"/>
                <w:sz w:val="24"/>
              </w:rPr>
              <w:t>此类灌草丛植被是评价区内常见的植被类型，广泛分布各地荒坡，群落发育于丘陵山地的酸性紫色土山坡，由于人为活动或山火的频繁干扰而形成。群落总覆盖度多在50～90%，部分地段可达95%以上。灌草丛的优势种是五节芒，常常背景化，其叶层高度一般为120cm左右，生殖层高度为180～220cm，此外，群落中常见有荩草、狗尾草、青蒿以及豆科、菊科草本，其叶层高度一般在40～50cm之间。此外，在群落中偶有灌木稀疏生长，如楤木、烟管荚蒾等，从而构成典型的有少数灌木混生的草本植物群落—灌草丛。评价范围内广泛分布。</w:t>
            </w:r>
          </w:p>
          <w:p>
            <w:pPr>
              <w:adjustRightInd w:val="0"/>
              <w:snapToGrid w:val="0"/>
              <w:spacing w:line="360" w:lineRule="auto"/>
              <w:ind w:firstLine="480" w:firstLineChars="200"/>
              <w:rPr>
                <w:kern w:val="0"/>
                <w:sz w:val="24"/>
              </w:rPr>
            </w:pPr>
            <w:r>
              <w:rPr>
                <w:kern w:val="0"/>
                <w:sz w:val="24"/>
              </w:rPr>
              <w:t>●</w:t>
            </w:r>
            <w:r>
              <w:rPr>
                <w:rFonts w:hint="eastAsia"/>
                <w:kern w:val="0"/>
                <w:sz w:val="24"/>
              </w:rPr>
              <w:t>白茅群系（</w:t>
            </w:r>
            <w:r>
              <w:rPr>
                <w:iCs/>
                <w:kern w:val="0"/>
                <w:sz w:val="24"/>
              </w:rPr>
              <w:t>Form.</w:t>
            </w:r>
            <w:r>
              <w:rPr>
                <w:kern w:val="0"/>
                <w:sz w:val="24"/>
              </w:rPr>
              <w:t xml:space="preserve"> </w:t>
            </w:r>
            <w:r>
              <w:rPr>
                <w:i/>
                <w:kern w:val="0"/>
                <w:sz w:val="24"/>
              </w:rPr>
              <w:t>Imperata cylindrica</w:t>
            </w:r>
            <w:r>
              <w:rPr>
                <w:rFonts w:hint="eastAsia"/>
                <w:kern w:val="0"/>
                <w:sz w:val="24"/>
              </w:rPr>
              <w:t>）</w:t>
            </w:r>
          </w:p>
          <w:p>
            <w:pPr>
              <w:adjustRightInd w:val="0"/>
              <w:snapToGrid w:val="0"/>
              <w:spacing w:line="360" w:lineRule="auto"/>
              <w:ind w:firstLine="480" w:firstLineChars="200"/>
              <w:rPr>
                <w:kern w:val="0"/>
                <w:sz w:val="24"/>
              </w:rPr>
            </w:pPr>
            <w:r>
              <w:rPr>
                <w:rFonts w:hint="eastAsia"/>
                <w:kern w:val="0"/>
                <w:sz w:val="24"/>
              </w:rPr>
              <w:t>广泛分布于丘陵山坡和河谷斜坡地带，各地都比较零星小块。白茅占草丛的主要优势，样地盖度为60%，株高0.4～0.6m。群落组成种类还有禾本科的野古草、狗尾草等，群落结构简单。</w:t>
            </w:r>
          </w:p>
          <w:p>
            <w:pPr>
              <w:adjustRightInd w:val="0"/>
              <w:snapToGrid w:val="0"/>
              <w:spacing w:line="360" w:lineRule="auto"/>
              <w:ind w:firstLine="480" w:firstLineChars="200"/>
              <w:rPr>
                <w:bCs/>
                <w:kern w:val="0"/>
                <w:sz w:val="24"/>
              </w:rPr>
            </w:pPr>
            <w:r>
              <w:rPr>
                <w:rFonts w:hint="eastAsia" w:ascii="宋体" w:hAnsi="宋体" w:cs="宋体"/>
                <w:bCs/>
                <w:kern w:val="0"/>
                <w:sz w:val="24"/>
              </w:rPr>
              <w:t>⑦</w:t>
            </w:r>
            <w:r>
              <w:rPr>
                <w:bCs/>
                <w:kern w:val="0"/>
                <w:sz w:val="24"/>
              </w:rPr>
              <w:t>农田植被</w:t>
            </w:r>
          </w:p>
          <w:p>
            <w:pPr>
              <w:adjustRightInd w:val="0"/>
              <w:snapToGrid w:val="0"/>
              <w:spacing w:line="360" w:lineRule="auto"/>
              <w:ind w:firstLine="480" w:firstLineChars="200"/>
              <w:rPr>
                <w:kern w:val="0"/>
                <w:sz w:val="24"/>
              </w:rPr>
            </w:pPr>
            <w:r>
              <w:rPr>
                <w:rFonts w:hint="eastAsia"/>
                <w:kern w:val="0"/>
                <w:sz w:val="24"/>
              </w:rPr>
              <w:t>区域农田属草本类型蔬菜作物型、旱地作物亚型，本组合型广泛分布于亚热带范围内，对灌溉要求不是很严格，本地组成蔬菜作物的建群种，有白菜、卷心菜、花椰菜、芥菜等白菜类，大头菜、萝卜、胡萝卜、洋葱、蒜、姜等根茎类、鳞茎类蔬菜，韭菜、葱、蒜、苋菜、芹菜、菠菜、莴笋等绿叶蔬菜，马铃薯、芋头等薯类，茄子、辣椒等茄果类，黄瓜、菜瓜、冬瓜、南瓜、葫芦、苦瓜、丝瓜等瓜类，豇豆、豌豆、蚕豆、大豆、菜豆等豆类，以及花生、油菜等油料作物。</w:t>
            </w:r>
          </w:p>
          <w:p>
            <w:pPr>
              <w:adjustRightInd w:val="0"/>
              <w:snapToGrid w:val="0"/>
              <w:spacing w:line="360" w:lineRule="auto"/>
              <w:ind w:firstLine="482" w:firstLineChars="200"/>
              <w:rPr>
                <w:b/>
                <w:kern w:val="0"/>
                <w:sz w:val="24"/>
              </w:rPr>
            </w:pPr>
            <w:r>
              <w:rPr>
                <w:b/>
                <w:kern w:val="0"/>
                <w:sz w:val="24"/>
              </w:rPr>
              <w:t>7）保护植物和古树名木</w:t>
            </w:r>
          </w:p>
          <w:p>
            <w:pPr>
              <w:adjustRightInd w:val="0"/>
              <w:snapToGrid w:val="0"/>
              <w:spacing w:line="360" w:lineRule="auto"/>
              <w:ind w:firstLine="480" w:firstLineChars="200"/>
              <w:rPr>
                <w:kern w:val="0"/>
                <w:sz w:val="24"/>
              </w:rPr>
            </w:pPr>
            <w:r>
              <w:rPr>
                <w:rFonts w:hint="eastAsia"/>
                <w:kern w:val="0"/>
                <w:sz w:val="24"/>
              </w:rPr>
              <w:t>通过现场调查，并对照《国家重点保护野生植物名录》（国家林业和草原局 农业农村部公告2021年第15号）、《重庆市重点保护野生植物名录》（渝林规范〔2023〕2号）、《中国生物多样性红色名录-高等植物卷（2020）》，项目占地范围及生态评价范围内未发现国家及重庆重点保护野生植物，也未见极危、濒危及易危野生物种；经走访调查，并查询项目区域古树名木名录，项目占地范围及生态评价范围内也无挂牌的古树名木，见附件11</w:t>
            </w:r>
            <w:r>
              <w:rPr>
                <w:kern w:val="0"/>
                <w:sz w:val="24"/>
              </w:rPr>
              <w:t>。</w:t>
            </w:r>
          </w:p>
          <w:p>
            <w:pPr>
              <w:adjustRightInd w:val="0"/>
              <w:snapToGrid w:val="0"/>
              <w:spacing w:line="360" w:lineRule="auto"/>
              <w:ind w:firstLine="482" w:firstLineChars="200"/>
              <w:rPr>
                <w:b/>
                <w:kern w:val="0"/>
                <w:sz w:val="24"/>
              </w:rPr>
            </w:pPr>
            <w:r>
              <w:rPr>
                <w:b/>
                <w:kern w:val="0"/>
                <w:sz w:val="24"/>
              </w:rPr>
              <w:t>8）占地范围内的生物量估算</w:t>
            </w:r>
          </w:p>
          <w:p>
            <w:pPr>
              <w:adjustRightInd w:val="0"/>
              <w:snapToGrid w:val="0"/>
              <w:spacing w:line="360" w:lineRule="auto"/>
              <w:ind w:firstLine="480" w:firstLineChars="200"/>
              <w:rPr>
                <w:kern w:val="0"/>
                <w:sz w:val="24"/>
              </w:rPr>
            </w:pPr>
            <w:r>
              <w:rPr>
                <w:rFonts w:hint="eastAsia"/>
                <w:kern w:val="0"/>
                <w:sz w:val="24"/>
              </w:rPr>
              <w:t>乔木林</w:t>
            </w:r>
            <w:r>
              <w:rPr>
                <w:kern w:val="0"/>
                <w:sz w:val="24"/>
              </w:rPr>
              <w:t>和</w:t>
            </w:r>
            <w:r>
              <w:rPr>
                <w:rFonts w:hint="eastAsia"/>
                <w:kern w:val="0"/>
                <w:sz w:val="24"/>
              </w:rPr>
              <w:t>灌草丛</w:t>
            </w:r>
            <w:r>
              <w:rPr>
                <w:kern w:val="0"/>
                <w:sz w:val="24"/>
              </w:rPr>
              <w:t>的生物量等于其地上部分和地下部分生物量之和，根据《重庆市深林植被生物量空间特征分布研究》中对重庆市境内林地、草地生物量的抽样调查数据可知，在市内海拔1</w:t>
            </w:r>
            <w:r>
              <w:rPr>
                <w:rFonts w:hint="eastAsia"/>
                <w:kern w:val="0"/>
                <w:sz w:val="24"/>
              </w:rPr>
              <w:t>0</w:t>
            </w:r>
            <w:r>
              <w:rPr>
                <w:kern w:val="0"/>
                <w:sz w:val="24"/>
              </w:rPr>
              <w:t>00m左右的地区</w:t>
            </w:r>
            <w:r>
              <w:rPr>
                <w:rFonts w:hint="eastAsia"/>
                <w:kern w:val="0"/>
                <w:sz w:val="24"/>
              </w:rPr>
              <w:t>乔木林、灌草丛、草丛和农田植被平均生物量分别按89.21t/hm</w:t>
            </w:r>
            <w:r>
              <w:rPr>
                <w:rFonts w:hint="eastAsia"/>
                <w:kern w:val="0"/>
                <w:sz w:val="24"/>
                <w:vertAlign w:val="superscript"/>
              </w:rPr>
              <w:t>2</w:t>
            </w:r>
            <w:r>
              <w:rPr>
                <w:rFonts w:hint="eastAsia"/>
                <w:kern w:val="0"/>
                <w:sz w:val="24"/>
              </w:rPr>
              <w:t>、</w:t>
            </w:r>
            <w:r>
              <w:rPr>
                <w:kern w:val="0"/>
                <w:sz w:val="24"/>
              </w:rPr>
              <w:t>25.98</w:t>
            </w:r>
            <w:r>
              <w:rPr>
                <w:rFonts w:hint="eastAsia"/>
                <w:kern w:val="0"/>
                <w:sz w:val="24"/>
              </w:rPr>
              <w:t>t/hm</w:t>
            </w:r>
            <w:r>
              <w:rPr>
                <w:rFonts w:hint="eastAsia"/>
                <w:kern w:val="0"/>
                <w:sz w:val="24"/>
                <w:vertAlign w:val="superscript"/>
              </w:rPr>
              <w:t>2</w:t>
            </w:r>
            <w:r>
              <w:rPr>
                <w:rFonts w:hint="eastAsia"/>
                <w:kern w:val="0"/>
                <w:sz w:val="24"/>
              </w:rPr>
              <w:t>、</w:t>
            </w:r>
            <w:r>
              <w:rPr>
                <w:kern w:val="0"/>
                <w:sz w:val="24"/>
              </w:rPr>
              <w:t>5.37</w:t>
            </w:r>
            <w:r>
              <w:rPr>
                <w:rFonts w:hint="eastAsia"/>
                <w:kern w:val="0"/>
                <w:sz w:val="24"/>
              </w:rPr>
              <w:t>t/hm</w:t>
            </w:r>
            <w:r>
              <w:rPr>
                <w:rFonts w:hint="eastAsia"/>
                <w:kern w:val="0"/>
                <w:sz w:val="24"/>
                <w:vertAlign w:val="superscript"/>
              </w:rPr>
              <w:t>2</w:t>
            </w:r>
            <w:r>
              <w:rPr>
                <w:rFonts w:hint="eastAsia"/>
                <w:kern w:val="0"/>
                <w:sz w:val="24"/>
              </w:rPr>
              <w:t>、10.37t/hm</w:t>
            </w:r>
            <w:r>
              <w:rPr>
                <w:rFonts w:hint="eastAsia"/>
                <w:kern w:val="0"/>
                <w:sz w:val="24"/>
                <w:vertAlign w:val="superscript"/>
              </w:rPr>
              <w:t>2</w:t>
            </w:r>
            <w:r>
              <w:rPr>
                <w:kern w:val="0"/>
                <w:sz w:val="24"/>
              </w:rPr>
              <w:t>。拟建项目</w:t>
            </w:r>
            <w:r>
              <w:rPr>
                <w:rFonts w:hint="eastAsia"/>
                <w:kern w:val="0"/>
                <w:sz w:val="24"/>
              </w:rPr>
              <w:t>生态评价范围及</w:t>
            </w:r>
            <w:r>
              <w:rPr>
                <w:kern w:val="0"/>
                <w:sz w:val="24"/>
              </w:rPr>
              <w:t>占地范围内生物量见表3-7</w:t>
            </w:r>
            <w:r>
              <w:rPr>
                <w:rFonts w:hint="eastAsia"/>
                <w:kern w:val="0"/>
                <w:sz w:val="24"/>
              </w:rPr>
              <w:t>、表3-8</w:t>
            </w:r>
            <w:r>
              <w:rPr>
                <w:kern w:val="0"/>
                <w:sz w:val="24"/>
              </w:rPr>
              <w:t>。</w:t>
            </w:r>
          </w:p>
          <w:p>
            <w:pPr>
              <w:adjustRightInd w:val="0"/>
              <w:snapToGrid w:val="0"/>
              <w:jc w:val="center"/>
              <w:rPr>
                <w:b/>
                <w:kern w:val="0"/>
                <w:sz w:val="24"/>
              </w:rPr>
            </w:pPr>
            <w:r>
              <w:rPr>
                <w:b/>
                <w:kern w:val="0"/>
                <w:sz w:val="24"/>
              </w:rPr>
              <w:t xml:space="preserve">表3-7  </w:t>
            </w:r>
            <w:r>
              <w:rPr>
                <w:rFonts w:hint="eastAsia"/>
                <w:b/>
                <w:kern w:val="0"/>
                <w:sz w:val="24"/>
              </w:rPr>
              <w:t>生态评价</w:t>
            </w:r>
            <w:r>
              <w:rPr>
                <w:b/>
                <w:kern w:val="0"/>
                <w:sz w:val="24"/>
              </w:rPr>
              <w:t>范围内生物量统计一览表</w:t>
            </w:r>
          </w:p>
          <w:tbl>
            <w:tblPr>
              <w:tblStyle w:val="15"/>
              <w:tblW w:w="903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3"/>
              <w:gridCol w:w="2858"/>
              <w:gridCol w:w="2111"/>
              <w:gridCol w:w="216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903" w:type="dxa"/>
                  <w:vAlign w:val="center"/>
                </w:tcPr>
                <w:p>
                  <w:pPr>
                    <w:pStyle w:val="42"/>
                  </w:pPr>
                  <w:r>
                    <w:t>植被类型</w:t>
                  </w:r>
                </w:p>
              </w:tc>
              <w:tc>
                <w:tcPr>
                  <w:tcW w:w="2858" w:type="dxa"/>
                  <w:vAlign w:val="center"/>
                </w:tcPr>
                <w:p>
                  <w:pPr>
                    <w:pStyle w:val="42"/>
                  </w:pPr>
                  <w:r>
                    <w:t>占地范围内植被面积</w:t>
                  </w:r>
                </w:p>
                <w:p>
                  <w:pPr>
                    <w:pStyle w:val="42"/>
                  </w:pPr>
                  <w:r>
                    <w:t>（hm</w:t>
                  </w:r>
                  <w:r>
                    <w:rPr>
                      <w:vertAlign w:val="superscript"/>
                    </w:rPr>
                    <w:t>2</w:t>
                  </w:r>
                  <w:r>
                    <w:t>）</w:t>
                  </w:r>
                </w:p>
              </w:tc>
              <w:tc>
                <w:tcPr>
                  <w:tcW w:w="2111" w:type="dxa"/>
                  <w:vAlign w:val="center"/>
                </w:tcPr>
                <w:p>
                  <w:pPr>
                    <w:pStyle w:val="42"/>
                  </w:pPr>
                  <w:r>
                    <w:t>平均生物量</w:t>
                  </w:r>
                </w:p>
                <w:p>
                  <w:pPr>
                    <w:pStyle w:val="42"/>
                  </w:pPr>
                  <w:r>
                    <w:t>（t/hm</w:t>
                  </w:r>
                  <w:r>
                    <w:rPr>
                      <w:vertAlign w:val="superscript"/>
                    </w:rPr>
                    <w:t>2</w:t>
                  </w:r>
                  <w:r>
                    <w:t>）</w:t>
                  </w:r>
                </w:p>
              </w:tc>
              <w:tc>
                <w:tcPr>
                  <w:tcW w:w="2166" w:type="dxa"/>
                  <w:vAlign w:val="center"/>
                </w:tcPr>
                <w:p>
                  <w:pPr>
                    <w:pStyle w:val="42"/>
                  </w:pPr>
                  <w:r>
                    <w:t>评价区现有生物量</w:t>
                  </w:r>
                </w:p>
                <w:p>
                  <w:pPr>
                    <w:pStyle w:val="42"/>
                  </w:pPr>
                  <w:r>
                    <w:t>（t）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903" w:type="dxa"/>
                  <w:vAlign w:val="center"/>
                </w:tcPr>
                <w:p>
                  <w:pPr>
                    <w:pStyle w:val="42"/>
                  </w:pPr>
                  <w:r>
                    <w:rPr>
                      <w:rFonts w:hint="eastAsia"/>
                    </w:rPr>
                    <w:t>乔木林</w:t>
                  </w:r>
                </w:p>
              </w:tc>
              <w:tc>
                <w:tcPr>
                  <w:tcW w:w="2858" w:type="dxa"/>
                  <w:vAlign w:val="center"/>
                </w:tcPr>
                <w:p>
                  <w:pPr>
                    <w:pStyle w:val="42"/>
                  </w:pPr>
                  <w:r>
                    <w:rPr>
                      <w:rFonts w:eastAsia="等线"/>
                      <w:szCs w:val="21"/>
                    </w:rPr>
                    <w:t>81.243</w:t>
                  </w:r>
                </w:p>
              </w:tc>
              <w:tc>
                <w:tcPr>
                  <w:tcW w:w="2111" w:type="dxa"/>
                  <w:vAlign w:val="center"/>
                </w:tcPr>
                <w:p>
                  <w:pPr>
                    <w:pStyle w:val="42"/>
                  </w:pPr>
                  <w:r>
                    <w:rPr>
                      <w:rFonts w:eastAsia="等线"/>
                      <w:szCs w:val="21"/>
                    </w:rPr>
                    <w:t>89.21</w:t>
                  </w:r>
                </w:p>
              </w:tc>
              <w:tc>
                <w:tcPr>
                  <w:tcW w:w="2166" w:type="dxa"/>
                  <w:vAlign w:val="center"/>
                </w:tcPr>
                <w:p>
                  <w:pPr>
                    <w:widowControl/>
                    <w:jc w:val="center"/>
                    <w:rPr>
                      <w:rFonts w:eastAsia="等线"/>
                      <w:kern w:val="0"/>
                      <w:szCs w:val="21"/>
                    </w:rPr>
                  </w:pPr>
                  <w:r>
                    <w:rPr>
                      <w:rFonts w:eastAsia="等线"/>
                      <w:szCs w:val="21"/>
                    </w:rPr>
                    <w:t>7247.688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903" w:type="dxa"/>
                  <w:vAlign w:val="center"/>
                </w:tcPr>
                <w:p>
                  <w:pPr>
                    <w:pStyle w:val="42"/>
                  </w:pPr>
                  <w:r>
                    <w:t>灌草丛</w:t>
                  </w:r>
                </w:p>
              </w:tc>
              <w:tc>
                <w:tcPr>
                  <w:tcW w:w="2858" w:type="dxa"/>
                  <w:vAlign w:val="center"/>
                </w:tcPr>
                <w:p>
                  <w:pPr>
                    <w:pStyle w:val="42"/>
                  </w:pPr>
                  <w:r>
                    <w:rPr>
                      <w:rFonts w:eastAsia="等线"/>
                      <w:szCs w:val="21"/>
                    </w:rPr>
                    <w:t>12.6964</w:t>
                  </w:r>
                </w:p>
              </w:tc>
              <w:tc>
                <w:tcPr>
                  <w:tcW w:w="2111" w:type="dxa"/>
                  <w:vAlign w:val="center"/>
                </w:tcPr>
                <w:p>
                  <w:pPr>
                    <w:pStyle w:val="42"/>
                  </w:pPr>
                  <w:r>
                    <w:rPr>
                      <w:rFonts w:eastAsia="等线"/>
                      <w:szCs w:val="21"/>
                    </w:rPr>
                    <w:t>25.98</w:t>
                  </w:r>
                </w:p>
              </w:tc>
              <w:tc>
                <w:tcPr>
                  <w:tcW w:w="2166" w:type="dxa"/>
                  <w:vAlign w:val="center"/>
                </w:tcPr>
                <w:p>
                  <w:pPr>
                    <w:jc w:val="center"/>
                    <w:rPr>
                      <w:rFonts w:eastAsia="等线"/>
                      <w:szCs w:val="21"/>
                    </w:rPr>
                  </w:pPr>
                  <w:r>
                    <w:rPr>
                      <w:rFonts w:eastAsia="等线"/>
                      <w:szCs w:val="21"/>
                    </w:rPr>
                    <w:t>329.852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903" w:type="dxa"/>
                  <w:vAlign w:val="center"/>
                </w:tcPr>
                <w:p>
                  <w:pPr>
                    <w:pStyle w:val="42"/>
                  </w:pPr>
                  <w:r>
                    <w:rPr>
                      <w:rFonts w:hint="eastAsia"/>
                    </w:rPr>
                    <w:t>草丛</w:t>
                  </w:r>
                </w:p>
              </w:tc>
              <w:tc>
                <w:tcPr>
                  <w:tcW w:w="2858" w:type="dxa"/>
                  <w:vAlign w:val="center"/>
                </w:tcPr>
                <w:p>
                  <w:pPr>
                    <w:pStyle w:val="42"/>
                  </w:pPr>
                  <w:r>
                    <w:rPr>
                      <w:rFonts w:eastAsia="等线"/>
                      <w:szCs w:val="21"/>
                    </w:rPr>
                    <w:t>0.1986</w:t>
                  </w:r>
                </w:p>
              </w:tc>
              <w:tc>
                <w:tcPr>
                  <w:tcW w:w="2111" w:type="dxa"/>
                  <w:vAlign w:val="center"/>
                </w:tcPr>
                <w:p>
                  <w:pPr>
                    <w:pStyle w:val="42"/>
                  </w:pPr>
                  <w:r>
                    <w:rPr>
                      <w:rFonts w:eastAsia="等线"/>
                      <w:szCs w:val="21"/>
                    </w:rPr>
                    <w:t>5.37</w:t>
                  </w:r>
                </w:p>
              </w:tc>
              <w:tc>
                <w:tcPr>
                  <w:tcW w:w="2166" w:type="dxa"/>
                  <w:vAlign w:val="center"/>
                </w:tcPr>
                <w:p>
                  <w:pPr>
                    <w:jc w:val="center"/>
                    <w:rPr>
                      <w:rFonts w:eastAsia="等线"/>
                      <w:szCs w:val="21"/>
                    </w:rPr>
                  </w:pPr>
                  <w:r>
                    <w:rPr>
                      <w:rFonts w:eastAsia="等线"/>
                      <w:szCs w:val="21"/>
                    </w:rPr>
                    <w:t>1.066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903" w:type="dxa"/>
                  <w:vAlign w:val="center"/>
                </w:tcPr>
                <w:p>
                  <w:pPr>
                    <w:pStyle w:val="42"/>
                  </w:pPr>
                  <w:r>
                    <w:t>农田植被</w:t>
                  </w:r>
                </w:p>
              </w:tc>
              <w:tc>
                <w:tcPr>
                  <w:tcW w:w="2858" w:type="dxa"/>
                  <w:vAlign w:val="center"/>
                </w:tcPr>
                <w:p>
                  <w:pPr>
                    <w:pStyle w:val="42"/>
                  </w:pPr>
                  <w:r>
                    <w:rPr>
                      <w:rFonts w:eastAsia="等线"/>
                      <w:szCs w:val="21"/>
                    </w:rPr>
                    <w:t>29.762</w:t>
                  </w:r>
                </w:p>
              </w:tc>
              <w:tc>
                <w:tcPr>
                  <w:tcW w:w="2111" w:type="dxa"/>
                  <w:vAlign w:val="center"/>
                </w:tcPr>
                <w:p>
                  <w:pPr>
                    <w:pStyle w:val="42"/>
                  </w:pPr>
                  <w:r>
                    <w:rPr>
                      <w:rFonts w:eastAsia="等线"/>
                      <w:szCs w:val="21"/>
                    </w:rPr>
                    <w:t>10.37</w:t>
                  </w:r>
                </w:p>
              </w:tc>
              <w:tc>
                <w:tcPr>
                  <w:tcW w:w="2166" w:type="dxa"/>
                  <w:vAlign w:val="center"/>
                </w:tcPr>
                <w:p>
                  <w:pPr>
                    <w:jc w:val="center"/>
                    <w:rPr>
                      <w:rFonts w:eastAsia="等线"/>
                      <w:szCs w:val="21"/>
                    </w:rPr>
                  </w:pPr>
                  <w:r>
                    <w:rPr>
                      <w:rFonts w:eastAsia="等线"/>
                      <w:szCs w:val="21"/>
                    </w:rPr>
                    <w:t>308.632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903" w:type="dxa"/>
                  <w:vAlign w:val="center"/>
                </w:tcPr>
                <w:p>
                  <w:pPr>
                    <w:pStyle w:val="42"/>
                  </w:pPr>
                  <w:r>
                    <w:t>合计</w:t>
                  </w:r>
                </w:p>
              </w:tc>
              <w:tc>
                <w:tcPr>
                  <w:tcW w:w="2858" w:type="dxa"/>
                  <w:vAlign w:val="center"/>
                </w:tcPr>
                <w:p>
                  <w:pPr>
                    <w:pStyle w:val="42"/>
                  </w:pPr>
                  <w:r>
                    <w:rPr>
                      <w:rFonts w:eastAsia="等线"/>
                      <w:szCs w:val="21"/>
                    </w:rPr>
                    <w:t>123.9</w:t>
                  </w:r>
                </w:p>
              </w:tc>
              <w:tc>
                <w:tcPr>
                  <w:tcW w:w="2111" w:type="dxa"/>
                  <w:vAlign w:val="center"/>
                </w:tcPr>
                <w:p>
                  <w:pPr>
                    <w:pStyle w:val="42"/>
                  </w:pPr>
                  <w:r>
                    <w:rPr>
                      <w:rFonts w:eastAsia="等线"/>
                      <w:szCs w:val="21"/>
                    </w:rPr>
                    <w:t>/</w:t>
                  </w:r>
                </w:p>
              </w:tc>
              <w:tc>
                <w:tcPr>
                  <w:tcW w:w="2166" w:type="dxa"/>
                  <w:vAlign w:val="center"/>
                </w:tcPr>
                <w:p>
                  <w:pPr>
                    <w:pStyle w:val="42"/>
                  </w:pPr>
                  <w:r>
                    <w:t>7887.238</w:t>
                  </w:r>
                </w:p>
              </w:tc>
            </w:tr>
          </w:tbl>
          <w:p>
            <w:pPr>
              <w:adjustRightInd w:val="0"/>
              <w:snapToGrid w:val="0"/>
              <w:jc w:val="center"/>
              <w:rPr>
                <w:b/>
                <w:kern w:val="0"/>
                <w:sz w:val="24"/>
              </w:rPr>
            </w:pPr>
            <w:r>
              <w:rPr>
                <w:b/>
                <w:kern w:val="0"/>
                <w:sz w:val="24"/>
              </w:rPr>
              <w:t>表3-</w:t>
            </w:r>
            <w:r>
              <w:rPr>
                <w:rFonts w:hint="eastAsia"/>
                <w:b/>
                <w:kern w:val="0"/>
                <w:sz w:val="24"/>
              </w:rPr>
              <w:t>8</w:t>
            </w:r>
            <w:r>
              <w:rPr>
                <w:b/>
                <w:kern w:val="0"/>
                <w:sz w:val="24"/>
              </w:rPr>
              <w:t xml:space="preserve">  项目占地范围内生物量统计一览表</w:t>
            </w:r>
          </w:p>
          <w:tbl>
            <w:tblPr>
              <w:tblStyle w:val="15"/>
              <w:tblW w:w="903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3"/>
              <w:gridCol w:w="2858"/>
              <w:gridCol w:w="2111"/>
              <w:gridCol w:w="216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903" w:type="dxa"/>
                  <w:vAlign w:val="center"/>
                </w:tcPr>
                <w:p>
                  <w:pPr>
                    <w:pStyle w:val="42"/>
                  </w:pPr>
                  <w:r>
                    <w:t>植被类型</w:t>
                  </w:r>
                </w:p>
              </w:tc>
              <w:tc>
                <w:tcPr>
                  <w:tcW w:w="2858" w:type="dxa"/>
                  <w:vAlign w:val="center"/>
                </w:tcPr>
                <w:p>
                  <w:pPr>
                    <w:pStyle w:val="42"/>
                  </w:pPr>
                  <w:r>
                    <w:t>占地范围内植被面积</w:t>
                  </w:r>
                </w:p>
                <w:p>
                  <w:pPr>
                    <w:pStyle w:val="42"/>
                  </w:pPr>
                  <w:r>
                    <w:t>（hm</w:t>
                  </w:r>
                  <w:r>
                    <w:rPr>
                      <w:vertAlign w:val="superscript"/>
                    </w:rPr>
                    <w:t>2</w:t>
                  </w:r>
                  <w:r>
                    <w:t>）</w:t>
                  </w:r>
                </w:p>
              </w:tc>
              <w:tc>
                <w:tcPr>
                  <w:tcW w:w="2111" w:type="dxa"/>
                  <w:vAlign w:val="center"/>
                </w:tcPr>
                <w:p>
                  <w:pPr>
                    <w:pStyle w:val="42"/>
                  </w:pPr>
                  <w:r>
                    <w:t>平均生物量</w:t>
                  </w:r>
                </w:p>
                <w:p>
                  <w:pPr>
                    <w:pStyle w:val="42"/>
                  </w:pPr>
                  <w:r>
                    <w:t>（t/hm</w:t>
                  </w:r>
                  <w:r>
                    <w:rPr>
                      <w:vertAlign w:val="superscript"/>
                    </w:rPr>
                    <w:t>2</w:t>
                  </w:r>
                  <w:r>
                    <w:t>）</w:t>
                  </w:r>
                </w:p>
              </w:tc>
              <w:tc>
                <w:tcPr>
                  <w:tcW w:w="2166" w:type="dxa"/>
                  <w:vAlign w:val="center"/>
                </w:tcPr>
                <w:p>
                  <w:pPr>
                    <w:pStyle w:val="42"/>
                  </w:pPr>
                  <w:r>
                    <w:rPr>
                      <w:rFonts w:hint="eastAsia"/>
                    </w:rPr>
                    <w:t>项目占地范围</w:t>
                  </w:r>
                  <w:r>
                    <w:t>现有生物量（t）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903" w:type="dxa"/>
                  <w:vAlign w:val="center"/>
                </w:tcPr>
                <w:p>
                  <w:pPr>
                    <w:pStyle w:val="42"/>
                  </w:pPr>
                  <w:r>
                    <w:rPr>
                      <w:rFonts w:hint="eastAsia"/>
                    </w:rPr>
                    <w:t>乔木林</w:t>
                  </w:r>
                </w:p>
              </w:tc>
              <w:tc>
                <w:tcPr>
                  <w:tcW w:w="2858" w:type="dxa"/>
                  <w:vAlign w:val="center"/>
                </w:tcPr>
                <w:p>
                  <w:pPr>
                    <w:pStyle w:val="42"/>
                    <w:rPr>
                      <w:rFonts w:eastAsia="等线"/>
                    </w:rPr>
                  </w:pPr>
                  <w:r>
                    <w:t>1.</w:t>
                  </w:r>
                  <w:r>
                    <w:rPr>
                      <w:rFonts w:hint="eastAsia"/>
                    </w:rPr>
                    <w:t>6091</w:t>
                  </w:r>
                </w:p>
              </w:tc>
              <w:tc>
                <w:tcPr>
                  <w:tcW w:w="2111" w:type="dxa"/>
                  <w:vAlign w:val="center"/>
                </w:tcPr>
                <w:p>
                  <w:pPr>
                    <w:pStyle w:val="42"/>
                  </w:pPr>
                  <w:r>
                    <w:rPr>
                      <w:rFonts w:eastAsia="等线"/>
                      <w:szCs w:val="21"/>
                    </w:rPr>
                    <w:t>89.21</w:t>
                  </w:r>
                </w:p>
              </w:tc>
              <w:tc>
                <w:tcPr>
                  <w:tcW w:w="2166" w:type="dxa"/>
                  <w:vAlign w:val="center"/>
                </w:tcPr>
                <w:p>
                  <w:pPr>
                    <w:widowControl/>
                    <w:jc w:val="center"/>
                    <w:rPr>
                      <w:rFonts w:eastAsia="等线"/>
                      <w:kern w:val="0"/>
                      <w:szCs w:val="21"/>
                    </w:rPr>
                  </w:pPr>
                  <w:r>
                    <w:rPr>
                      <w:rFonts w:hint="eastAsia" w:eastAsia="等线"/>
                      <w:szCs w:val="21"/>
                    </w:rPr>
                    <w:t>143.548</w:t>
                  </w:r>
                </w:p>
              </w:tc>
            </w:tr>
          </w:tbl>
          <w:p>
            <w:pPr>
              <w:adjustRightInd w:val="0"/>
              <w:snapToGrid w:val="0"/>
              <w:spacing w:line="360" w:lineRule="auto"/>
              <w:ind w:firstLine="480" w:firstLineChars="200"/>
              <w:rPr>
                <w:kern w:val="0"/>
                <w:sz w:val="24"/>
              </w:rPr>
            </w:pPr>
            <w:r>
              <w:rPr>
                <w:kern w:val="0"/>
                <w:sz w:val="24"/>
              </w:rPr>
              <w:t>由表3-7</w:t>
            </w:r>
            <w:r>
              <w:rPr>
                <w:rFonts w:hint="eastAsia"/>
                <w:kern w:val="0"/>
                <w:sz w:val="24"/>
              </w:rPr>
              <w:t>、表3-8</w:t>
            </w:r>
            <w:r>
              <w:rPr>
                <w:kern w:val="0"/>
                <w:sz w:val="24"/>
              </w:rPr>
              <w:t>可知，项目</w:t>
            </w:r>
            <w:r>
              <w:rPr>
                <w:rFonts w:hint="eastAsia"/>
                <w:kern w:val="0"/>
                <w:sz w:val="24"/>
              </w:rPr>
              <w:t>生态评价范围内、</w:t>
            </w:r>
            <w:r>
              <w:rPr>
                <w:kern w:val="0"/>
                <w:sz w:val="24"/>
              </w:rPr>
              <w:t>占地范围内现有生物量</w:t>
            </w:r>
            <w:r>
              <w:rPr>
                <w:rFonts w:hint="eastAsia"/>
                <w:kern w:val="0"/>
                <w:sz w:val="24"/>
              </w:rPr>
              <w:t>分别</w:t>
            </w:r>
            <w:r>
              <w:rPr>
                <w:kern w:val="0"/>
                <w:sz w:val="24"/>
              </w:rPr>
              <w:t>为7887.238</w:t>
            </w:r>
            <w:r>
              <w:rPr>
                <w:rFonts w:hint="eastAsia"/>
                <w:kern w:val="0"/>
                <w:sz w:val="24"/>
              </w:rPr>
              <w:t>t、</w:t>
            </w:r>
            <w:r>
              <w:rPr>
                <w:kern w:val="0"/>
                <w:sz w:val="24"/>
              </w:rPr>
              <w:t>143.548t，</w:t>
            </w:r>
            <w:r>
              <w:rPr>
                <w:rFonts w:hint="eastAsia"/>
                <w:kern w:val="0"/>
                <w:sz w:val="24"/>
              </w:rPr>
              <w:t>占地范围内现有生物量占比约为1.82%，占比极小。</w:t>
            </w:r>
          </w:p>
          <w:p>
            <w:pPr>
              <w:adjustRightInd w:val="0"/>
              <w:snapToGrid w:val="0"/>
              <w:spacing w:line="360" w:lineRule="auto"/>
              <w:ind w:firstLine="482" w:firstLineChars="200"/>
              <w:rPr>
                <w:b/>
                <w:kern w:val="0"/>
                <w:sz w:val="24"/>
              </w:rPr>
            </w:pPr>
            <w:r>
              <w:rPr>
                <w:b/>
                <w:kern w:val="0"/>
                <w:sz w:val="24"/>
              </w:rPr>
              <w:t>9）评价范围内植物资源综合结论</w:t>
            </w:r>
          </w:p>
          <w:p>
            <w:pPr>
              <w:adjustRightInd w:val="0"/>
              <w:snapToGrid w:val="0"/>
              <w:spacing w:line="360" w:lineRule="auto"/>
              <w:ind w:firstLine="480" w:firstLineChars="200"/>
              <w:rPr>
                <w:kern w:val="0"/>
                <w:sz w:val="24"/>
              </w:rPr>
            </w:pPr>
            <w:r>
              <w:rPr>
                <w:kern w:val="0"/>
                <w:sz w:val="24"/>
              </w:rPr>
              <w:t>根据调查分析，区域林地植被群落结构层次分化明显，可分成</w:t>
            </w:r>
            <w:r>
              <w:rPr>
                <w:rFonts w:hint="eastAsia"/>
                <w:kern w:val="0"/>
                <w:sz w:val="24"/>
              </w:rPr>
              <w:t>乔</w:t>
            </w:r>
            <w:r>
              <w:rPr>
                <w:kern w:val="0"/>
                <w:sz w:val="24"/>
              </w:rPr>
              <w:t>木层、灌草丛、草本层</w:t>
            </w:r>
            <w:r>
              <w:rPr>
                <w:rFonts w:hint="eastAsia"/>
                <w:kern w:val="0"/>
                <w:sz w:val="24"/>
              </w:rPr>
              <w:t>，项目所在区域</w:t>
            </w:r>
            <w:r>
              <w:rPr>
                <w:kern w:val="0"/>
                <w:sz w:val="24"/>
              </w:rPr>
              <w:t>受到人为干扰</w:t>
            </w:r>
            <w:r>
              <w:rPr>
                <w:rFonts w:hint="eastAsia"/>
                <w:kern w:val="0"/>
                <w:sz w:val="24"/>
              </w:rPr>
              <w:t>比较</w:t>
            </w:r>
            <w:r>
              <w:rPr>
                <w:kern w:val="0"/>
                <w:sz w:val="24"/>
              </w:rPr>
              <w:t>严重，</w:t>
            </w:r>
            <w:r>
              <w:rPr>
                <w:rFonts w:hint="eastAsia"/>
                <w:kern w:val="0"/>
                <w:sz w:val="24"/>
              </w:rPr>
              <w:t>所生长的植被以人工林、</w:t>
            </w:r>
            <w:r>
              <w:rPr>
                <w:kern w:val="0"/>
                <w:sz w:val="24"/>
              </w:rPr>
              <w:t>半人工林为主</w:t>
            </w:r>
            <w:r>
              <w:rPr>
                <w:rFonts w:hint="eastAsia"/>
                <w:kern w:val="0"/>
                <w:sz w:val="24"/>
              </w:rPr>
              <w:t>，区域植被覆盖率较高，自然环境较好。</w:t>
            </w:r>
          </w:p>
          <w:p>
            <w:pPr>
              <w:adjustRightInd w:val="0"/>
              <w:snapToGrid w:val="0"/>
              <w:spacing w:line="360" w:lineRule="auto"/>
              <w:ind w:firstLine="482" w:firstLineChars="200"/>
              <w:rPr>
                <w:b/>
                <w:kern w:val="0"/>
                <w:sz w:val="24"/>
              </w:rPr>
            </w:pPr>
            <w:r>
              <w:rPr>
                <w:b/>
                <w:kern w:val="0"/>
                <w:sz w:val="24"/>
              </w:rPr>
              <w:t>10）动物分布现状</w:t>
            </w:r>
          </w:p>
          <w:p>
            <w:pPr>
              <w:adjustRightInd w:val="0"/>
              <w:snapToGrid w:val="0"/>
              <w:spacing w:line="360" w:lineRule="auto"/>
              <w:ind w:firstLine="480" w:firstLineChars="200"/>
              <w:rPr>
                <w:kern w:val="0"/>
                <w:sz w:val="24"/>
              </w:rPr>
            </w:pPr>
            <w:r>
              <w:rPr>
                <w:rFonts w:hint="eastAsia"/>
                <w:kern w:val="0"/>
                <w:sz w:val="24"/>
              </w:rPr>
              <w:t>由于人类生产活动频繁，对项目区干扰强烈，区域动物主要以家禽、家畜为主，家畜主要有猪、牛、羊、兔等，家畜采用圈养方式，养殖范围较广，区域农民均有养殖，评价区内无集约化规模养殖场。家禽主要有鸡、鸭、鹅等，多为当地农民散养，数量和规模不大。</w:t>
            </w:r>
          </w:p>
          <w:p>
            <w:pPr>
              <w:adjustRightInd w:val="0"/>
              <w:snapToGrid w:val="0"/>
              <w:spacing w:line="360" w:lineRule="auto"/>
              <w:ind w:firstLine="480" w:firstLineChars="200"/>
              <w:rPr>
                <w:kern w:val="0"/>
                <w:sz w:val="24"/>
              </w:rPr>
            </w:pPr>
            <w:r>
              <w:rPr>
                <w:rFonts w:hint="eastAsia"/>
                <w:kern w:val="0"/>
                <w:sz w:val="24"/>
              </w:rPr>
              <w:t>经调查访问，评价区多年未发现大型野生动物。</w:t>
            </w:r>
            <w:r>
              <w:rPr>
                <w:rFonts w:hint="eastAsia"/>
                <w:color w:val="0000FF"/>
                <w:kern w:val="0"/>
                <w:sz w:val="24"/>
              </w:rPr>
              <w:t>评价区常见鸟类有白鹡鸰、白头鹎、黄腰鹎、珠颈斑鸠、家燕、麻雀、山麻雀、小白鹭，</w:t>
            </w:r>
            <w:r>
              <w:rPr>
                <w:rFonts w:hint="eastAsia"/>
                <w:kern w:val="0"/>
                <w:sz w:val="24"/>
              </w:rPr>
              <w:t>分布较广，西南地区及全国均有分布，不属于评价区特有鸟类；</w:t>
            </w:r>
            <w:r>
              <w:rPr>
                <w:rFonts w:hint="eastAsia"/>
                <w:color w:val="0000FF"/>
                <w:kern w:val="0"/>
                <w:sz w:val="24"/>
              </w:rPr>
              <w:t>评价区两栖类主要有中华蟾蜍、饰纹姬蛙、沼蛙、黑斑侧褶蛙；兽类以鼠科为主，有褐家鼠、小家鼠；因多年捕捞，爬行类中少见蛇类，偶见赤链蛇，常见的爬行类为铜蜓蜥、北草蜥，多见于灌丛中。</w:t>
            </w:r>
          </w:p>
          <w:p>
            <w:pPr>
              <w:adjustRightInd w:val="0"/>
              <w:snapToGrid w:val="0"/>
              <w:spacing w:line="360" w:lineRule="auto"/>
              <w:ind w:firstLine="480" w:firstLineChars="200"/>
              <w:rPr>
                <w:kern w:val="0"/>
                <w:sz w:val="24"/>
              </w:rPr>
            </w:pPr>
            <w:r>
              <w:rPr>
                <w:rFonts w:hint="eastAsia"/>
                <w:kern w:val="0"/>
                <w:sz w:val="24"/>
              </w:rPr>
              <w:t>对照《国家重点保护野生动物名录》、《重庆市重点保护野生动物名录》，现状踏勘期间，未见重点保护野生动物分布。</w:t>
            </w:r>
          </w:p>
          <w:p>
            <w:pPr>
              <w:adjustRightInd w:val="0"/>
              <w:snapToGrid w:val="0"/>
              <w:spacing w:line="360" w:lineRule="auto"/>
              <w:ind w:firstLine="482" w:firstLineChars="200"/>
              <w:rPr>
                <w:b/>
                <w:kern w:val="0"/>
                <w:sz w:val="24"/>
              </w:rPr>
            </w:pPr>
            <w:r>
              <w:rPr>
                <w:b/>
                <w:kern w:val="0"/>
                <w:sz w:val="24"/>
              </w:rPr>
              <w:t>11）评价区域土壤现状</w:t>
            </w:r>
          </w:p>
          <w:p>
            <w:pPr>
              <w:adjustRightInd w:val="0"/>
              <w:snapToGrid w:val="0"/>
              <w:spacing w:line="360" w:lineRule="auto"/>
              <w:ind w:firstLine="480" w:firstLineChars="200"/>
              <w:rPr>
                <w:kern w:val="0"/>
                <w:sz w:val="24"/>
              </w:rPr>
            </w:pPr>
            <w:r>
              <w:rPr>
                <w:kern w:val="0"/>
                <w:sz w:val="24"/>
              </w:rPr>
              <w:t>项目评价区域土壤为第四系全新统残坡积层（Q</w:t>
            </w:r>
            <w:r>
              <w:rPr>
                <w:kern w:val="0"/>
                <w:sz w:val="24"/>
                <w:vertAlign w:val="subscript"/>
              </w:rPr>
              <w:t>4</w:t>
            </w:r>
            <w:r>
              <w:rPr>
                <w:kern w:val="0"/>
                <w:sz w:val="24"/>
                <w:vertAlign w:val="superscript"/>
              </w:rPr>
              <w:t>el+dl</w:t>
            </w:r>
            <w:r>
              <w:rPr>
                <w:kern w:val="0"/>
                <w:sz w:val="24"/>
              </w:rPr>
              <w:t>）发育而成的，主要为黄壤。耕地土壤剖面发育程度浅，无明显层次分布，母岩物理风化强烈，风化、侵蚀交替进行，使土壤多含母质碎屑。分布不均，厚0～</w:t>
            </w:r>
            <w:r>
              <w:rPr>
                <w:rFonts w:hint="eastAsia"/>
                <w:kern w:val="0"/>
                <w:sz w:val="24"/>
              </w:rPr>
              <w:t>2.0</w:t>
            </w:r>
            <w:r>
              <w:rPr>
                <w:kern w:val="0"/>
                <w:sz w:val="24"/>
              </w:rPr>
              <w:t>m</w:t>
            </w:r>
            <w:r>
              <w:rPr>
                <w:rFonts w:hint="eastAsia"/>
                <w:kern w:val="0"/>
                <w:sz w:val="24"/>
              </w:rPr>
              <w:t>，平均厚度约1.5</w:t>
            </w:r>
            <w:r>
              <w:rPr>
                <w:kern w:val="0"/>
                <w:sz w:val="24"/>
              </w:rPr>
              <w:t>m，</w:t>
            </w:r>
            <w:r>
              <w:rPr>
                <w:rFonts w:hint="eastAsia"/>
                <w:kern w:val="0"/>
                <w:sz w:val="24"/>
              </w:rPr>
              <w:t>土层较薄</w:t>
            </w:r>
            <w:r>
              <w:rPr>
                <w:kern w:val="0"/>
                <w:sz w:val="24"/>
              </w:rPr>
              <w:t>，竖向上和平面上分布不均，耕层粒状结构。</w:t>
            </w:r>
          </w:p>
          <w:p>
            <w:pPr>
              <w:adjustRightInd w:val="0"/>
              <w:snapToGrid w:val="0"/>
              <w:spacing w:line="360" w:lineRule="auto"/>
              <w:ind w:firstLine="480" w:firstLineChars="200"/>
              <w:rPr>
                <w:kern w:val="0"/>
                <w:sz w:val="24"/>
              </w:rPr>
            </w:pPr>
            <w:r>
              <w:rPr>
                <w:kern w:val="0"/>
                <w:sz w:val="24"/>
              </w:rPr>
              <w:t>评价区域黄壤一般含碳酸钙，呈中型或微碱性反应，有机质含量低（1.0%左右），磷、钾丰富。其发育程度较同地区的红壤为迟缓，尚不具脱硅富铝化特征，属于学风化微弱的土壤，呈中性至微碱性反应，</w:t>
            </w:r>
            <w:r>
              <w:rPr>
                <w:rFonts w:hint="eastAsia"/>
                <w:kern w:val="0"/>
                <w:sz w:val="24"/>
              </w:rPr>
              <w:t>p</w:t>
            </w:r>
            <w:r>
              <w:rPr>
                <w:kern w:val="0"/>
                <w:sz w:val="24"/>
              </w:rPr>
              <w:t>H值为7.5～8.5，石灰含量随母质而异，盐基饱和度80</w:t>
            </w:r>
            <w:r>
              <w:rPr>
                <w:rFonts w:hint="eastAsia"/>
                <w:kern w:val="0"/>
                <w:sz w:val="24"/>
              </w:rPr>
              <w:t>~</w:t>
            </w:r>
            <w:r>
              <w:rPr>
                <w:kern w:val="0"/>
                <w:sz w:val="24"/>
              </w:rPr>
              <w:t>90%。由于黄壤土母岩松疏，易于崩解，矿物养分含量丰富，是</w:t>
            </w:r>
            <w:r>
              <w:rPr>
                <w:rFonts w:hint="eastAsia"/>
                <w:kern w:val="0"/>
                <w:sz w:val="24"/>
              </w:rPr>
              <w:t>酉阳县</w:t>
            </w:r>
            <w:r>
              <w:rPr>
                <w:kern w:val="0"/>
                <w:sz w:val="24"/>
              </w:rPr>
              <w:t>重要的旱作土壤之一，</w:t>
            </w:r>
            <w:r>
              <w:rPr>
                <w:rFonts w:hint="eastAsia"/>
                <w:kern w:val="0"/>
                <w:sz w:val="24"/>
              </w:rPr>
              <w:t>山谷、沟谷间多已</w:t>
            </w:r>
            <w:r>
              <w:rPr>
                <w:kern w:val="0"/>
                <w:sz w:val="24"/>
              </w:rPr>
              <w:t>开垦种植。因侵蚀和干旱缺水现象时有发生，利用时需修建梯田和蓄水池，开发施肥水源。开辟肥源以增加土壤有机质和氮的含量，也是提高其生产力的重要措施。</w:t>
            </w:r>
          </w:p>
          <w:p>
            <w:pPr>
              <w:adjustRightInd w:val="0"/>
              <w:snapToGrid w:val="0"/>
              <w:spacing w:line="360" w:lineRule="auto"/>
              <w:ind w:firstLine="482" w:firstLineChars="200"/>
              <w:rPr>
                <w:b/>
                <w:kern w:val="0"/>
                <w:sz w:val="24"/>
              </w:rPr>
            </w:pPr>
            <w:r>
              <w:rPr>
                <w:b/>
                <w:kern w:val="0"/>
                <w:sz w:val="24"/>
              </w:rPr>
              <w:t>12）小结</w:t>
            </w:r>
          </w:p>
          <w:p>
            <w:pPr>
              <w:adjustRightInd w:val="0"/>
              <w:snapToGrid w:val="0"/>
              <w:spacing w:line="360" w:lineRule="auto"/>
              <w:ind w:firstLine="480" w:firstLineChars="200"/>
              <w:rPr>
                <w:kern w:val="0"/>
                <w:sz w:val="24"/>
              </w:rPr>
            </w:pPr>
            <w:r>
              <w:rPr>
                <w:kern w:val="0"/>
                <w:sz w:val="24"/>
              </w:rPr>
              <w:t>项目占地范围受到人为干扰</w:t>
            </w:r>
            <w:r>
              <w:rPr>
                <w:rFonts w:hint="eastAsia"/>
                <w:kern w:val="0"/>
                <w:sz w:val="24"/>
              </w:rPr>
              <w:t>比较</w:t>
            </w:r>
            <w:r>
              <w:rPr>
                <w:kern w:val="0"/>
                <w:sz w:val="24"/>
              </w:rPr>
              <w:t>严重，</w:t>
            </w:r>
            <w:r>
              <w:rPr>
                <w:rFonts w:hint="eastAsia"/>
                <w:kern w:val="0"/>
                <w:sz w:val="24"/>
              </w:rPr>
              <w:t>覆盖率较高，但其所生长的植被以人工林、</w:t>
            </w:r>
            <w:r>
              <w:rPr>
                <w:kern w:val="0"/>
                <w:sz w:val="24"/>
              </w:rPr>
              <w:t>半人工林为主，</w:t>
            </w:r>
            <w:r>
              <w:rPr>
                <w:rFonts w:hint="eastAsia"/>
                <w:kern w:val="0"/>
                <w:sz w:val="24"/>
              </w:rPr>
              <w:t>且</w:t>
            </w:r>
            <w:r>
              <w:rPr>
                <w:kern w:val="0"/>
                <w:sz w:val="24"/>
              </w:rPr>
              <w:t>属于一般商品林，</w:t>
            </w:r>
            <w:r>
              <w:rPr>
                <w:rFonts w:hint="eastAsia"/>
                <w:kern w:val="0"/>
                <w:sz w:val="24"/>
              </w:rPr>
              <w:t>乔木植被以人工定向种植的柏木为优势种；</w:t>
            </w:r>
            <w:r>
              <w:rPr>
                <w:rFonts w:hint="eastAsia"/>
                <w:color w:val="0000FF"/>
                <w:kern w:val="0"/>
                <w:sz w:val="24"/>
              </w:rPr>
              <w:t>仅发现小型野生动物，</w:t>
            </w:r>
            <w:r>
              <w:rPr>
                <w:color w:val="0000FF"/>
                <w:kern w:val="0"/>
                <w:sz w:val="24"/>
              </w:rPr>
              <w:t>种类、数量少，以</w:t>
            </w:r>
            <w:r>
              <w:rPr>
                <w:rFonts w:hint="eastAsia"/>
                <w:color w:val="0000FF"/>
                <w:kern w:val="0"/>
                <w:sz w:val="24"/>
              </w:rPr>
              <w:t>鸟</w:t>
            </w:r>
            <w:r>
              <w:rPr>
                <w:color w:val="0000FF"/>
                <w:kern w:val="0"/>
                <w:sz w:val="24"/>
              </w:rPr>
              <w:t>类占优势</w:t>
            </w:r>
            <w:r>
              <w:rPr>
                <w:rFonts w:hint="eastAsia"/>
                <w:kern w:val="0"/>
                <w:sz w:val="24"/>
              </w:rPr>
              <w:t>。土壤</w:t>
            </w:r>
            <w:r>
              <w:rPr>
                <w:kern w:val="0"/>
                <w:sz w:val="24"/>
              </w:rPr>
              <w:t>主要为黄壤</w:t>
            </w:r>
            <w:r>
              <w:rPr>
                <w:rFonts w:hint="eastAsia"/>
                <w:kern w:val="0"/>
                <w:sz w:val="24"/>
              </w:rPr>
              <w:t>，</w:t>
            </w:r>
            <w:r>
              <w:rPr>
                <w:kern w:val="0"/>
                <w:sz w:val="24"/>
              </w:rPr>
              <w:t>矿物养分含量丰富，</w:t>
            </w:r>
            <w:r>
              <w:rPr>
                <w:rFonts w:hint="eastAsia"/>
                <w:kern w:val="0"/>
                <w:sz w:val="24"/>
              </w:rPr>
              <w:t>但土层较薄；</w:t>
            </w:r>
            <w:r>
              <w:rPr>
                <w:kern w:val="0"/>
                <w:sz w:val="24"/>
              </w:rPr>
              <w:t>生态系统以森林生态系统为主体</w:t>
            </w:r>
            <w:r>
              <w:rPr>
                <w:rFonts w:hint="eastAsia"/>
                <w:kern w:val="0"/>
                <w:sz w:val="24"/>
              </w:rPr>
              <w:t>，</w:t>
            </w:r>
            <w:r>
              <w:rPr>
                <w:kern w:val="0"/>
                <w:sz w:val="24"/>
              </w:rPr>
              <w:t>生态系统组成与结构比较简单。</w:t>
            </w:r>
          </w:p>
        </w:tc>
      </w:tr>
    </w:tbl>
    <w:p/>
    <w:p>
      <w:pPr>
        <w:sectPr>
          <w:pgSz w:w="11906" w:h="16838"/>
          <w:pgMar w:top="1440" w:right="1080" w:bottom="1440" w:left="1080" w:header="851" w:footer="1077" w:gutter="0"/>
          <w:cols w:space="720" w:num="1"/>
          <w:docGrid w:linePitch="312" w:charSpace="0"/>
        </w:sectPr>
      </w:pP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4"/>
        <w:gridCol w:w="92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209" w:hRule="atLeast"/>
          <w:jc w:val="center"/>
        </w:trPr>
        <w:tc>
          <w:tcPr>
            <w:tcW w:w="484" w:type="dxa"/>
            <w:vAlign w:val="center"/>
          </w:tcPr>
          <w:p>
            <w:pPr>
              <w:adjustRightInd w:val="0"/>
              <w:snapToGrid w:val="0"/>
              <w:jc w:val="center"/>
              <w:rPr>
                <w:kern w:val="0"/>
                <w:sz w:val="24"/>
              </w:rPr>
            </w:pPr>
            <w:r>
              <w:rPr>
                <w:kern w:val="0"/>
                <w:sz w:val="24"/>
              </w:rPr>
              <w:t>生态环境现状</w:t>
            </w:r>
          </w:p>
        </w:tc>
        <w:tc>
          <w:tcPr>
            <w:tcW w:w="9242" w:type="dxa"/>
          </w:tcPr>
          <w:p>
            <w:pPr>
              <w:adjustRightInd w:val="0"/>
              <w:snapToGrid w:val="0"/>
              <w:spacing w:line="360" w:lineRule="auto"/>
              <w:ind w:firstLine="562" w:firstLineChars="200"/>
              <w:rPr>
                <w:b/>
                <w:kern w:val="0"/>
                <w:sz w:val="28"/>
                <w:szCs w:val="28"/>
              </w:rPr>
            </w:pPr>
            <w:r>
              <w:rPr>
                <w:b/>
                <w:kern w:val="0"/>
                <w:sz w:val="28"/>
                <w:szCs w:val="28"/>
              </w:rPr>
              <w:t>3.2、环境空气质量现状</w:t>
            </w:r>
          </w:p>
          <w:p>
            <w:pPr>
              <w:adjustRightInd w:val="0"/>
              <w:snapToGrid w:val="0"/>
              <w:spacing w:line="360" w:lineRule="auto"/>
              <w:ind w:firstLine="482" w:firstLineChars="200"/>
              <w:rPr>
                <w:b/>
                <w:kern w:val="0"/>
                <w:sz w:val="24"/>
              </w:rPr>
            </w:pPr>
            <w:r>
              <w:rPr>
                <w:b/>
                <w:kern w:val="0"/>
                <w:sz w:val="24"/>
              </w:rPr>
              <w:t>（1）区域达标情况</w:t>
            </w:r>
          </w:p>
          <w:p>
            <w:pPr>
              <w:adjustRightInd w:val="0"/>
              <w:snapToGrid w:val="0"/>
              <w:spacing w:line="360" w:lineRule="auto"/>
              <w:ind w:firstLine="480" w:firstLineChars="200"/>
              <w:rPr>
                <w:kern w:val="0"/>
                <w:sz w:val="24"/>
              </w:rPr>
            </w:pPr>
            <w:r>
              <w:rPr>
                <w:kern w:val="0"/>
                <w:sz w:val="24"/>
              </w:rPr>
              <w:t>根据重庆市生态环境局公布的《202</w:t>
            </w:r>
            <w:r>
              <w:rPr>
                <w:rFonts w:hint="eastAsia"/>
                <w:kern w:val="0"/>
                <w:sz w:val="24"/>
              </w:rPr>
              <w:t>4</w:t>
            </w:r>
            <w:r>
              <w:rPr>
                <w:kern w:val="0"/>
                <w:sz w:val="24"/>
              </w:rPr>
              <w:t>年重庆市生态环境状况公报》，项目所在区域空气质量现状评价见表3-9。</w:t>
            </w:r>
          </w:p>
          <w:p>
            <w:pPr>
              <w:adjustRightInd w:val="0"/>
              <w:snapToGrid w:val="0"/>
              <w:jc w:val="center"/>
              <w:rPr>
                <w:b/>
                <w:kern w:val="0"/>
                <w:sz w:val="24"/>
              </w:rPr>
            </w:pPr>
            <w:r>
              <w:rPr>
                <w:b/>
                <w:kern w:val="0"/>
                <w:sz w:val="24"/>
              </w:rPr>
              <w:t>表3-9  202</w:t>
            </w:r>
            <w:r>
              <w:rPr>
                <w:rFonts w:hint="eastAsia"/>
                <w:b/>
                <w:kern w:val="0"/>
                <w:sz w:val="24"/>
              </w:rPr>
              <w:t>4</w:t>
            </w:r>
            <w:r>
              <w:rPr>
                <w:b/>
                <w:kern w:val="0"/>
                <w:sz w:val="24"/>
              </w:rPr>
              <w:t>年酉阳县区域空气质量现状</w:t>
            </w:r>
          </w:p>
          <w:tbl>
            <w:tblPr>
              <w:tblStyle w:val="15"/>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695"/>
              <w:gridCol w:w="1590"/>
              <w:gridCol w:w="1706"/>
              <w:gridCol w:w="1756"/>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43" w:type="dxa"/>
                  <w:vAlign w:val="center"/>
                </w:tcPr>
                <w:p>
                  <w:pPr>
                    <w:pStyle w:val="42"/>
                  </w:pPr>
                  <w:r>
                    <w:t>污染物</w:t>
                  </w:r>
                </w:p>
              </w:tc>
              <w:tc>
                <w:tcPr>
                  <w:tcW w:w="1695" w:type="dxa"/>
                  <w:vAlign w:val="center"/>
                </w:tcPr>
                <w:p>
                  <w:pPr>
                    <w:pStyle w:val="42"/>
                  </w:pPr>
                  <w:r>
                    <w:t>年评价指标</w:t>
                  </w:r>
                </w:p>
              </w:tc>
              <w:tc>
                <w:tcPr>
                  <w:tcW w:w="1590" w:type="dxa"/>
                  <w:vAlign w:val="center"/>
                </w:tcPr>
                <w:p>
                  <w:pPr>
                    <w:pStyle w:val="42"/>
                  </w:pPr>
                  <w:r>
                    <w:t>评价指标ug/m</w:t>
                  </w:r>
                  <w:r>
                    <w:rPr>
                      <w:vertAlign w:val="superscript"/>
                    </w:rPr>
                    <w:t>3</w:t>
                  </w:r>
                </w:p>
              </w:tc>
              <w:tc>
                <w:tcPr>
                  <w:tcW w:w="1706" w:type="dxa"/>
                  <w:vAlign w:val="center"/>
                </w:tcPr>
                <w:p>
                  <w:pPr>
                    <w:pStyle w:val="42"/>
                  </w:pPr>
                  <w:r>
                    <w:t>现状浓度ug/m</w:t>
                  </w:r>
                  <w:r>
                    <w:rPr>
                      <w:vertAlign w:val="superscript"/>
                    </w:rPr>
                    <w:t>3</w:t>
                  </w:r>
                </w:p>
              </w:tc>
              <w:tc>
                <w:tcPr>
                  <w:tcW w:w="1756" w:type="dxa"/>
                  <w:vAlign w:val="center"/>
                </w:tcPr>
                <w:p>
                  <w:pPr>
                    <w:pStyle w:val="42"/>
                  </w:pPr>
                  <w:r>
                    <w:t>最大浓度占标率%</w:t>
                  </w:r>
                </w:p>
              </w:tc>
              <w:tc>
                <w:tcPr>
                  <w:tcW w:w="1226" w:type="dxa"/>
                  <w:vAlign w:val="center"/>
                </w:tcPr>
                <w:p>
                  <w:pPr>
                    <w:pStyle w:val="42"/>
                  </w:pPr>
                  <w: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1043" w:type="dxa"/>
                  <w:vAlign w:val="center"/>
                </w:tcPr>
                <w:p>
                  <w:pPr>
                    <w:pStyle w:val="42"/>
                  </w:pPr>
                  <w:r>
                    <w:t>PM</w:t>
                  </w:r>
                  <w:r>
                    <w:rPr>
                      <w:vertAlign w:val="subscript"/>
                    </w:rPr>
                    <w:t>10</w:t>
                  </w:r>
                </w:p>
              </w:tc>
              <w:tc>
                <w:tcPr>
                  <w:tcW w:w="1695" w:type="dxa"/>
                  <w:vAlign w:val="center"/>
                </w:tcPr>
                <w:p>
                  <w:pPr>
                    <w:pStyle w:val="42"/>
                  </w:pPr>
                  <w:r>
                    <w:t>年平均浓度</w:t>
                  </w:r>
                </w:p>
              </w:tc>
              <w:tc>
                <w:tcPr>
                  <w:tcW w:w="1590" w:type="dxa"/>
                  <w:vAlign w:val="center"/>
                </w:tcPr>
                <w:p>
                  <w:pPr>
                    <w:pStyle w:val="42"/>
                  </w:pPr>
                  <w:r>
                    <w:t>70</w:t>
                  </w:r>
                </w:p>
              </w:tc>
              <w:tc>
                <w:tcPr>
                  <w:tcW w:w="1706" w:type="dxa"/>
                  <w:vAlign w:val="center"/>
                </w:tcPr>
                <w:p>
                  <w:pPr>
                    <w:pStyle w:val="42"/>
                  </w:pPr>
                  <w:r>
                    <w:rPr>
                      <w:rFonts w:hint="eastAsia"/>
                    </w:rPr>
                    <w:t>34</w:t>
                  </w:r>
                </w:p>
              </w:tc>
              <w:tc>
                <w:tcPr>
                  <w:tcW w:w="1756" w:type="dxa"/>
                  <w:vAlign w:val="center"/>
                </w:tcPr>
                <w:p>
                  <w:pPr>
                    <w:pStyle w:val="42"/>
                  </w:pPr>
                  <w:r>
                    <w:t>48.57</w:t>
                  </w:r>
                </w:p>
              </w:tc>
              <w:tc>
                <w:tcPr>
                  <w:tcW w:w="1226" w:type="dxa"/>
                  <w:vAlign w:val="center"/>
                </w:tcPr>
                <w:p>
                  <w:pPr>
                    <w:pStyle w:val="42"/>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1043" w:type="dxa"/>
                  <w:vAlign w:val="center"/>
                </w:tcPr>
                <w:p>
                  <w:pPr>
                    <w:pStyle w:val="42"/>
                  </w:pPr>
                  <w:r>
                    <w:t>SO</w:t>
                  </w:r>
                  <w:r>
                    <w:rPr>
                      <w:vertAlign w:val="subscript"/>
                    </w:rPr>
                    <w:t>2</w:t>
                  </w:r>
                </w:p>
              </w:tc>
              <w:tc>
                <w:tcPr>
                  <w:tcW w:w="1695" w:type="dxa"/>
                  <w:vAlign w:val="center"/>
                </w:tcPr>
                <w:p>
                  <w:pPr>
                    <w:pStyle w:val="42"/>
                  </w:pPr>
                  <w:r>
                    <w:t>年平均浓度</w:t>
                  </w:r>
                </w:p>
              </w:tc>
              <w:tc>
                <w:tcPr>
                  <w:tcW w:w="1590" w:type="dxa"/>
                  <w:vAlign w:val="center"/>
                </w:tcPr>
                <w:p>
                  <w:pPr>
                    <w:pStyle w:val="42"/>
                  </w:pPr>
                  <w:r>
                    <w:t>60</w:t>
                  </w:r>
                </w:p>
              </w:tc>
              <w:tc>
                <w:tcPr>
                  <w:tcW w:w="1706" w:type="dxa"/>
                  <w:vAlign w:val="center"/>
                </w:tcPr>
                <w:p>
                  <w:pPr>
                    <w:pStyle w:val="42"/>
                  </w:pPr>
                  <w:r>
                    <w:rPr>
                      <w:rFonts w:hint="eastAsia"/>
                    </w:rPr>
                    <w:t>15</w:t>
                  </w:r>
                </w:p>
              </w:tc>
              <w:tc>
                <w:tcPr>
                  <w:tcW w:w="1756" w:type="dxa"/>
                  <w:vAlign w:val="center"/>
                </w:tcPr>
                <w:p>
                  <w:pPr>
                    <w:pStyle w:val="42"/>
                  </w:pPr>
                  <w:r>
                    <w:t>25</w:t>
                  </w:r>
                </w:p>
              </w:tc>
              <w:tc>
                <w:tcPr>
                  <w:tcW w:w="1226" w:type="dxa"/>
                  <w:vAlign w:val="center"/>
                </w:tcPr>
                <w:p>
                  <w:pPr>
                    <w:pStyle w:val="42"/>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043" w:type="dxa"/>
                  <w:vAlign w:val="center"/>
                </w:tcPr>
                <w:p>
                  <w:pPr>
                    <w:pStyle w:val="42"/>
                  </w:pPr>
                  <w:r>
                    <w:t>NO</w:t>
                  </w:r>
                  <w:r>
                    <w:rPr>
                      <w:vertAlign w:val="subscript"/>
                    </w:rPr>
                    <w:t>2</w:t>
                  </w:r>
                </w:p>
              </w:tc>
              <w:tc>
                <w:tcPr>
                  <w:tcW w:w="1695" w:type="dxa"/>
                  <w:vAlign w:val="center"/>
                </w:tcPr>
                <w:p>
                  <w:pPr>
                    <w:pStyle w:val="42"/>
                  </w:pPr>
                  <w:r>
                    <w:t>年平均浓度</w:t>
                  </w:r>
                </w:p>
              </w:tc>
              <w:tc>
                <w:tcPr>
                  <w:tcW w:w="1590" w:type="dxa"/>
                  <w:vAlign w:val="center"/>
                </w:tcPr>
                <w:p>
                  <w:pPr>
                    <w:pStyle w:val="42"/>
                  </w:pPr>
                  <w:r>
                    <w:t>40</w:t>
                  </w:r>
                </w:p>
              </w:tc>
              <w:tc>
                <w:tcPr>
                  <w:tcW w:w="1706" w:type="dxa"/>
                  <w:vAlign w:val="center"/>
                </w:tcPr>
                <w:p>
                  <w:pPr>
                    <w:pStyle w:val="42"/>
                  </w:pPr>
                  <w:r>
                    <w:rPr>
                      <w:rFonts w:hint="eastAsia"/>
                    </w:rPr>
                    <w:t>15</w:t>
                  </w:r>
                </w:p>
              </w:tc>
              <w:tc>
                <w:tcPr>
                  <w:tcW w:w="1756" w:type="dxa"/>
                  <w:vAlign w:val="center"/>
                </w:tcPr>
                <w:p>
                  <w:pPr>
                    <w:pStyle w:val="42"/>
                  </w:pPr>
                  <w:r>
                    <w:t>37.5</w:t>
                  </w:r>
                </w:p>
              </w:tc>
              <w:tc>
                <w:tcPr>
                  <w:tcW w:w="1226" w:type="dxa"/>
                  <w:vAlign w:val="center"/>
                </w:tcPr>
                <w:p>
                  <w:pPr>
                    <w:pStyle w:val="42"/>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43" w:type="dxa"/>
                  <w:vAlign w:val="center"/>
                </w:tcPr>
                <w:p>
                  <w:pPr>
                    <w:pStyle w:val="42"/>
                  </w:pPr>
                  <w:r>
                    <w:t>PM</w:t>
                  </w:r>
                  <w:r>
                    <w:rPr>
                      <w:vertAlign w:val="subscript"/>
                    </w:rPr>
                    <w:t>2.5</w:t>
                  </w:r>
                </w:p>
              </w:tc>
              <w:tc>
                <w:tcPr>
                  <w:tcW w:w="1695" w:type="dxa"/>
                  <w:vAlign w:val="center"/>
                </w:tcPr>
                <w:p>
                  <w:pPr>
                    <w:pStyle w:val="42"/>
                  </w:pPr>
                  <w:r>
                    <w:t>年平均浓度</w:t>
                  </w:r>
                </w:p>
              </w:tc>
              <w:tc>
                <w:tcPr>
                  <w:tcW w:w="1590" w:type="dxa"/>
                  <w:vAlign w:val="center"/>
                </w:tcPr>
                <w:p>
                  <w:pPr>
                    <w:pStyle w:val="42"/>
                  </w:pPr>
                  <w:r>
                    <w:t>35</w:t>
                  </w:r>
                </w:p>
              </w:tc>
              <w:tc>
                <w:tcPr>
                  <w:tcW w:w="1706" w:type="dxa"/>
                  <w:vAlign w:val="center"/>
                </w:tcPr>
                <w:p>
                  <w:pPr>
                    <w:pStyle w:val="42"/>
                  </w:pPr>
                  <w:r>
                    <w:rPr>
                      <w:rFonts w:hint="eastAsia"/>
                    </w:rPr>
                    <w:t>22.8</w:t>
                  </w:r>
                </w:p>
              </w:tc>
              <w:tc>
                <w:tcPr>
                  <w:tcW w:w="1756" w:type="dxa"/>
                  <w:vAlign w:val="center"/>
                </w:tcPr>
                <w:p>
                  <w:pPr>
                    <w:pStyle w:val="42"/>
                  </w:pPr>
                  <w:r>
                    <w:t>65.14</w:t>
                  </w:r>
                </w:p>
              </w:tc>
              <w:tc>
                <w:tcPr>
                  <w:tcW w:w="1226" w:type="dxa"/>
                  <w:vAlign w:val="center"/>
                </w:tcPr>
                <w:p>
                  <w:pPr>
                    <w:pStyle w:val="42"/>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1043" w:type="dxa"/>
                  <w:vAlign w:val="center"/>
                </w:tcPr>
                <w:p>
                  <w:pPr>
                    <w:pStyle w:val="42"/>
                  </w:pPr>
                  <w:r>
                    <w:t>O</w:t>
                  </w:r>
                  <w:r>
                    <w:rPr>
                      <w:vertAlign w:val="subscript"/>
                    </w:rPr>
                    <w:t>3</w:t>
                  </w:r>
                </w:p>
              </w:tc>
              <w:tc>
                <w:tcPr>
                  <w:tcW w:w="1695" w:type="dxa"/>
                  <w:vAlign w:val="center"/>
                </w:tcPr>
                <w:p>
                  <w:pPr>
                    <w:pStyle w:val="42"/>
                  </w:pPr>
                  <w:r>
                    <w:t>百分位数平均</w:t>
                  </w:r>
                </w:p>
              </w:tc>
              <w:tc>
                <w:tcPr>
                  <w:tcW w:w="1590" w:type="dxa"/>
                  <w:vAlign w:val="center"/>
                </w:tcPr>
                <w:p>
                  <w:pPr>
                    <w:pStyle w:val="42"/>
                  </w:pPr>
                  <w:r>
                    <w:t>160</w:t>
                  </w:r>
                </w:p>
              </w:tc>
              <w:tc>
                <w:tcPr>
                  <w:tcW w:w="1706" w:type="dxa"/>
                  <w:vAlign w:val="center"/>
                </w:tcPr>
                <w:p>
                  <w:pPr>
                    <w:pStyle w:val="42"/>
                  </w:pPr>
                  <w:r>
                    <w:rPr>
                      <w:rFonts w:hint="eastAsia"/>
                    </w:rPr>
                    <w:t>118</w:t>
                  </w:r>
                </w:p>
              </w:tc>
              <w:tc>
                <w:tcPr>
                  <w:tcW w:w="1756" w:type="dxa"/>
                  <w:vAlign w:val="center"/>
                </w:tcPr>
                <w:p>
                  <w:pPr>
                    <w:pStyle w:val="42"/>
                  </w:pPr>
                  <w:r>
                    <w:t>73.75</w:t>
                  </w:r>
                </w:p>
              </w:tc>
              <w:tc>
                <w:tcPr>
                  <w:tcW w:w="1226" w:type="dxa"/>
                  <w:vAlign w:val="center"/>
                </w:tcPr>
                <w:p>
                  <w:pPr>
                    <w:pStyle w:val="42"/>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1043" w:type="dxa"/>
                  <w:vAlign w:val="center"/>
                </w:tcPr>
                <w:p>
                  <w:pPr>
                    <w:pStyle w:val="42"/>
                  </w:pPr>
                  <w:r>
                    <w:t>CO</w:t>
                  </w:r>
                </w:p>
              </w:tc>
              <w:tc>
                <w:tcPr>
                  <w:tcW w:w="1695" w:type="dxa"/>
                  <w:vAlign w:val="center"/>
                </w:tcPr>
                <w:p>
                  <w:pPr>
                    <w:pStyle w:val="42"/>
                  </w:pPr>
                  <w:r>
                    <w:t>24h平均浓度</w:t>
                  </w:r>
                </w:p>
              </w:tc>
              <w:tc>
                <w:tcPr>
                  <w:tcW w:w="1590" w:type="dxa"/>
                  <w:vAlign w:val="center"/>
                </w:tcPr>
                <w:p>
                  <w:pPr>
                    <w:pStyle w:val="42"/>
                  </w:pPr>
                  <w:r>
                    <w:t>4000</w:t>
                  </w:r>
                </w:p>
              </w:tc>
              <w:tc>
                <w:tcPr>
                  <w:tcW w:w="1706" w:type="dxa"/>
                  <w:vAlign w:val="center"/>
                </w:tcPr>
                <w:p>
                  <w:pPr>
                    <w:pStyle w:val="42"/>
                  </w:pPr>
                  <w:r>
                    <w:rPr>
                      <w:rFonts w:hint="eastAsia"/>
                    </w:rPr>
                    <w:t>1200</w:t>
                  </w:r>
                </w:p>
              </w:tc>
              <w:tc>
                <w:tcPr>
                  <w:tcW w:w="1756" w:type="dxa"/>
                  <w:vAlign w:val="center"/>
                </w:tcPr>
                <w:p>
                  <w:pPr>
                    <w:pStyle w:val="42"/>
                  </w:pPr>
                  <w:r>
                    <w:t>30</w:t>
                  </w:r>
                </w:p>
              </w:tc>
              <w:tc>
                <w:tcPr>
                  <w:tcW w:w="1226" w:type="dxa"/>
                  <w:vAlign w:val="center"/>
                </w:tcPr>
                <w:p>
                  <w:pPr>
                    <w:pStyle w:val="42"/>
                  </w:pPr>
                  <w:r>
                    <w:t>达标</w:t>
                  </w:r>
                </w:p>
              </w:tc>
            </w:tr>
          </w:tbl>
          <w:p>
            <w:pPr>
              <w:adjustRightInd w:val="0"/>
              <w:snapToGrid w:val="0"/>
              <w:spacing w:line="360" w:lineRule="auto"/>
              <w:ind w:firstLine="480" w:firstLineChars="200"/>
              <w:rPr>
                <w:kern w:val="0"/>
                <w:sz w:val="24"/>
              </w:rPr>
            </w:pPr>
            <w:r>
              <w:rPr>
                <w:kern w:val="0"/>
                <w:sz w:val="24"/>
              </w:rPr>
              <w:t>根据表3-9所示的结果，202</w:t>
            </w:r>
            <w:r>
              <w:rPr>
                <w:rFonts w:hint="eastAsia"/>
                <w:kern w:val="0"/>
                <w:sz w:val="24"/>
              </w:rPr>
              <w:t>4</w:t>
            </w:r>
            <w:r>
              <w:rPr>
                <w:kern w:val="0"/>
                <w:sz w:val="24"/>
              </w:rPr>
              <w:t>年重庆市酉阳县区域各项基本因子均能满足（GB</w:t>
            </w:r>
            <w:r>
              <w:rPr>
                <w:rFonts w:hint="eastAsia"/>
                <w:kern w:val="0"/>
                <w:sz w:val="24"/>
              </w:rPr>
              <w:t xml:space="preserve"> </w:t>
            </w:r>
            <w:r>
              <w:rPr>
                <w:kern w:val="0"/>
                <w:sz w:val="24"/>
              </w:rPr>
              <w:t>3095-2012）《环境空气质量标准》中的二级标准，区域城市环境空气质量达标。</w:t>
            </w:r>
          </w:p>
          <w:p>
            <w:pPr>
              <w:adjustRightInd w:val="0"/>
              <w:snapToGrid w:val="0"/>
              <w:spacing w:line="360" w:lineRule="auto"/>
              <w:ind w:firstLine="482" w:firstLineChars="200"/>
              <w:rPr>
                <w:b/>
                <w:kern w:val="0"/>
                <w:sz w:val="24"/>
              </w:rPr>
            </w:pPr>
            <w:r>
              <w:rPr>
                <w:b/>
                <w:kern w:val="0"/>
                <w:sz w:val="24"/>
              </w:rPr>
              <w:t>（2）</w:t>
            </w:r>
            <w:r>
              <w:rPr>
                <w:rFonts w:hint="eastAsia"/>
                <w:b/>
                <w:kern w:val="0"/>
                <w:sz w:val="24"/>
              </w:rPr>
              <w:t>特征因子环境质量现状</w:t>
            </w:r>
          </w:p>
          <w:p>
            <w:pPr>
              <w:adjustRightInd w:val="0"/>
              <w:snapToGrid w:val="0"/>
              <w:spacing w:line="360" w:lineRule="auto"/>
              <w:ind w:firstLine="480" w:firstLineChars="200"/>
              <w:rPr>
                <w:kern w:val="0"/>
                <w:sz w:val="24"/>
              </w:rPr>
            </w:pPr>
            <w:r>
              <w:rPr>
                <w:kern w:val="0"/>
                <w:sz w:val="24"/>
              </w:rPr>
              <w:t>为了解拟建项目所在区域</w:t>
            </w:r>
            <w:r>
              <w:rPr>
                <w:rFonts w:hint="eastAsia"/>
                <w:kern w:val="0"/>
                <w:sz w:val="24"/>
              </w:rPr>
              <w:t>特征因子（TSP）</w:t>
            </w:r>
            <w:r>
              <w:rPr>
                <w:kern w:val="0"/>
                <w:sz w:val="24"/>
              </w:rPr>
              <w:t>环境质量现状，建设单位委托重庆宏畴科技发展有限公司对项目所在区域大气环境进行了现状监测，详见附件</w:t>
            </w:r>
            <w:r>
              <w:rPr>
                <w:rFonts w:hint="eastAsia"/>
                <w:kern w:val="0"/>
                <w:sz w:val="24"/>
              </w:rPr>
              <w:t>10</w:t>
            </w:r>
            <w:r>
              <w:rPr>
                <w:kern w:val="0"/>
                <w:sz w:val="24"/>
              </w:rPr>
              <w:t>。</w:t>
            </w:r>
          </w:p>
          <w:p>
            <w:pPr>
              <w:adjustRightInd w:val="0"/>
              <w:snapToGrid w:val="0"/>
              <w:spacing w:line="360" w:lineRule="auto"/>
              <w:ind w:firstLine="480" w:firstLineChars="200"/>
              <w:rPr>
                <w:kern w:val="0"/>
                <w:sz w:val="24"/>
              </w:rPr>
            </w:pPr>
            <w:r>
              <w:rPr>
                <w:kern w:val="0"/>
                <w:sz w:val="24"/>
              </w:rPr>
              <w:t>1）监测布点</w:t>
            </w:r>
          </w:p>
          <w:p>
            <w:pPr>
              <w:adjustRightInd w:val="0"/>
              <w:snapToGrid w:val="0"/>
              <w:spacing w:line="360" w:lineRule="auto"/>
              <w:ind w:firstLine="480" w:firstLineChars="200"/>
              <w:rPr>
                <w:kern w:val="0"/>
                <w:sz w:val="24"/>
              </w:rPr>
            </w:pPr>
            <w:r>
              <w:rPr>
                <w:kern w:val="0"/>
                <w:sz w:val="24"/>
              </w:rPr>
              <w:t>本次评价共设置1个环境空气监测点，监测布点见表3-10</w:t>
            </w:r>
            <w:r>
              <w:rPr>
                <w:rFonts w:hint="eastAsia"/>
                <w:kern w:val="0"/>
                <w:sz w:val="24"/>
              </w:rPr>
              <w:t>、附图9</w:t>
            </w:r>
            <w:r>
              <w:rPr>
                <w:kern w:val="0"/>
                <w:sz w:val="24"/>
              </w:rPr>
              <w:t>。</w:t>
            </w:r>
          </w:p>
          <w:p>
            <w:pPr>
              <w:adjustRightInd w:val="0"/>
              <w:snapToGrid w:val="0"/>
              <w:jc w:val="center"/>
              <w:rPr>
                <w:b/>
                <w:kern w:val="0"/>
                <w:sz w:val="24"/>
              </w:rPr>
            </w:pPr>
            <w:r>
              <w:rPr>
                <w:b/>
                <w:kern w:val="0"/>
                <w:sz w:val="24"/>
              </w:rPr>
              <w:t>表3-10  监测点位及监测因子一览表</w:t>
            </w:r>
          </w:p>
          <w:tbl>
            <w:tblPr>
              <w:tblStyle w:val="15"/>
              <w:tblW w:w="9006"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658"/>
              <w:gridCol w:w="4962"/>
              <w:gridCol w:w="1275"/>
              <w:gridCol w:w="1111"/>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1658" w:type="dxa"/>
                  <w:vAlign w:val="center"/>
                </w:tcPr>
                <w:p>
                  <w:pPr>
                    <w:pStyle w:val="42"/>
                  </w:pPr>
                  <w:r>
                    <w:t>编号</w:t>
                  </w:r>
                </w:p>
              </w:tc>
              <w:tc>
                <w:tcPr>
                  <w:tcW w:w="4962" w:type="dxa"/>
                  <w:vAlign w:val="center"/>
                </w:tcPr>
                <w:p>
                  <w:pPr>
                    <w:pStyle w:val="42"/>
                  </w:pPr>
                  <w:r>
                    <w:t>监测点位置</w:t>
                  </w:r>
                </w:p>
              </w:tc>
              <w:tc>
                <w:tcPr>
                  <w:tcW w:w="1275" w:type="dxa"/>
                  <w:vAlign w:val="center"/>
                </w:tcPr>
                <w:p>
                  <w:pPr>
                    <w:pStyle w:val="42"/>
                  </w:pPr>
                  <w:r>
                    <w:t>监测因子</w:t>
                  </w:r>
                </w:p>
              </w:tc>
              <w:tc>
                <w:tcPr>
                  <w:tcW w:w="1111" w:type="dxa"/>
                  <w:vAlign w:val="center"/>
                </w:tcPr>
                <w:p>
                  <w:pPr>
                    <w:pStyle w:val="42"/>
                  </w:pPr>
                  <w:r>
                    <w:t>备注</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1658" w:type="dxa"/>
                  <w:vAlign w:val="center"/>
                </w:tcPr>
                <w:p>
                  <w:pPr>
                    <w:pStyle w:val="42"/>
                  </w:pPr>
                  <w:r>
                    <w:rPr>
                      <w:rFonts w:hint="eastAsia"/>
                    </w:rPr>
                    <w:t>HG1</w:t>
                  </w:r>
                </w:p>
              </w:tc>
              <w:tc>
                <w:tcPr>
                  <w:tcW w:w="4962" w:type="dxa"/>
                  <w:vAlign w:val="center"/>
                </w:tcPr>
                <w:p>
                  <w:pPr>
                    <w:pStyle w:val="42"/>
                  </w:pPr>
                  <w:r>
                    <w:rPr>
                      <w:rFonts w:hint="eastAsia"/>
                    </w:rPr>
                    <w:t>工业广场边界外西侧约69m处（主导风下风向）</w:t>
                  </w:r>
                </w:p>
              </w:tc>
              <w:tc>
                <w:tcPr>
                  <w:tcW w:w="1275" w:type="dxa"/>
                  <w:vAlign w:val="center"/>
                </w:tcPr>
                <w:p>
                  <w:pPr>
                    <w:pStyle w:val="42"/>
                  </w:pPr>
                  <w:r>
                    <w:t>TSP</w:t>
                  </w:r>
                </w:p>
              </w:tc>
              <w:tc>
                <w:tcPr>
                  <w:tcW w:w="1111" w:type="dxa"/>
                  <w:vAlign w:val="center"/>
                </w:tcPr>
                <w:p>
                  <w:pPr>
                    <w:pStyle w:val="42"/>
                  </w:pPr>
                  <w:r>
                    <w:t>二类区</w:t>
                  </w:r>
                </w:p>
              </w:tc>
            </w:tr>
          </w:tbl>
          <w:p>
            <w:pPr>
              <w:adjustRightInd w:val="0"/>
              <w:snapToGrid w:val="0"/>
              <w:spacing w:line="360" w:lineRule="auto"/>
              <w:ind w:firstLine="480" w:firstLineChars="200"/>
              <w:rPr>
                <w:kern w:val="0"/>
                <w:sz w:val="24"/>
              </w:rPr>
            </w:pPr>
            <w:r>
              <w:rPr>
                <w:kern w:val="0"/>
                <w:sz w:val="24"/>
              </w:rPr>
              <w:t>2）监测因子</w:t>
            </w:r>
          </w:p>
          <w:p>
            <w:pPr>
              <w:adjustRightInd w:val="0"/>
              <w:snapToGrid w:val="0"/>
              <w:spacing w:line="360" w:lineRule="auto"/>
              <w:ind w:firstLine="480" w:firstLineChars="200"/>
              <w:rPr>
                <w:kern w:val="0"/>
                <w:sz w:val="24"/>
              </w:rPr>
            </w:pPr>
            <w:r>
              <w:rPr>
                <w:kern w:val="0"/>
                <w:sz w:val="24"/>
              </w:rPr>
              <w:t>TSP</w:t>
            </w:r>
          </w:p>
          <w:p>
            <w:pPr>
              <w:adjustRightInd w:val="0"/>
              <w:snapToGrid w:val="0"/>
              <w:spacing w:line="360" w:lineRule="auto"/>
              <w:ind w:firstLine="480" w:firstLineChars="200"/>
              <w:rPr>
                <w:kern w:val="0"/>
                <w:sz w:val="24"/>
              </w:rPr>
            </w:pPr>
            <w:r>
              <w:rPr>
                <w:kern w:val="0"/>
                <w:sz w:val="24"/>
              </w:rPr>
              <w:t>3）监测时间及频率</w:t>
            </w:r>
          </w:p>
          <w:p>
            <w:pPr>
              <w:adjustRightInd w:val="0"/>
              <w:snapToGrid w:val="0"/>
              <w:spacing w:line="360" w:lineRule="auto"/>
              <w:ind w:firstLine="480" w:firstLineChars="200"/>
              <w:rPr>
                <w:kern w:val="0"/>
                <w:sz w:val="24"/>
              </w:rPr>
            </w:pPr>
            <w:r>
              <w:rPr>
                <w:kern w:val="0"/>
                <w:sz w:val="24"/>
              </w:rPr>
              <w:t>TSP：连续监测3天，监测时间：202</w:t>
            </w:r>
            <w:r>
              <w:rPr>
                <w:rFonts w:hint="eastAsia"/>
                <w:kern w:val="0"/>
                <w:sz w:val="24"/>
              </w:rPr>
              <w:t>5</w:t>
            </w:r>
            <w:r>
              <w:rPr>
                <w:kern w:val="0"/>
                <w:sz w:val="24"/>
              </w:rPr>
              <w:t>年</w:t>
            </w:r>
            <w:r>
              <w:rPr>
                <w:rFonts w:hint="eastAsia"/>
                <w:kern w:val="0"/>
                <w:sz w:val="24"/>
              </w:rPr>
              <w:t>6</w:t>
            </w:r>
            <w:r>
              <w:rPr>
                <w:kern w:val="0"/>
                <w:sz w:val="24"/>
              </w:rPr>
              <w:t>月</w:t>
            </w:r>
            <w:r>
              <w:rPr>
                <w:rFonts w:hint="eastAsia"/>
                <w:kern w:val="0"/>
                <w:sz w:val="24"/>
              </w:rPr>
              <w:t>19</w:t>
            </w:r>
            <w:r>
              <w:rPr>
                <w:kern w:val="0"/>
                <w:sz w:val="24"/>
              </w:rPr>
              <w:t>日~</w:t>
            </w:r>
            <w:r>
              <w:rPr>
                <w:rFonts w:hint="eastAsia"/>
                <w:kern w:val="0"/>
                <w:sz w:val="24"/>
              </w:rPr>
              <w:t>6</w:t>
            </w:r>
            <w:r>
              <w:rPr>
                <w:kern w:val="0"/>
                <w:sz w:val="24"/>
              </w:rPr>
              <w:t>月</w:t>
            </w:r>
            <w:r>
              <w:rPr>
                <w:rFonts w:hint="eastAsia"/>
                <w:kern w:val="0"/>
                <w:sz w:val="24"/>
              </w:rPr>
              <w:t>2</w:t>
            </w:r>
            <w:r>
              <w:rPr>
                <w:kern w:val="0"/>
                <w:sz w:val="24"/>
              </w:rPr>
              <w:t>1日，取24h均值。</w:t>
            </w:r>
          </w:p>
          <w:p>
            <w:pPr>
              <w:adjustRightInd w:val="0"/>
              <w:snapToGrid w:val="0"/>
              <w:spacing w:line="360" w:lineRule="auto"/>
              <w:ind w:firstLine="480" w:firstLineChars="200"/>
              <w:rPr>
                <w:kern w:val="0"/>
                <w:sz w:val="24"/>
              </w:rPr>
            </w:pPr>
            <w:r>
              <w:rPr>
                <w:rFonts w:hint="eastAsia"/>
                <w:kern w:val="0"/>
                <w:sz w:val="24"/>
              </w:rPr>
              <w:t>4）采样方法</w:t>
            </w:r>
          </w:p>
          <w:p>
            <w:pPr>
              <w:adjustRightInd w:val="0"/>
              <w:snapToGrid w:val="0"/>
              <w:spacing w:line="360" w:lineRule="auto"/>
              <w:ind w:firstLine="480" w:firstLineChars="200"/>
              <w:rPr>
                <w:kern w:val="0"/>
                <w:sz w:val="24"/>
              </w:rPr>
            </w:pPr>
            <w:r>
              <w:rPr>
                <w:kern w:val="0"/>
                <w:sz w:val="24"/>
              </w:rPr>
              <w:t>采样时间按《环境空气质量标准》（GB</w:t>
            </w:r>
            <w:r>
              <w:rPr>
                <w:rFonts w:hint="eastAsia"/>
                <w:kern w:val="0"/>
                <w:sz w:val="24"/>
              </w:rPr>
              <w:t xml:space="preserve"> </w:t>
            </w:r>
            <w:r>
              <w:rPr>
                <w:kern w:val="0"/>
                <w:sz w:val="24"/>
              </w:rPr>
              <w:t>3095-2012）要求进行。采样分析方法按《环境空气质量标准》（GB</w:t>
            </w:r>
            <w:r>
              <w:rPr>
                <w:rFonts w:hint="eastAsia"/>
                <w:kern w:val="0"/>
                <w:sz w:val="24"/>
              </w:rPr>
              <w:t xml:space="preserve"> </w:t>
            </w:r>
            <w:r>
              <w:rPr>
                <w:kern w:val="0"/>
                <w:sz w:val="24"/>
              </w:rPr>
              <w:t>3095-2012）及《环境监测技术规范》有关规定执行。</w:t>
            </w:r>
          </w:p>
          <w:p>
            <w:pPr>
              <w:adjustRightInd w:val="0"/>
              <w:snapToGrid w:val="0"/>
              <w:spacing w:line="360" w:lineRule="auto"/>
              <w:ind w:firstLine="480" w:firstLineChars="200"/>
              <w:rPr>
                <w:kern w:val="0"/>
                <w:sz w:val="24"/>
              </w:rPr>
            </w:pPr>
            <w:r>
              <w:rPr>
                <w:rFonts w:hint="eastAsia"/>
                <w:kern w:val="0"/>
                <w:sz w:val="24"/>
              </w:rPr>
              <w:t>5</w:t>
            </w:r>
            <w:r>
              <w:rPr>
                <w:kern w:val="0"/>
                <w:sz w:val="24"/>
              </w:rPr>
              <w:t>）评价标准及方法</w:t>
            </w:r>
          </w:p>
          <w:p>
            <w:pPr>
              <w:adjustRightInd w:val="0"/>
              <w:snapToGrid w:val="0"/>
              <w:spacing w:line="360" w:lineRule="auto"/>
              <w:ind w:firstLine="480" w:firstLineChars="200"/>
              <w:rPr>
                <w:kern w:val="0"/>
                <w:sz w:val="24"/>
              </w:rPr>
            </w:pPr>
            <w:r>
              <w:rPr>
                <w:kern w:val="0"/>
                <w:sz w:val="24"/>
              </w:rPr>
              <w:t>项目</w:t>
            </w:r>
            <w:r>
              <w:rPr>
                <w:rFonts w:hint="eastAsia"/>
                <w:kern w:val="0"/>
                <w:sz w:val="24"/>
              </w:rPr>
              <w:t>所在</w:t>
            </w:r>
            <w:r>
              <w:rPr>
                <w:kern w:val="0"/>
                <w:sz w:val="24"/>
              </w:rPr>
              <w:t>区域环境空气质量执行《环境空气质量标准》（GB</w:t>
            </w:r>
            <w:r>
              <w:rPr>
                <w:rFonts w:hint="eastAsia"/>
                <w:kern w:val="0"/>
                <w:sz w:val="24"/>
              </w:rPr>
              <w:t xml:space="preserve"> </w:t>
            </w:r>
            <w:r>
              <w:rPr>
                <w:kern w:val="0"/>
                <w:sz w:val="24"/>
              </w:rPr>
              <w:t>3095-2012）二级标准。</w:t>
            </w:r>
          </w:p>
          <w:p>
            <w:pPr>
              <w:adjustRightInd w:val="0"/>
              <w:snapToGrid w:val="0"/>
              <w:spacing w:line="360" w:lineRule="auto"/>
              <w:ind w:firstLine="480" w:firstLineChars="200"/>
              <w:rPr>
                <w:kern w:val="0"/>
                <w:sz w:val="24"/>
              </w:rPr>
            </w:pPr>
            <w:r>
              <w:rPr>
                <w:kern w:val="0"/>
                <w:sz w:val="24"/>
              </w:rPr>
              <w:t>采用《环境影响评价技术导则大气环境》（HJ2.2-2018）中规定的评价方法，计算监测点各取值时间最大质量浓度占相应标准质量浓度限值的百分比和超标率，并评价达标情况。评价方法如下：</w:t>
            </w:r>
          </w:p>
          <w:p>
            <w:pPr>
              <w:adjustRightInd w:val="0"/>
              <w:snapToGrid w:val="0"/>
              <w:spacing w:line="360" w:lineRule="auto"/>
              <w:jc w:val="center"/>
              <w:rPr>
                <w:i/>
                <w:kern w:val="0"/>
                <w:sz w:val="24"/>
              </w:rPr>
            </w:pPr>
            <w:r>
              <w:rPr>
                <w:i/>
                <w:kern w:val="0"/>
                <w:sz w:val="24"/>
              </w:rPr>
              <w:t>P</w:t>
            </w:r>
            <w:r>
              <w:rPr>
                <w:i/>
                <w:kern w:val="0"/>
                <w:sz w:val="24"/>
                <w:vertAlign w:val="subscript"/>
              </w:rPr>
              <w:t>ij</w:t>
            </w:r>
            <w:r>
              <w:rPr>
                <w:i/>
                <w:kern w:val="0"/>
                <w:sz w:val="24"/>
              </w:rPr>
              <w:t>=C</w:t>
            </w:r>
            <w:r>
              <w:rPr>
                <w:i/>
                <w:kern w:val="0"/>
                <w:sz w:val="24"/>
                <w:vertAlign w:val="subscript"/>
              </w:rPr>
              <w:t>ij</w:t>
            </w:r>
            <w:r>
              <w:rPr>
                <w:i/>
                <w:kern w:val="0"/>
                <w:sz w:val="24"/>
              </w:rPr>
              <w:t>/C</w:t>
            </w:r>
            <w:r>
              <w:rPr>
                <w:i/>
                <w:kern w:val="0"/>
                <w:sz w:val="24"/>
                <w:vertAlign w:val="subscript"/>
              </w:rPr>
              <w:t>0j</w:t>
            </w:r>
            <w:r>
              <w:rPr>
                <w:i/>
                <w:kern w:val="0"/>
                <w:sz w:val="24"/>
              </w:rPr>
              <w:t>*100%</w:t>
            </w:r>
          </w:p>
          <w:p>
            <w:pPr>
              <w:adjustRightInd w:val="0"/>
              <w:snapToGrid w:val="0"/>
              <w:spacing w:line="360" w:lineRule="auto"/>
              <w:ind w:firstLine="480" w:firstLineChars="200"/>
              <w:rPr>
                <w:kern w:val="0"/>
                <w:sz w:val="24"/>
              </w:rPr>
            </w:pPr>
            <w:r>
              <w:rPr>
                <w:kern w:val="0"/>
                <w:sz w:val="24"/>
              </w:rPr>
              <w:t>式中：</w:t>
            </w:r>
            <w:r>
              <w:rPr>
                <w:i/>
                <w:iCs/>
                <w:kern w:val="0"/>
                <w:sz w:val="24"/>
              </w:rPr>
              <w:t>P</w:t>
            </w:r>
            <w:r>
              <w:rPr>
                <w:i/>
                <w:iCs/>
                <w:kern w:val="0"/>
                <w:sz w:val="24"/>
                <w:vertAlign w:val="subscript"/>
              </w:rPr>
              <w:t>ij</w:t>
            </w:r>
            <w:r>
              <w:rPr>
                <w:kern w:val="0"/>
                <w:sz w:val="24"/>
              </w:rPr>
              <w:t>——第i现状监测点污染因子j的最大实测值占标准限值的百分比—占标率，其值在0~100%之间为满足标准，大于100%则为超标；</w:t>
            </w:r>
          </w:p>
          <w:p>
            <w:pPr>
              <w:adjustRightInd w:val="0"/>
              <w:snapToGrid w:val="0"/>
              <w:spacing w:line="360" w:lineRule="auto"/>
              <w:ind w:firstLine="1200" w:firstLineChars="500"/>
              <w:rPr>
                <w:kern w:val="0"/>
                <w:sz w:val="24"/>
              </w:rPr>
            </w:pPr>
            <w:r>
              <w:rPr>
                <w:i/>
                <w:iCs/>
                <w:kern w:val="0"/>
                <w:sz w:val="24"/>
              </w:rPr>
              <w:t>C</w:t>
            </w:r>
            <w:r>
              <w:rPr>
                <w:i/>
                <w:iCs/>
                <w:kern w:val="0"/>
                <w:sz w:val="24"/>
                <w:vertAlign w:val="subscript"/>
              </w:rPr>
              <w:t>ij</w:t>
            </w:r>
            <w:r>
              <w:rPr>
                <w:kern w:val="0"/>
                <w:sz w:val="24"/>
              </w:rPr>
              <w:t>——第i现状监测点第j污染因子的实测浓度（mg/m</w:t>
            </w:r>
            <w:r>
              <w:rPr>
                <w:kern w:val="0"/>
                <w:sz w:val="24"/>
                <w:vertAlign w:val="superscript"/>
              </w:rPr>
              <w:t>3</w:t>
            </w:r>
            <w:r>
              <w:rPr>
                <w:kern w:val="0"/>
                <w:sz w:val="24"/>
              </w:rPr>
              <w:t>）；</w:t>
            </w:r>
          </w:p>
          <w:p>
            <w:pPr>
              <w:adjustRightInd w:val="0"/>
              <w:snapToGrid w:val="0"/>
              <w:spacing w:line="360" w:lineRule="auto"/>
              <w:ind w:firstLine="1200" w:firstLineChars="500"/>
              <w:rPr>
                <w:kern w:val="0"/>
                <w:sz w:val="24"/>
              </w:rPr>
            </w:pPr>
            <w:r>
              <w:rPr>
                <w:i/>
                <w:iCs/>
                <w:kern w:val="0"/>
                <w:sz w:val="24"/>
              </w:rPr>
              <w:t>C</w:t>
            </w:r>
            <w:r>
              <w:rPr>
                <w:i/>
                <w:iCs/>
                <w:kern w:val="0"/>
                <w:sz w:val="24"/>
                <w:vertAlign w:val="subscript"/>
              </w:rPr>
              <w:t>0j</w:t>
            </w:r>
            <w:r>
              <w:rPr>
                <w:kern w:val="0"/>
                <w:sz w:val="24"/>
              </w:rPr>
              <w:t>——污染因子j的环境质量标准（mg/m</w:t>
            </w:r>
            <w:r>
              <w:rPr>
                <w:kern w:val="0"/>
                <w:sz w:val="24"/>
                <w:vertAlign w:val="superscript"/>
              </w:rPr>
              <w:t>3</w:t>
            </w:r>
            <w:r>
              <w:rPr>
                <w:kern w:val="0"/>
                <w:sz w:val="24"/>
              </w:rPr>
              <w:t>）。</w:t>
            </w:r>
          </w:p>
          <w:p>
            <w:pPr>
              <w:adjustRightInd w:val="0"/>
              <w:snapToGrid w:val="0"/>
              <w:spacing w:line="360" w:lineRule="auto"/>
              <w:ind w:firstLine="482" w:firstLineChars="200"/>
              <w:rPr>
                <w:b/>
                <w:bCs/>
                <w:kern w:val="0"/>
                <w:sz w:val="24"/>
              </w:rPr>
            </w:pPr>
            <w:r>
              <w:rPr>
                <w:b/>
                <w:bCs/>
                <w:kern w:val="0"/>
                <w:sz w:val="24"/>
              </w:rPr>
              <w:t>（3）评价结论</w:t>
            </w:r>
          </w:p>
          <w:p>
            <w:pPr>
              <w:adjustRightInd w:val="0"/>
              <w:snapToGrid w:val="0"/>
              <w:spacing w:line="360" w:lineRule="auto"/>
              <w:ind w:firstLine="480" w:firstLineChars="200"/>
              <w:rPr>
                <w:kern w:val="0"/>
                <w:sz w:val="24"/>
              </w:rPr>
            </w:pPr>
            <w:r>
              <w:rPr>
                <w:kern w:val="0"/>
                <w:sz w:val="24"/>
              </w:rPr>
              <w:t>项目环境空气现状监测及评价结果见表3-11。</w:t>
            </w:r>
          </w:p>
          <w:p>
            <w:pPr>
              <w:adjustRightInd w:val="0"/>
              <w:snapToGrid w:val="0"/>
              <w:jc w:val="center"/>
              <w:rPr>
                <w:b/>
                <w:kern w:val="0"/>
                <w:sz w:val="24"/>
              </w:rPr>
            </w:pPr>
            <w:r>
              <w:rPr>
                <w:b/>
                <w:kern w:val="0"/>
                <w:sz w:val="24"/>
              </w:rPr>
              <w:t>表3-11  环境空气监测统计结果     单位：mg/m</w:t>
            </w:r>
            <w:r>
              <w:rPr>
                <w:b/>
                <w:kern w:val="0"/>
                <w:sz w:val="24"/>
                <w:vertAlign w:val="superscript"/>
              </w:rPr>
              <w:t>3</w:t>
            </w:r>
          </w:p>
          <w:tbl>
            <w:tblPr>
              <w:tblStyle w:val="15"/>
              <w:tblW w:w="9006"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47"/>
              <w:gridCol w:w="1378"/>
              <w:gridCol w:w="899"/>
              <w:gridCol w:w="1290"/>
              <w:gridCol w:w="1113"/>
              <w:gridCol w:w="920"/>
              <w:gridCol w:w="1261"/>
              <w:gridCol w:w="119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314" w:hRule="atLeast"/>
                <w:tblHeader/>
                <w:jc w:val="center"/>
              </w:trPr>
              <w:tc>
                <w:tcPr>
                  <w:tcW w:w="2325" w:type="dxa"/>
                  <w:gridSpan w:val="2"/>
                  <w:vMerge w:val="restart"/>
                  <w:vAlign w:val="center"/>
                </w:tcPr>
                <w:p>
                  <w:pPr>
                    <w:pStyle w:val="42"/>
                  </w:pPr>
                  <w:r>
                    <w:t>监测点位及时间</w:t>
                  </w:r>
                </w:p>
              </w:tc>
              <w:tc>
                <w:tcPr>
                  <w:tcW w:w="899" w:type="dxa"/>
                  <w:vMerge w:val="restart"/>
                  <w:vAlign w:val="center"/>
                </w:tcPr>
                <w:p>
                  <w:pPr>
                    <w:pStyle w:val="42"/>
                  </w:pPr>
                  <w:r>
                    <w:t>污染物</w:t>
                  </w:r>
                </w:p>
              </w:tc>
              <w:tc>
                <w:tcPr>
                  <w:tcW w:w="3323" w:type="dxa"/>
                  <w:gridSpan w:val="3"/>
                  <w:vAlign w:val="center"/>
                </w:tcPr>
                <w:p>
                  <w:pPr>
                    <w:pStyle w:val="42"/>
                  </w:pPr>
                  <w:r>
                    <w:t>监测值</w:t>
                  </w:r>
                </w:p>
              </w:tc>
              <w:tc>
                <w:tcPr>
                  <w:tcW w:w="1261" w:type="dxa"/>
                  <w:vMerge w:val="restart"/>
                  <w:vAlign w:val="center"/>
                </w:tcPr>
                <w:p>
                  <w:pPr>
                    <w:pStyle w:val="42"/>
                  </w:pPr>
                  <w:r>
                    <w:t>最大浓度</w:t>
                  </w:r>
                </w:p>
                <w:p>
                  <w:pPr>
                    <w:pStyle w:val="42"/>
                  </w:pPr>
                  <w:r>
                    <w:t>占标率（%）</w:t>
                  </w:r>
                </w:p>
              </w:tc>
              <w:tc>
                <w:tcPr>
                  <w:tcW w:w="1198" w:type="dxa"/>
                  <w:vMerge w:val="restart"/>
                  <w:vAlign w:val="center"/>
                </w:tcPr>
                <w:p>
                  <w:pPr>
                    <w:pStyle w:val="42"/>
                  </w:pPr>
                  <w:r>
                    <w:t>标准值</w:t>
                  </w:r>
                </w:p>
                <w:p>
                  <w:pPr>
                    <w:pStyle w:val="42"/>
                  </w:pPr>
                  <w:r>
                    <w:t>（mg/m</w:t>
                  </w:r>
                  <w:r>
                    <w:rPr>
                      <w:vertAlign w:val="superscript"/>
                    </w:rPr>
                    <w:t>3</w:t>
                  </w:r>
                  <w: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blHeader/>
                <w:jc w:val="center"/>
              </w:trPr>
              <w:tc>
                <w:tcPr>
                  <w:tcW w:w="2325" w:type="dxa"/>
                  <w:gridSpan w:val="2"/>
                  <w:vMerge w:val="continue"/>
                  <w:vAlign w:val="center"/>
                </w:tcPr>
                <w:p>
                  <w:pPr>
                    <w:pStyle w:val="42"/>
                  </w:pPr>
                </w:p>
              </w:tc>
              <w:tc>
                <w:tcPr>
                  <w:tcW w:w="899" w:type="dxa"/>
                  <w:vMerge w:val="continue"/>
                  <w:vAlign w:val="center"/>
                </w:tcPr>
                <w:p>
                  <w:pPr>
                    <w:pStyle w:val="42"/>
                  </w:pPr>
                </w:p>
              </w:tc>
              <w:tc>
                <w:tcPr>
                  <w:tcW w:w="1290" w:type="dxa"/>
                  <w:vAlign w:val="center"/>
                </w:tcPr>
                <w:p>
                  <w:pPr>
                    <w:pStyle w:val="42"/>
                  </w:pPr>
                  <w:r>
                    <w:t>浓度</w:t>
                  </w:r>
                </w:p>
                <w:p>
                  <w:pPr>
                    <w:pStyle w:val="42"/>
                  </w:pPr>
                  <w:r>
                    <w:t>（mg/m</w:t>
                  </w:r>
                  <w:r>
                    <w:rPr>
                      <w:vertAlign w:val="superscript"/>
                    </w:rPr>
                    <w:t>3</w:t>
                  </w:r>
                  <w:r>
                    <w:t>）</w:t>
                  </w:r>
                </w:p>
              </w:tc>
              <w:tc>
                <w:tcPr>
                  <w:tcW w:w="1113" w:type="dxa"/>
                  <w:vAlign w:val="center"/>
                </w:tcPr>
                <w:p>
                  <w:pPr>
                    <w:pStyle w:val="42"/>
                  </w:pPr>
                  <w:r>
                    <w:t>超标个数</w:t>
                  </w:r>
                </w:p>
              </w:tc>
              <w:tc>
                <w:tcPr>
                  <w:tcW w:w="920" w:type="dxa"/>
                  <w:vAlign w:val="center"/>
                </w:tcPr>
                <w:p>
                  <w:pPr>
                    <w:pStyle w:val="42"/>
                  </w:pPr>
                  <w:r>
                    <w:t>超标率％</w:t>
                  </w:r>
                </w:p>
              </w:tc>
              <w:tc>
                <w:tcPr>
                  <w:tcW w:w="1261" w:type="dxa"/>
                  <w:vMerge w:val="continue"/>
                  <w:vAlign w:val="center"/>
                </w:tcPr>
                <w:p>
                  <w:pPr>
                    <w:pStyle w:val="42"/>
                  </w:pPr>
                </w:p>
              </w:tc>
              <w:tc>
                <w:tcPr>
                  <w:tcW w:w="1198" w:type="dxa"/>
                  <w:vMerge w:val="continue"/>
                  <w:vAlign w:val="center"/>
                </w:tcPr>
                <w:p>
                  <w:pPr>
                    <w:pStyle w:val="42"/>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4" w:hRule="atLeast"/>
                <w:jc w:val="center"/>
              </w:trPr>
              <w:tc>
                <w:tcPr>
                  <w:tcW w:w="947" w:type="dxa"/>
                  <w:vMerge w:val="restart"/>
                  <w:vAlign w:val="center"/>
                </w:tcPr>
                <w:p>
                  <w:pPr>
                    <w:pStyle w:val="42"/>
                  </w:pPr>
                  <w:r>
                    <w:rPr>
                      <w:rFonts w:hint="eastAsia"/>
                    </w:rPr>
                    <w:t>HG1</w:t>
                  </w:r>
                </w:p>
              </w:tc>
              <w:tc>
                <w:tcPr>
                  <w:tcW w:w="1378" w:type="dxa"/>
                  <w:tcBorders>
                    <w:bottom w:val="single" w:color="auto" w:sz="4" w:space="0"/>
                  </w:tcBorders>
                  <w:vAlign w:val="center"/>
                </w:tcPr>
                <w:p>
                  <w:pPr>
                    <w:ind w:left="-105" w:leftChars="-50" w:right="-105" w:rightChars="-50"/>
                    <w:jc w:val="center"/>
                    <w:rPr>
                      <w:szCs w:val="21"/>
                    </w:rPr>
                  </w:pPr>
                  <w:r>
                    <w:rPr>
                      <w:szCs w:val="21"/>
                    </w:rPr>
                    <w:t>202</w:t>
                  </w:r>
                  <w:r>
                    <w:rPr>
                      <w:rFonts w:hint="eastAsia"/>
                      <w:szCs w:val="21"/>
                    </w:rPr>
                    <w:t>5.6.19</w:t>
                  </w:r>
                </w:p>
              </w:tc>
              <w:tc>
                <w:tcPr>
                  <w:tcW w:w="899" w:type="dxa"/>
                  <w:vAlign w:val="center"/>
                </w:tcPr>
                <w:p>
                  <w:pPr>
                    <w:pStyle w:val="42"/>
                  </w:pPr>
                  <w:r>
                    <w:t>TSP</w:t>
                  </w:r>
                </w:p>
              </w:tc>
              <w:tc>
                <w:tcPr>
                  <w:tcW w:w="1290" w:type="dxa"/>
                  <w:vAlign w:val="center"/>
                </w:tcPr>
                <w:p>
                  <w:pPr>
                    <w:pStyle w:val="42"/>
                  </w:pPr>
                  <w:r>
                    <w:rPr>
                      <w:rFonts w:hint="eastAsia"/>
                    </w:rPr>
                    <w:t>0.027</w:t>
                  </w:r>
                </w:p>
              </w:tc>
              <w:tc>
                <w:tcPr>
                  <w:tcW w:w="1113" w:type="dxa"/>
                  <w:vAlign w:val="center"/>
                </w:tcPr>
                <w:p>
                  <w:pPr>
                    <w:pStyle w:val="42"/>
                  </w:pPr>
                  <w:r>
                    <w:t>0</w:t>
                  </w:r>
                </w:p>
              </w:tc>
              <w:tc>
                <w:tcPr>
                  <w:tcW w:w="920" w:type="dxa"/>
                  <w:vAlign w:val="center"/>
                </w:tcPr>
                <w:p>
                  <w:pPr>
                    <w:pStyle w:val="42"/>
                  </w:pPr>
                  <w:r>
                    <w:t>0</w:t>
                  </w:r>
                </w:p>
              </w:tc>
              <w:tc>
                <w:tcPr>
                  <w:tcW w:w="1261" w:type="dxa"/>
                  <w:vAlign w:val="center"/>
                </w:tcPr>
                <w:p>
                  <w:pPr>
                    <w:pStyle w:val="42"/>
                  </w:pPr>
                  <w:r>
                    <w:t>9</w:t>
                  </w:r>
                  <w:r>
                    <w:rPr>
                      <w:rFonts w:hint="eastAsia"/>
                    </w:rPr>
                    <w:t>.00</w:t>
                  </w:r>
                </w:p>
              </w:tc>
              <w:tc>
                <w:tcPr>
                  <w:tcW w:w="1198" w:type="dxa"/>
                  <w:vAlign w:val="center"/>
                </w:tcPr>
                <w:p>
                  <w:pPr>
                    <w:pStyle w:val="42"/>
                  </w:pPr>
                  <w:r>
                    <w:t>0.30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4" w:hRule="atLeast"/>
                <w:jc w:val="center"/>
              </w:trPr>
              <w:tc>
                <w:tcPr>
                  <w:tcW w:w="947" w:type="dxa"/>
                  <w:vMerge w:val="continue"/>
                  <w:vAlign w:val="center"/>
                </w:tcPr>
                <w:p>
                  <w:pPr>
                    <w:pStyle w:val="42"/>
                  </w:pPr>
                </w:p>
              </w:tc>
              <w:tc>
                <w:tcPr>
                  <w:tcW w:w="1378" w:type="dxa"/>
                  <w:tcBorders>
                    <w:top w:val="single" w:color="auto" w:sz="4" w:space="0"/>
                  </w:tcBorders>
                  <w:vAlign w:val="center"/>
                </w:tcPr>
                <w:p>
                  <w:pPr>
                    <w:ind w:left="-105" w:leftChars="-50" w:right="-105" w:rightChars="-50"/>
                    <w:jc w:val="center"/>
                    <w:rPr>
                      <w:szCs w:val="21"/>
                    </w:rPr>
                  </w:pPr>
                  <w:r>
                    <w:rPr>
                      <w:szCs w:val="21"/>
                    </w:rPr>
                    <w:t>202</w:t>
                  </w:r>
                  <w:r>
                    <w:rPr>
                      <w:rFonts w:hint="eastAsia"/>
                      <w:szCs w:val="21"/>
                    </w:rPr>
                    <w:t>5</w:t>
                  </w:r>
                  <w:r>
                    <w:rPr>
                      <w:szCs w:val="21"/>
                    </w:rPr>
                    <w:t>.</w:t>
                  </w:r>
                  <w:r>
                    <w:rPr>
                      <w:rFonts w:hint="eastAsia"/>
                      <w:szCs w:val="21"/>
                    </w:rPr>
                    <w:t>6.20</w:t>
                  </w:r>
                </w:p>
              </w:tc>
              <w:tc>
                <w:tcPr>
                  <w:tcW w:w="899" w:type="dxa"/>
                  <w:vAlign w:val="center"/>
                </w:tcPr>
                <w:p>
                  <w:pPr>
                    <w:pStyle w:val="42"/>
                  </w:pPr>
                  <w:r>
                    <w:t>TSP</w:t>
                  </w:r>
                </w:p>
              </w:tc>
              <w:tc>
                <w:tcPr>
                  <w:tcW w:w="1290" w:type="dxa"/>
                  <w:vAlign w:val="center"/>
                </w:tcPr>
                <w:p>
                  <w:pPr>
                    <w:pStyle w:val="42"/>
                  </w:pPr>
                  <w:r>
                    <w:rPr>
                      <w:rFonts w:hint="eastAsia"/>
                    </w:rPr>
                    <w:t>0.022</w:t>
                  </w:r>
                </w:p>
              </w:tc>
              <w:tc>
                <w:tcPr>
                  <w:tcW w:w="1113" w:type="dxa"/>
                  <w:vAlign w:val="center"/>
                </w:tcPr>
                <w:p>
                  <w:pPr>
                    <w:pStyle w:val="42"/>
                  </w:pPr>
                  <w:r>
                    <w:t>0</w:t>
                  </w:r>
                </w:p>
              </w:tc>
              <w:tc>
                <w:tcPr>
                  <w:tcW w:w="920" w:type="dxa"/>
                  <w:vAlign w:val="center"/>
                </w:tcPr>
                <w:p>
                  <w:pPr>
                    <w:pStyle w:val="42"/>
                  </w:pPr>
                  <w:r>
                    <w:t>0</w:t>
                  </w:r>
                </w:p>
              </w:tc>
              <w:tc>
                <w:tcPr>
                  <w:tcW w:w="1261" w:type="dxa"/>
                  <w:vAlign w:val="center"/>
                </w:tcPr>
                <w:p>
                  <w:pPr>
                    <w:pStyle w:val="42"/>
                  </w:pPr>
                  <w:r>
                    <w:t>7.33</w:t>
                  </w:r>
                </w:p>
              </w:tc>
              <w:tc>
                <w:tcPr>
                  <w:tcW w:w="1198" w:type="dxa"/>
                  <w:vAlign w:val="center"/>
                </w:tcPr>
                <w:p>
                  <w:pPr>
                    <w:pStyle w:val="42"/>
                  </w:pPr>
                  <w:r>
                    <w:t>0.30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4" w:hRule="atLeast"/>
                <w:jc w:val="center"/>
              </w:trPr>
              <w:tc>
                <w:tcPr>
                  <w:tcW w:w="947" w:type="dxa"/>
                  <w:vMerge w:val="continue"/>
                  <w:vAlign w:val="center"/>
                </w:tcPr>
                <w:p>
                  <w:pPr>
                    <w:pStyle w:val="42"/>
                  </w:pPr>
                </w:p>
              </w:tc>
              <w:tc>
                <w:tcPr>
                  <w:tcW w:w="1378" w:type="dxa"/>
                  <w:vAlign w:val="center"/>
                </w:tcPr>
                <w:p>
                  <w:pPr>
                    <w:ind w:left="-105" w:leftChars="-50" w:right="-105" w:rightChars="-50"/>
                    <w:jc w:val="center"/>
                    <w:rPr>
                      <w:szCs w:val="21"/>
                    </w:rPr>
                  </w:pPr>
                  <w:r>
                    <w:rPr>
                      <w:szCs w:val="21"/>
                    </w:rPr>
                    <w:t>202</w:t>
                  </w:r>
                  <w:r>
                    <w:rPr>
                      <w:rFonts w:hint="eastAsia"/>
                      <w:szCs w:val="21"/>
                    </w:rPr>
                    <w:t>5</w:t>
                  </w:r>
                  <w:r>
                    <w:rPr>
                      <w:szCs w:val="21"/>
                    </w:rPr>
                    <w:t>.</w:t>
                  </w:r>
                  <w:r>
                    <w:rPr>
                      <w:rFonts w:hint="eastAsia"/>
                      <w:szCs w:val="21"/>
                    </w:rPr>
                    <w:t>6.21</w:t>
                  </w:r>
                </w:p>
              </w:tc>
              <w:tc>
                <w:tcPr>
                  <w:tcW w:w="899" w:type="dxa"/>
                  <w:vAlign w:val="center"/>
                </w:tcPr>
                <w:p>
                  <w:pPr>
                    <w:pStyle w:val="42"/>
                  </w:pPr>
                  <w:r>
                    <w:t>TSP</w:t>
                  </w:r>
                </w:p>
              </w:tc>
              <w:tc>
                <w:tcPr>
                  <w:tcW w:w="1290" w:type="dxa"/>
                  <w:vAlign w:val="center"/>
                </w:tcPr>
                <w:p>
                  <w:pPr>
                    <w:pStyle w:val="42"/>
                  </w:pPr>
                  <w:r>
                    <w:rPr>
                      <w:rFonts w:hint="eastAsia"/>
                    </w:rPr>
                    <w:t>0.028</w:t>
                  </w:r>
                </w:p>
              </w:tc>
              <w:tc>
                <w:tcPr>
                  <w:tcW w:w="1113" w:type="dxa"/>
                  <w:vAlign w:val="center"/>
                </w:tcPr>
                <w:p>
                  <w:pPr>
                    <w:pStyle w:val="42"/>
                  </w:pPr>
                  <w:r>
                    <w:t>0</w:t>
                  </w:r>
                </w:p>
              </w:tc>
              <w:tc>
                <w:tcPr>
                  <w:tcW w:w="920" w:type="dxa"/>
                  <w:vAlign w:val="center"/>
                </w:tcPr>
                <w:p>
                  <w:pPr>
                    <w:pStyle w:val="42"/>
                  </w:pPr>
                  <w:r>
                    <w:t>0</w:t>
                  </w:r>
                </w:p>
              </w:tc>
              <w:tc>
                <w:tcPr>
                  <w:tcW w:w="1261" w:type="dxa"/>
                  <w:vAlign w:val="center"/>
                </w:tcPr>
                <w:p>
                  <w:pPr>
                    <w:pStyle w:val="42"/>
                  </w:pPr>
                  <w:r>
                    <w:t>9.33</w:t>
                  </w:r>
                </w:p>
              </w:tc>
              <w:tc>
                <w:tcPr>
                  <w:tcW w:w="1198" w:type="dxa"/>
                  <w:vAlign w:val="center"/>
                </w:tcPr>
                <w:p>
                  <w:pPr>
                    <w:pStyle w:val="42"/>
                  </w:pPr>
                  <w:r>
                    <w:t>0.30</w:t>
                  </w:r>
                </w:p>
              </w:tc>
            </w:tr>
          </w:tbl>
          <w:p>
            <w:pPr>
              <w:adjustRightInd w:val="0"/>
              <w:snapToGrid w:val="0"/>
              <w:spacing w:line="360" w:lineRule="auto"/>
              <w:ind w:firstLine="480" w:firstLineChars="200"/>
              <w:rPr>
                <w:kern w:val="0"/>
                <w:sz w:val="24"/>
              </w:rPr>
            </w:pPr>
            <w:r>
              <w:rPr>
                <w:kern w:val="0"/>
                <w:sz w:val="24"/>
              </w:rPr>
              <w:t>从表3-11可以看出，项目</w:t>
            </w:r>
            <w:r>
              <w:rPr>
                <w:rFonts w:hint="eastAsia"/>
                <w:kern w:val="0"/>
                <w:sz w:val="24"/>
              </w:rPr>
              <w:t>所在区域特征因子（</w:t>
            </w:r>
            <w:r>
              <w:rPr>
                <w:kern w:val="0"/>
                <w:sz w:val="24"/>
              </w:rPr>
              <w:t>TSP</w:t>
            </w:r>
            <w:r>
              <w:rPr>
                <w:rFonts w:hint="eastAsia"/>
                <w:kern w:val="0"/>
                <w:sz w:val="24"/>
              </w:rPr>
              <w:t>）</w:t>
            </w:r>
            <w:r>
              <w:rPr>
                <w:kern w:val="0"/>
                <w:sz w:val="24"/>
              </w:rPr>
              <w:t>日均浓度满足《环境空气质量标准》（GB</w:t>
            </w:r>
            <w:r>
              <w:rPr>
                <w:rFonts w:hint="eastAsia"/>
                <w:kern w:val="0"/>
                <w:sz w:val="24"/>
              </w:rPr>
              <w:t xml:space="preserve"> </w:t>
            </w:r>
            <w:r>
              <w:rPr>
                <w:kern w:val="0"/>
                <w:sz w:val="24"/>
              </w:rPr>
              <w:t>3095-2012）中二级浓度限值要求，项目</w:t>
            </w:r>
            <w:r>
              <w:rPr>
                <w:rFonts w:hint="eastAsia"/>
                <w:kern w:val="0"/>
                <w:sz w:val="24"/>
              </w:rPr>
              <w:t>所在</w:t>
            </w:r>
            <w:r>
              <w:rPr>
                <w:kern w:val="0"/>
                <w:sz w:val="24"/>
              </w:rPr>
              <w:t>区域空气质量良好</w:t>
            </w:r>
            <w:r>
              <w:rPr>
                <w:rFonts w:hint="eastAsia"/>
                <w:kern w:val="0"/>
                <w:sz w:val="24"/>
              </w:rPr>
              <w:t>，且具有一定的环境容量</w:t>
            </w:r>
            <w:r>
              <w:rPr>
                <w:kern w:val="0"/>
                <w:sz w:val="24"/>
              </w:rPr>
              <w:t>。</w:t>
            </w:r>
          </w:p>
          <w:p>
            <w:pPr>
              <w:adjustRightInd w:val="0"/>
              <w:snapToGrid w:val="0"/>
              <w:spacing w:line="360" w:lineRule="auto"/>
              <w:ind w:firstLine="562" w:firstLineChars="200"/>
              <w:rPr>
                <w:b/>
                <w:kern w:val="0"/>
                <w:sz w:val="28"/>
                <w:szCs w:val="28"/>
              </w:rPr>
            </w:pPr>
            <w:r>
              <w:rPr>
                <w:b/>
                <w:kern w:val="0"/>
                <w:sz w:val="28"/>
                <w:szCs w:val="28"/>
              </w:rPr>
              <w:t>3.3、地表水环境质量现状</w:t>
            </w:r>
          </w:p>
          <w:p>
            <w:pPr>
              <w:adjustRightInd w:val="0"/>
              <w:snapToGrid w:val="0"/>
              <w:spacing w:line="360" w:lineRule="auto"/>
              <w:ind w:firstLine="480" w:firstLineChars="200"/>
              <w:rPr>
                <w:kern w:val="0"/>
                <w:sz w:val="24"/>
              </w:rPr>
            </w:pPr>
            <w:r>
              <w:rPr>
                <w:rFonts w:hint="eastAsia"/>
                <w:kern w:val="0"/>
                <w:sz w:val="24"/>
              </w:rPr>
              <w:t>拟建项目属于阿蓬江流域，项目位于阿蓬江东侧约4.63km</w:t>
            </w:r>
            <w:r>
              <w:rPr>
                <w:kern w:val="0"/>
                <w:sz w:val="24"/>
              </w:rPr>
              <w:t>。</w:t>
            </w:r>
          </w:p>
          <w:p>
            <w:pPr>
              <w:adjustRightInd w:val="0"/>
              <w:snapToGrid w:val="0"/>
              <w:spacing w:line="360" w:lineRule="auto"/>
              <w:ind w:firstLine="480" w:firstLineChars="200"/>
              <w:rPr>
                <w:kern w:val="0"/>
                <w:sz w:val="24"/>
              </w:rPr>
            </w:pPr>
            <w:r>
              <w:rPr>
                <w:kern w:val="0"/>
                <w:sz w:val="24"/>
              </w:rPr>
              <w:t>根据《重庆市人民政府批转重庆市地表水环境功能类别调整方案的通知》（渝府发〔2012〕4号文）及《重庆市人民政府关于批转重庆市地表水环境功能类别局部调整方案的通知》（渝府〔2016〕43号），</w:t>
            </w:r>
            <w:r>
              <w:rPr>
                <w:rFonts w:hint="eastAsia"/>
                <w:kern w:val="0"/>
                <w:sz w:val="24"/>
              </w:rPr>
              <w:t>阿蓬江（酉阳段）</w:t>
            </w:r>
            <w:r>
              <w:rPr>
                <w:kern w:val="0"/>
                <w:sz w:val="24"/>
              </w:rPr>
              <w:t>主要</w:t>
            </w:r>
            <w:r>
              <w:rPr>
                <w:rFonts w:hint="eastAsia"/>
                <w:kern w:val="0"/>
                <w:sz w:val="24"/>
              </w:rPr>
              <w:t>用作饮用水</w:t>
            </w:r>
            <w:r>
              <w:rPr>
                <w:kern w:val="0"/>
                <w:sz w:val="24"/>
              </w:rPr>
              <w:t>，为Ⅲ类水域，执行《地表水环境质量标准》（GB</w:t>
            </w:r>
            <w:r>
              <w:rPr>
                <w:rFonts w:hint="eastAsia"/>
                <w:kern w:val="0"/>
                <w:sz w:val="24"/>
              </w:rPr>
              <w:t xml:space="preserve"> </w:t>
            </w:r>
            <w:r>
              <w:rPr>
                <w:kern w:val="0"/>
                <w:sz w:val="24"/>
              </w:rPr>
              <w:t>3838-2002）Ⅲ类标准。</w:t>
            </w:r>
          </w:p>
          <w:p>
            <w:pPr>
              <w:adjustRightInd w:val="0"/>
              <w:snapToGrid w:val="0"/>
              <w:spacing w:line="360" w:lineRule="auto"/>
              <w:ind w:firstLine="480" w:firstLineChars="200"/>
              <w:rPr>
                <w:kern w:val="0"/>
                <w:sz w:val="24"/>
              </w:rPr>
            </w:pPr>
            <w:r>
              <w:rPr>
                <w:kern w:val="0"/>
                <w:sz w:val="24"/>
              </w:rPr>
              <w:t>根据重庆市生态环境局发布的</w:t>
            </w:r>
            <w:r>
              <w:rPr>
                <w:rFonts w:hint="eastAsia"/>
                <w:kern w:val="0"/>
                <w:sz w:val="24"/>
              </w:rPr>
              <w:t>“2025年6月重庆市水环境质量状况</w:t>
            </w:r>
            <w:r>
              <w:rPr>
                <w:kern w:val="0"/>
                <w:sz w:val="24"/>
              </w:rPr>
              <w:t>（</w:t>
            </w:r>
            <w:r>
              <w:rPr>
                <w:rFonts w:hint="eastAsia"/>
                <w:kern w:val="0"/>
                <w:sz w:val="24"/>
              </w:rPr>
              <w:t>网址</w:t>
            </w:r>
            <w:r>
              <w:rPr>
                <w:kern w:val="0"/>
                <w:sz w:val="24"/>
              </w:rPr>
              <w:t>https://sthjj.cq.gov.cn/hjzl_249/shjzl/shjzlzk/），</w:t>
            </w:r>
            <w:r>
              <w:rPr>
                <w:rFonts w:hint="eastAsia"/>
                <w:kern w:val="0"/>
                <w:sz w:val="24"/>
              </w:rPr>
              <w:t>阿蓬江红花村断面</w:t>
            </w:r>
            <w:r>
              <w:rPr>
                <w:kern w:val="0"/>
                <w:sz w:val="24"/>
              </w:rPr>
              <w:t>水质类别</w:t>
            </w:r>
            <w:r>
              <w:rPr>
                <w:rFonts w:hint="eastAsia"/>
                <w:kern w:val="0"/>
                <w:sz w:val="24"/>
              </w:rPr>
              <w:t>可</w:t>
            </w:r>
            <w:r>
              <w:rPr>
                <w:kern w:val="0"/>
                <w:sz w:val="24"/>
              </w:rPr>
              <w:t>达到《地表水环境质量标准》（GB</w:t>
            </w:r>
            <w:r>
              <w:rPr>
                <w:rFonts w:hint="eastAsia"/>
                <w:kern w:val="0"/>
                <w:sz w:val="24"/>
              </w:rPr>
              <w:t xml:space="preserve"> </w:t>
            </w:r>
            <w:r>
              <w:rPr>
                <w:kern w:val="0"/>
                <w:sz w:val="24"/>
              </w:rPr>
              <w:t>3838-2002）II类水质标准，</w:t>
            </w:r>
            <w:r>
              <w:rPr>
                <w:rFonts w:hint="eastAsia"/>
                <w:kern w:val="0"/>
                <w:sz w:val="24"/>
              </w:rPr>
              <w:t>且现状水质优于</w:t>
            </w:r>
            <w:r>
              <w:rPr>
                <w:kern w:val="0"/>
                <w:sz w:val="24"/>
              </w:rPr>
              <w:t>水域功能的要求。</w:t>
            </w:r>
            <w:r>
              <w:rPr>
                <w:rFonts w:hint="eastAsia"/>
                <w:kern w:val="0"/>
                <w:sz w:val="24"/>
              </w:rPr>
              <w:t>则表明</w:t>
            </w:r>
            <w:r>
              <w:rPr>
                <w:kern w:val="0"/>
                <w:sz w:val="24"/>
              </w:rPr>
              <w:t>项目所在区域地表水环境质量现状</w:t>
            </w:r>
            <w:r>
              <w:rPr>
                <w:rFonts w:hint="eastAsia"/>
                <w:kern w:val="0"/>
                <w:sz w:val="24"/>
              </w:rPr>
              <w:t>优良</w:t>
            </w:r>
            <w:r>
              <w:rPr>
                <w:kern w:val="0"/>
                <w:sz w:val="24"/>
              </w:rPr>
              <w:t>，有一定环境容量。</w:t>
            </w:r>
          </w:p>
          <w:p>
            <w:pPr>
              <w:adjustRightInd w:val="0"/>
              <w:snapToGrid w:val="0"/>
              <w:spacing w:line="360" w:lineRule="auto"/>
              <w:ind w:firstLine="562" w:firstLineChars="200"/>
              <w:rPr>
                <w:b/>
                <w:kern w:val="0"/>
                <w:sz w:val="28"/>
                <w:szCs w:val="28"/>
              </w:rPr>
            </w:pPr>
            <w:r>
              <w:rPr>
                <w:b/>
                <w:kern w:val="0"/>
                <w:sz w:val="28"/>
                <w:szCs w:val="28"/>
              </w:rPr>
              <w:t>3.4、声环境质量现状</w:t>
            </w:r>
          </w:p>
          <w:p>
            <w:pPr>
              <w:adjustRightInd w:val="0"/>
              <w:snapToGrid w:val="0"/>
              <w:spacing w:line="360" w:lineRule="auto"/>
              <w:ind w:firstLine="482" w:firstLineChars="200"/>
              <w:rPr>
                <w:b/>
                <w:kern w:val="0"/>
                <w:sz w:val="24"/>
              </w:rPr>
            </w:pPr>
            <w:r>
              <w:rPr>
                <w:b/>
                <w:kern w:val="0"/>
                <w:sz w:val="24"/>
              </w:rPr>
              <w:t>（1）声环境质量现状调查</w:t>
            </w:r>
          </w:p>
          <w:p>
            <w:pPr>
              <w:adjustRightInd w:val="0"/>
              <w:snapToGrid w:val="0"/>
              <w:spacing w:line="360" w:lineRule="auto"/>
              <w:ind w:firstLine="480" w:firstLineChars="200"/>
              <w:rPr>
                <w:kern w:val="0"/>
                <w:sz w:val="24"/>
              </w:rPr>
            </w:pPr>
            <w:r>
              <w:rPr>
                <w:kern w:val="0"/>
                <w:sz w:val="24"/>
              </w:rPr>
              <w:t>为了解拟建项目所在区域环境噪声质量现状，建设单位委托重庆宏畴科技发展有限公司对项目所在区域周边声环境质量进行了现状实测。</w:t>
            </w:r>
          </w:p>
          <w:p>
            <w:pPr>
              <w:adjustRightInd w:val="0"/>
              <w:snapToGrid w:val="0"/>
              <w:spacing w:line="360" w:lineRule="auto"/>
              <w:ind w:firstLine="480" w:firstLineChars="200"/>
              <w:rPr>
                <w:kern w:val="0"/>
                <w:sz w:val="24"/>
              </w:rPr>
            </w:pPr>
            <w:r>
              <w:rPr>
                <w:kern w:val="0"/>
                <w:sz w:val="24"/>
              </w:rPr>
              <w:t>1）监测布点</w:t>
            </w:r>
          </w:p>
          <w:p>
            <w:pPr>
              <w:adjustRightInd w:val="0"/>
              <w:snapToGrid w:val="0"/>
              <w:spacing w:line="360" w:lineRule="auto"/>
              <w:ind w:firstLine="480" w:firstLineChars="200"/>
              <w:rPr>
                <w:kern w:val="0"/>
                <w:sz w:val="24"/>
              </w:rPr>
            </w:pPr>
            <w:r>
              <w:rPr>
                <w:kern w:val="0"/>
                <w:sz w:val="24"/>
              </w:rPr>
              <w:t>项目区共设</w:t>
            </w:r>
            <w:r>
              <w:rPr>
                <w:rFonts w:hint="eastAsia"/>
                <w:kern w:val="0"/>
                <w:sz w:val="24"/>
              </w:rPr>
              <w:t>1</w:t>
            </w:r>
            <w:r>
              <w:rPr>
                <w:kern w:val="0"/>
                <w:sz w:val="24"/>
              </w:rPr>
              <w:t>个噪声监测点，监测位置见表3-12、附图9。</w:t>
            </w:r>
          </w:p>
          <w:p>
            <w:pPr>
              <w:adjustRightInd w:val="0"/>
              <w:snapToGrid w:val="0"/>
              <w:jc w:val="center"/>
              <w:rPr>
                <w:b/>
                <w:kern w:val="0"/>
                <w:sz w:val="24"/>
              </w:rPr>
            </w:pPr>
            <w:r>
              <w:rPr>
                <w:b/>
                <w:kern w:val="0"/>
                <w:sz w:val="24"/>
              </w:rPr>
              <w:t>表3-12  噪声监测点</w:t>
            </w:r>
          </w:p>
          <w:tbl>
            <w:tblPr>
              <w:tblStyle w:val="15"/>
              <w:tblW w:w="9006"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515"/>
              <w:gridCol w:w="4499"/>
              <w:gridCol w:w="2992"/>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blHeader/>
              </w:trPr>
              <w:tc>
                <w:tcPr>
                  <w:tcW w:w="1515" w:type="dxa"/>
                  <w:vAlign w:val="center"/>
                </w:tcPr>
                <w:p>
                  <w:pPr>
                    <w:pStyle w:val="42"/>
                  </w:pPr>
                  <w:r>
                    <w:t>序号</w:t>
                  </w:r>
                </w:p>
              </w:tc>
              <w:tc>
                <w:tcPr>
                  <w:tcW w:w="4499" w:type="dxa"/>
                  <w:vAlign w:val="center"/>
                </w:tcPr>
                <w:p>
                  <w:pPr>
                    <w:pStyle w:val="42"/>
                  </w:pPr>
                  <w:r>
                    <w:t>监测点具体位置</w:t>
                  </w:r>
                </w:p>
              </w:tc>
              <w:tc>
                <w:tcPr>
                  <w:tcW w:w="2992" w:type="dxa"/>
                  <w:vAlign w:val="center"/>
                </w:tcPr>
                <w:p>
                  <w:pPr>
                    <w:pStyle w:val="42"/>
                  </w:pPr>
                  <w:r>
                    <w:t>主要声源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284" w:hRule="atLeast"/>
              </w:trPr>
              <w:tc>
                <w:tcPr>
                  <w:tcW w:w="1515" w:type="dxa"/>
                  <w:vAlign w:val="center"/>
                </w:tcPr>
                <w:p>
                  <w:pPr>
                    <w:pStyle w:val="42"/>
                  </w:pPr>
                  <w:r>
                    <w:rPr>
                      <w:rFonts w:hint="eastAsia"/>
                    </w:rPr>
                    <w:t>S1</w:t>
                  </w:r>
                </w:p>
              </w:tc>
              <w:tc>
                <w:tcPr>
                  <w:tcW w:w="4499" w:type="dxa"/>
                  <w:vAlign w:val="center"/>
                </w:tcPr>
                <w:p>
                  <w:pPr>
                    <w:pStyle w:val="42"/>
                  </w:pPr>
                  <w:r>
                    <w:rPr>
                      <w:rFonts w:hint="eastAsia"/>
                    </w:rPr>
                    <w:t>工业广场边界外西侧约40m房屋外</w:t>
                  </w:r>
                </w:p>
              </w:tc>
              <w:tc>
                <w:tcPr>
                  <w:tcW w:w="2992" w:type="dxa"/>
                  <w:vAlign w:val="center"/>
                </w:tcPr>
                <w:p>
                  <w:pPr>
                    <w:pStyle w:val="42"/>
                  </w:pPr>
                  <w:r>
                    <w:t>环境噪声</w:t>
                  </w:r>
                </w:p>
              </w:tc>
            </w:tr>
          </w:tbl>
          <w:p>
            <w:pPr>
              <w:adjustRightInd w:val="0"/>
              <w:snapToGrid w:val="0"/>
              <w:spacing w:line="360" w:lineRule="auto"/>
              <w:ind w:firstLine="480" w:firstLineChars="200"/>
              <w:rPr>
                <w:kern w:val="0"/>
                <w:sz w:val="24"/>
              </w:rPr>
            </w:pPr>
            <w:r>
              <w:rPr>
                <w:kern w:val="0"/>
                <w:sz w:val="24"/>
              </w:rPr>
              <w:t>2）监测项目</w:t>
            </w:r>
          </w:p>
          <w:p>
            <w:pPr>
              <w:adjustRightInd w:val="0"/>
              <w:snapToGrid w:val="0"/>
              <w:spacing w:line="360" w:lineRule="auto"/>
              <w:ind w:firstLine="480" w:firstLineChars="200"/>
              <w:rPr>
                <w:kern w:val="0"/>
                <w:sz w:val="24"/>
              </w:rPr>
            </w:pPr>
            <w:r>
              <w:rPr>
                <w:kern w:val="0"/>
                <w:sz w:val="24"/>
              </w:rPr>
              <w:t>等效连续A声级。</w:t>
            </w:r>
          </w:p>
          <w:p>
            <w:pPr>
              <w:adjustRightInd w:val="0"/>
              <w:snapToGrid w:val="0"/>
              <w:spacing w:line="360" w:lineRule="auto"/>
              <w:ind w:firstLine="480" w:firstLineChars="200"/>
              <w:rPr>
                <w:kern w:val="0"/>
                <w:sz w:val="24"/>
              </w:rPr>
            </w:pPr>
            <w:r>
              <w:rPr>
                <w:kern w:val="0"/>
                <w:sz w:val="24"/>
              </w:rPr>
              <w:t>3）监测时间及频率</w:t>
            </w:r>
          </w:p>
          <w:p>
            <w:pPr>
              <w:adjustRightInd w:val="0"/>
              <w:snapToGrid w:val="0"/>
              <w:spacing w:line="360" w:lineRule="auto"/>
              <w:ind w:firstLine="480" w:firstLineChars="200"/>
              <w:rPr>
                <w:kern w:val="0"/>
                <w:sz w:val="24"/>
              </w:rPr>
            </w:pPr>
            <w:r>
              <w:rPr>
                <w:kern w:val="0"/>
                <w:sz w:val="24"/>
              </w:rPr>
              <w:t>时间为202</w:t>
            </w:r>
            <w:r>
              <w:rPr>
                <w:rFonts w:hint="eastAsia"/>
                <w:kern w:val="0"/>
                <w:sz w:val="24"/>
              </w:rPr>
              <w:t>5</w:t>
            </w:r>
            <w:r>
              <w:rPr>
                <w:kern w:val="0"/>
                <w:sz w:val="24"/>
              </w:rPr>
              <w:t>年</w:t>
            </w:r>
            <w:r>
              <w:rPr>
                <w:rFonts w:hint="eastAsia"/>
                <w:kern w:val="0"/>
                <w:sz w:val="24"/>
              </w:rPr>
              <w:t>6</w:t>
            </w:r>
            <w:r>
              <w:rPr>
                <w:kern w:val="0"/>
                <w:sz w:val="24"/>
              </w:rPr>
              <w:t>月</w:t>
            </w:r>
            <w:r>
              <w:rPr>
                <w:rFonts w:hint="eastAsia"/>
                <w:kern w:val="0"/>
                <w:sz w:val="24"/>
              </w:rPr>
              <w:t>19</w:t>
            </w:r>
            <w:r>
              <w:rPr>
                <w:kern w:val="0"/>
                <w:sz w:val="24"/>
              </w:rPr>
              <w:t>日，每个监测点监测1天，每天昼、夜各监测1次。</w:t>
            </w:r>
          </w:p>
          <w:p>
            <w:pPr>
              <w:adjustRightInd w:val="0"/>
              <w:snapToGrid w:val="0"/>
              <w:spacing w:line="360" w:lineRule="auto"/>
              <w:ind w:firstLine="480" w:firstLineChars="200"/>
              <w:rPr>
                <w:kern w:val="0"/>
                <w:sz w:val="24"/>
              </w:rPr>
            </w:pPr>
            <w:r>
              <w:rPr>
                <w:kern w:val="0"/>
                <w:sz w:val="24"/>
              </w:rPr>
              <w:t>4）监测结果</w:t>
            </w:r>
          </w:p>
          <w:p>
            <w:pPr>
              <w:adjustRightInd w:val="0"/>
              <w:snapToGrid w:val="0"/>
              <w:spacing w:line="360" w:lineRule="auto"/>
              <w:ind w:firstLine="480" w:firstLineChars="200"/>
              <w:rPr>
                <w:kern w:val="0"/>
                <w:sz w:val="24"/>
              </w:rPr>
            </w:pPr>
            <w:r>
              <w:rPr>
                <w:kern w:val="0"/>
                <w:sz w:val="24"/>
              </w:rPr>
              <w:t>环境噪声现状监测结果见表3-13。</w:t>
            </w:r>
          </w:p>
          <w:p>
            <w:pPr>
              <w:adjustRightInd w:val="0"/>
              <w:snapToGrid w:val="0"/>
              <w:jc w:val="center"/>
              <w:rPr>
                <w:b/>
                <w:kern w:val="0"/>
                <w:sz w:val="24"/>
              </w:rPr>
            </w:pPr>
            <w:r>
              <w:rPr>
                <w:b/>
                <w:kern w:val="0"/>
                <w:sz w:val="24"/>
              </w:rPr>
              <w:t>表3-13  拟建项目声环境现状监测结果</w:t>
            </w:r>
          </w:p>
          <w:tbl>
            <w:tblPr>
              <w:tblStyle w:val="15"/>
              <w:tblW w:w="901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67"/>
              <w:gridCol w:w="2099"/>
              <w:gridCol w:w="1056"/>
              <w:gridCol w:w="946"/>
              <w:gridCol w:w="1312"/>
              <w:gridCol w:w="1726"/>
              <w:gridCol w:w="120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667" w:type="dxa"/>
                  <w:vAlign w:val="center"/>
                </w:tcPr>
                <w:p>
                  <w:pPr>
                    <w:pStyle w:val="42"/>
                  </w:pPr>
                  <w:bookmarkStart w:id="3" w:name="_Hlk161604448"/>
                  <w:r>
                    <w:t>编号</w:t>
                  </w:r>
                </w:p>
              </w:tc>
              <w:tc>
                <w:tcPr>
                  <w:tcW w:w="2099" w:type="dxa"/>
                  <w:vAlign w:val="center"/>
                </w:tcPr>
                <w:p>
                  <w:pPr>
                    <w:pStyle w:val="42"/>
                  </w:pPr>
                  <w:r>
                    <w:t>监测点位</w:t>
                  </w:r>
                </w:p>
              </w:tc>
              <w:tc>
                <w:tcPr>
                  <w:tcW w:w="2002" w:type="dxa"/>
                  <w:gridSpan w:val="2"/>
                  <w:vAlign w:val="center"/>
                </w:tcPr>
                <w:p>
                  <w:pPr>
                    <w:pStyle w:val="42"/>
                  </w:pPr>
                  <w:r>
                    <w:t>监测时间</w:t>
                  </w:r>
                </w:p>
              </w:tc>
              <w:tc>
                <w:tcPr>
                  <w:tcW w:w="1312" w:type="dxa"/>
                  <w:vAlign w:val="center"/>
                </w:tcPr>
                <w:p>
                  <w:pPr>
                    <w:pStyle w:val="42"/>
                  </w:pPr>
                  <w:r>
                    <w:t>Leq dB(A)</w:t>
                  </w:r>
                </w:p>
              </w:tc>
              <w:tc>
                <w:tcPr>
                  <w:tcW w:w="1726" w:type="dxa"/>
                  <w:tcBorders>
                    <w:right w:val="single" w:color="auto" w:sz="4" w:space="0"/>
                  </w:tcBorders>
                  <w:vAlign w:val="center"/>
                </w:tcPr>
                <w:p>
                  <w:pPr>
                    <w:pStyle w:val="42"/>
                  </w:pPr>
                  <w:r>
                    <w:t>评价标准dB(A)</w:t>
                  </w:r>
                </w:p>
              </w:tc>
              <w:tc>
                <w:tcPr>
                  <w:tcW w:w="1204" w:type="dxa"/>
                  <w:vAlign w:val="center"/>
                </w:tcPr>
                <w:p>
                  <w:pPr>
                    <w:pStyle w:val="42"/>
                  </w:pPr>
                  <w: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4" w:hRule="atLeast"/>
                <w:jc w:val="center"/>
              </w:trPr>
              <w:tc>
                <w:tcPr>
                  <w:tcW w:w="667" w:type="dxa"/>
                  <w:vAlign w:val="center"/>
                </w:tcPr>
                <w:p>
                  <w:pPr>
                    <w:pStyle w:val="42"/>
                  </w:pPr>
                  <w:r>
                    <w:rPr>
                      <w:rFonts w:hint="eastAsia"/>
                    </w:rPr>
                    <w:t>S1</w:t>
                  </w:r>
                </w:p>
              </w:tc>
              <w:tc>
                <w:tcPr>
                  <w:tcW w:w="2099" w:type="dxa"/>
                  <w:vAlign w:val="center"/>
                </w:tcPr>
                <w:p>
                  <w:pPr>
                    <w:pStyle w:val="42"/>
                  </w:pPr>
                  <w:r>
                    <w:rPr>
                      <w:rFonts w:hint="eastAsia"/>
                    </w:rPr>
                    <w:t>工业广场边界外西侧约40m房屋外</w:t>
                  </w:r>
                </w:p>
              </w:tc>
              <w:tc>
                <w:tcPr>
                  <w:tcW w:w="1056" w:type="dxa"/>
                  <w:vAlign w:val="center"/>
                </w:tcPr>
                <w:p>
                  <w:pPr>
                    <w:pStyle w:val="42"/>
                  </w:pPr>
                  <w:r>
                    <w:rPr>
                      <w:rFonts w:hint="eastAsia"/>
                    </w:rPr>
                    <w:t>2025.6.19</w:t>
                  </w:r>
                </w:p>
              </w:tc>
              <w:tc>
                <w:tcPr>
                  <w:tcW w:w="946" w:type="dxa"/>
                  <w:vAlign w:val="center"/>
                </w:tcPr>
                <w:p>
                  <w:pPr>
                    <w:pStyle w:val="42"/>
                  </w:pPr>
                  <w:r>
                    <w:t>昼间</w:t>
                  </w:r>
                </w:p>
              </w:tc>
              <w:tc>
                <w:tcPr>
                  <w:tcW w:w="1312" w:type="dxa"/>
                  <w:vAlign w:val="center"/>
                </w:tcPr>
                <w:p>
                  <w:pPr>
                    <w:pStyle w:val="42"/>
                  </w:pPr>
                  <w:r>
                    <w:rPr>
                      <w:rFonts w:hint="eastAsia"/>
                    </w:rPr>
                    <w:t>53</w:t>
                  </w:r>
                </w:p>
              </w:tc>
              <w:tc>
                <w:tcPr>
                  <w:tcW w:w="1726" w:type="dxa"/>
                  <w:tcBorders>
                    <w:right w:val="single" w:color="auto" w:sz="4" w:space="0"/>
                  </w:tcBorders>
                  <w:vAlign w:val="center"/>
                </w:tcPr>
                <w:p>
                  <w:pPr>
                    <w:pStyle w:val="42"/>
                  </w:pPr>
                  <w:r>
                    <w:t>60</w:t>
                  </w:r>
                </w:p>
              </w:tc>
              <w:tc>
                <w:tcPr>
                  <w:tcW w:w="1204" w:type="dxa"/>
                  <w:vAlign w:val="center"/>
                </w:tcPr>
                <w:p>
                  <w:pPr>
                    <w:pStyle w:val="42"/>
                  </w:pPr>
                  <w:r>
                    <w:t>达标</w:t>
                  </w:r>
                </w:p>
              </w:tc>
            </w:tr>
            <w:bookmarkEnd w:id="3"/>
          </w:tbl>
          <w:p>
            <w:pPr>
              <w:adjustRightInd w:val="0"/>
              <w:snapToGrid w:val="0"/>
              <w:spacing w:line="360" w:lineRule="auto"/>
              <w:ind w:firstLine="482" w:firstLineChars="200"/>
              <w:rPr>
                <w:b/>
                <w:kern w:val="0"/>
                <w:sz w:val="24"/>
              </w:rPr>
            </w:pPr>
            <w:r>
              <w:rPr>
                <w:b/>
                <w:kern w:val="0"/>
                <w:sz w:val="24"/>
              </w:rPr>
              <w:t>（2）声环境现状分析与评价</w:t>
            </w:r>
          </w:p>
          <w:p>
            <w:pPr>
              <w:adjustRightInd w:val="0"/>
              <w:snapToGrid w:val="0"/>
              <w:spacing w:line="360" w:lineRule="auto"/>
              <w:ind w:firstLine="480" w:firstLineChars="200"/>
              <w:rPr>
                <w:kern w:val="0"/>
                <w:sz w:val="24"/>
              </w:rPr>
            </w:pPr>
            <w:r>
              <w:rPr>
                <w:kern w:val="0"/>
                <w:sz w:val="24"/>
              </w:rPr>
              <w:t>由表3-13可知监测点昼间噪声满足《声环境质量标准》（GB</w:t>
            </w:r>
            <w:r>
              <w:rPr>
                <w:rFonts w:hint="eastAsia"/>
                <w:kern w:val="0"/>
                <w:sz w:val="24"/>
              </w:rPr>
              <w:t xml:space="preserve"> </w:t>
            </w:r>
            <w:r>
              <w:rPr>
                <w:kern w:val="0"/>
                <w:sz w:val="24"/>
              </w:rPr>
              <w:t>3096-2008）2类标准。因此，</w:t>
            </w:r>
            <w:r>
              <w:rPr>
                <w:rFonts w:hint="eastAsia"/>
                <w:kern w:val="0"/>
                <w:sz w:val="24"/>
              </w:rPr>
              <w:t>原项目开采期间，项目所在</w:t>
            </w:r>
            <w:r>
              <w:rPr>
                <w:kern w:val="0"/>
                <w:sz w:val="24"/>
              </w:rPr>
              <w:t>区域声环境现状较好。</w:t>
            </w:r>
          </w:p>
          <w:p>
            <w:pPr>
              <w:adjustRightInd w:val="0"/>
              <w:snapToGrid w:val="0"/>
              <w:spacing w:line="360" w:lineRule="auto"/>
              <w:ind w:firstLine="562" w:firstLineChars="200"/>
              <w:rPr>
                <w:b/>
                <w:kern w:val="0"/>
                <w:sz w:val="28"/>
                <w:szCs w:val="28"/>
              </w:rPr>
            </w:pPr>
            <w:r>
              <w:rPr>
                <w:b/>
                <w:kern w:val="0"/>
                <w:sz w:val="28"/>
                <w:szCs w:val="28"/>
              </w:rPr>
              <w:t>3.5、</w:t>
            </w:r>
            <w:r>
              <w:rPr>
                <w:rFonts w:hint="eastAsia"/>
                <w:b/>
                <w:kern w:val="0"/>
                <w:sz w:val="28"/>
                <w:szCs w:val="28"/>
              </w:rPr>
              <w:t>地下水、土壤</w:t>
            </w:r>
            <w:r>
              <w:rPr>
                <w:b/>
                <w:kern w:val="0"/>
                <w:sz w:val="28"/>
                <w:szCs w:val="28"/>
              </w:rPr>
              <w:t>环境质量现状</w:t>
            </w:r>
          </w:p>
          <w:p>
            <w:pPr>
              <w:adjustRightInd w:val="0"/>
              <w:snapToGrid w:val="0"/>
              <w:spacing w:line="360" w:lineRule="auto"/>
              <w:ind w:firstLine="480" w:firstLineChars="200"/>
              <w:rPr>
                <w:kern w:val="0"/>
                <w:sz w:val="24"/>
              </w:rPr>
            </w:pPr>
            <w:r>
              <w:rPr>
                <w:rFonts w:hint="eastAsia"/>
                <w:kern w:val="0"/>
                <w:sz w:val="24"/>
              </w:rPr>
              <w:t>根据《建设项目环境影响报告表编制技术指南》，地下水和土壤原则上可不开展环境质量现状调查。采区表土的挖损、暂存、回填为资源转移型，不会造成土壤污染；设有柴油罐区、危废贮存点，但其均已设置防腐防渗措施，隔绝下渗污染土壤、地下水的途径。由此，本次评价不进行</w:t>
            </w:r>
            <w:r>
              <w:rPr>
                <w:kern w:val="0"/>
                <w:sz w:val="24"/>
              </w:rPr>
              <w:t>地下水</w:t>
            </w:r>
            <w:r>
              <w:rPr>
                <w:rFonts w:hint="eastAsia"/>
                <w:kern w:val="0"/>
                <w:sz w:val="24"/>
              </w:rPr>
              <w:t>、</w:t>
            </w:r>
            <w:r>
              <w:rPr>
                <w:kern w:val="0"/>
                <w:sz w:val="24"/>
              </w:rPr>
              <w:t>土壤环境质量现状</w:t>
            </w:r>
            <w:r>
              <w:rPr>
                <w:rFonts w:hint="eastAsia"/>
                <w:kern w:val="0"/>
                <w:sz w:val="24"/>
              </w:rPr>
              <w:t>监测。</w:t>
            </w:r>
          </w:p>
          <w:p>
            <w:pPr>
              <w:adjustRightInd w:val="0"/>
              <w:snapToGrid w:val="0"/>
              <w:spacing w:line="360" w:lineRule="auto"/>
              <w:ind w:firstLine="562" w:firstLineChars="200"/>
              <w:rPr>
                <w:b/>
                <w:kern w:val="0"/>
                <w:sz w:val="28"/>
                <w:szCs w:val="28"/>
              </w:rPr>
            </w:pPr>
            <w:r>
              <w:rPr>
                <w:b/>
                <w:kern w:val="0"/>
                <w:sz w:val="28"/>
                <w:szCs w:val="28"/>
              </w:rPr>
              <w:t>3.6、</w:t>
            </w:r>
            <w:r>
              <w:rPr>
                <w:rFonts w:hint="eastAsia"/>
                <w:b/>
                <w:kern w:val="0"/>
                <w:sz w:val="28"/>
                <w:szCs w:val="28"/>
              </w:rPr>
              <w:t>电磁辐射</w:t>
            </w:r>
          </w:p>
          <w:p>
            <w:pPr>
              <w:adjustRightInd w:val="0"/>
              <w:snapToGrid w:val="0"/>
              <w:spacing w:line="360" w:lineRule="auto"/>
              <w:ind w:firstLine="480" w:firstLineChars="200"/>
              <w:rPr>
                <w:kern w:val="0"/>
                <w:sz w:val="24"/>
              </w:rPr>
            </w:pPr>
            <w:r>
              <w:rPr>
                <w:rFonts w:hint="eastAsia"/>
                <w:kern w:val="0"/>
                <w:sz w:val="24"/>
              </w:rPr>
              <w:t>拟建项目不属于广播电台、差转台、电视塔台、卫星地球上行站、雷达等电磁辐射类项目。</w:t>
            </w:r>
          </w:p>
        </w:tc>
      </w:tr>
    </w:tbl>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92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209" w:hRule="atLeast"/>
          <w:jc w:val="center"/>
        </w:trPr>
        <w:tc>
          <w:tcPr>
            <w:tcW w:w="455" w:type="dxa"/>
            <w:vAlign w:val="center"/>
          </w:tcPr>
          <w:p>
            <w:pPr>
              <w:adjustRightInd w:val="0"/>
              <w:snapToGrid w:val="0"/>
              <w:jc w:val="center"/>
              <w:rPr>
                <w:kern w:val="0"/>
                <w:sz w:val="24"/>
              </w:rPr>
            </w:pPr>
            <w:r>
              <w:br w:type="page"/>
            </w:r>
            <w:r>
              <w:br w:type="page"/>
            </w:r>
            <w:r>
              <w:rPr>
                <w:bCs/>
                <w:sz w:val="24"/>
              </w:rPr>
              <w:t>与项目有关的原有环境污染和生态破坏问题</w:t>
            </w:r>
          </w:p>
        </w:tc>
        <w:tc>
          <w:tcPr>
            <w:tcW w:w="9271" w:type="dxa"/>
          </w:tcPr>
          <w:p>
            <w:pPr>
              <w:adjustRightInd w:val="0"/>
              <w:snapToGrid w:val="0"/>
              <w:spacing w:line="360" w:lineRule="auto"/>
              <w:ind w:firstLine="482" w:firstLineChars="200"/>
              <w:rPr>
                <w:kern w:val="0"/>
                <w:sz w:val="24"/>
              </w:rPr>
            </w:pPr>
            <w:r>
              <w:rPr>
                <w:rFonts w:hint="eastAsia"/>
                <w:b/>
                <w:kern w:val="0"/>
                <w:sz w:val="24"/>
              </w:rPr>
              <w:t>（1）</w:t>
            </w:r>
            <w:r>
              <w:rPr>
                <w:b/>
                <w:kern w:val="0"/>
                <w:sz w:val="24"/>
              </w:rPr>
              <w:t>原项目</w:t>
            </w:r>
            <w:r>
              <w:rPr>
                <w:rFonts w:hint="eastAsia"/>
                <w:b/>
                <w:color w:val="0000FF"/>
                <w:kern w:val="0"/>
                <w:sz w:val="24"/>
              </w:rPr>
              <w:t>环保手续办理情况</w:t>
            </w:r>
          </w:p>
          <w:p>
            <w:pPr>
              <w:adjustRightInd w:val="0"/>
              <w:snapToGrid w:val="0"/>
              <w:spacing w:line="360" w:lineRule="auto"/>
              <w:ind w:firstLine="480" w:firstLineChars="200"/>
              <w:rPr>
                <w:bCs/>
                <w:color w:val="0000FF"/>
                <w:kern w:val="0"/>
                <w:sz w:val="24"/>
              </w:rPr>
            </w:pPr>
            <w:r>
              <w:rPr>
                <w:color w:val="0000FF"/>
                <w:kern w:val="0"/>
                <w:sz w:val="24"/>
              </w:rPr>
              <w:t>经调查，原项目</w:t>
            </w:r>
            <w:r>
              <w:rPr>
                <w:rFonts w:hint="eastAsia"/>
                <w:color w:val="0000FF"/>
                <w:kern w:val="0"/>
                <w:sz w:val="24"/>
              </w:rPr>
              <w:t>已</w:t>
            </w:r>
            <w:r>
              <w:rPr>
                <w:rFonts w:hint="eastAsia"/>
                <w:bCs/>
                <w:color w:val="0000FF"/>
                <w:sz w:val="24"/>
              </w:rPr>
              <w:t>于2017年6月12日提交了“现状环境影响评估报告”，并依规至酉阳土家族苗族自治县</w:t>
            </w:r>
            <w:r>
              <w:rPr>
                <w:bCs/>
                <w:color w:val="0000FF"/>
                <w:sz w:val="24"/>
              </w:rPr>
              <w:t>生态环境局</w:t>
            </w:r>
            <w:r>
              <w:rPr>
                <w:rFonts w:hint="eastAsia"/>
                <w:bCs/>
                <w:color w:val="0000FF"/>
                <w:sz w:val="24"/>
              </w:rPr>
              <w:t>备案，备案文号为“渝（酉阳）环违评估备</w:t>
            </w:r>
            <w:r>
              <w:rPr>
                <w:bCs/>
                <w:color w:val="0000FF"/>
                <w:sz w:val="24"/>
              </w:rPr>
              <w:t>〔</w:t>
            </w:r>
            <w:r>
              <w:rPr>
                <w:rFonts w:hint="eastAsia"/>
                <w:bCs/>
                <w:color w:val="0000FF"/>
                <w:sz w:val="24"/>
              </w:rPr>
              <w:t>2017</w:t>
            </w:r>
            <w:r>
              <w:rPr>
                <w:bCs/>
                <w:color w:val="0000FF"/>
                <w:sz w:val="24"/>
              </w:rPr>
              <w:t>〕</w:t>
            </w:r>
            <w:r>
              <w:rPr>
                <w:rFonts w:hint="eastAsia"/>
                <w:bCs/>
                <w:color w:val="0000FF"/>
                <w:sz w:val="24"/>
              </w:rPr>
              <w:t>18号”</w:t>
            </w:r>
            <w:r>
              <w:rPr>
                <w:bCs/>
                <w:color w:val="0000FF"/>
                <w:sz w:val="24"/>
              </w:rPr>
              <w:t>。</w:t>
            </w:r>
            <w:r>
              <w:rPr>
                <w:rFonts w:hint="eastAsia"/>
                <w:bCs/>
                <w:color w:val="0000FF"/>
                <w:sz w:val="24"/>
              </w:rPr>
              <w:t>2020年6月8日，该采矿场办理了原项目排污登记手续，登记编号：</w:t>
            </w:r>
            <w:r>
              <w:rPr>
                <w:bCs/>
                <w:color w:val="0000FF"/>
                <w:sz w:val="24"/>
              </w:rPr>
              <w:t>91500242691216555G001X</w:t>
            </w:r>
            <w:r>
              <w:rPr>
                <w:rFonts w:hint="eastAsia"/>
                <w:bCs/>
                <w:color w:val="0000FF"/>
                <w:sz w:val="24"/>
              </w:rPr>
              <w:t>。</w:t>
            </w:r>
          </w:p>
          <w:p>
            <w:pPr>
              <w:adjustRightInd w:val="0"/>
              <w:snapToGrid w:val="0"/>
              <w:spacing w:line="360" w:lineRule="auto"/>
              <w:ind w:firstLine="482" w:firstLineChars="200"/>
              <w:rPr>
                <w:kern w:val="0"/>
                <w:sz w:val="24"/>
              </w:rPr>
            </w:pPr>
            <w:r>
              <w:rPr>
                <w:rFonts w:hint="eastAsia"/>
                <w:b/>
                <w:kern w:val="0"/>
                <w:sz w:val="24"/>
              </w:rPr>
              <w:t>（2）</w:t>
            </w:r>
            <w:r>
              <w:rPr>
                <w:b/>
                <w:kern w:val="0"/>
                <w:sz w:val="24"/>
              </w:rPr>
              <w:t>原项目</w:t>
            </w:r>
            <w:r>
              <w:rPr>
                <w:rFonts w:hint="eastAsia"/>
                <w:b/>
                <w:kern w:val="0"/>
                <w:sz w:val="24"/>
              </w:rPr>
              <w:t>全厂主要污染物采取的环保措施及现状达标情况</w:t>
            </w:r>
          </w:p>
          <w:p>
            <w:pPr>
              <w:adjustRightInd w:val="0"/>
              <w:snapToGrid w:val="0"/>
              <w:spacing w:line="360" w:lineRule="auto"/>
              <w:ind w:firstLine="480" w:firstLineChars="200"/>
              <w:rPr>
                <w:kern w:val="0"/>
                <w:sz w:val="24"/>
              </w:rPr>
            </w:pPr>
            <w:r>
              <w:rPr>
                <w:kern w:val="0"/>
                <w:sz w:val="24"/>
              </w:rPr>
              <w:t>本次评价根据现场调查并参考</w:t>
            </w:r>
            <w:r>
              <w:rPr>
                <w:rFonts w:hint="eastAsia"/>
                <w:kern w:val="0"/>
                <w:sz w:val="24"/>
              </w:rPr>
              <w:t>“原项目现状环境影响评估报告</w:t>
            </w:r>
            <w:r>
              <w:rPr>
                <w:rFonts w:hint="eastAsia"/>
                <w:color w:val="0000FF"/>
                <w:kern w:val="0"/>
                <w:sz w:val="24"/>
              </w:rPr>
              <w:t>及专家意见</w:t>
            </w:r>
            <w:r>
              <w:rPr>
                <w:rFonts w:hint="eastAsia"/>
                <w:kern w:val="0"/>
                <w:sz w:val="24"/>
              </w:rPr>
              <w:t>”、监测报告等资料，统计原有项目污染物对应采取的环保措施及现状执行情况，具体如下：</w:t>
            </w:r>
          </w:p>
          <w:p>
            <w:pPr>
              <w:adjustRightInd w:val="0"/>
              <w:snapToGrid w:val="0"/>
              <w:spacing w:line="360" w:lineRule="auto"/>
              <w:ind w:firstLine="482" w:firstLineChars="200"/>
              <w:rPr>
                <w:b/>
                <w:kern w:val="0"/>
                <w:sz w:val="24"/>
              </w:rPr>
            </w:pPr>
            <w:r>
              <w:rPr>
                <w:b/>
                <w:kern w:val="0"/>
                <w:sz w:val="24"/>
              </w:rPr>
              <w:t>1）废水</w:t>
            </w:r>
          </w:p>
          <w:p>
            <w:pPr>
              <w:adjustRightInd w:val="0"/>
              <w:snapToGrid w:val="0"/>
              <w:spacing w:line="360" w:lineRule="auto"/>
              <w:ind w:firstLine="480" w:firstLineChars="200"/>
              <w:rPr>
                <w:kern w:val="0"/>
                <w:sz w:val="24"/>
              </w:rPr>
            </w:pPr>
            <w:r>
              <w:rPr>
                <w:rFonts w:hint="eastAsia"/>
                <w:kern w:val="0"/>
                <w:sz w:val="24"/>
              </w:rPr>
              <w:t>原项目生产阶段主要使用防尘洒水，无生产废水产生，</w:t>
            </w:r>
            <w:r>
              <w:rPr>
                <w:kern w:val="0"/>
                <w:sz w:val="24"/>
              </w:rPr>
              <w:t>主要</w:t>
            </w:r>
            <w:r>
              <w:rPr>
                <w:rFonts w:hint="eastAsia"/>
                <w:kern w:val="0"/>
                <w:sz w:val="24"/>
              </w:rPr>
              <w:t>废水</w:t>
            </w:r>
            <w:r>
              <w:rPr>
                <w:kern w:val="0"/>
                <w:sz w:val="24"/>
              </w:rPr>
              <w:t>为职工生活污水</w:t>
            </w:r>
            <w:r>
              <w:rPr>
                <w:rFonts w:hint="eastAsia"/>
                <w:kern w:val="0"/>
                <w:sz w:val="24"/>
              </w:rPr>
              <w:t>及雨季初期雨水</w:t>
            </w:r>
            <w:r>
              <w:rPr>
                <w:kern w:val="0"/>
                <w:sz w:val="24"/>
              </w:rPr>
              <w:t>。</w:t>
            </w:r>
          </w:p>
          <w:p>
            <w:pPr>
              <w:adjustRightInd w:val="0"/>
              <w:snapToGrid w:val="0"/>
              <w:spacing w:line="360" w:lineRule="auto"/>
              <w:ind w:firstLine="480" w:firstLineChars="200"/>
              <w:rPr>
                <w:kern w:val="0"/>
                <w:sz w:val="24"/>
              </w:rPr>
            </w:pPr>
            <w:r>
              <w:rPr>
                <w:kern w:val="0"/>
                <w:sz w:val="24"/>
              </w:rPr>
              <w:t>职工生活污水主要污染物为COD、SS、NH</w:t>
            </w:r>
            <w:r>
              <w:rPr>
                <w:kern w:val="0"/>
                <w:sz w:val="24"/>
                <w:vertAlign w:val="subscript"/>
              </w:rPr>
              <w:t>3</w:t>
            </w:r>
            <w:r>
              <w:rPr>
                <w:kern w:val="0"/>
                <w:sz w:val="24"/>
              </w:rPr>
              <w:t>-N、动植物油，生活污水经化粪池收集后用作农肥。</w:t>
            </w:r>
          </w:p>
          <w:p>
            <w:pPr>
              <w:adjustRightInd w:val="0"/>
              <w:snapToGrid w:val="0"/>
              <w:spacing w:line="360" w:lineRule="auto"/>
              <w:ind w:firstLine="480" w:firstLineChars="200"/>
              <w:rPr>
                <w:color w:val="0000FF"/>
                <w:kern w:val="0"/>
                <w:sz w:val="24"/>
              </w:rPr>
            </w:pPr>
            <w:r>
              <w:rPr>
                <w:rFonts w:hint="eastAsia"/>
                <w:kern w:val="0"/>
                <w:sz w:val="24"/>
              </w:rPr>
              <w:t>原项目环保手续办理期间，</w:t>
            </w:r>
            <w:r>
              <w:rPr>
                <w:rFonts w:hint="eastAsia"/>
                <w:color w:val="0000FF"/>
                <w:kern w:val="0"/>
                <w:sz w:val="24"/>
              </w:rPr>
              <w:t>项目矿区、工业广场、排土场周边均修建有截排水沟，并在厂区西部地势低洼处开挖了2个总容积为50m</w:t>
            </w:r>
            <w:r>
              <w:rPr>
                <w:rFonts w:hint="eastAsia"/>
                <w:color w:val="0000FF"/>
                <w:kern w:val="0"/>
                <w:sz w:val="24"/>
                <w:vertAlign w:val="superscript"/>
              </w:rPr>
              <w:t>3</w:t>
            </w:r>
            <w:r>
              <w:rPr>
                <w:rFonts w:hint="eastAsia"/>
                <w:color w:val="0000FF"/>
                <w:kern w:val="0"/>
                <w:sz w:val="24"/>
              </w:rPr>
              <w:t>的简易沉淀池收集沉淀初期雨水，初期雨水回用于厂区洒水降尘。经现场调查，因多年采矿活动，且缺少维护，矿区、排土场截排水沟已损坏，厂区西部简易沉淀池、工业广场周边截排水沟已填平废弃。因矿区高于排土场、工业广场，雨季矿区雨水漫流至下方各个生产单元，会出现雨季现场泥泞、厂区脏乱差的情况。此外，由于末端未设置初期雨水收集沉淀池，导致厂区初期雨水一直处于直排的情况。</w:t>
            </w:r>
          </w:p>
          <w:p>
            <w:pPr>
              <w:adjustRightInd w:val="0"/>
              <w:snapToGrid w:val="0"/>
              <w:spacing w:line="360" w:lineRule="auto"/>
              <w:ind w:firstLine="480" w:firstLineChars="200"/>
              <w:rPr>
                <w:color w:val="0000FF"/>
                <w:kern w:val="0"/>
                <w:sz w:val="24"/>
              </w:rPr>
            </w:pPr>
            <w:r>
              <w:rPr>
                <w:color w:val="0000FF"/>
                <w:kern w:val="0"/>
                <w:sz w:val="24"/>
              </w:rPr>
              <w:t>综上，</w:t>
            </w:r>
            <w:r>
              <w:rPr>
                <w:rFonts w:hint="eastAsia"/>
                <w:color w:val="0000FF"/>
                <w:kern w:val="0"/>
                <w:sz w:val="24"/>
              </w:rPr>
              <w:t>现阶段，原项目</w:t>
            </w:r>
            <w:r>
              <w:rPr>
                <w:color w:val="0000FF"/>
                <w:kern w:val="0"/>
                <w:sz w:val="24"/>
              </w:rPr>
              <w:t>生活污水</w:t>
            </w:r>
            <w:r>
              <w:rPr>
                <w:rFonts w:hint="eastAsia"/>
                <w:color w:val="0000FF"/>
                <w:kern w:val="0"/>
                <w:sz w:val="24"/>
              </w:rPr>
              <w:t>做到了合理处置</w:t>
            </w:r>
            <w:r>
              <w:rPr>
                <w:color w:val="0000FF"/>
                <w:kern w:val="0"/>
                <w:sz w:val="24"/>
              </w:rPr>
              <w:t>不外排</w:t>
            </w:r>
            <w:r>
              <w:rPr>
                <w:rFonts w:hint="eastAsia"/>
                <w:color w:val="0000FF"/>
                <w:kern w:val="0"/>
                <w:sz w:val="24"/>
              </w:rPr>
              <w:t>；但厂区未设置雨水导排系统，导致雨季厂内局部积水、脏乱差，且未收集沉淀初期雨水，雨季初期雨水直排可能会导致区域地表水体浑浊，对周边地表水环境有一定影响。截至目前，原项目暂未造成周边地表水环境污染事件，也未收到附近的居民、团体的投诉</w:t>
            </w:r>
            <w:r>
              <w:rPr>
                <w:color w:val="0000FF"/>
                <w:kern w:val="0"/>
                <w:sz w:val="24"/>
              </w:rPr>
              <w:t>。</w:t>
            </w:r>
          </w:p>
          <w:p>
            <w:pPr>
              <w:adjustRightInd w:val="0"/>
              <w:snapToGrid w:val="0"/>
              <w:spacing w:line="360" w:lineRule="auto"/>
              <w:ind w:firstLine="482" w:firstLineChars="200"/>
              <w:rPr>
                <w:b/>
                <w:kern w:val="0"/>
                <w:sz w:val="24"/>
              </w:rPr>
            </w:pPr>
            <w:r>
              <w:rPr>
                <w:b/>
                <w:kern w:val="0"/>
                <w:sz w:val="24"/>
              </w:rPr>
              <w:t>2）废气</w:t>
            </w:r>
          </w:p>
          <w:p>
            <w:pPr>
              <w:adjustRightInd w:val="0"/>
              <w:snapToGrid w:val="0"/>
              <w:spacing w:line="360" w:lineRule="auto"/>
              <w:ind w:firstLine="480" w:firstLineChars="200"/>
              <w:rPr>
                <w:kern w:val="0"/>
                <w:sz w:val="24"/>
              </w:rPr>
            </w:pPr>
            <w:r>
              <w:rPr>
                <w:rFonts w:hint="eastAsia"/>
                <w:kern w:val="0"/>
                <w:sz w:val="24"/>
              </w:rPr>
              <w:t>原项目正在</w:t>
            </w:r>
            <w:r>
              <w:rPr>
                <w:kern w:val="0"/>
                <w:sz w:val="24"/>
              </w:rPr>
              <w:t>对采区进行开采，并设置了工业广场</w:t>
            </w:r>
            <w:r>
              <w:rPr>
                <w:rFonts w:hint="eastAsia"/>
                <w:kern w:val="0"/>
                <w:sz w:val="24"/>
              </w:rPr>
              <w:t>进行碎石加工，</w:t>
            </w:r>
            <w:r>
              <w:rPr>
                <w:kern w:val="0"/>
                <w:sz w:val="24"/>
              </w:rPr>
              <w:t>废气主要</w:t>
            </w:r>
            <w:r>
              <w:rPr>
                <w:rFonts w:hint="eastAsia"/>
                <w:kern w:val="0"/>
                <w:sz w:val="24"/>
              </w:rPr>
              <w:t>为粉尘</w:t>
            </w:r>
            <w:r>
              <w:rPr>
                <w:kern w:val="0"/>
                <w:sz w:val="24"/>
              </w:rPr>
              <w:t>。</w:t>
            </w:r>
          </w:p>
          <w:p>
            <w:pPr>
              <w:adjustRightInd w:val="0"/>
              <w:snapToGrid w:val="0"/>
              <w:spacing w:line="360" w:lineRule="auto"/>
              <w:ind w:firstLine="480" w:firstLineChars="200"/>
              <w:rPr>
                <w:kern w:val="0"/>
                <w:sz w:val="24"/>
              </w:rPr>
            </w:pPr>
            <w:r>
              <w:rPr>
                <w:rFonts w:hint="eastAsia"/>
                <w:kern w:val="0"/>
                <w:sz w:val="24"/>
              </w:rPr>
              <w:t>①原项目</w:t>
            </w:r>
            <w:r>
              <w:rPr>
                <w:kern w:val="0"/>
                <w:sz w:val="24"/>
              </w:rPr>
              <w:t>采取的</w:t>
            </w:r>
            <w:r>
              <w:rPr>
                <w:rFonts w:hint="eastAsia"/>
                <w:kern w:val="0"/>
                <w:sz w:val="24"/>
              </w:rPr>
              <w:t>废气治理</w:t>
            </w:r>
            <w:r>
              <w:rPr>
                <w:kern w:val="0"/>
                <w:sz w:val="24"/>
              </w:rPr>
              <w:t>措施</w:t>
            </w:r>
          </w:p>
          <w:p>
            <w:pPr>
              <w:adjustRightInd w:val="0"/>
              <w:snapToGrid w:val="0"/>
              <w:spacing w:line="360" w:lineRule="auto"/>
              <w:ind w:firstLine="480" w:firstLineChars="200"/>
              <w:rPr>
                <w:kern w:val="0"/>
                <w:sz w:val="24"/>
              </w:rPr>
            </w:pPr>
            <w:r>
              <w:rPr>
                <w:rFonts w:hint="eastAsia"/>
                <w:kern w:val="0"/>
                <w:sz w:val="24"/>
              </w:rPr>
              <w:t>原项目环保手续办理期间，</w:t>
            </w:r>
            <w:r>
              <w:rPr>
                <w:color w:val="0000FF"/>
                <w:kern w:val="0"/>
                <w:sz w:val="24"/>
              </w:rPr>
              <w:t>针对采区</w:t>
            </w:r>
            <w:r>
              <w:rPr>
                <w:rFonts w:hint="eastAsia"/>
                <w:color w:val="0000FF"/>
                <w:kern w:val="0"/>
                <w:sz w:val="24"/>
              </w:rPr>
              <w:t>，</w:t>
            </w:r>
            <w:r>
              <w:rPr>
                <w:color w:val="0000FF"/>
                <w:kern w:val="0"/>
                <w:sz w:val="24"/>
              </w:rPr>
              <w:t>钻孔设备采用自带收尘装置</w:t>
            </w:r>
            <w:r>
              <w:rPr>
                <w:bCs/>
                <w:color w:val="0000FF"/>
                <w:kern w:val="0"/>
                <w:sz w:val="24"/>
              </w:rPr>
              <w:t>；</w:t>
            </w:r>
            <w:r>
              <w:rPr>
                <w:rFonts w:hint="eastAsia"/>
                <w:bCs/>
                <w:color w:val="0000FF"/>
                <w:kern w:val="0"/>
                <w:sz w:val="24"/>
              </w:rPr>
              <w:t>厂区运输道路、采剥工作面等处采取定期洒水抑尘措施</w:t>
            </w:r>
            <w:r>
              <w:rPr>
                <w:color w:val="0000FF"/>
                <w:kern w:val="0"/>
                <w:sz w:val="24"/>
              </w:rPr>
              <w:t>。</w:t>
            </w:r>
            <w:r>
              <w:rPr>
                <w:rFonts w:hint="eastAsia"/>
                <w:color w:val="0000FF"/>
                <w:kern w:val="0"/>
                <w:sz w:val="24"/>
              </w:rPr>
              <w:t>项目破碎、筛分设备安装在用彩钢围护形成的密闭工棚内，在破碎进料口、产品落料处各设置喷淋设备洒水降尘；在产品堆场设置喷淋设备，用于产品上车及场区道路洒水降尘。</w:t>
            </w:r>
          </w:p>
          <w:p>
            <w:pPr>
              <w:adjustRightInd w:val="0"/>
              <w:snapToGrid w:val="0"/>
              <w:spacing w:line="360" w:lineRule="auto"/>
              <w:ind w:firstLine="480" w:firstLineChars="200"/>
              <w:rPr>
                <w:kern w:val="0"/>
                <w:sz w:val="24"/>
              </w:rPr>
            </w:pPr>
            <w:r>
              <w:rPr>
                <w:rFonts w:hint="eastAsia"/>
                <w:kern w:val="0"/>
                <w:sz w:val="24"/>
              </w:rPr>
              <w:t>②原项目</w:t>
            </w:r>
            <w:r>
              <w:rPr>
                <w:kern w:val="0"/>
                <w:sz w:val="24"/>
              </w:rPr>
              <w:t>废气治理达标情况</w:t>
            </w:r>
          </w:p>
          <w:p>
            <w:pPr>
              <w:adjustRightInd w:val="0"/>
              <w:snapToGrid w:val="0"/>
              <w:spacing w:line="360" w:lineRule="auto"/>
              <w:ind w:firstLine="480" w:firstLineChars="200"/>
              <w:rPr>
                <w:kern w:val="0"/>
                <w:sz w:val="24"/>
              </w:rPr>
            </w:pPr>
            <w:r>
              <w:rPr>
                <w:rFonts w:hint="eastAsia"/>
                <w:kern w:val="0"/>
                <w:sz w:val="24"/>
              </w:rPr>
              <w:t>原项目环保手续办理期间，彭水县环境监测站出具的现状</w:t>
            </w:r>
            <w:r>
              <w:rPr>
                <w:kern w:val="0"/>
                <w:sz w:val="24"/>
              </w:rPr>
              <w:t>监测结果</w:t>
            </w:r>
            <w:r>
              <w:rPr>
                <w:rFonts w:hint="eastAsia"/>
                <w:kern w:val="0"/>
                <w:sz w:val="24"/>
              </w:rPr>
              <w:t>（彭水环监（委托）字〔2017〕第17号）</w:t>
            </w:r>
            <w:r>
              <w:rPr>
                <w:kern w:val="0"/>
                <w:sz w:val="24"/>
              </w:rPr>
              <w:t>，</w:t>
            </w:r>
            <w:r>
              <w:rPr>
                <w:rFonts w:hint="eastAsia"/>
                <w:kern w:val="0"/>
                <w:sz w:val="24"/>
              </w:rPr>
              <w:t>原项目在采取洒水降尘、</w:t>
            </w:r>
            <w:r>
              <w:rPr>
                <w:kern w:val="0"/>
                <w:sz w:val="24"/>
              </w:rPr>
              <w:t>钻孔设备自带收尘装置</w:t>
            </w:r>
            <w:r>
              <w:rPr>
                <w:rFonts w:hint="eastAsia"/>
                <w:kern w:val="0"/>
                <w:sz w:val="24"/>
              </w:rPr>
              <w:t>等措施后，</w:t>
            </w:r>
            <w:r>
              <w:rPr>
                <w:kern w:val="0"/>
                <w:sz w:val="24"/>
              </w:rPr>
              <w:t>项目厂界无组织排放监测点颗粒物浓度均满足</w:t>
            </w:r>
            <w:r>
              <w:rPr>
                <w:bCs/>
                <w:kern w:val="0"/>
                <w:sz w:val="24"/>
              </w:rPr>
              <w:t>《</w:t>
            </w:r>
            <w:r>
              <w:rPr>
                <w:kern w:val="0"/>
                <w:sz w:val="24"/>
              </w:rPr>
              <w:t>大气污染物综合排放标准》（DB</w:t>
            </w:r>
            <w:r>
              <w:rPr>
                <w:rFonts w:hint="eastAsia"/>
                <w:kern w:val="0"/>
                <w:sz w:val="24"/>
              </w:rPr>
              <w:t xml:space="preserve"> </w:t>
            </w:r>
            <w:r>
              <w:rPr>
                <w:kern w:val="0"/>
                <w:sz w:val="24"/>
              </w:rPr>
              <w:t>50/418-2016）无组织排放监控点浓度限值（颗粒物</w:t>
            </w:r>
            <w:r>
              <w:rPr>
                <w:rFonts w:hint="eastAsia"/>
                <w:kern w:val="0"/>
                <w:sz w:val="24"/>
              </w:rPr>
              <w:t>≦</w:t>
            </w:r>
            <w:r>
              <w:rPr>
                <w:kern w:val="0"/>
                <w:sz w:val="24"/>
              </w:rPr>
              <w:t>1.0mg/m</w:t>
            </w:r>
            <w:r>
              <w:rPr>
                <w:kern w:val="0"/>
                <w:sz w:val="24"/>
                <w:vertAlign w:val="superscript"/>
              </w:rPr>
              <w:t>3</w:t>
            </w:r>
            <w:r>
              <w:rPr>
                <w:kern w:val="0"/>
                <w:sz w:val="24"/>
              </w:rPr>
              <w:t>）</w:t>
            </w:r>
            <w:r>
              <w:rPr>
                <w:rFonts w:hint="eastAsia"/>
                <w:kern w:val="0"/>
                <w:sz w:val="24"/>
              </w:rPr>
              <w:t>。</w:t>
            </w:r>
          </w:p>
          <w:p>
            <w:pPr>
              <w:adjustRightInd w:val="0"/>
              <w:snapToGrid w:val="0"/>
              <w:spacing w:line="360" w:lineRule="auto"/>
              <w:ind w:firstLine="480" w:firstLineChars="200"/>
              <w:rPr>
                <w:kern w:val="0"/>
                <w:sz w:val="24"/>
              </w:rPr>
            </w:pPr>
            <w:r>
              <w:rPr>
                <w:rFonts w:hint="eastAsia"/>
                <w:kern w:val="0"/>
                <w:sz w:val="24"/>
              </w:rPr>
              <w:t>由此，原项目制定的废气治理措施合理可行，可做到废气稳定达标排放，对周边环境的影响较小。</w:t>
            </w:r>
          </w:p>
          <w:p>
            <w:pPr>
              <w:adjustRightInd w:val="0"/>
              <w:snapToGrid w:val="0"/>
              <w:spacing w:line="360" w:lineRule="auto"/>
              <w:ind w:firstLine="480" w:firstLineChars="200"/>
              <w:rPr>
                <w:kern w:val="0"/>
                <w:sz w:val="24"/>
              </w:rPr>
            </w:pPr>
            <w:r>
              <w:rPr>
                <w:rFonts w:hint="eastAsia"/>
                <w:kern w:val="0"/>
                <w:sz w:val="24"/>
              </w:rPr>
              <w:t>③原项目废气治理设施维护及周边投诉情况</w:t>
            </w:r>
          </w:p>
          <w:p>
            <w:pPr>
              <w:adjustRightInd w:val="0"/>
              <w:snapToGrid w:val="0"/>
              <w:spacing w:line="360" w:lineRule="auto"/>
              <w:ind w:firstLine="480" w:firstLineChars="200"/>
              <w:rPr>
                <w:kern w:val="0"/>
                <w:sz w:val="24"/>
              </w:rPr>
            </w:pPr>
            <w:r>
              <w:rPr>
                <w:rFonts w:hint="eastAsia"/>
                <w:kern w:val="0"/>
                <w:sz w:val="24"/>
              </w:rPr>
              <w:t>经现场调查，</w:t>
            </w:r>
            <w:r>
              <w:rPr>
                <w:rFonts w:hint="eastAsia"/>
                <w:color w:val="0000FF"/>
                <w:kern w:val="0"/>
                <w:sz w:val="24"/>
              </w:rPr>
              <w:t>现阶段，原项目生产过程中</w:t>
            </w:r>
            <w:r>
              <w:rPr>
                <w:color w:val="0000FF"/>
                <w:kern w:val="0"/>
                <w:sz w:val="24"/>
              </w:rPr>
              <w:t>钻孔设备采用</w:t>
            </w:r>
            <w:r>
              <w:rPr>
                <w:rFonts w:hint="eastAsia"/>
                <w:color w:val="0000FF"/>
                <w:kern w:val="0"/>
                <w:sz w:val="24"/>
              </w:rPr>
              <w:t>了</w:t>
            </w:r>
            <w:r>
              <w:rPr>
                <w:color w:val="0000FF"/>
                <w:kern w:val="0"/>
                <w:sz w:val="24"/>
              </w:rPr>
              <w:t>自带收尘装置</w:t>
            </w:r>
            <w:r>
              <w:rPr>
                <w:rFonts w:hint="eastAsia"/>
                <w:color w:val="0000FF"/>
                <w:kern w:val="0"/>
                <w:sz w:val="24"/>
              </w:rPr>
              <w:t>，但采区、加工区内布设的喷淋洒水装置均已坏损，建设单位暂未进行修复，项目生产阶段暂未进行洒水降尘，且发现加工区厂房多处（尤其为卸料口区域）呈现破损的现象，产生的工艺粉尘处于直排阶段。</w:t>
            </w:r>
            <w:r>
              <w:rPr>
                <w:rFonts w:hint="eastAsia"/>
                <w:kern w:val="0"/>
                <w:sz w:val="24"/>
              </w:rPr>
              <w:t>但根据前文大气环境</w:t>
            </w:r>
            <w:r>
              <w:rPr>
                <w:kern w:val="0"/>
                <w:sz w:val="24"/>
              </w:rPr>
              <w:t>质量现状</w:t>
            </w:r>
            <w:r>
              <w:rPr>
                <w:rFonts w:hint="eastAsia"/>
                <w:kern w:val="0"/>
                <w:sz w:val="24"/>
              </w:rPr>
              <w:t>补充监测数据</w:t>
            </w:r>
            <w:r>
              <w:rPr>
                <w:rFonts w:hint="eastAsia"/>
                <w:color w:val="0000FF"/>
                <w:kern w:val="0"/>
                <w:sz w:val="24"/>
              </w:rPr>
              <w:t>（见表3-11、附件10）</w:t>
            </w:r>
            <w:r>
              <w:rPr>
                <w:rFonts w:hint="eastAsia"/>
                <w:kern w:val="0"/>
                <w:sz w:val="24"/>
              </w:rPr>
              <w:t>可知，原项目生产期间，区域下风向</w:t>
            </w:r>
            <w:r>
              <w:rPr>
                <w:kern w:val="0"/>
                <w:sz w:val="24"/>
              </w:rPr>
              <w:t>TSP日均浓度</w:t>
            </w:r>
            <w:r>
              <w:rPr>
                <w:rFonts w:hint="eastAsia"/>
                <w:kern w:val="0"/>
                <w:sz w:val="24"/>
              </w:rPr>
              <w:t>仍</w:t>
            </w:r>
            <w:r>
              <w:rPr>
                <w:kern w:val="0"/>
                <w:sz w:val="24"/>
              </w:rPr>
              <w:t>满足《环境空气质量标准》（GB</w:t>
            </w:r>
            <w:r>
              <w:rPr>
                <w:rFonts w:hint="eastAsia"/>
                <w:kern w:val="0"/>
                <w:sz w:val="24"/>
              </w:rPr>
              <w:t xml:space="preserve"> </w:t>
            </w:r>
            <w:r>
              <w:rPr>
                <w:kern w:val="0"/>
                <w:sz w:val="24"/>
              </w:rPr>
              <w:t>3095-2012）中二级浓度限值要求，</w:t>
            </w:r>
            <w:r>
              <w:rPr>
                <w:rFonts w:hint="eastAsia"/>
                <w:kern w:val="0"/>
                <w:sz w:val="24"/>
              </w:rPr>
              <w:t>目前原项目现状生产对区域大气环境的影响仍可控</w:t>
            </w:r>
            <w:r>
              <w:rPr>
                <w:kern w:val="0"/>
                <w:sz w:val="24"/>
              </w:rPr>
              <w:t>。</w:t>
            </w:r>
            <w:r>
              <w:rPr>
                <w:rFonts w:hint="eastAsia"/>
                <w:kern w:val="0"/>
                <w:sz w:val="24"/>
              </w:rPr>
              <w:t>截至目前，未发现附近的居民、团体因建设单位排放粉尘而引起投诉与纠纷的情况。</w:t>
            </w:r>
          </w:p>
          <w:p>
            <w:pPr>
              <w:adjustRightInd w:val="0"/>
              <w:snapToGrid w:val="0"/>
              <w:spacing w:line="360" w:lineRule="auto"/>
              <w:ind w:firstLine="482" w:firstLineChars="200"/>
              <w:rPr>
                <w:b/>
                <w:kern w:val="0"/>
                <w:sz w:val="24"/>
              </w:rPr>
            </w:pPr>
            <w:r>
              <w:rPr>
                <w:b/>
                <w:kern w:val="0"/>
                <w:sz w:val="24"/>
              </w:rPr>
              <w:t>3）噪声</w:t>
            </w:r>
          </w:p>
          <w:p>
            <w:pPr>
              <w:adjustRightInd w:val="0"/>
              <w:snapToGrid w:val="0"/>
              <w:spacing w:line="360" w:lineRule="auto"/>
              <w:ind w:firstLine="480" w:firstLineChars="200"/>
              <w:rPr>
                <w:kern w:val="0"/>
                <w:sz w:val="24"/>
              </w:rPr>
            </w:pPr>
            <w:r>
              <w:rPr>
                <w:rFonts w:hint="eastAsia"/>
                <w:kern w:val="0"/>
                <w:sz w:val="24"/>
              </w:rPr>
              <w:t>①</w:t>
            </w:r>
            <w:r>
              <w:rPr>
                <w:kern w:val="0"/>
                <w:sz w:val="24"/>
              </w:rPr>
              <w:t>原项目采取的</w:t>
            </w:r>
            <w:r>
              <w:rPr>
                <w:rFonts w:hint="eastAsia"/>
                <w:kern w:val="0"/>
                <w:sz w:val="24"/>
              </w:rPr>
              <w:t>噪声治理</w:t>
            </w:r>
            <w:r>
              <w:rPr>
                <w:kern w:val="0"/>
                <w:sz w:val="24"/>
              </w:rPr>
              <w:t>措施</w:t>
            </w:r>
          </w:p>
          <w:p>
            <w:pPr>
              <w:adjustRightInd w:val="0"/>
              <w:snapToGrid w:val="0"/>
              <w:spacing w:line="360" w:lineRule="auto"/>
              <w:ind w:firstLine="480" w:firstLineChars="200"/>
              <w:rPr>
                <w:kern w:val="0"/>
                <w:sz w:val="24"/>
              </w:rPr>
            </w:pPr>
            <w:r>
              <w:rPr>
                <w:kern w:val="0"/>
                <w:sz w:val="24"/>
              </w:rPr>
              <w:t>原项目运营期主要噪声源为钻机、挖掘机、破碎机等生产设备及爆破噪声。项目夜间不进行生产。主要采取的噪声防治措施为爆破避开周边民众休息时段，合理安排运输等管理措施。</w:t>
            </w:r>
          </w:p>
          <w:p>
            <w:pPr>
              <w:adjustRightInd w:val="0"/>
              <w:snapToGrid w:val="0"/>
              <w:spacing w:line="360" w:lineRule="auto"/>
              <w:ind w:firstLine="480" w:firstLineChars="200"/>
              <w:rPr>
                <w:kern w:val="0"/>
                <w:sz w:val="24"/>
              </w:rPr>
            </w:pPr>
            <w:r>
              <w:rPr>
                <w:rFonts w:hint="eastAsia"/>
                <w:kern w:val="0"/>
                <w:sz w:val="24"/>
              </w:rPr>
              <w:t>②原项目噪声</w:t>
            </w:r>
            <w:r>
              <w:rPr>
                <w:kern w:val="0"/>
                <w:sz w:val="24"/>
              </w:rPr>
              <w:t>治理达标情况</w:t>
            </w:r>
          </w:p>
          <w:p>
            <w:pPr>
              <w:adjustRightInd w:val="0"/>
              <w:snapToGrid w:val="0"/>
              <w:spacing w:line="360" w:lineRule="auto"/>
              <w:ind w:firstLine="480" w:firstLineChars="200"/>
              <w:rPr>
                <w:color w:val="0000FF"/>
                <w:kern w:val="0"/>
                <w:sz w:val="24"/>
              </w:rPr>
            </w:pPr>
            <w:r>
              <w:rPr>
                <w:rFonts w:hint="eastAsia"/>
                <w:color w:val="0000FF"/>
                <w:kern w:val="0"/>
                <w:sz w:val="24"/>
              </w:rPr>
              <w:t>原项目环保手续办理期间，彭水县环境监测站出具的现状</w:t>
            </w:r>
            <w:r>
              <w:rPr>
                <w:color w:val="0000FF"/>
                <w:kern w:val="0"/>
                <w:sz w:val="24"/>
              </w:rPr>
              <w:t>监测结果</w:t>
            </w:r>
            <w:r>
              <w:rPr>
                <w:rFonts w:hint="eastAsia"/>
                <w:color w:val="0000FF"/>
                <w:kern w:val="0"/>
                <w:sz w:val="24"/>
              </w:rPr>
              <w:t>（彭水环监（委托）字〔2017〕第17号）</w:t>
            </w:r>
            <w:r>
              <w:rPr>
                <w:color w:val="0000FF"/>
                <w:kern w:val="0"/>
                <w:sz w:val="24"/>
              </w:rPr>
              <w:t>，项目厂界噪声均满足《工业企业厂界环境噪声排放标准》（GB</w:t>
            </w:r>
            <w:r>
              <w:rPr>
                <w:rFonts w:hint="eastAsia"/>
                <w:color w:val="0000FF"/>
                <w:kern w:val="0"/>
                <w:sz w:val="24"/>
              </w:rPr>
              <w:t xml:space="preserve"> </w:t>
            </w:r>
            <w:r>
              <w:rPr>
                <w:color w:val="0000FF"/>
                <w:kern w:val="0"/>
                <w:sz w:val="24"/>
              </w:rPr>
              <w:t>12348-2008）2类</w:t>
            </w:r>
            <w:r>
              <w:rPr>
                <w:rFonts w:hint="eastAsia"/>
                <w:color w:val="0000FF"/>
                <w:kern w:val="0"/>
                <w:sz w:val="24"/>
              </w:rPr>
              <w:t>标准；根据前文声环境</w:t>
            </w:r>
            <w:r>
              <w:rPr>
                <w:color w:val="0000FF"/>
                <w:kern w:val="0"/>
                <w:sz w:val="24"/>
              </w:rPr>
              <w:t>质量现状</w:t>
            </w:r>
            <w:r>
              <w:rPr>
                <w:rFonts w:hint="eastAsia"/>
                <w:color w:val="0000FF"/>
                <w:kern w:val="0"/>
                <w:sz w:val="24"/>
              </w:rPr>
              <w:t>补充监测数据（见表3-13）可知，原项目生产期间，监测点</w:t>
            </w:r>
            <w:r>
              <w:rPr>
                <w:color w:val="0000FF"/>
                <w:kern w:val="0"/>
                <w:sz w:val="24"/>
              </w:rPr>
              <w:t>昼间噪声满足《声环境质量标准》（GB</w:t>
            </w:r>
            <w:r>
              <w:rPr>
                <w:rFonts w:hint="eastAsia"/>
                <w:color w:val="0000FF"/>
                <w:kern w:val="0"/>
                <w:sz w:val="24"/>
              </w:rPr>
              <w:t xml:space="preserve"> </w:t>
            </w:r>
            <w:r>
              <w:rPr>
                <w:color w:val="0000FF"/>
                <w:kern w:val="0"/>
                <w:sz w:val="24"/>
              </w:rPr>
              <w:t>3096-2008）2类标准</w:t>
            </w:r>
            <w:r>
              <w:rPr>
                <w:rFonts w:hint="eastAsia"/>
                <w:color w:val="0000FF"/>
                <w:kern w:val="0"/>
                <w:sz w:val="24"/>
              </w:rPr>
              <w:t>，且原项目将矿界外3</w:t>
            </w:r>
            <w:r>
              <w:rPr>
                <w:color w:val="0000FF"/>
                <w:kern w:val="0"/>
                <w:sz w:val="24"/>
              </w:rPr>
              <w:t>00m范围内</w:t>
            </w:r>
            <w:r>
              <w:rPr>
                <w:rFonts w:hint="eastAsia"/>
                <w:color w:val="0000FF"/>
                <w:kern w:val="0"/>
                <w:sz w:val="24"/>
              </w:rPr>
              <w:t>的居民全部进行了协议腾空，原项目生产活动对于区域声环境的影响可控。截至目前，未发现附近的居民、团体因建设单位生产、爆破噪声而引起投诉与纠纷的情况。</w:t>
            </w:r>
          </w:p>
          <w:p>
            <w:pPr>
              <w:adjustRightInd w:val="0"/>
              <w:snapToGrid w:val="0"/>
              <w:spacing w:line="360" w:lineRule="auto"/>
              <w:ind w:firstLine="480" w:firstLineChars="200"/>
              <w:rPr>
                <w:kern w:val="0"/>
                <w:sz w:val="24"/>
              </w:rPr>
            </w:pPr>
            <w:r>
              <w:rPr>
                <w:rFonts w:hint="eastAsia"/>
                <w:kern w:val="0"/>
                <w:sz w:val="24"/>
              </w:rPr>
              <w:t>由此，说明原项目采取的噪声治理措施可行，可做到噪声稳定达标排放，</w:t>
            </w:r>
            <w:r>
              <w:rPr>
                <w:kern w:val="0"/>
                <w:sz w:val="24"/>
              </w:rPr>
              <w:t>对周边声环境的影响</w:t>
            </w:r>
            <w:r>
              <w:rPr>
                <w:rFonts w:hint="eastAsia"/>
                <w:kern w:val="0"/>
                <w:sz w:val="24"/>
              </w:rPr>
              <w:t>可控。</w:t>
            </w:r>
          </w:p>
          <w:p>
            <w:pPr>
              <w:adjustRightInd w:val="0"/>
              <w:snapToGrid w:val="0"/>
              <w:spacing w:line="360" w:lineRule="auto"/>
              <w:ind w:firstLine="482" w:firstLineChars="200"/>
              <w:rPr>
                <w:b/>
                <w:kern w:val="0"/>
                <w:sz w:val="24"/>
              </w:rPr>
            </w:pPr>
            <w:r>
              <w:rPr>
                <w:b/>
                <w:kern w:val="0"/>
                <w:sz w:val="24"/>
              </w:rPr>
              <w:t>4）固废</w:t>
            </w:r>
          </w:p>
          <w:p>
            <w:pPr>
              <w:adjustRightInd w:val="0"/>
              <w:snapToGrid w:val="0"/>
              <w:spacing w:line="360" w:lineRule="auto"/>
              <w:ind w:firstLine="480" w:firstLineChars="200"/>
              <w:rPr>
                <w:kern w:val="0"/>
                <w:sz w:val="24"/>
              </w:rPr>
            </w:pPr>
            <w:r>
              <w:rPr>
                <w:kern w:val="0"/>
                <w:sz w:val="24"/>
              </w:rPr>
              <w:t>主要来源于开采剥离的表土</w:t>
            </w:r>
            <w:r>
              <w:rPr>
                <w:rFonts w:hint="eastAsia"/>
                <w:kern w:val="0"/>
                <w:sz w:val="24"/>
              </w:rPr>
              <w:t>、风化</w:t>
            </w:r>
            <w:r>
              <w:rPr>
                <w:kern w:val="0"/>
                <w:sz w:val="24"/>
              </w:rPr>
              <w:t>废石</w:t>
            </w:r>
            <w:r>
              <w:rPr>
                <w:rFonts w:hint="eastAsia"/>
                <w:kern w:val="0"/>
                <w:sz w:val="24"/>
              </w:rPr>
              <w:t>、</w:t>
            </w:r>
            <w:r>
              <w:rPr>
                <w:kern w:val="0"/>
                <w:sz w:val="24"/>
              </w:rPr>
              <w:t>职工生活垃圾</w:t>
            </w:r>
            <w:r>
              <w:rPr>
                <w:rFonts w:hint="eastAsia"/>
                <w:kern w:val="0"/>
                <w:sz w:val="24"/>
              </w:rPr>
              <w:t>及</w:t>
            </w:r>
            <w:r>
              <w:rPr>
                <w:kern w:val="0"/>
                <w:sz w:val="24"/>
              </w:rPr>
              <w:t>。</w:t>
            </w:r>
          </w:p>
          <w:p>
            <w:pPr>
              <w:adjustRightInd w:val="0"/>
              <w:snapToGrid w:val="0"/>
              <w:spacing w:line="360" w:lineRule="auto"/>
              <w:ind w:firstLine="480" w:firstLineChars="200"/>
              <w:rPr>
                <w:kern w:val="0"/>
                <w:sz w:val="24"/>
              </w:rPr>
            </w:pPr>
            <w:r>
              <w:rPr>
                <w:rFonts w:hint="eastAsia"/>
                <w:kern w:val="0"/>
                <w:sz w:val="24"/>
              </w:rPr>
              <w:t>经</w:t>
            </w:r>
            <w:r>
              <w:rPr>
                <w:kern w:val="0"/>
                <w:sz w:val="24"/>
              </w:rPr>
              <w:t>调查，</w:t>
            </w:r>
            <w:r>
              <w:rPr>
                <w:rFonts w:hint="eastAsia"/>
                <w:kern w:val="0"/>
                <w:sz w:val="24"/>
              </w:rPr>
              <w:t>矿区矿层内无断、夹石，原项目产品为建筑石料，废石主要为表土与矿层接触面少量硬度不达标的风化废石，厚度约0.15m，</w:t>
            </w:r>
            <w:r>
              <w:rPr>
                <w:rFonts w:hint="eastAsia"/>
                <w:color w:val="0000FF"/>
                <w:kern w:val="0"/>
                <w:sz w:val="24"/>
              </w:rPr>
              <w:t>风化废石历史总产生量约4545m</w:t>
            </w:r>
            <w:r>
              <w:rPr>
                <w:rFonts w:hint="eastAsia"/>
                <w:color w:val="0000FF"/>
                <w:kern w:val="0"/>
                <w:sz w:val="24"/>
                <w:vertAlign w:val="superscript"/>
              </w:rPr>
              <w:t>3</w:t>
            </w:r>
            <w:r>
              <w:rPr>
                <w:rFonts w:hint="eastAsia"/>
                <w:color w:val="0000FF"/>
                <w:kern w:val="0"/>
                <w:sz w:val="24"/>
              </w:rPr>
              <w:t>，其中：约2045m</w:t>
            </w:r>
            <w:r>
              <w:rPr>
                <w:rFonts w:hint="eastAsia"/>
                <w:color w:val="0000FF"/>
                <w:kern w:val="0"/>
                <w:sz w:val="24"/>
                <w:vertAlign w:val="superscript"/>
              </w:rPr>
              <w:t>3</w:t>
            </w:r>
            <w:r>
              <w:rPr>
                <w:rFonts w:hint="eastAsia"/>
                <w:color w:val="0000FF"/>
                <w:kern w:val="0"/>
                <w:sz w:val="24"/>
              </w:rPr>
              <w:t>的风化废石已依照《原项目现状环境影响评估报告》的规定外售至附近乡村道路施工场地用作施工材料；但风化废石质软，仅能用作路基垫层，且存在运距长、成本贵、价值低等缺点，余下（约2045m</w:t>
            </w:r>
            <w:r>
              <w:rPr>
                <w:rFonts w:hint="eastAsia"/>
                <w:color w:val="0000FF"/>
                <w:kern w:val="0"/>
                <w:sz w:val="24"/>
                <w:vertAlign w:val="superscript"/>
              </w:rPr>
              <w:t>3</w:t>
            </w:r>
            <w:r>
              <w:rPr>
                <w:rFonts w:hint="eastAsia"/>
                <w:color w:val="0000FF"/>
                <w:kern w:val="0"/>
                <w:sz w:val="24"/>
              </w:rPr>
              <w:t>）风化废石现堆置于排土场内，场内堆高1~6m。</w:t>
            </w:r>
            <w:r>
              <w:rPr>
                <w:rFonts w:hint="eastAsia"/>
                <w:kern w:val="0"/>
                <w:sz w:val="24"/>
              </w:rPr>
              <w:t>根据建设单位介绍，原项目建矿早，早前未实行“边开采、边复垦”的开采方案，开采面上的土方为一次性整体剥离，剥离量约1.5万m</w:t>
            </w:r>
            <w:r>
              <w:rPr>
                <w:rFonts w:hint="eastAsia"/>
                <w:kern w:val="0"/>
                <w:sz w:val="24"/>
                <w:vertAlign w:val="superscript"/>
              </w:rPr>
              <w:t>3</w:t>
            </w:r>
            <w:r>
              <w:rPr>
                <w:rFonts w:hint="eastAsia"/>
                <w:kern w:val="0"/>
                <w:sz w:val="24"/>
              </w:rPr>
              <w:t>，已全部用于工业广场平场工程，未在排土场内暂存。</w:t>
            </w:r>
            <w:r>
              <w:rPr>
                <w:kern w:val="0"/>
                <w:sz w:val="24"/>
              </w:rPr>
              <w:t>生活垃圾实际产生量约1.65t/a，</w:t>
            </w:r>
            <w:r>
              <w:rPr>
                <w:rFonts w:hint="eastAsia"/>
                <w:kern w:val="0"/>
                <w:sz w:val="24"/>
              </w:rPr>
              <w:t>已</w:t>
            </w:r>
            <w:r>
              <w:rPr>
                <w:kern w:val="0"/>
                <w:sz w:val="24"/>
              </w:rPr>
              <w:t>统一收集后</w:t>
            </w:r>
            <w:r>
              <w:rPr>
                <w:rFonts w:hint="eastAsia"/>
                <w:kern w:val="0"/>
                <w:sz w:val="24"/>
              </w:rPr>
              <w:t>交环卫部门处置，</w:t>
            </w:r>
            <w:r>
              <w:rPr>
                <w:kern w:val="0"/>
                <w:sz w:val="24"/>
              </w:rPr>
              <w:t>调查区域未出现垃圾乱丢乱弃的现象。</w:t>
            </w:r>
          </w:p>
          <w:p>
            <w:pPr>
              <w:adjustRightInd w:val="0"/>
              <w:snapToGrid w:val="0"/>
              <w:spacing w:line="360" w:lineRule="auto"/>
              <w:ind w:firstLine="480" w:firstLineChars="200"/>
              <w:rPr>
                <w:bCs/>
                <w:color w:val="0000FF"/>
                <w:sz w:val="24"/>
              </w:rPr>
            </w:pPr>
            <w:r>
              <w:rPr>
                <w:rFonts w:hint="eastAsia"/>
                <w:kern w:val="0"/>
                <w:sz w:val="24"/>
              </w:rPr>
              <w:t>项目临近双泉乡场镇，场镇内有多家汽修厂，</w:t>
            </w:r>
            <w:r>
              <w:rPr>
                <w:color w:val="0000FF"/>
                <w:sz w:val="24"/>
              </w:rPr>
              <w:t>场内外运输车辆均在酉阳县</w:t>
            </w:r>
            <w:r>
              <w:rPr>
                <w:rFonts w:hint="eastAsia"/>
                <w:color w:val="0000FF"/>
                <w:sz w:val="24"/>
              </w:rPr>
              <w:t>双泉乡</w:t>
            </w:r>
            <w:r>
              <w:rPr>
                <w:color w:val="0000FF"/>
                <w:sz w:val="24"/>
              </w:rPr>
              <w:t>汽修厂定期保养、更换机油，厂区内不设运输车辆保养、维修车间</w:t>
            </w:r>
            <w:r>
              <w:rPr>
                <w:rFonts w:hint="eastAsia"/>
                <w:color w:val="0000FF"/>
                <w:sz w:val="24"/>
              </w:rPr>
              <w:t>。原</w:t>
            </w:r>
            <w:r>
              <w:rPr>
                <w:color w:val="0000FF"/>
                <w:sz w:val="24"/>
              </w:rPr>
              <w:t>项目</w:t>
            </w:r>
            <w:r>
              <w:rPr>
                <w:rFonts w:hint="eastAsia"/>
                <w:color w:val="0000FF"/>
                <w:sz w:val="24"/>
              </w:rPr>
              <w:t>开采</w:t>
            </w:r>
            <w:r>
              <w:rPr>
                <w:color w:val="0000FF"/>
                <w:sz w:val="24"/>
              </w:rPr>
              <w:t>期间开采、装载设备定期维护</w:t>
            </w:r>
            <w:r>
              <w:rPr>
                <w:rFonts w:hint="eastAsia"/>
                <w:color w:val="0000FF"/>
                <w:sz w:val="24"/>
              </w:rPr>
              <w:t>保养</w:t>
            </w:r>
            <w:r>
              <w:rPr>
                <w:color w:val="0000FF"/>
                <w:sz w:val="24"/>
              </w:rPr>
              <w:t>过程</w:t>
            </w:r>
            <w:r>
              <w:rPr>
                <w:rFonts w:hint="eastAsia"/>
                <w:color w:val="0000FF"/>
                <w:sz w:val="24"/>
              </w:rPr>
              <w:t>会</w:t>
            </w:r>
            <w:r>
              <w:rPr>
                <w:color w:val="0000FF"/>
                <w:sz w:val="24"/>
              </w:rPr>
              <w:t>产生</w:t>
            </w:r>
            <w:r>
              <w:rPr>
                <w:rFonts w:hint="eastAsia"/>
                <w:color w:val="0000FF"/>
                <w:sz w:val="24"/>
              </w:rPr>
              <w:t>少量</w:t>
            </w:r>
            <w:r>
              <w:rPr>
                <w:color w:val="0000FF"/>
                <w:sz w:val="24"/>
              </w:rPr>
              <w:t>废机油</w:t>
            </w:r>
            <w:r>
              <w:rPr>
                <w:rFonts w:hint="eastAsia"/>
                <w:color w:val="0000FF"/>
                <w:sz w:val="24"/>
              </w:rPr>
              <w:t>（</w:t>
            </w:r>
            <w:r>
              <w:rPr>
                <w:color w:val="0000FF"/>
                <w:sz w:val="24"/>
              </w:rPr>
              <w:t>废矿物油</w:t>
            </w:r>
            <w:r>
              <w:rPr>
                <w:rFonts w:hint="eastAsia"/>
                <w:color w:val="0000FF"/>
                <w:sz w:val="24"/>
              </w:rPr>
              <w:t>、</w:t>
            </w:r>
            <w:r>
              <w:rPr>
                <w:color w:val="0000FF"/>
                <w:sz w:val="24"/>
              </w:rPr>
              <w:t>HW08类</w:t>
            </w:r>
            <w:r>
              <w:rPr>
                <w:rFonts w:hint="eastAsia"/>
                <w:color w:val="0000FF"/>
                <w:sz w:val="24"/>
              </w:rPr>
              <w:t>）</w:t>
            </w:r>
            <w:r>
              <w:rPr>
                <w:color w:val="0000FF"/>
                <w:sz w:val="24"/>
              </w:rPr>
              <w:t>，产生量</w:t>
            </w:r>
            <w:r>
              <w:rPr>
                <w:rFonts w:hint="eastAsia"/>
                <w:color w:val="0000FF"/>
                <w:sz w:val="24"/>
              </w:rPr>
              <w:t>约</w:t>
            </w:r>
            <w:r>
              <w:rPr>
                <w:color w:val="0000FF"/>
                <w:sz w:val="24"/>
              </w:rPr>
              <w:t>为0.</w:t>
            </w:r>
            <w:r>
              <w:rPr>
                <w:rFonts w:hint="eastAsia"/>
                <w:color w:val="0000FF"/>
                <w:sz w:val="24"/>
              </w:rPr>
              <w:t>08</w:t>
            </w:r>
            <w:r>
              <w:rPr>
                <w:color w:val="0000FF"/>
                <w:sz w:val="24"/>
              </w:rPr>
              <w:t>t/a</w:t>
            </w:r>
            <w:r>
              <w:rPr>
                <w:rFonts w:hint="eastAsia"/>
                <w:color w:val="0000FF"/>
                <w:sz w:val="24"/>
              </w:rPr>
              <w:t>；原项目使用螺杆式空压机为采区钻机加压，空压机内水蒸气压缩冷凝会产生含油废液（含油冷凝液、</w:t>
            </w:r>
            <w:r>
              <w:rPr>
                <w:color w:val="0000FF"/>
                <w:sz w:val="24"/>
              </w:rPr>
              <w:t>HW09类</w:t>
            </w:r>
            <w:r>
              <w:rPr>
                <w:rFonts w:hint="eastAsia"/>
                <w:color w:val="0000FF"/>
                <w:sz w:val="24"/>
              </w:rPr>
              <w:t>），产生量约0.02t/a；原项目设备</w:t>
            </w:r>
            <w:r>
              <w:rPr>
                <w:color w:val="0000FF"/>
                <w:sz w:val="24"/>
              </w:rPr>
              <w:t>维护</w:t>
            </w:r>
            <w:r>
              <w:rPr>
                <w:rFonts w:hint="eastAsia"/>
                <w:color w:val="0000FF"/>
                <w:sz w:val="24"/>
              </w:rPr>
              <w:t>保养</w:t>
            </w:r>
            <w:r>
              <w:rPr>
                <w:bCs/>
                <w:color w:val="0000FF"/>
                <w:sz w:val="24"/>
              </w:rPr>
              <w:t>过程中产生的废弃沾染油污手套等劳保用品及抹布</w:t>
            </w:r>
            <w:r>
              <w:rPr>
                <w:rFonts w:hint="eastAsia"/>
                <w:bCs/>
                <w:color w:val="0000FF"/>
                <w:sz w:val="24"/>
              </w:rPr>
              <w:t>（</w:t>
            </w:r>
            <w:r>
              <w:rPr>
                <w:color w:val="0000FF"/>
                <w:sz w:val="24"/>
              </w:rPr>
              <w:t>HW</w:t>
            </w:r>
            <w:r>
              <w:rPr>
                <w:rFonts w:hint="eastAsia"/>
                <w:color w:val="0000FF"/>
                <w:sz w:val="24"/>
              </w:rPr>
              <w:t>4</w:t>
            </w:r>
            <w:r>
              <w:rPr>
                <w:color w:val="0000FF"/>
                <w:sz w:val="24"/>
              </w:rPr>
              <w:t>9类</w:t>
            </w:r>
            <w:r>
              <w:rPr>
                <w:rFonts w:hint="eastAsia"/>
                <w:bCs/>
                <w:color w:val="0000FF"/>
                <w:sz w:val="24"/>
              </w:rPr>
              <w:t>）</w:t>
            </w:r>
            <w:r>
              <w:rPr>
                <w:bCs/>
                <w:color w:val="0000FF"/>
                <w:sz w:val="24"/>
              </w:rPr>
              <w:t>的量约0.</w:t>
            </w:r>
            <w:r>
              <w:rPr>
                <w:rFonts w:hint="eastAsia"/>
                <w:bCs/>
                <w:color w:val="0000FF"/>
                <w:sz w:val="24"/>
              </w:rPr>
              <w:t>01</w:t>
            </w:r>
            <w:r>
              <w:rPr>
                <w:bCs/>
                <w:color w:val="0000FF"/>
                <w:sz w:val="24"/>
              </w:rPr>
              <w:t>t/a。</w:t>
            </w:r>
            <w:r>
              <w:rPr>
                <w:rFonts w:hint="eastAsia"/>
                <w:color w:val="0000FF"/>
                <w:sz w:val="24"/>
              </w:rPr>
              <w:t>对此</w:t>
            </w:r>
            <w:r>
              <w:rPr>
                <w:color w:val="0000FF"/>
                <w:sz w:val="24"/>
              </w:rPr>
              <w:t>，</w:t>
            </w:r>
            <w:r>
              <w:rPr>
                <w:rFonts w:hint="eastAsia"/>
                <w:color w:val="0000FF"/>
                <w:sz w:val="24"/>
              </w:rPr>
              <w:t>原</w:t>
            </w:r>
            <w:r>
              <w:rPr>
                <w:color w:val="0000FF"/>
                <w:sz w:val="24"/>
              </w:rPr>
              <w:t>项目</w:t>
            </w:r>
            <w:r>
              <w:rPr>
                <w:rFonts w:hint="eastAsia"/>
                <w:color w:val="0000FF"/>
                <w:sz w:val="24"/>
              </w:rPr>
              <w:t>已</w:t>
            </w:r>
            <w:r>
              <w:rPr>
                <w:bCs/>
                <w:color w:val="0000FF"/>
                <w:sz w:val="24"/>
              </w:rPr>
              <w:t>在</w:t>
            </w:r>
            <w:r>
              <w:rPr>
                <w:rFonts w:hint="eastAsia"/>
                <w:bCs/>
                <w:color w:val="0000FF"/>
                <w:sz w:val="24"/>
              </w:rPr>
              <w:t>办公楼1F西部区域</w:t>
            </w:r>
            <w:r>
              <w:rPr>
                <w:bCs/>
                <w:color w:val="0000FF"/>
                <w:sz w:val="24"/>
              </w:rPr>
              <w:t>建设</w:t>
            </w:r>
            <w:r>
              <w:rPr>
                <w:rFonts w:hint="eastAsia"/>
                <w:bCs/>
                <w:color w:val="0000FF"/>
                <w:sz w:val="24"/>
              </w:rPr>
              <w:t>了</w:t>
            </w:r>
            <w:r>
              <w:rPr>
                <w:bCs/>
                <w:color w:val="0000FF"/>
                <w:sz w:val="24"/>
              </w:rPr>
              <w:t>约8m</w:t>
            </w:r>
            <w:r>
              <w:rPr>
                <w:bCs/>
                <w:color w:val="0000FF"/>
                <w:sz w:val="24"/>
                <w:vertAlign w:val="superscript"/>
              </w:rPr>
              <w:t>2</w:t>
            </w:r>
            <w:r>
              <w:rPr>
                <w:bCs/>
                <w:color w:val="0000FF"/>
                <w:sz w:val="24"/>
              </w:rPr>
              <w:t>危废贮存点</w:t>
            </w:r>
            <w:r>
              <w:rPr>
                <w:rFonts w:hint="eastAsia"/>
                <w:bCs/>
                <w:color w:val="0000FF"/>
                <w:sz w:val="24"/>
              </w:rPr>
              <w:t>，</w:t>
            </w:r>
            <w:r>
              <w:rPr>
                <w:bCs/>
                <w:color w:val="0000FF"/>
                <w:sz w:val="24"/>
              </w:rPr>
              <w:t>并用含油固废收集桶进行集中收集后</w:t>
            </w:r>
            <w:r>
              <w:rPr>
                <w:rFonts w:hint="eastAsia"/>
                <w:bCs/>
                <w:color w:val="0000FF"/>
                <w:sz w:val="24"/>
              </w:rPr>
              <w:t>，连带收集桶一起</w:t>
            </w:r>
            <w:r>
              <w:rPr>
                <w:bCs/>
                <w:color w:val="0000FF"/>
                <w:sz w:val="24"/>
              </w:rPr>
              <w:t>定期交由有资质的单位</w:t>
            </w:r>
            <w:r>
              <w:rPr>
                <w:rFonts w:hint="eastAsia"/>
                <w:bCs/>
                <w:color w:val="0000FF"/>
                <w:sz w:val="24"/>
              </w:rPr>
              <w:t>（重庆盛宝环保咨询有限公司）收运处置。根据建设单位多年的运行经验，废收集桶（</w:t>
            </w:r>
            <w:r>
              <w:rPr>
                <w:color w:val="0000FF"/>
                <w:sz w:val="24"/>
              </w:rPr>
              <w:t>HW08类</w:t>
            </w:r>
            <w:r>
              <w:rPr>
                <w:rFonts w:hint="eastAsia"/>
                <w:bCs/>
                <w:color w:val="0000FF"/>
                <w:sz w:val="24"/>
              </w:rPr>
              <w:t>）使用量约0.04</w:t>
            </w:r>
            <w:r>
              <w:rPr>
                <w:color w:val="0000FF"/>
                <w:sz w:val="24"/>
              </w:rPr>
              <w:t>t/a</w:t>
            </w:r>
            <w:r>
              <w:rPr>
                <w:rFonts w:hint="eastAsia"/>
                <w:color w:val="0000FF"/>
                <w:sz w:val="24"/>
              </w:rPr>
              <w:t>。</w:t>
            </w:r>
          </w:p>
          <w:p>
            <w:pPr>
              <w:adjustRightInd w:val="0"/>
              <w:snapToGrid w:val="0"/>
              <w:spacing w:line="360" w:lineRule="auto"/>
              <w:ind w:firstLine="480" w:firstLineChars="200"/>
              <w:rPr>
                <w:kern w:val="0"/>
                <w:sz w:val="24"/>
              </w:rPr>
            </w:pPr>
            <w:r>
              <w:rPr>
                <w:rFonts w:hint="eastAsia"/>
                <w:kern w:val="0"/>
                <w:sz w:val="24"/>
              </w:rPr>
              <w:t>调查期间，</w:t>
            </w:r>
            <w:r>
              <w:rPr>
                <w:rFonts w:hint="eastAsia"/>
                <w:color w:val="0000FF"/>
                <w:kern w:val="0"/>
                <w:sz w:val="24"/>
              </w:rPr>
              <w:t>厂区危废贮存点已</w:t>
            </w:r>
            <w:r>
              <w:rPr>
                <w:rFonts w:hint="eastAsia"/>
                <w:bCs/>
                <w:color w:val="0000FF"/>
                <w:kern w:val="0"/>
                <w:sz w:val="24"/>
              </w:rPr>
              <w:t>按规定</w:t>
            </w:r>
            <w:r>
              <w:rPr>
                <w:bCs/>
                <w:color w:val="0000FF"/>
                <w:kern w:val="0"/>
                <w:sz w:val="24"/>
              </w:rPr>
              <w:t>采取</w:t>
            </w:r>
            <w:r>
              <w:rPr>
                <w:rFonts w:ascii="宋体" w:hAnsi="宋体"/>
                <w:bCs/>
                <w:color w:val="0000FF"/>
                <w:kern w:val="0"/>
                <w:sz w:val="24"/>
              </w:rPr>
              <w:t>“六防”</w:t>
            </w:r>
            <w:r>
              <w:rPr>
                <w:bCs/>
                <w:color w:val="0000FF"/>
                <w:kern w:val="0"/>
                <w:sz w:val="24"/>
              </w:rPr>
              <w:t>（防风、防雨、防晒、防渗、防漏、防腐）措施及泄漏物收集措施</w:t>
            </w:r>
            <w:r>
              <w:rPr>
                <w:rFonts w:hint="eastAsia"/>
                <w:bCs/>
                <w:color w:val="0000FF"/>
                <w:kern w:val="0"/>
                <w:sz w:val="24"/>
              </w:rPr>
              <w:t>，</w:t>
            </w:r>
            <w:r>
              <w:rPr>
                <w:color w:val="0000FF"/>
                <w:kern w:val="0"/>
                <w:sz w:val="24"/>
              </w:rPr>
              <w:t>配备干粉灭火器、消防沙、隔油栏、吸油毡等应急物资</w:t>
            </w:r>
            <w:r>
              <w:rPr>
                <w:rFonts w:hint="eastAsia"/>
                <w:color w:val="0000FF"/>
                <w:kern w:val="0"/>
                <w:sz w:val="24"/>
              </w:rPr>
              <w:t>并设置警示标识；各类固废按规定分类收集暂存或处置；</w:t>
            </w:r>
            <w:r>
              <w:rPr>
                <w:rFonts w:hint="eastAsia"/>
                <w:kern w:val="0"/>
                <w:sz w:val="24"/>
              </w:rPr>
              <w:t>厂区未发现固废乱堆乱弃的情况，也无相关投诉。</w:t>
            </w:r>
          </w:p>
          <w:p>
            <w:pPr>
              <w:adjustRightInd w:val="0"/>
              <w:snapToGrid w:val="0"/>
              <w:spacing w:line="360" w:lineRule="auto"/>
              <w:ind w:firstLine="482" w:firstLineChars="200"/>
              <w:rPr>
                <w:b/>
                <w:kern w:val="0"/>
                <w:sz w:val="24"/>
              </w:rPr>
            </w:pPr>
            <w:r>
              <w:rPr>
                <w:rFonts w:hint="eastAsia"/>
                <w:b/>
                <w:kern w:val="0"/>
                <w:sz w:val="24"/>
              </w:rPr>
              <w:t>5</w:t>
            </w:r>
            <w:r>
              <w:rPr>
                <w:b/>
                <w:kern w:val="0"/>
                <w:sz w:val="24"/>
              </w:rPr>
              <w:t>）原项目污染物产排情况</w:t>
            </w:r>
          </w:p>
          <w:p>
            <w:pPr>
              <w:adjustRightInd w:val="0"/>
              <w:snapToGrid w:val="0"/>
              <w:spacing w:line="360" w:lineRule="auto"/>
              <w:ind w:firstLine="480" w:firstLineChars="200"/>
              <w:rPr>
                <w:kern w:val="0"/>
                <w:sz w:val="24"/>
              </w:rPr>
            </w:pPr>
            <w:r>
              <w:rPr>
                <w:kern w:val="0"/>
                <w:sz w:val="24"/>
              </w:rPr>
              <w:t>现有项目污染物产排情况详见表3-1</w:t>
            </w:r>
            <w:r>
              <w:rPr>
                <w:rFonts w:hint="eastAsia"/>
                <w:kern w:val="0"/>
                <w:sz w:val="24"/>
              </w:rPr>
              <w:t>4</w:t>
            </w:r>
            <w:r>
              <w:rPr>
                <w:kern w:val="0"/>
                <w:sz w:val="24"/>
              </w:rPr>
              <w:t>所示。</w:t>
            </w:r>
          </w:p>
          <w:p>
            <w:pPr>
              <w:adjustRightInd w:val="0"/>
              <w:snapToGrid w:val="0"/>
              <w:jc w:val="center"/>
              <w:rPr>
                <w:b/>
                <w:kern w:val="0"/>
                <w:sz w:val="24"/>
              </w:rPr>
            </w:pPr>
            <w:r>
              <w:rPr>
                <w:b/>
                <w:kern w:val="0"/>
                <w:sz w:val="24"/>
              </w:rPr>
              <w:t>表3-1</w:t>
            </w:r>
            <w:r>
              <w:rPr>
                <w:rFonts w:hint="eastAsia"/>
                <w:b/>
                <w:kern w:val="0"/>
                <w:sz w:val="24"/>
              </w:rPr>
              <w:t>4</w:t>
            </w:r>
            <w:r>
              <w:rPr>
                <w:b/>
                <w:kern w:val="0"/>
                <w:sz w:val="24"/>
              </w:rPr>
              <w:t xml:space="preserve">  原有项目污染物产排情况</w:t>
            </w:r>
          </w:p>
          <w:tbl>
            <w:tblPr>
              <w:tblStyle w:val="15"/>
              <w:tblW w:w="903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21"/>
              <w:gridCol w:w="1564"/>
              <w:gridCol w:w="2560"/>
              <w:gridCol w:w="1848"/>
              <w:gridCol w:w="154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tblHeader/>
                <w:jc w:val="center"/>
              </w:trPr>
              <w:tc>
                <w:tcPr>
                  <w:tcW w:w="1521" w:type="dxa"/>
                  <w:tcBorders>
                    <w:tl2br w:val="single" w:color="000000" w:sz="6" w:space="0"/>
                  </w:tcBorders>
                  <w:vAlign w:val="center"/>
                </w:tcPr>
                <w:p>
                  <w:pPr>
                    <w:pStyle w:val="42"/>
                    <w:jc w:val="right"/>
                    <w:rPr>
                      <w:lang w:val="zh-CN" w:bidi="zh-CN"/>
                    </w:rPr>
                  </w:pPr>
                  <w:r>
                    <w:t>内容</w:t>
                  </w:r>
                </w:p>
                <w:p>
                  <w:pPr>
                    <w:pStyle w:val="42"/>
                    <w:jc w:val="left"/>
                    <w:rPr>
                      <w:lang w:val="zh-CN" w:bidi="zh-CN"/>
                    </w:rPr>
                  </w:pPr>
                  <w:r>
                    <w:t>类型</w:t>
                  </w:r>
                </w:p>
              </w:tc>
              <w:tc>
                <w:tcPr>
                  <w:tcW w:w="1564" w:type="dxa"/>
                  <w:vAlign w:val="center"/>
                </w:tcPr>
                <w:p>
                  <w:pPr>
                    <w:pStyle w:val="42"/>
                    <w:rPr>
                      <w:lang w:val="zh-CN" w:bidi="zh-CN"/>
                    </w:rPr>
                  </w:pPr>
                  <w:r>
                    <w:t>排放源</w:t>
                  </w:r>
                </w:p>
              </w:tc>
              <w:tc>
                <w:tcPr>
                  <w:tcW w:w="2560" w:type="dxa"/>
                  <w:vAlign w:val="center"/>
                </w:tcPr>
                <w:p>
                  <w:pPr>
                    <w:pStyle w:val="42"/>
                    <w:rPr>
                      <w:lang w:val="zh-CN" w:bidi="zh-CN"/>
                    </w:rPr>
                  </w:pPr>
                  <w:r>
                    <w:t>污染物名称</w:t>
                  </w:r>
                </w:p>
              </w:tc>
              <w:tc>
                <w:tcPr>
                  <w:tcW w:w="1848" w:type="dxa"/>
                  <w:vAlign w:val="center"/>
                </w:tcPr>
                <w:p>
                  <w:pPr>
                    <w:pStyle w:val="42"/>
                    <w:rPr>
                      <w:lang w:val="zh-CN" w:bidi="zh-CN"/>
                    </w:rPr>
                  </w:pPr>
                  <w:r>
                    <w:t>产生量</w:t>
                  </w:r>
                </w:p>
              </w:tc>
              <w:tc>
                <w:tcPr>
                  <w:tcW w:w="1546" w:type="dxa"/>
                  <w:vAlign w:val="center"/>
                </w:tcPr>
                <w:p>
                  <w:pPr>
                    <w:pStyle w:val="42"/>
                    <w:rPr>
                      <w:lang w:val="zh-CN" w:bidi="zh-CN"/>
                    </w:rPr>
                  </w:pPr>
                  <w:r>
                    <w:t>排放量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21" w:hRule="atLeast"/>
                <w:jc w:val="center"/>
              </w:trPr>
              <w:tc>
                <w:tcPr>
                  <w:tcW w:w="1521" w:type="dxa"/>
                  <w:vAlign w:val="center"/>
                </w:tcPr>
                <w:p>
                  <w:pPr>
                    <w:pStyle w:val="42"/>
                    <w:rPr>
                      <w:lang w:val="zh-CN" w:bidi="zh-CN"/>
                    </w:rPr>
                  </w:pPr>
                  <w:r>
                    <w:t>大气污染物</w:t>
                  </w:r>
                </w:p>
              </w:tc>
              <w:tc>
                <w:tcPr>
                  <w:tcW w:w="1564" w:type="dxa"/>
                  <w:vAlign w:val="center"/>
                </w:tcPr>
                <w:p>
                  <w:pPr>
                    <w:pStyle w:val="42"/>
                    <w:rPr>
                      <w:lang w:val="zh-CN" w:bidi="zh-CN"/>
                    </w:rPr>
                  </w:pPr>
                  <w:r>
                    <w:t>粉尘</w:t>
                  </w:r>
                </w:p>
              </w:tc>
              <w:tc>
                <w:tcPr>
                  <w:tcW w:w="2560" w:type="dxa"/>
                  <w:vAlign w:val="center"/>
                </w:tcPr>
                <w:p>
                  <w:pPr>
                    <w:pStyle w:val="42"/>
                    <w:rPr>
                      <w:lang w:val="zh-CN" w:bidi="zh-CN"/>
                    </w:rPr>
                  </w:pPr>
                  <w:r>
                    <w:t>无组织颗粒物</w:t>
                  </w:r>
                </w:p>
              </w:tc>
              <w:tc>
                <w:tcPr>
                  <w:tcW w:w="1848" w:type="dxa"/>
                  <w:vAlign w:val="center"/>
                </w:tcPr>
                <w:p>
                  <w:pPr>
                    <w:pStyle w:val="42"/>
                  </w:pPr>
                  <w:r>
                    <w:rPr>
                      <w:rFonts w:hint="eastAsia"/>
                    </w:rPr>
                    <w:t>122</w:t>
                  </w:r>
                  <w:r>
                    <w:t>t/a</w:t>
                  </w:r>
                </w:p>
              </w:tc>
              <w:tc>
                <w:tcPr>
                  <w:tcW w:w="1546" w:type="dxa"/>
                  <w:vAlign w:val="center"/>
                </w:tcPr>
                <w:p>
                  <w:pPr>
                    <w:pStyle w:val="42"/>
                  </w:pPr>
                  <w:r>
                    <w:rPr>
                      <w:rFonts w:hint="eastAsia"/>
                    </w:rPr>
                    <w:t>15.33</w:t>
                  </w:r>
                  <w: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521" w:type="dxa"/>
                  <w:vAlign w:val="center"/>
                </w:tcPr>
                <w:p>
                  <w:pPr>
                    <w:pStyle w:val="42"/>
                    <w:rPr>
                      <w:lang w:val="zh-CN" w:bidi="zh-CN"/>
                    </w:rPr>
                  </w:pPr>
                  <w:r>
                    <w:t>水污染</w:t>
                  </w:r>
                  <w:r>
                    <w:rPr>
                      <w:w w:val="99"/>
                    </w:rPr>
                    <w:t>物</w:t>
                  </w:r>
                </w:p>
              </w:tc>
              <w:tc>
                <w:tcPr>
                  <w:tcW w:w="1564" w:type="dxa"/>
                  <w:vAlign w:val="center"/>
                </w:tcPr>
                <w:p>
                  <w:pPr>
                    <w:pStyle w:val="42"/>
                    <w:rPr>
                      <w:lang w:val="zh-CN" w:bidi="zh-CN"/>
                    </w:rPr>
                  </w:pPr>
                  <w:r>
                    <w:t>生活污水</w:t>
                  </w:r>
                </w:p>
              </w:tc>
              <w:tc>
                <w:tcPr>
                  <w:tcW w:w="2560" w:type="dxa"/>
                  <w:vAlign w:val="center"/>
                </w:tcPr>
                <w:p>
                  <w:pPr>
                    <w:pStyle w:val="42"/>
                    <w:rPr>
                      <w:lang w:bidi="zh-CN"/>
                    </w:rPr>
                  </w:pPr>
                  <w:r>
                    <w:rPr>
                      <w:lang w:val="zh-CN" w:bidi="zh-CN"/>
                    </w:rPr>
                    <w:t>COD、BOD</w:t>
                  </w:r>
                  <w:r>
                    <w:rPr>
                      <w:vertAlign w:val="subscript"/>
                      <w:lang w:val="zh-CN" w:bidi="zh-CN"/>
                    </w:rPr>
                    <w:t>5</w:t>
                  </w:r>
                  <w:r>
                    <w:rPr>
                      <w:lang w:val="zh-CN" w:bidi="zh-CN"/>
                    </w:rPr>
                    <w:t>、SS、NH</w:t>
                  </w:r>
                  <w:r>
                    <w:rPr>
                      <w:vertAlign w:val="subscript"/>
                      <w:lang w:val="zh-CN" w:bidi="zh-CN"/>
                    </w:rPr>
                    <w:t>3</w:t>
                  </w:r>
                  <w:r>
                    <w:rPr>
                      <w:lang w:val="zh-CN" w:bidi="zh-CN"/>
                    </w:rPr>
                    <w:t>-N</w:t>
                  </w:r>
                </w:p>
              </w:tc>
              <w:tc>
                <w:tcPr>
                  <w:tcW w:w="1848" w:type="dxa"/>
                  <w:vAlign w:val="center"/>
                </w:tcPr>
                <w:p>
                  <w:pPr>
                    <w:pStyle w:val="42"/>
                  </w:pPr>
                  <w:r>
                    <w:rPr>
                      <w:rFonts w:hint="eastAsia"/>
                    </w:rPr>
                    <w:t>污水量：178.2m</w:t>
                  </w:r>
                  <w:r>
                    <w:rPr>
                      <w:rFonts w:hint="eastAsia"/>
                      <w:vertAlign w:val="superscript"/>
                    </w:rPr>
                    <w:t>3</w:t>
                  </w:r>
                  <w:r>
                    <w:t>/a</w:t>
                  </w:r>
                </w:p>
              </w:tc>
              <w:tc>
                <w:tcPr>
                  <w:tcW w:w="1546" w:type="dxa"/>
                  <w:vAlign w:val="center"/>
                </w:tcPr>
                <w:p>
                  <w:pPr>
                    <w:pStyle w:val="42"/>
                  </w:pPr>
                  <w: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521" w:type="dxa"/>
                  <w:vMerge w:val="restart"/>
                  <w:vAlign w:val="center"/>
                </w:tcPr>
                <w:p>
                  <w:pPr>
                    <w:pStyle w:val="42"/>
                    <w:rPr>
                      <w:lang w:bidi="zh-CN"/>
                    </w:rPr>
                  </w:pPr>
                  <w:r>
                    <w:t>固体废物</w:t>
                  </w:r>
                </w:p>
              </w:tc>
              <w:tc>
                <w:tcPr>
                  <w:tcW w:w="1564" w:type="dxa"/>
                  <w:vAlign w:val="center"/>
                </w:tcPr>
                <w:p>
                  <w:pPr>
                    <w:pStyle w:val="42"/>
                    <w:rPr>
                      <w:lang w:bidi="zh-CN"/>
                    </w:rPr>
                  </w:pPr>
                  <w:r>
                    <w:t>剥离表土</w:t>
                  </w:r>
                </w:p>
              </w:tc>
              <w:tc>
                <w:tcPr>
                  <w:tcW w:w="2560" w:type="dxa"/>
                  <w:vAlign w:val="center"/>
                </w:tcPr>
                <w:p>
                  <w:pPr>
                    <w:pStyle w:val="42"/>
                    <w:rPr>
                      <w:lang w:bidi="zh-CN"/>
                    </w:rPr>
                  </w:pPr>
                  <w:r>
                    <w:t>表土</w:t>
                  </w:r>
                </w:p>
              </w:tc>
              <w:tc>
                <w:tcPr>
                  <w:tcW w:w="1848" w:type="dxa"/>
                  <w:vAlign w:val="center"/>
                </w:tcPr>
                <w:p>
                  <w:pPr>
                    <w:pStyle w:val="42"/>
                    <w:rPr>
                      <w:lang w:bidi="zh-CN"/>
                    </w:rPr>
                  </w:pPr>
                  <w:r>
                    <w:rPr>
                      <w:rFonts w:hint="eastAsia"/>
                    </w:rPr>
                    <w:t>15000m</w:t>
                  </w:r>
                  <w:r>
                    <w:rPr>
                      <w:rFonts w:hint="eastAsia"/>
                      <w:vertAlign w:val="superscript"/>
                    </w:rPr>
                    <w:t>3</w:t>
                  </w:r>
                </w:p>
              </w:tc>
              <w:tc>
                <w:tcPr>
                  <w:tcW w:w="1546" w:type="dxa"/>
                  <w:vAlign w:val="center"/>
                </w:tcPr>
                <w:p>
                  <w:pPr>
                    <w:pStyle w:val="42"/>
                    <w:rPr>
                      <w:lang w:bidi="zh-CN"/>
                    </w:rPr>
                  </w:pPr>
                  <w:r>
                    <w:rPr>
                      <w:w w:val="99"/>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521" w:type="dxa"/>
                  <w:vMerge w:val="continue"/>
                  <w:vAlign w:val="center"/>
                </w:tcPr>
                <w:p>
                  <w:pPr>
                    <w:pStyle w:val="42"/>
                  </w:pPr>
                </w:p>
              </w:tc>
              <w:tc>
                <w:tcPr>
                  <w:tcW w:w="1564" w:type="dxa"/>
                  <w:vAlign w:val="center"/>
                </w:tcPr>
                <w:p>
                  <w:pPr>
                    <w:pStyle w:val="42"/>
                  </w:pPr>
                  <w:r>
                    <w:t>剥离废石</w:t>
                  </w:r>
                </w:p>
              </w:tc>
              <w:tc>
                <w:tcPr>
                  <w:tcW w:w="2560" w:type="dxa"/>
                  <w:vAlign w:val="center"/>
                </w:tcPr>
                <w:p>
                  <w:pPr>
                    <w:pStyle w:val="42"/>
                  </w:pPr>
                  <w:r>
                    <w:rPr>
                      <w:rFonts w:hint="eastAsia"/>
                    </w:rPr>
                    <w:t>风化</w:t>
                  </w:r>
                  <w:r>
                    <w:t>废石</w:t>
                  </w:r>
                </w:p>
              </w:tc>
              <w:tc>
                <w:tcPr>
                  <w:tcW w:w="1848" w:type="dxa"/>
                  <w:vAlign w:val="center"/>
                </w:tcPr>
                <w:p>
                  <w:pPr>
                    <w:pStyle w:val="42"/>
                  </w:pPr>
                  <w:r>
                    <w:rPr>
                      <w:color w:val="0000FF"/>
                    </w:rPr>
                    <w:t>4545</w:t>
                  </w:r>
                  <w:r>
                    <w:rPr>
                      <w:rFonts w:hint="eastAsia"/>
                      <w:color w:val="0000FF"/>
                    </w:rPr>
                    <w:t>m</w:t>
                  </w:r>
                  <w:r>
                    <w:rPr>
                      <w:rFonts w:hint="eastAsia"/>
                      <w:color w:val="0000FF"/>
                      <w:vertAlign w:val="superscript"/>
                    </w:rPr>
                    <w:t>3</w:t>
                  </w:r>
                </w:p>
              </w:tc>
              <w:tc>
                <w:tcPr>
                  <w:tcW w:w="1546" w:type="dxa"/>
                  <w:vAlign w:val="center"/>
                </w:tcPr>
                <w:p>
                  <w:pPr>
                    <w:pStyle w:val="42"/>
                    <w:rPr>
                      <w:w w:val="99"/>
                    </w:rPr>
                  </w:pPr>
                  <w:r>
                    <w:rPr>
                      <w:w w:val="99"/>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521" w:type="dxa"/>
                  <w:vMerge w:val="continue"/>
                  <w:vAlign w:val="center"/>
                </w:tcPr>
                <w:p>
                  <w:pPr>
                    <w:pStyle w:val="42"/>
                    <w:rPr>
                      <w:lang w:bidi="zh-CN"/>
                    </w:rPr>
                  </w:pPr>
                </w:p>
              </w:tc>
              <w:tc>
                <w:tcPr>
                  <w:tcW w:w="1564" w:type="dxa"/>
                  <w:vAlign w:val="center"/>
                </w:tcPr>
                <w:p>
                  <w:pPr>
                    <w:pStyle w:val="42"/>
                    <w:rPr>
                      <w:lang w:bidi="zh-CN"/>
                    </w:rPr>
                  </w:pPr>
                  <w:r>
                    <w:t>生活垃圾</w:t>
                  </w:r>
                </w:p>
              </w:tc>
              <w:tc>
                <w:tcPr>
                  <w:tcW w:w="2560" w:type="dxa"/>
                  <w:vAlign w:val="center"/>
                </w:tcPr>
                <w:p>
                  <w:pPr>
                    <w:pStyle w:val="42"/>
                    <w:rPr>
                      <w:lang w:bidi="zh-CN"/>
                    </w:rPr>
                  </w:pPr>
                  <w:r>
                    <w:t>生活垃圾</w:t>
                  </w:r>
                </w:p>
              </w:tc>
              <w:tc>
                <w:tcPr>
                  <w:tcW w:w="1848" w:type="dxa"/>
                  <w:vAlign w:val="center"/>
                </w:tcPr>
                <w:p>
                  <w:pPr>
                    <w:pStyle w:val="42"/>
                    <w:rPr>
                      <w:lang w:bidi="zh-CN"/>
                    </w:rPr>
                  </w:pPr>
                  <w:r>
                    <w:t>1.65t/a</w:t>
                  </w:r>
                </w:p>
              </w:tc>
              <w:tc>
                <w:tcPr>
                  <w:tcW w:w="1546" w:type="dxa"/>
                  <w:vAlign w:val="center"/>
                </w:tcPr>
                <w:p>
                  <w:pPr>
                    <w:pStyle w:val="42"/>
                    <w:rPr>
                      <w:lang w:bidi="zh-CN"/>
                    </w:rPr>
                  </w:pPr>
                  <w:r>
                    <w:rPr>
                      <w:w w:val="99"/>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trHeight w:val="397" w:hRule="atLeast"/>
                <w:jc w:val="center"/>
              </w:trPr>
              <w:tc>
                <w:tcPr>
                  <w:tcW w:w="1521" w:type="dxa"/>
                  <w:vMerge w:val="continue"/>
                  <w:vAlign w:val="center"/>
                </w:tcPr>
                <w:p>
                  <w:pPr>
                    <w:pStyle w:val="42"/>
                    <w:rPr>
                      <w:lang w:bidi="zh-CN"/>
                    </w:rPr>
                  </w:pPr>
                </w:p>
              </w:tc>
              <w:tc>
                <w:tcPr>
                  <w:tcW w:w="1564" w:type="dxa"/>
                  <w:vMerge w:val="restart"/>
                  <w:vAlign w:val="center"/>
                </w:tcPr>
                <w:p>
                  <w:pPr>
                    <w:pStyle w:val="42"/>
                    <w:rPr>
                      <w:color w:val="0000FF"/>
                    </w:rPr>
                  </w:pPr>
                  <w:r>
                    <w:rPr>
                      <w:rFonts w:hint="eastAsia"/>
                      <w:color w:val="0000FF"/>
                    </w:rPr>
                    <w:t>设备保养危废</w:t>
                  </w:r>
                </w:p>
              </w:tc>
              <w:tc>
                <w:tcPr>
                  <w:tcW w:w="2560" w:type="dxa"/>
                  <w:vAlign w:val="center"/>
                </w:tcPr>
                <w:p>
                  <w:pPr>
                    <w:pStyle w:val="42"/>
                    <w:rPr>
                      <w:color w:val="0000FF"/>
                    </w:rPr>
                  </w:pPr>
                  <w:r>
                    <w:rPr>
                      <w:color w:val="0000FF"/>
                    </w:rPr>
                    <w:t>废矿物油</w:t>
                  </w:r>
                </w:p>
              </w:tc>
              <w:tc>
                <w:tcPr>
                  <w:tcW w:w="1848" w:type="dxa"/>
                  <w:vAlign w:val="center"/>
                </w:tcPr>
                <w:p>
                  <w:pPr>
                    <w:pStyle w:val="42"/>
                    <w:rPr>
                      <w:color w:val="0000FF"/>
                    </w:rPr>
                  </w:pPr>
                  <w:r>
                    <w:rPr>
                      <w:color w:val="0000FF"/>
                    </w:rPr>
                    <w:t>0.08t/a</w:t>
                  </w:r>
                </w:p>
              </w:tc>
              <w:tc>
                <w:tcPr>
                  <w:tcW w:w="1546" w:type="dxa"/>
                  <w:vAlign w:val="center"/>
                </w:tcPr>
                <w:p>
                  <w:pPr>
                    <w:pStyle w:val="42"/>
                    <w:rPr>
                      <w:color w:val="0000FF"/>
                      <w:w w:val="99"/>
                    </w:rPr>
                  </w:pPr>
                  <w:r>
                    <w:rPr>
                      <w:color w:val="0000FF"/>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521" w:type="dxa"/>
                  <w:vMerge w:val="continue"/>
                  <w:vAlign w:val="center"/>
                </w:tcPr>
                <w:p>
                  <w:pPr>
                    <w:pStyle w:val="42"/>
                    <w:rPr>
                      <w:lang w:bidi="zh-CN"/>
                    </w:rPr>
                  </w:pPr>
                </w:p>
              </w:tc>
              <w:tc>
                <w:tcPr>
                  <w:tcW w:w="1564" w:type="dxa"/>
                  <w:vMerge w:val="continue"/>
                  <w:vAlign w:val="center"/>
                </w:tcPr>
                <w:p>
                  <w:pPr>
                    <w:pStyle w:val="42"/>
                    <w:rPr>
                      <w:color w:val="0000FF"/>
                    </w:rPr>
                  </w:pPr>
                </w:p>
              </w:tc>
              <w:tc>
                <w:tcPr>
                  <w:tcW w:w="2560" w:type="dxa"/>
                  <w:vAlign w:val="center"/>
                </w:tcPr>
                <w:p>
                  <w:pPr>
                    <w:pStyle w:val="42"/>
                    <w:rPr>
                      <w:color w:val="0000FF"/>
                    </w:rPr>
                  </w:pPr>
                  <w:r>
                    <w:rPr>
                      <w:color w:val="0000FF"/>
                    </w:rPr>
                    <w:t>含油抹布及劳保用品</w:t>
                  </w:r>
                </w:p>
              </w:tc>
              <w:tc>
                <w:tcPr>
                  <w:tcW w:w="1848" w:type="dxa"/>
                  <w:vAlign w:val="center"/>
                </w:tcPr>
                <w:p>
                  <w:pPr>
                    <w:pStyle w:val="42"/>
                    <w:rPr>
                      <w:color w:val="0000FF"/>
                    </w:rPr>
                  </w:pPr>
                  <w:r>
                    <w:rPr>
                      <w:color w:val="0000FF"/>
                    </w:rPr>
                    <w:t>0.01t/a</w:t>
                  </w:r>
                </w:p>
              </w:tc>
              <w:tc>
                <w:tcPr>
                  <w:tcW w:w="1546" w:type="dxa"/>
                  <w:vAlign w:val="center"/>
                </w:tcPr>
                <w:p>
                  <w:pPr>
                    <w:pStyle w:val="42"/>
                    <w:rPr>
                      <w:color w:val="0000FF"/>
                      <w:w w:val="99"/>
                    </w:rPr>
                  </w:pPr>
                  <w:r>
                    <w:rPr>
                      <w:color w:val="0000FF"/>
                      <w:w w:val="99"/>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521" w:type="dxa"/>
                  <w:vMerge w:val="continue"/>
                  <w:vAlign w:val="center"/>
                </w:tcPr>
                <w:p>
                  <w:pPr>
                    <w:pStyle w:val="42"/>
                    <w:rPr>
                      <w:lang w:bidi="zh-CN"/>
                    </w:rPr>
                  </w:pPr>
                </w:p>
              </w:tc>
              <w:tc>
                <w:tcPr>
                  <w:tcW w:w="1564" w:type="dxa"/>
                  <w:vMerge w:val="continue"/>
                  <w:vAlign w:val="center"/>
                </w:tcPr>
                <w:p>
                  <w:pPr>
                    <w:pStyle w:val="42"/>
                    <w:rPr>
                      <w:color w:val="0000FF"/>
                    </w:rPr>
                  </w:pPr>
                </w:p>
              </w:tc>
              <w:tc>
                <w:tcPr>
                  <w:tcW w:w="2560" w:type="dxa"/>
                  <w:vAlign w:val="center"/>
                </w:tcPr>
                <w:p>
                  <w:pPr>
                    <w:pStyle w:val="42"/>
                    <w:rPr>
                      <w:color w:val="0000FF"/>
                    </w:rPr>
                  </w:pPr>
                  <w:r>
                    <w:rPr>
                      <w:rFonts w:hint="eastAsia"/>
                      <w:color w:val="0000FF"/>
                    </w:rPr>
                    <w:t>含油冷凝液</w:t>
                  </w:r>
                </w:p>
              </w:tc>
              <w:tc>
                <w:tcPr>
                  <w:tcW w:w="1848" w:type="dxa"/>
                  <w:vAlign w:val="center"/>
                </w:tcPr>
                <w:p>
                  <w:pPr>
                    <w:pStyle w:val="42"/>
                    <w:rPr>
                      <w:color w:val="0000FF"/>
                    </w:rPr>
                  </w:pPr>
                  <w:r>
                    <w:rPr>
                      <w:color w:val="0000FF"/>
                    </w:rPr>
                    <w:t>0.02t/a</w:t>
                  </w:r>
                </w:p>
              </w:tc>
              <w:tc>
                <w:tcPr>
                  <w:tcW w:w="1546" w:type="dxa"/>
                  <w:vAlign w:val="center"/>
                </w:tcPr>
                <w:p>
                  <w:pPr>
                    <w:pStyle w:val="42"/>
                    <w:rPr>
                      <w:color w:val="0000FF"/>
                      <w:w w:val="99"/>
                    </w:rPr>
                  </w:pPr>
                  <w:r>
                    <w:rPr>
                      <w:color w:val="0000FF"/>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521" w:type="dxa"/>
                  <w:vMerge w:val="continue"/>
                  <w:vAlign w:val="center"/>
                </w:tcPr>
                <w:p>
                  <w:pPr>
                    <w:pStyle w:val="42"/>
                    <w:rPr>
                      <w:lang w:bidi="zh-CN"/>
                    </w:rPr>
                  </w:pPr>
                </w:p>
              </w:tc>
              <w:tc>
                <w:tcPr>
                  <w:tcW w:w="1564" w:type="dxa"/>
                  <w:vMerge w:val="continue"/>
                  <w:vAlign w:val="center"/>
                </w:tcPr>
                <w:p>
                  <w:pPr>
                    <w:pStyle w:val="42"/>
                    <w:rPr>
                      <w:color w:val="0000FF"/>
                    </w:rPr>
                  </w:pPr>
                </w:p>
              </w:tc>
              <w:tc>
                <w:tcPr>
                  <w:tcW w:w="2560" w:type="dxa"/>
                  <w:vAlign w:val="center"/>
                </w:tcPr>
                <w:p>
                  <w:pPr>
                    <w:pStyle w:val="42"/>
                    <w:rPr>
                      <w:color w:val="0000FF"/>
                    </w:rPr>
                  </w:pPr>
                  <w:r>
                    <w:rPr>
                      <w:rFonts w:hint="eastAsia"/>
                      <w:color w:val="0000FF"/>
                    </w:rPr>
                    <w:t>废收集桶</w:t>
                  </w:r>
                </w:p>
              </w:tc>
              <w:tc>
                <w:tcPr>
                  <w:tcW w:w="1848" w:type="dxa"/>
                  <w:vAlign w:val="center"/>
                </w:tcPr>
                <w:p>
                  <w:pPr>
                    <w:pStyle w:val="42"/>
                    <w:rPr>
                      <w:color w:val="0000FF"/>
                    </w:rPr>
                  </w:pPr>
                  <w:r>
                    <w:rPr>
                      <w:color w:val="0000FF"/>
                    </w:rPr>
                    <w:t>0.04t/a</w:t>
                  </w:r>
                </w:p>
              </w:tc>
              <w:tc>
                <w:tcPr>
                  <w:tcW w:w="1546" w:type="dxa"/>
                  <w:vAlign w:val="center"/>
                </w:tcPr>
                <w:p>
                  <w:pPr>
                    <w:pStyle w:val="42"/>
                    <w:rPr>
                      <w:color w:val="0000FF"/>
                      <w:w w:val="99"/>
                    </w:rPr>
                  </w:pPr>
                  <w:r>
                    <w:rPr>
                      <w:color w:val="0000FF"/>
                      <w:w w:val="99"/>
                    </w:rPr>
                    <w:t>0</w:t>
                  </w:r>
                </w:p>
              </w:tc>
            </w:tr>
          </w:tbl>
          <w:p>
            <w:pPr>
              <w:adjustRightInd w:val="0"/>
              <w:snapToGrid w:val="0"/>
              <w:spacing w:line="360" w:lineRule="auto"/>
              <w:ind w:firstLine="482" w:firstLineChars="200"/>
              <w:rPr>
                <w:b/>
                <w:kern w:val="0"/>
                <w:sz w:val="24"/>
              </w:rPr>
            </w:pPr>
            <w:r>
              <w:rPr>
                <w:rFonts w:hint="eastAsia"/>
                <w:b/>
                <w:kern w:val="0"/>
                <w:sz w:val="24"/>
              </w:rPr>
              <w:t>6</w:t>
            </w:r>
            <w:r>
              <w:rPr>
                <w:b/>
                <w:kern w:val="0"/>
                <w:sz w:val="24"/>
              </w:rPr>
              <w:t>）生态环境</w:t>
            </w:r>
          </w:p>
          <w:p>
            <w:pPr>
              <w:adjustRightInd w:val="0"/>
              <w:snapToGrid w:val="0"/>
              <w:spacing w:line="360" w:lineRule="auto"/>
              <w:ind w:firstLine="480" w:firstLineChars="200"/>
              <w:rPr>
                <w:kern w:val="0"/>
                <w:sz w:val="24"/>
              </w:rPr>
            </w:pPr>
            <w:r>
              <w:rPr>
                <w:kern w:val="0"/>
                <w:sz w:val="24"/>
              </w:rPr>
              <w:t>根据现场调查，矿山开采过程中一定程度上改变了原有景观的空间结构，使得这些土地失去了原有的生物生产功能和生态功能，改变了局部土地利用现状。矿区所占地多为杂草丛生的</w:t>
            </w:r>
            <w:r>
              <w:rPr>
                <w:rFonts w:hint="eastAsia"/>
                <w:kern w:val="0"/>
                <w:sz w:val="24"/>
              </w:rPr>
              <w:t>乔木林地、灌木林地</w:t>
            </w:r>
            <w:r>
              <w:rPr>
                <w:kern w:val="0"/>
                <w:sz w:val="24"/>
              </w:rPr>
              <w:t>，</w:t>
            </w:r>
            <w:r>
              <w:rPr>
                <w:rFonts w:hint="eastAsia"/>
                <w:kern w:val="0"/>
                <w:sz w:val="24"/>
              </w:rPr>
              <w:t>但</w:t>
            </w:r>
            <w:r>
              <w:rPr>
                <w:kern w:val="0"/>
                <w:sz w:val="24"/>
              </w:rPr>
              <w:t>未发现珍稀濒危植物分布，运营期</w:t>
            </w:r>
            <w:r>
              <w:rPr>
                <w:rFonts w:hint="eastAsia"/>
                <w:kern w:val="0"/>
                <w:sz w:val="24"/>
              </w:rPr>
              <w:t>也</w:t>
            </w:r>
            <w:r>
              <w:rPr>
                <w:kern w:val="0"/>
                <w:sz w:val="24"/>
              </w:rPr>
              <w:t>未造成本区域的野生动物种类和数量锐减。原项目开采过程中不存在越界开采行为，</w:t>
            </w:r>
            <w:r>
              <w:rPr>
                <w:rFonts w:hint="eastAsia"/>
                <w:kern w:val="0"/>
                <w:sz w:val="24"/>
              </w:rPr>
              <w:t>矿区范围</w:t>
            </w:r>
            <w:r>
              <w:rPr>
                <w:kern w:val="0"/>
                <w:sz w:val="24"/>
              </w:rPr>
              <w:t>内未见有崩塌、滑坡、泥石流等地质灾害发生。</w:t>
            </w:r>
          </w:p>
          <w:p>
            <w:pPr>
              <w:adjustRightInd w:val="0"/>
              <w:snapToGrid w:val="0"/>
              <w:spacing w:line="360" w:lineRule="auto"/>
              <w:ind w:firstLine="480" w:firstLineChars="200"/>
              <w:rPr>
                <w:kern w:val="0"/>
                <w:sz w:val="24"/>
              </w:rPr>
            </w:pPr>
            <w:r>
              <w:rPr>
                <w:rFonts w:hint="eastAsia"/>
                <w:kern w:val="0"/>
                <w:sz w:val="24"/>
              </w:rPr>
              <w:t>原项目采区未按设计</w:t>
            </w:r>
            <w:r>
              <w:rPr>
                <w:kern w:val="0"/>
                <w:sz w:val="24"/>
              </w:rPr>
              <w:t>从上至下</w:t>
            </w:r>
            <w:r>
              <w:rPr>
                <w:rFonts w:hint="eastAsia"/>
                <w:kern w:val="0"/>
                <w:sz w:val="24"/>
              </w:rPr>
              <w:t>、分</w:t>
            </w:r>
            <w:r>
              <w:rPr>
                <w:kern w:val="0"/>
                <w:sz w:val="24"/>
              </w:rPr>
              <w:t>台阶</w:t>
            </w:r>
            <w:r>
              <w:rPr>
                <w:rFonts w:hint="eastAsia"/>
                <w:kern w:val="0"/>
                <w:sz w:val="24"/>
              </w:rPr>
              <w:t>依次</w:t>
            </w:r>
            <w:r>
              <w:rPr>
                <w:kern w:val="0"/>
                <w:sz w:val="24"/>
              </w:rPr>
              <w:t>开采</w:t>
            </w:r>
            <w:r>
              <w:rPr>
                <w:rFonts w:hint="eastAsia"/>
                <w:kern w:val="0"/>
                <w:sz w:val="24"/>
              </w:rPr>
              <w:t>，已开采扰动面积3.03</w:t>
            </w:r>
            <w:r>
              <w:rPr>
                <w:kern w:val="0"/>
                <w:sz w:val="24"/>
              </w:rPr>
              <w:t>hm</w:t>
            </w:r>
            <w:r>
              <w:rPr>
                <w:kern w:val="0"/>
                <w:sz w:val="24"/>
                <w:vertAlign w:val="superscript"/>
              </w:rPr>
              <w:t>2</w:t>
            </w:r>
            <w:r>
              <w:rPr>
                <w:kern w:val="0"/>
                <w:sz w:val="24"/>
              </w:rPr>
              <w:t>，</w:t>
            </w:r>
            <w:r>
              <w:rPr>
                <w:rFonts w:hint="eastAsia"/>
                <w:kern w:val="0"/>
                <w:sz w:val="24"/>
              </w:rPr>
              <w:t>仅大致形成+791m、+764m两个开采台阶，开采区域中部已形成长95m、高61m的工作边坡，已开采区域资源均未探底，未形成终了边坡。因未按设计开采作业，分序留设终了台阶及边坡，导致现阶段无法对开采终了边坡、台阶实施复绿，开采场地大面积裸露。</w:t>
            </w:r>
          </w:p>
          <w:p>
            <w:pPr>
              <w:adjustRightInd w:val="0"/>
              <w:snapToGrid w:val="0"/>
              <w:spacing w:line="360" w:lineRule="auto"/>
              <w:ind w:firstLine="480" w:firstLineChars="200"/>
              <w:rPr>
                <w:kern w:val="0"/>
                <w:sz w:val="24"/>
              </w:rPr>
            </w:pPr>
            <w:r>
              <w:rPr>
                <w:rFonts w:hint="eastAsia"/>
                <w:kern w:val="0"/>
                <w:sz w:val="24"/>
              </w:rPr>
              <w:t>调查期间，由于成品堆场容积不足，原项目出现了库外堆料的情况（库外堆料约3100m</w:t>
            </w:r>
            <w:r>
              <w:rPr>
                <w:rFonts w:hint="eastAsia"/>
                <w:kern w:val="0"/>
                <w:sz w:val="24"/>
                <w:vertAlign w:val="superscript"/>
              </w:rPr>
              <w:t>2</w:t>
            </w:r>
            <w:r>
              <w:rPr>
                <w:rFonts w:hint="eastAsia"/>
                <w:kern w:val="0"/>
                <w:sz w:val="24"/>
              </w:rPr>
              <w:t>），库外露天堆料在大风下易产扬尘，雨季易诱发水土流失，不符合环保规定。建设单位，针对厂内堆料暂未采取生态保护措施。经调查，该库外堆料行为历史上未引起邻里纠纷或环保投诉。</w:t>
            </w:r>
          </w:p>
          <w:p>
            <w:pPr>
              <w:adjustRightInd w:val="0"/>
              <w:snapToGrid w:val="0"/>
              <w:jc w:val="center"/>
              <w:rPr>
                <w:b/>
                <w:kern w:val="0"/>
                <w:sz w:val="24"/>
              </w:rPr>
            </w:pPr>
            <w:r>
              <w:drawing>
                <wp:inline distT="0" distB="0" distL="0" distR="0">
                  <wp:extent cx="5764530" cy="3063875"/>
                  <wp:effectExtent l="0" t="0" r="7620" b="3175"/>
                  <wp:docPr id="19471875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87537" name="图片 1"/>
                          <pic:cNvPicPr>
                            <a:picLocks noChangeAspect="1"/>
                          </pic:cNvPicPr>
                        </pic:nvPicPr>
                        <pic:blipFill>
                          <a:blip r:embed="rId23" cstate="screen"/>
                          <a:srcRect/>
                          <a:stretch>
                            <a:fillRect/>
                          </a:stretch>
                        </pic:blipFill>
                        <pic:spPr>
                          <a:xfrm>
                            <a:off x="0" y="0"/>
                            <a:ext cx="5769817" cy="3066452"/>
                          </a:xfrm>
                          <a:prstGeom prst="rect">
                            <a:avLst/>
                          </a:prstGeom>
                          <a:ln>
                            <a:noFill/>
                          </a:ln>
                        </pic:spPr>
                      </pic:pic>
                    </a:graphicData>
                  </a:graphic>
                </wp:inline>
              </w:drawing>
            </w:r>
          </w:p>
          <w:p>
            <w:pPr>
              <w:adjustRightInd w:val="0"/>
              <w:snapToGrid w:val="0"/>
              <w:jc w:val="center"/>
              <w:rPr>
                <w:kern w:val="0"/>
                <w:sz w:val="24"/>
              </w:rPr>
            </w:pPr>
            <w:r>
              <w:rPr>
                <w:b/>
                <w:kern w:val="0"/>
                <w:sz w:val="24"/>
              </w:rPr>
              <w:t>图3-</w:t>
            </w:r>
            <w:r>
              <w:rPr>
                <w:rFonts w:hint="eastAsia"/>
                <w:b/>
                <w:kern w:val="0"/>
                <w:sz w:val="24"/>
              </w:rPr>
              <w:t>6</w:t>
            </w:r>
            <w:r>
              <w:rPr>
                <w:b/>
                <w:kern w:val="0"/>
                <w:sz w:val="24"/>
              </w:rPr>
              <w:t xml:space="preserve">  原项目</w:t>
            </w:r>
            <w:r>
              <w:rPr>
                <w:rFonts w:hint="eastAsia"/>
                <w:b/>
                <w:kern w:val="0"/>
                <w:sz w:val="24"/>
              </w:rPr>
              <w:t>库外堆料现状图</w:t>
            </w:r>
          </w:p>
          <w:p>
            <w:pPr>
              <w:adjustRightInd w:val="0"/>
              <w:snapToGrid w:val="0"/>
              <w:spacing w:line="360" w:lineRule="auto"/>
              <w:ind w:firstLine="482" w:firstLineChars="200"/>
              <w:rPr>
                <w:b/>
                <w:kern w:val="0"/>
                <w:sz w:val="24"/>
              </w:rPr>
            </w:pPr>
            <w:r>
              <w:rPr>
                <w:rFonts w:hint="eastAsia"/>
                <w:b/>
                <w:kern w:val="0"/>
                <w:sz w:val="24"/>
              </w:rPr>
              <w:t>（3）存在的生态环境问题梳理</w:t>
            </w:r>
          </w:p>
          <w:p>
            <w:pPr>
              <w:adjustRightInd w:val="0"/>
              <w:snapToGrid w:val="0"/>
              <w:spacing w:line="360" w:lineRule="auto"/>
              <w:ind w:firstLine="480" w:firstLineChars="200"/>
              <w:rPr>
                <w:color w:val="0000FF"/>
                <w:kern w:val="0"/>
                <w:sz w:val="24"/>
              </w:rPr>
            </w:pPr>
            <w:r>
              <w:rPr>
                <w:rFonts w:hint="eastAsia"/>
                <w:color w:val="0000FF"/>
                <w:kern w:val="0"/>
                <w:sz w:val="24"/>
              </w:rPr>
              <w:t>①原项目厂区雨水导排系统损坏后未修缮，雨季时节，无法收集处理厂内初期雨水，导排厂区后期澄清雨水，易诱发水土流失，同时导致区域地表水体浑浊。</w:t>
            </w:r>
          </w:p>
          <w:p>
            <w:pPr>
              <w:adjustRightInd w:val="0"/>
              <w:snapToGrid w:val="0"/>
              <w:spacing w:line="360" w:lineRule="auto"/>
              <w:ind w:firstLine="480" w:firstLineChars="200"/>
              <w:rPr>
                <w:color w:val="0000FF"/>
                <w:kern w:val="0"/>
                <w:sz w:val="24"/>
              </w:rPr>
            </w:pPr>
            <w:r>
              <w:rPr>
                <w:rFonts w:hint="eastAsia"/>
                <w:color w:val="0000FF"/>
                <w:kern w:val="0"/>
                <w:sz w:val="24"/>
              </w:rPr>
              <w:t>②由于成品堆场容积不足，原项目出现了库外堆料的情况，在大风下易产扬尘，雨季易诱发水土流失。</w:t>
            </w:r>
          </w:p>
          <w:p>
            <w:pPr>
              <w:adjustRightInd w:val="0"/>
              <w:snapToGrid w:val="0"/>
              <w:spacing w:line="360" w:lineRule="auto"/>
              <w:ind w:firstLine="480" w:firstLineChars="200"/>
              <w:rPr>
                <w:color w:val="0000FF"/>
                <w:kern w:val="0"/>
                <w:sz w:val="24"/>
              </w:rPr>
            </w:pPr>
            <w:r>
              <w:rPr>
                <w:rFonts w:hint="eastAsia"/>
                <w:color w:val="0000FF"/>
                <w:kern w:val="0"/>
                <w:sz w:val="24"/>
              </w:rPr>
              <w:t>③厂区洒水抑尘装置坏损后未修缮，且加工区厂房多处（尤其为卸料口区域）呈现破损的现象，产生的工艺粉尘呈现直排现象，不符合环保规定，对区域大气环境有一定影响。</w:t>
            </w:r>
          </w:p>
          <w:p>
            <w:pPr>
              <w:adjustRightInd w:val="0"/>
              <w:snapToGrid w:val="0"/>
              <w:spacing w:line="360" w:lineRule="auto"/>
              <w:ind w:firstLine="480" w:firstLineChars="200"/>
              <w:rPr>
                <w:color w:val="0000FF"/>
                <w:kern w:val="0"/>
                <w:sz w:val="24"/>
              </w:rPr>
            </w:pPr>
            <w:r>
              <w:rPr>
                <w:rFonts w:hint="eastAsia"/>
                <w:color w:val="0000FF"/>
                <w:kern w:val="0"/>
                <w:sz w:val="24"/>
              </w:rPr>
              <w:t>④原项目采区未按设计</w:t>
            </w:r>
            <w:r>
              <w:rPr>
                <w:color w:val="0000FF"/>
                <w:kern w:val="0"/>
                <w:sz w:val="24"/>
              </w:rPr>
              <w:t>从上至下</w:t>
            </w:r>
            <w:r>
              <w:rPr>
                <w:rFonts w:hint="eastAsia"/>
                <w:color w:val="0000FF"/>
                <w:kern w:val="0"/>
                <w:sz w:val="24"/>
              </w:rPr>
              <w:t>、分</w:t>
            </w:r>
            <w:r>
              <w:rPr>
                <w:color w:val="0000FF"/>
                <w:kern w:val="0"/>
                <w:sz w:val="24"/>
              </w:rPr>
              <w:t>台阶</w:t>
            </w:r>
            <w:r>
              <w:rPr>
                <w:rFonts w:hint="eastAsia"/>
                <w:color w:val="0000FF"/>
                <w:kern w:val="0"/>
                <w:sz w:val="24"/>
              </w:rPr>
              <w:t>依次</w:t>
            </w:r>
            <w:r>
              <w:rPr>
                <w:color w:val="0000FF"/>
                <w:kern w:val="0"/>
                <w:sz w:val="24"/>
              </w:rPr>
              <w:t>开采</w:t>
            </w:r>
            <w:r>
              <w:rPr>
                <w:rFonts w:hint="eastAsia"/>
                <w:color w:val="0000FF"/>
                <w:kern w:val="0"/>
                <w:sz w:val="24"/>
              </w:rPr>
              <w:t>，导致“开发利用方案”规划的分序留设终了台阶及边坡无法按期实现，进而无法实施边开采、边复绿的措施，开采场地大面积裸露，在大风下易产扬尘，雨季易诱发水土流失。</w:t>
            </w:r>
          </w:p>
          <w:p>
            <w:pPr>
              <w:adjustRightInd w:val="0"/>
              <w:snapToGrid w:val="0"/>
              <w:spacing w:line="360" w:lineRule="auto"/>
              <w:ind w:firstLine="482" w:firstLineChars="200"/>
              <w:rPr>
                <w:b/>
                <w:bCs/>
                <w:kern w:val="0"/>
                <w:sz w:val="24"/>
              </w:rPr>
            </w:pPr>
            <w:r>
              <w:rPr>
                <w:rFonts w:hint="eastAsia"/>
                <w:b/>
                <w:bCs/>
                <w:kern w:val="0"/>
                <w:sz w:val="24"/>
              </w:rPr>
              <w:t>（4）原项目整改措施或拟建项目运行前需履行的环保措施</w:t>
            </w:r>
          </w:p>
          <w:p>
            <w:pPr>
              <w:adjustRightInd w:val="0"/>
              <w:snapToGrid w:val="0"/>
              <w:spacing w:line="360" w:lineRule="auto"/>
              <w:ind w:firstLine="480" w:firstLineChars="200"/>
              <w:rPr>
                <w:bCs/>
                <w:kern w:val="0"/>
                <w:sz w:val="24"/>
              </w:rPr>
            </w:pPr>
            <w:r>
              <w:rPr>
                <w:rFonts w:hint="eastAsia"/>
                <w:kern w:val="0"/>
                <w:sz w:val="24"/>
              </w:rPr>
              <w:t>①结合厂区目前地势情况，在矿区西北侧布设约365</w:t>
            </w:r>
            <w:r>
              <w:rPr>
                <w:bCs/>
                <w:kern w:val="0"/>
                <w:sz w:val="24"/>
              </w:rPr>
              <w:t>m截洪沟</w:t>
            </w:r>
            <w:r>
              <w:rPr>
                <w:rFonts w:hint="eastAsia"/>
                <w:bCs/>
                <w:kern w:val="0"/>
                <w:sz w:val="24"/>
              </w:rPr>
              <w:t>，截挡外部雨水；在矿区其他侧、场内运输道路单边、工业广场东侧及南侧共布设约9</w:t>
            </w:r>
            <w:r>
              <w:rPr>
                <w:bCs/>
                <w:kern w:val="0"/>
                <w:sz w:val="24"/>
              </w:rPr>
              <w:t>00m排水沟</w:t>
            </w:r>
            <w:r>
              <w:rPr>
                <w:rFonts w:hint="eastAsia"/>
                <w:bCs/>
                <w:kern w:val="0"/>
                <w:sz w:val="24"/>
              </w:rPr>
              <w:t>，</w:t>
            </w:r>
            <w:r>
              <w:rPr>
                <w:bCs/>
                <w:kern w:val="0"/>
                <w:sz w:val="24"/>
              </w:rPr>
              <w:t>排水沟</w:t>
            </w:r>
            <w:r>
              <w:rPr>
                <w:rFonts w:hint="eastAsia"/>
                <w:bCs/>
                <w:kern w:val="0"/>
                <w:sz w:val="24"/>
              </w:rPr>
              <w:t>末端可</w:t>
            </w:r>
            <w:r>
              <w:rPr>
                <w:rFonts w:hint="eastAsia"/>
                <w:kern w:val="0"/>
                <w:sz w:val="24"/>
              </w:rPr>
              <w:t>设一切换阀，一端接入110m</w:t>
            </w:r>
            <w:r>
              <w:rPr>
                <w:kern w:val="0"/>
                <w:sz w:val="24"/>
                <w:vertAlign w:val="superscript"/>
              </w:rPr>
              <w:t>3</w:t>
            </w:r>
            <w:r>
              <w:rPr>
                <w:rFonts w:hint="eastAsia"/>
                <w:kern w:val="0"/>
                <w:sz w:val="24"/>
              </w:rPr>
              <w:t>雨水沉淀池，</w:t>
            </w:r>
            <w:r>
              <w:rPr>
                <w:rFonts w:hint="eastAsia"/>
                <w:bCs/>
                <w:kern w:val="0"/>
                <w:sz w:val="24"/>
              </w:rPr>
              <w:t>另一端设排水沟连接至厂区外，可人工或自动化切换，以收集厂区初期雨水，导排厂区后期澄清雨水。为更好导排雨水，沉淀泥沙，避免沟道堵塞，在截排水沟转折及交汇点共设置3个容积为1</w:t>
            </w:r>
            <w:r>
              <w:rPr>
                <w:bCs/>
                <w:kern w:val="0"/>
                <w:sz w:val="24"/>
              </w:rPr>
              <w:t>m</w:t>
            </w:r>
            <w:r>
              <w:rPr>
                <w:bCs/>
                <w:kern w:val="0"/>
                <w:sz w:val="24"/>
                <w:vertAlign w:val="superscript"/>
              </w:rPr>
              <w:t>3</w:t>
            </w:r>
            <w:r>
              <w:rPr>
                <w:rFonts w:hint="eastAsia"/>
                <w:bCs/>
                <w:kern w:val="0"/>
                <w:sz w:val="24"/>
              </w:rPr>
              <w:t>的沉砂凼调节雨水流速并初步沉淀雨水中的泥沙。</w:t>
            </w:r>
          </w:p>
          <w:p>
            <w:pPr>
              <w:adjustRightInd w:val="0"/>
              <w:snapToGrid w:val="0"/>
              <w:spacing w:line="360" w:lineRule="auto"/>
              <w:ind w:firstLine="480" w:firstLineChars="200"/>
              <w:rPr>
                <w:kern w:val="0"/>
                <w:sz w:val="24"/>
              </w:rPr>
            </w:pPr>
            <w:r>
              <w:rPr>
                <w:rFonts w:hint="eastAsia"/>
                <w:kern w:val="0"/>
                <w:sz w:val="24"/>
              </w:rPr>
              <w:t>②厂区内的露天堆料区应立即采用帆布（防尘网）苫盖，并尽快清理外卖，且需严禁再次库外堆料。</w:t>
            </w:r>
          </w:p>
          <w:p>
            <w:pPr>
              <w:adjustRightInd w:val="0"/>
              <w:snapToGrid w:val="0"/>
              <w:spacing w:line="360" w:lineRule="auto"/>
              <w:ind w:firstLine="480" w:firstLineChars="200"/>
              <w:rPr>
                <w:kern w:val="0"/>
                <w:sz w:val="24"/>
              </w:rPr>
            </w:pPr>
            <w:r>
              <w:rPr>
                <w:rFonts w:hint="eastAsia"/>
                <w:kern w:val="0"/>
                <w:sz w:val="24"/>
              </w:rPr>
              <w:t>③拟建项目的实施，加工区、采区均需升级改造，则依照现行环保政策，重新制定加工区、采区的废气治理措施。</w:t>
            </w:r>
          </w:p>
          <w:p>
            <w:pPr>
              <w:adjustRightInd w:val="0"/>
              <w:snapToGrid w:val="0"/>
              <w:spacing w:line="360" w:lineRule="auto"/>
              <w:ind w:firstLine="480" w:firstLineChars="200"/>
              <w:rPr>
                <w:kern w:val="0"/>
                <w:sz w:val="24"/>
              </w:rPr>
            </w:pPr>
            <w:r>
              <w:rPr>
                <w:rFonts w:hint="eastAsia"/>
                <w:kern w:val="0"/>
                <w:sz w:val="24"/>
              </w:rPr>
              <w:t>④拟建项目的开采将严格按“开发利用方案”进行开采，做到</w:t>
            </w:r>
            <w:r>
              <w:rPr>
                <w:kern w:val="0"/>
                <w:sz w:val="24"/>
              </w:rPr>
              <w:t>从上至下</w:t>
            </w:r>
            <w:r>
              <w:rPr>
                <w:rFonts w:hint="eastAsia"/>
                <w:kern w:val="0"/>
                <w:sz w:val="24"/>
              </w:rPr>
              <w:t>、分</w:t>
            </w:r>
            <w:r>
              <w:rPr>
                <w:kern w:val="0"/>
                <w:sz w:val="24"/>
              </w:rPr>
              <w:t>台阶</w:t>
            </w:r>
            <w:r>
              <w:rPr>
                <w:rFonts w:hint="eastAsia"/>
                <w:kern w:val="0"/>
                <w:sz w:val="24"/>
              </w:rPr>
              <w:t>依次</w:t>
            </w:r>
            <w:r>
              <w:rPr>
                <w:kern w:val="0"/>
                <w:sz w:val="24"/>
              </w:rPr>
              <w:t>开采</w:t>
            </w:r>
            <w:r>
              <w:rPr>
                <w:rFonts w:hint="eastAsia"/>
                <w:kern w:val="0"/>
                <w:sz w:val="24"/>
              </w:rPr>
              <w:t>，做到开采一台阶、恢复一台阶，尽量减少场地开采裸露面。针对短期不开采的区域，也需使用帆布（防尘网）苫盖。</w:t>
            </w:r>
          </w:p>
          <w:p>
            <w:pPr>
              <w:adjustRightInd w:val="0"/>
              <w:snapToGrid w:val="0"/>
              <w:spacing w:line="360" w:lineRule="auto"/>
              <w:ind w:firstLine="480" w:firstLineChars="200"/>
              <w:rPr>
                <w:kern w:val="0"/>
                <w:sz w:val="24"/>
              </w:rPr>
            </w:pPr>
            <w:r>
              <w:rPr>
                <w:rFonts w:hint="eastAsia"/>
                <w:color w:val="0000FF"/>
                <w:kern w:val="0"/>
                <w:sz w:val="24"/>
              </w:rPr>
              <w:t>⑤其他：拟建项目的实施，后续厂区内有</w:t>
            </w:r>
            <w:r>
              <w:rPr>
                <w:color w:val="0000FF"/>
                <w:kern w:val="0"/>
                <w:sz w:val="24"/>
              </w:rPr>
              <w:t>0.8466</w:t>
            </w:r>
            <w:r>
              <w:rPr>
                <w:rFonts w:hint="eastAsia"/>
                <w:color w:val="0000FF"/>
                <w:kern w:val="0"/>
                <w:sz w:val="24"/>
              </w:rPr>
              <w:t>hm</w:t>
            </w:r>
            <w:r>
              <w:rPr>
                <w:rFonts w:hint="eastAsia"/>
                <w:color w:val="0000FF"/>
                <w:kern w:val="0"/>
                <w:sz w:val="24"/>
                <w:vertAlign w:val="superscript"/>
              </w:rPr>
              <w:t>2</w:t>
            </w:r>
            <w:r>
              <w:rPr>
                <w:rFonts w:hint="eastAsia"/>
                <w:color w:val="0000FF"/>
                <w:kern w:val="0"/>
                <w:sz w:val="24"/>
              </w:rPr>
              <w:t>区域不再使用，该区域主要包括原项目部分场内运输道路及历史开采期间落石压占区域，见附图4-1。针对以上区域，拟建项目施工期间将清理浮石，对于存有土方的区域直接种植乔灌、撒播草籽复绿，对于基岩区域覆土后再复绿；复绿植被优先采用施工期间清理的植被，不足部分可外购，外购植株宜采用乡种（栎类、小果蔷薇、火棘、狗牙根等）；基岩区域覆土采用施工期间剥离的表土。</w:t>
            </w:r>
          </w:p>
        </w:tc>
      </w:tr>
    </w:tbl>
    <w:p>
      <w:pPr>
        <w:sectPr>
          <w:pgSz w:w="11906" w:h="16838"/>
          <w:pgMar w:top="1440" w:right="1080" w:bottom="1440" w:left="1080" w:header="851" w:footer="1077" w:gutter="0"/>
          <w:cols w:space="720" w:num="1"/>
          <w:docGrid w:linePitch="312" w:charSpace="0"/>
        </w:sectPr>
      </w:pP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4"/>
        <w:gridCol w:w="92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163" w:hRule="atLeast"/>
          <w:jc w:val="center"/>
        </w:trPr>
        <w:tc>
          <w:tcPr>
            <w:tcW w:w="484" w:type="dxa"/>
            <w:vAlign w:val="center"/>
          </w:tcPr>
          <w:p>
            <w:pPr>
              <w:adjustRightInd w:val="0"/>
              <w:snapToGrid w:val="0"/>
              <w:jc w:val="center"/>
              <w:rPr>
                <w:kern w:val="0"/>
                <w:sz w:val="24"/>
              </w:rPr>
            </w:pPr>
            <w:r>
              <w:br w:type="page"/>
            </w:r>
            <w:r>
              <w:br w:type="page"/>
            </w:r>
            <w:r>
              <w:rPr>
                <w:kern w:val="0"/>
                <w:sz w:val="24"/>
              </w:rPr>
              <w:t>生态环境保护目标</w:t>
            </w:r>
          </w:p>
        </w:tc>
        <w:tc>
          <w:tcPr>
            <w:tcW w:w="9242" w:type="dxa"/>
          </w:tcPr>
          <w:p>
            <w:pPr>
              <w:adjustRightInd w:val="0"/>
              <w:snapToGrid w:val="0"/>
              <w:spacing w:line="360" w:lineRule="auto"/>
              <w:ind w:firstLine="482" w:firstLineChars="200"/>
              <w:rPr>
                <w:b/>
                <w:kern w:val="0"/>
                <w:sz w:val="24"/>
              </w:rPr>
            </w:pPr>
            <w:r>
              <w:rPr>
                <w:b/>
                <w:kern w:val="0"/>
                <w:sz w:val="24"/>
              </w:rPr>
              <w:t>（1）生态环境保护目标</w:t>
            </w:r>
          </w:p>
          <w:p>
            <w:pPr>
              <w:adjustRightInd w:val="0"/>
              <w:snapToGrid w:val="0"/>
              <w:spacing w:line="360" w:lineRule="auto"/>
              <w:ind w:firstLine="480" w:firstLineChars="200"/>
              <w:rPr>
                <w:bCs/>
                <w:sz w:val="24"/>
              </w:rPr>
            </w:pPr>
            <w:r>
              <w:rPr>
                <w:bCs/>
                <w:sz w:val="24"/>
              </w:rPr>
              <w:t>结合项目</w:t>
            </w:r>
            <w:r>
              <w:rPr>
                <w:rFonts w:ascii="宋体" w:hAnsi="宋体"/>
                <w:bCs/>
                <w:sz w:val="24"/>
              </w:rPr>
              <w:t>“矿山地质环境保护与土地复垦方案”</w:t>
            </w:r>
            <w:r>
              <w:rPr>
                <w:bCs/>
                <w:sz w:val="24"/>
              </w:rPr>
              <w:t>中采动影响预测范围、大气环境影响调查范围、声环境影响调查范围，确定拟建项目生态评价范围分为直接影响区域与间接影响区域。直接影响区：</w:t>
            </w:r>
            <w:r>
              <w:rPr>
                <w:rFonts w:hint="eastAsia"/>
                <w:bCs/>
                <w:sz w:val="24"/>
              </w:rPr>
              <w:t>拟建项目占地范围</w:t>
            </w:r>
            <w:r>
              <w:rPr>
                <w:bCs/>
                <w:sz w:val="24"/>
              </w:rPr>
              <w:t>；间接影响区：</w:t>
            </w:r>
            <w:r>
              <w:rPr>
                <w:rFonts w:hint="eastAsia"/>
                <w:bCs/>
                <w:sz w:val="24"/>
              </w:rPr>
              <w:t>厂界</w:t>
            </w:r>
            <w:r>
              <w:rPr>
                <w:bCs/>
                <w:sz w:val="24"/>
              </w:rPr>
              <w:t>外延500m的区域，评价范围详见附图10。</w:t>
            </w:r>
          </w:p>
          <w:p>
            <w:pPr>
              <w:adjustRightInd w:val="0"/>
              <w:snapToGrid w:val="0"/>
              <w:spacing w:line="360" w:lineRule="auto"/>
              <w:ind w:firstLine="480" w:firstLineChars="200"/>
              <w:rPr>
                <w:kern w:val="0"/>
                <w:sz w:val="24"/>
              </w:rPr>
            </w:pPr>
            <w:r>
              <w:rPr>
                <w:kern w:val="0"/>
                <w:sz w:val="24"/>
              </w:rPr>
              <w:t>经调查，</w:t>
            </w:r>
            <w:r>
              <w:rPr>
                <w:rFonts w:hint="eastAsia"/>
                <w:kern w:val="0"/>
                <w:sz w:val="24"/>
              </w:rPr>
              <w:t>拟建</w:t>
            </w:r>
            <w:r>
              <w:rPr>
                <w:kern w:val="0"/>
                <w:sz w:val="24"/>
              </w:rPr>
              <w:t>项目</w:t>
            </w:r>
            <w:r>
              <w:rPr>
                <w:rFonts w:hint="eastAsia"/>
                <w:kern w:val="0"/>
                <w:sz w:val="24"/>
              </w:rPr>
              <w:t>占地周边</w:t>
            </w:r>
            <w:r>
              <w:rPr>
                <w:kern w:val="0"/>
                <w:sz w:val="24"/>
              </w:rPr>
              <w:t>500m</w:t>
            </w:r>
            <w:r>
              <w:rPr>
                <w:rFonts w:hint="eastAsia"/>
                <w:kern w:val="0"/>
                <w:sz w:val="24"/>
              </w:rPr>
              <w:t>范围内无自然保护地</w:t>
            </w:r>
            <w:r>
              <w:rPr>
                <w:kern w:val="0"/>
                <w:sz w:val="24"/>
              </w:rPr>
              <w:t>、生态保护红线</w:t>
            </w:r>
            <w:r>
              <w:rPr>
                <w:rFonts w:hint="eastAsia"/>
                <w:kern w:val="0"/>
                <w:sz w:val="24"/>
              </w:rPr>
              <w:t>，项目占地范围内无永久基本农田、公益林、</w:t>
            </w:r>
            <w:r>
              <w:rPr>
                <w:rFonts w:hint="eastAsia"/>
                <w:color w:val="0000FF"/>
                <w:kern w:val="0"/>
                <w:sz w:val="24"/>
              </w:rPr>
              <w:t>天然林、</w:t>
            </w:r>
            <w:r>
              <w:rPr>
                <w:rFonts w:hint="eastAsia"/>
                <w:kern w:val="0"/>
                <w:sz w:val="24"/>
              </w:rPr>
              <w:t>文物保护单位、一般生态空间、水土流失重点防治区、古树名木、重点保护野生植物。</w:t>
            </w:r>
          </w:p>
          <w:p>
            <w:pPr>
              <w:adjustRightInd w:val="0"/>
              <w:snapToGrid w:val="0"/>
              <w:spacing w:line="360" w:lineRule="auto"/>
              <w:ind w:firstLine="480" w:firstLineChars="200"/>
              <w:rPr>
                <w:kern w:val="0"/>
                <w:sz w:val="24"/>
              </w:rPr>
            </w:pPr>
            <w:r>
              <w:rPr>
                <w:rFonts w:hint="eastAsia"/>
                <w:kern w:val="0"/>
                <w:sz w:val="24"/>
              </w:rPr>
              <w:t>项目占地范围位于低山地形区域，采区内地表植被茂盛，以乔木为主，主要优势种为柏木、栓皮栎、麻栎，该地区主要以农业、林业为主，作物主要为玉米、油菜等。则项目生态保护目标为评价范围内分布的野生植被、可能在评价范围内出没的野生动物</w:t>
            </w:r>
            <w:r>
              <w:rPr>
                <w:kern w:val="0"/>
                <w:sz w:val="24"/>
              </w:rPr>
              <w:t>。</w:t>
            </w:r>
          </w:p>
          <w:p>
            <w:pPr>
              <w:adjustRightInd w:val="0"/>
              <w:snapToGrid w:val="0"/>
              <w:jc w:val="center"/>
              <w:rPr>
                <w:b/>
                <w:kern w:val="0"/>
                <w:sz w:val="24"/>
              </w:rPr>
            </w:pPr>
            <w:r>
              <w:rPr>
                <w:b/>
                <w:kern w:val="0"/>
                <w:sz w:val="24"/>
              </w:rPr>
              <w:t>表3-1</w:t>
            </w:r>
            <w:r>
              <w:rPr>
                <w:rFonts w:hint="eastAsia"/>
                <w:b/>
                <w:kern w:val="0"/>
                <w:sz w:val="24"/>
              </w:rPr>
              <w:t>5</w:t>
            </w:r>
            <w:r>
              <w:rPr>
                <w:b/>
                <w:kern w:val="0"/>
                <w:sz w:val="24"/>
              </w:rPr>
              <w:t xml:space="preserve">  拟建项目生态环境保护目标统计表</w:t>
            </w:r>
          </w:p>
          <w:tbl>
            <w:tblPr>
              <w:tblStyle w:val="15"/>
              <w:tblW w:w="901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4"/>
              <w:gridCol w:w="1640"/>
              <w:gridCol w:w="2651"/>
              <w:gridCol w:w="36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054" w:type="dxa"/>
                  <w:vAlign w:val="center"/>
                </w:tcPr>
                <w:p>
                  <w:pPr>
                    <w:pStyle w:val="42"/>
                  </w:pPr>
                  <w:r>
                    <w:t>名称</w:t>
                  </w:r>
                </w:p>
              </w:tc>
              <w:tc>
                <w:tcPr>
                  <w:tcW w:w="1640" w:type="dxa"/>
                  <w:vAlign w:val="center"/>
                </w:tcPr>
                <w:p>
                  <w:pPr>
                    <w:pStyle w:val="42"/>
                  </w:pPr>
                  <w:r>
                    <w:t>区域范围</w:t>
                  </w:r>
                </w:p>
              </w:tc>
              <w:tc>
                <w:tcPr>
                  <w:tcW w:w="2651" w:type="dxa"/>
                  <w:vAlign w:val="center"/>
                </w:tcPr>
                <w:p>
                  <w:pPr>
                    <w:pStyle w:val="42"/>
                  </w:pPr>
                  <w:r>
                    <w:t>环境敏感特征</w:t>
                  </w:r>
                </w:p>
              </w:tc>
              <w:tc>
                <w:tcPr>
                  <w:tcW w:w="3665" w:type="dxa"/>
                  <w:vAlign w:val="center"/>
                </w:tcPr>
                <w:p>
                  <w:pPr>
                    <w:pStyle w:val="42"/>
                  </w:pPr>
                  <w:r>
                    <w:t>影响因素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054" w:type="dxa"/>
                  <w:vAlign w:val="center"/>
                </w:tcPr>
                <w:p>
                  <w:pPr>
                    <w:pStyle w:val="42"/>
                  </w:pPr>
                  <w:r>
                    <w:t>陆生野生动植物</w:t>
                  </w:r>
                </w:p>
              </w:tc>
              <w:tc>
                <w:tcPr>
                  <w:tcW w:w="1640" w:type="dxa"/>
                  <w:vAlign w:val="center"/>
                </w:tcPr>
                <w:p>
                  <w:pPr>
                    <w:pStyle w:val="42"/>
                  </w:pPr>
                  <w:r>
                    <w:t>生态评价范围内。</w:t>
                  </w:r>
                </w:p>
              </w:tc>
              <w:tc>
                <w:tcPr>
                  <w:tcW w:w="2651" w:type="dxa"/>
                  <w:vAlign w:val="center"/>
                </w:tcPr>
                <w:p>
                  <w:pPr>
                    <w:pStyle w:val="42"/>
                  </w:pPr>
                  <w:r>
                    <w:t>评价范围内常见的地带性野生</w:t>
                  </w:r>
                  <w:r>
                    <w:rPr>
                      <w:rFonts w:hint="eastAsia"/>
                    </w:rPr>
                    <w:t>动</w:t>
                  </w:r>
                  <w:r>
                    <w:t>植物</w:t>
                  </w:r>
                  <w:r>
                    <w:rPr>
                      <w:rFonts w:hint="eastAsia"/>
                    </w:rPr>
                    <w:t>。</w:t>
                  </w:r>
                </w:p>
              </w:tc>
              <w:tc>
                <w:tcPr>
                  <w:tcW w:w="3665" w:type="dxa"/>
                  <w:vAlign w:val="center"/>
                </w:tcPr>
                <w:p>
                  <w:pPr>
                    <w:pStyle w:val="42"/>
                  </w:pPr>
                  <w:r>
                    <w:t>表土剥离、施工、开采作业破坏植被，对野生动物造成侵扰</w:t>
                  </w:r>
                  <w:r>
                    <w:rPr>
                      <w:rFonts w:hint="eastAsia"/>
                    </w:rPr>
                    <w:t>，造成水土流失</w:t>
                  </w:r>
                  <w:r>
                    <w:t>。</w:t>
                  </w:r>
                </w:p>
              </w:tc>
            </w:tr>
          </w:tbl>
          <w:p>
            <w:pPr>
              <w:adjustRightInd w:val="0"/>
              <w:snapToGrid w:val="0"/>
              <w:spacing w:line="360" w:lineRule="auto"/>
              <w:ind w:firstLine="482" w:firstLineChars="200"/>
              <w:rPr>
                <w:kern w:val="0"/>
                <w:sz w:val="24"/>
              </w:rPr>
            </w:pPr>
            <w:r>
              <w:rPr>
                <w:b/>
                <w:kern w:val="0"/>
                <w:sz w:val="24"/>
              </w:rPr>
              <w:t>（2）大气环境保护目标</w:t>
            </w:r>
          </w:p>
          <w:p>
            <w:pPr>
              <w:adjustRightInd w:val="0"/>
              <w:snapToGrid w:val="0"/>
              <w:spacing w:line="360" w:lineRule="auto"/>
              <w:ind w:firstLine="480" w:firstLineChars="200"/>
              <w:rPr>
                <w:kern w:val="0"/>
                <w:sz w:val="24"/>
              </w:rPr>
            </w:pPr>
            <w:r>
              <w:rPr>
                <w:kern w:val="0"/>
                <w:sz w:val="24"/>
              </w:rPr>
              <w:t>经调查，项目</w:t>
            </w:r>
            <w:r>
              <w:rPr>
                <w:rFonts w:hint="eastAsia"/>
                <w:kern w:val="0"/>
                <w:sz w:val="24"/>
              </w:rPr>
              <w:t>厂界</w:t>
            </w:r>
            <w:r>
              <w:rPr>
                <w:kern w:val="0"/>
                <w:sz w:val="24"/>
              </w:rPr>
              <w:t>500m范围内大气环境保护目标主要为</w:t>
            </w:r>
            <w:r>
              <w:rPr>
                <w:rFonts w:hint="eastAsia"/>
                <w:kern w:val="0"/>
                <w:sz w:val="24"/>
              </w:rPr>
              <w:t>双泉乡城镇居民及</w:t>
            </w:r>
            <w:r>
              <w:rPr>
                <w:sz w:val="24"/>
              </w:rPr>
              <w:t>永祥村</w:t>
            </w:r>
            <w:r>
              <w:rPr>
                <w:rFonts w:hint="eastAsia"/>
                <w:sz w:val="24"/>
              </w:rPr>
              <w:t>内</w:t>
            </w:r>
            <w:r>
              <w:rPr>
                <w:kern w:val="0"/>
                <w:sz w:val="24"/>
              </w:rPr>
              <w:t>散户居民</w:t>
            </w:r>
            <w:r>
              <w:rPr>
                <w:rFonts w:hint="eastAsia"/>
                <w:kern w:val="0"/>
                <w:sz w:val="24"/>
              </w:rPr>
              <w:t>点</w:t>
            </w:r>
            <w:r>
              <w:rPr>
                <w:kern w:val="0"/>
                <w:sz w:val="24"/>
              </w:rPr>
              <w:t>。</w:t>
            </w:r>
            <w:r>
              <w:rPr>
                <w:rFonts w:hint="eastAsia"/>
                <w:kern w:val="0"/>
                <w:sz w:val="24"/>
              </w:rPr>
              <w:t>拟建项目厂区</w:t>
            </w:r>
            <w:r>
              <w:rPr>
                <w:kern w:val="0"/>
                <w:sz w:val="24"/>
              </w:rPr>
              <w:t>周边大气环境保护目标</w:t>
            </w:r>
            <w:r>
              <w:rPr>
                <w:rFonts w:hint="eastAsia"/>
                <w:kern w:val="0"/>
                <w:sz w:val="24"/>
              </w:rPr>
              <w:t>分布调查统计情况见表3</w:t>
            </w:r>
            <w:r>
              <w:rPr>
                <w:kern w:val="0"/>
                <w:sz w:val="24"/>
              </w:rPr>
              <w:t>-1</w:t>
            </w:r>
            <w:r>
              <w:rPr>
                <w:rFonts w:hint="eastAsia"/>
                <w:kern w:val="0"/>
                <w:sz w:val="24"/>
              </w:rPr>
              <w:t>6。</w:t>
            </w:r>
          </w:p>
        </w:tc>
      </w:tr>
    </w:tbl>
    <w:p>
      <w:pPr>
        <w:sectPr>
          <w:pgSz w:w="11906" w:h="16838"/>
          <w:pgMar w:top="1440" w:right="1080" w:bottom="1440" w:left="1080" w:header="851" w:footer="1077" w:gutter="0"/>
          <w:cols w:space="720" w:num="1"/>
          <w:docGrid w:linePitch="312" w:charSpace="0"/>
        </w:sectPr>
      </w:pPr>
    </w:p>
    <w:tbl>
      <w:tblPr>
        <w:tblStyle w:val="15"/>
        <w:tblW w:w="139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34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389" w:hRule="atLeast"/>
          <w:jc w:val="center"/>
        </w:trPr>
        <w:tc>
          <w:tcPr>
            <w:tcW w:w="456" w:type="dxa"/>
            <w:vAlign w:val="center"/>
          </w:tcPr>
          <w:p>
            <w:pPr>
              <w:adjustRightInd w:val="0"/>
              <w:snapToGrid w:val="0"/>
              <w:jc w:val="center"/>
              <w:rPr>
                <w:kern w:val="0"/>
                <w:sz w:val="24"/>
              </w:rPr>
            </w:pPr>
            <w:r>
              <w:br w:type="page"/>
            </w:r>
            <w:r>
              <w:br w:type="page"/>
            </w:r>
            <w:r>
              <w:rPr>
                <w:kern w:val="0"/>
                <w:sz w:val="24"/>
              </w:rPr>
              <w:t>生态环境保护目标</w:t>
            </w:r>
          </w:p>
        </w:tc>
        <w:tc>
          <w:tcPr>
            <w:tcW w:w="13482" w:type="dxa"/>
          </w:tcPr>
          <w:p>
            <w:pPr>
              <w:adjustRightInd w:val="0"/>
              <w:snapToGrid w:val="0"/>
              <w:jc w:val="center"/>
              <w:rPr>
                <w:kern w:val="0"/>
                <w:sz w:val="24"/>
              </w:rPr>
            </w:pPr>
            <w:bookmarkStart w:id="4" w:name="_Hlk161691001"/>
            <w:r>
              <w:rPr>
                <w:b/>
                <w:kern w:val="0"/>
                <w:sz w:val="24"/>
              </w:rPr>
              <w:t>表3-1</w:t>
            </w:r>
            <w:r>
              <w:rPr>
                <w:rFonts w:hint="eastAsia"/>
                <w:b/>
                <w:kern w:val="0"/>
                <w:sz w:val="24"/>
              </w:rPr>
              <w:t>6</w:t>
            </w:r>
            <w:r>
              <w:rPr>
                <w:b/>
                <w:kern w:val="0"/>
                <w:sz w:val="24"/>
              </w:rPr>
              <w:t xml:space="preserve">  拟建项目</w:t>
            </w:r>
            <w:r>
              <w:rPr>
                <w:rFonts w:hint="eastAsia"/>
                <w:b/>
                <w:kern w:val="0"/>
                <w:sz w:val="24"/>
              </w:rPr>
              <w:t>厂区周边</w:t>
            </w:r>
            <w:r>
              <w:rPr>
                <w:b/>
                <w:kern w:val="0"/>
                <w:sz w:val="24"/>
              </w:rPr>
              <w:t>大气环境保护目标统计表</w:t>
            </w:r>
          </w:p>
          <w:tbl>
            <w:tblPr>
              <w:tblStyle w:val="15"/>
              <w:tblW w:w="13246"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426"/>
              <w:gridCol w:w="832"/>
              <w:gridCol w:w="683"/>
              <w:gridCol w:w="1102"/>
              <w:gridCol w:w="1192"/>
              <w:gridCol w:w="760"/>
              <w:gridCol w:w="623"/>
              <w:gridCol w:w="962"/>
              <w:gridCol w:w="694"/>
              <w:gridCol w:w="517"/>
              <w:gridCol w:w="882"/>
              <w:gridCol w:w="694"/>
              <w:gridCol w:w="427"/>
              <w:gridCol w:w="824"/>
              <w:gridCol w:w="628"/>
              <w:gridCol w:w="564"/>
              <w:gridCol w:w="858"/>
              <w:gridCol w:w="578"/>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74" w:hRule="atLeast"/>
                <w:tblHeader/>
              </w:trPr>
              <w:tc>
                <w:tcPr>
                  <w:tcW w:w="426" w:type="dxa"/>
                  <w:vMerge w:val="restart"/>
                  <w:vAlign w:val="center"/>
                </w:tcPr>
                <w:p>
                  <w:pPr>
                    <w:pStyle w:val="42"/>
                  </w:pPr>
                  <w:r>
                    <w:t>序号</w:t>
                  </w:r>
                </w:p>
              </w:tc>
              <w:tc>
                <w:tcPr>
                  <w:tcW w:w="1515" w:type="dxa"/>
                  <w:gridSpan w:val="2"/>
                  <w:tcBorders>
                    <w:bottom w:val="single" w:color="auto" w:sz="4" w:space="0"/>
                    <w:right w:val="single" w:color="auto" w:sz="4" w:space="0"/>
                  </w:tcBorders>
                  <w:vAlign w:val="center"/>
                </w:tcPr>
                <w:p>
                  <w:pPr>
                    <w:pStyle w:val="42"/>
                  </w:pPr>
                  <w:r>
                    <w:t>坐标</w:t>
                  </w:r>
                  <w:r>
                    <w:rPr>
                      <w:rFonts w:hint="eastAsia"/>
                    </w:rPr>
                    <w:t>/</w:t>
                  </w:r>
                  <w:r>
                    <w:t>m</w:t>
                  </w:r>
                </w:p>
              </w:tc>
              <w:tc>
                <w:tcPr>
                  <w:tcW w:w="1102" w:type="dxa"/>
                  <w:vMerge w:val="restart"/>
                  <w:tcBorders>
                    <w:left w:val="single" w:color="auto" w:sz="4" w:space="0"/>
                    <w:right w:val="single" w:color="auto" w:sz="4" w:space="0"/>
                  </w:tcBorders>
                  <w:vAlign w:val="center"/>
                </w:tcPr>
                <w:p>
                  <w:pPr>
                    <w:pStyle w:val="42"/>
                  </w:pPr>
                  <w:r>
                    <w:t>保护对象</w:t>
                  </w:r>
                </w:p>
              </w:tc>
              <w:tc>
                <w:tcPr>
                  <w:tcW w:w="1192" w:type="dxa"/>
                  <w:vMerge w:val="restart"/>
                  <w:tcBorders>
                    <w:left w:val="single" w:color="auto" w:sz="4" w:space="0"/>
                  </w:tcBorders>
                  <w:vAlign w:val="center"/>
                </w:tcPr>
                <w:p>
                  <w:pPr>
                    <w:pStyle w:val="42"/>
                  </w:pPr>
                  <w:r>
                    <w:rPr>
                      <w:rFonts w:hint="eastAsia"/>
                    </w:rPr>
                    <w:t>保护内容</w:t>
                  </w:r>
                </w:p>
              </w:tc>
              <w:tc>
                <w:tcPr>
                  <w:tcW w:w="760" w:type="dxa"/>
                  <w:vMerge w:val="restart"/>
                  <w:tcBorders>
                    <w:right w:val="single" w:color="auto" w:sz="4" w:space="0"/>
                  </w:tcBorders>
                  <w:vAlign w:val="center"/>
                </w:tcPr>
                <w:p>
                  <w:pPr>
                    <w:pStyle w:val="42"/>
                  </w:pPr>
                  <w:r>
                    <w:t>环境功能区</w:t>
                  </w:r>
                </w:p>
              </w:tc>
              <w:tc>
                <w:tcPr>
                  <w:tcW w:w="2279" w:type="dxa"/>
                  <w:gridSpan w:val="3"/>
                  <w:tcBorders>
                    <w:left w:val="single" w:color="auto" w:sz="4" w:space="0"/>
                    <w:bottom w:val="single" w:color="auto" w:sz="4" w:space="0"/>
                  </w:tcBorders>
                  <w:vAlign w:val="center"/>
                </w:tcPr>
                <w:p>
                  <w:pPr>
                    <w:pStyle w:val="42"/>
                  </w:pPr>
                  <w:r>
                    <w:t>与</w:t>
                  </w:r>
                  <w:r>
                    <w:rPr>
                      <w:rFonts w:hint="eastAsia"/>
                    </w:rPr>
                    <w:t>矿区</w:t>
                  </w:r>
                </w:p>
              </w:tc>
              <w:tc>
                <w:tcPr>
                  <w:tcW w:w="2093" w:type="dxa"/>
                  <w:gridSpan w:val="3"/>
                  <w:tcBorders>
                    <w:right w:val="single" w:color="auto" w:sz="4" w:space="0"/>
                  </w:tcBorders>
                  <w:vAlign w:val="center"/>
                </w:tcPr>
                <w:p>
                  <w:pPr>
                    <w:pStyle w:val="42"/>
                  </w:pPr>
                  <w:r>
                    <w:rPr>
                      <w:rFonts w:hint="eastAsia"/>
                    </w:rPr>
                    <w:t>与</w:t>
                  </w:r>
                  <w:r>
                    <w:rPr>
                      <w:rFonts w:hint="eastAsia"/>
                      <w:color w:val="0000FF"/>
                    </w:rPr>
                    <w:t>弃渣场</w:t>
                  </w:r>
                </w:p>
              </w:tc>
              <w:tc>
                <w:tcPr>
                  <w:tcW w:w="1879" w:type="dxa"/>
                  <w:gridSpan w:val="3"/>
                  <w:tcBorders>
                    <w:left w:val="single" w:color="auto" w:sz="4" w:space="0"/>
                  </w:tcBorders>
                  <w:vAlign w:val="center"/>
                </w:tcPr>
                <w:p>
                  <w:pPr>
                    <w:pStyle w:val="42"/>
                  </w:pPr>
                  <w:r>
                    <w:rPr>
                      <w:rFonts w:hint="eastAsia"/>
                    </w:rPr>
                    <w:t>与</w:t>
                  </w:r>
                  <w:r>
                    <w:rPr>
                      <w:rFonts w:hint="eastAsia"/>
                      <w:color w:val="0000FF"/>
                    </w:rPr>
                    <w:t>排土场</w:t>
                  </w:r>
                </w:p>
              </w:tc>
              <w:tc>
                <w:tcPr>
                  <w:tcW w:w="2000" w:type="dxa"/>
                  <w:gridSpan w:val="3"/>
                  <w:vAlign w:val="center"/>
                </w:tcPr>
                <w:p>
                  <w:pPr>
                    <w:pStyle w:val="42"/>
                  </w:pPr>
                  <w:r>
                    <w:t>与</w:t>
                  </w:r>
                  <w:r>
                    <w:rPr>
                      <w:rFonts w:hint="eastAsia"/>
                    </w:rPr>
                    <w:t>加工区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74" w:hRule="atLeast"/>
                <w:tblHeader/>
              </w:trPr>
              <w:tc>
                <w:tcPr>
                  <w:tcW w:w="426" w:type="dxa"/>
                  <w:vMerge w:val="continue"/>
                  <w:vAlign w:val="center"/>
                </w:tcPr>
                <w:p>
                  <w:pPr>
                    <w:pStyle w:val="42"/>
                  </w:pPr>
                </w:p>
              </w:tc>
              <w:tc>
                <w:tcPr>
                  <w:tcW w:w="832" w:type="dxa"/>
                  <w:tcBorders>
                    <w:top w:val="single" w:color="auto" w:sz="4" w:space="0"/>
                    <w:right w:val="single" w:color="auto" w:sz="4" w:space="0"/>
                  </w:tcBorders>
                  <w:vAlign w:val="center"/>
                </w:tcPr>
                <w:p>
                  <w:pPr>
                    <w:pStyle w:val="42"/>
                  </w:pPr>
                  <w:r>
                    <w:t>X</w:t>
                  </w:r>
                </w:p>
              </w:tc>
              <w:tc>
                <w:tcPr>
                  <w:tcW w:w="683" w:type="dxa"/>
                  <w:tcBorders>
                    <w:top w:val="single" w:color="auto" w:sz="4" w:space="0"/>
                    <w:left w:val="single" w:color="auto" w:sz="4" w:space="0"/>
                    <w:right w:val="single" w:color="auto" w:sz="4" w:space="0"/>
                  </w:tcBorders>
                  <w:vAlign w:val="center"/>
                </w:tcPr>
                <w:p>
                  <w:pPr>
                    <w:pStyle w:val="42"/>
                  </w:pPr>
                  <w:r>
                    <w:t>Y</w:t>
                  </w:r>
                </w:p>
              </w:tc>
              <w:tc>
                <w:tcPr>
                  <w:tcW w:w="1102" w:type="dxa"/>
                  <w:vMerge w:val="continue"/>
                  <w:tcBorders>
                    <w:left w:val="single" w:color="auto" w:sz="4" w:space="0"/>
                    <w:right w:val="single" w:color="auto" w:sz="4" w:space="0"/>
                  </w:tcBorders>
                  <w:vAlign w:val="center"/>
                </w:tcPr>
                <w:p>
                  <w:pPr>
                    <w:pStyle w:val="42"/>
                  </w:pPr>
                </w:p>
              </w:tc>
              <w:tc>
                <w:tcPr>
                  <w:tcW w:w="1192" w:type="dxa"/>
                  <w:vMerge w:val="continue"/>
                  <w:tcBorders>
                    <w:left w:val="single" w:color="auto" w:sz="4" w:space="0"/>
                  </w:tcBorders>
                  <w:vAlign w:val="center"/>
                </w:tcPr>
                <w:p>
                  <w:pPr>
                    <w:pStyle w:val="42"/>
                  </w:pPr>
                </w:p>
              </w:tc>
              <w:tc>
                <w:tcPr>
                  <w:tcW w:w="760" w:type="dxa"/>
                  <w:vMerge w:val="continue"/>
                  <w:tcBorders>
                    <w:right w:val="single" w:color="auto" w:sz="4" w:space="0"/>
                  </w:tcBorders>
                  <w:vAlign w:val="center"/>
                </w:tcPr>
                <w:p>
                  <w:pPr>
                    <w:pStyle w:val="42"/>
                  </w:pPr>
                </w:p>
              </w:tc>
              <w:tc>
                <w:tcPr>
                  <w:tcW w:w="623" w:type="dxa"/>
                  <w:tcBorders>
                    <w:top w:val="single" w:color="auto" w:sz="4" w:space="0"/>
                    <w:left w:val="single" w:color="auto" w:sz="4" w:space="0"/>
                  </w:tcBorders>
                  <w:vAlign w:val="center"/>
                </w:tcPr>
                <w:p>
                  <w:pPr>
                    <w:pStyle w:val="42"/>
                  </w:pPr>
                  <w:r>
                    <w:rPr>
                      <w:rFonts w:hint="eastAsia"/>
                    </w:rPr>
                    <w:t>方位</w:t>
                  </w:r>
                </w:p>
              </w:tc>
              <w:tc>
                <w:tcPr>
                  <w:tcW w:w="962" w:type="dxa"/>
                  <w:vAlign w:val="center"/>
                </w:tcPr>
                <w:p>
                  <w:pPr>
                    <w:pStyle w:val="42"/>
                  </w:pPr>
                  <w:r>
                    <w:t>最近距离</w:t>
                  </w:r>
                  <w:r>
                    <w:rPr>
                      <w:rFonts w:hint="eastAsia"/>
                    </w:rPr>
                    <w:t>/</w:t>
                  </w:r>
                  <w:r>
                    <w:t>m</w:t>
                  </w:r>
                </w:p>
              </w:tc>
              <w:tc>
                <w:tcPr>
                  <w:tcW w:w="694" w:type="dxa"/>
                  <w:vAlign w:val="center"/>
                </w:tcPr>
                <w:p>
                  <w:pPr>
                    <w:pStyle w:val="42"/>
                  </w:pPr>
                  <w:r>
                    <w:t>高差</w:t>
                  </w:r>
                  <w:r>
                    <w:rPr>
                      <w:rFonts w:hint="eastAsia"/>
                    </w:rPr>
                    <w:t>/</w:t>
                  </w:r>
                  <w:r>
                    <w:t>m</w:t>
                  </w:r>
                </w:p>
              </w:tc>
              <w:tc>
                <w:tcPr>
                  <w:tcW w:w="517" w:type="dxa"/>
                  <w:tcBorders>
                    <w:right w:val="single" w:color="auto" w:sz="4" w:space="0"/>
                  </w:tcBorders>
                  <w:vAlign w:val="center"/>
                </w:tcPr>
                <w:p>
                  <w:pPr>
                    <w:pStyle w:val="42"/>
                  </w:pPr>
                  <w:r>
                    <w:rPr>
                      <w:rFonts w:hint="eastAsia"/>
                    </w:rPr>
                    <w:t>方位</w:t>
                  </w:r>
                </w:p>
              </w:tc>
              <w:tc>
                <w:tcPr>
                  <w:tcW w:w="882" w:type="dxa"/>
                  <w:tcBorders>
                    <w:left w:val="single" w:color="auto" w:sz="4" w:space="0"/>
                    <w:right w:val="single" w:color="auto" w:sz="4" w:space="0"/>
                  </w:tcBorders>
                  <w:vAlign w:val="center"/>
                </w:tcPr>
                <w:p>
                  <w:pPr>
                    <w:pStyle w:val="42"/>
                    <w:rPr>
                      <w:rFonts w:hint="eastAsia" w:ascii="宋体" w:hAnsi="宋体"/>
                    </w:rPr>
                  </w:pPr>
                  <w:r>
                    <w:t>最近距离</w:t>
                  </w:r>
                  <w:r>
                    <w:rPr>
                      <w:rFonts w:hint="eastAsia"/>
                    </w:rPr>
                    <w:t>/</w:t>
                  </w:r>
                  <w:r>
                    <w:t>m</w:t>
                  </w:r>
                </w:p>
              </w:tc>
              <w:tc>
                <w:tcPr>
                  <w:tcW w:w="694" w:type="dxa"/>
                  <w:tcBorders>
                    <w:left w:val="single" w:color="auto" w:sz="4" w:space="0"/>
                    <w:right w:val="single" w:color="auto" w:sz="4" w:space="0"/>
                  </w:tcBorders>
                  <w:vAlign w:val="center"/>
                </w:tcPr>
                <w:p>
                  <w:pPr>
                    <w:pStyle w:val="42"/>
                    <w:rPr>
                      <w:rFonts w:hint="eastAsia" w:ascii="宋体" w:hAnsi="宋体"/>
                    </w:rPr>
                  </w:pPr>
                  <w:r>
                    <w:t>高差</w:t>
                  </w:r>
                  <w:r>
                    <w:rPr>
                      <w:rFonts w:hint="eastAsia"/>
                    </w:rPr>
                    <w:t>/</w:t>
                  </w:r>
                  <w:r>
                    <w:t>m</w:t>
                  </w:r>
                </w:p>
              </w:tc>
              <w:tc>
                <w:tcPr>
                  <w:tcW w:w="427" w:type="dxa"/>
                  <w:tcBorders>
                    <w:left w:val="single" w:color="auto" w:sz="4" w:space="0"/>
                    <w:right w:val="single" w:color="auto" w:sz="4" w:space="0"/>
                  </w:tcBorders>
                  <w:vAlign w:val="center"/>
                </w:tcPr>
                <w:p>
                  <w:pPr>
                    <w:pStyle w:val="42"/>
                    <w:rPr>
                      <w:rFonts w:hint="eastAsia" w:ascii="宋体" w:hAnsi="宋体"/>
                    </w:rPr>
                  </w:pPr>
                  <w:r>
                    <w:rPr>
                      <w:rFonts w:hint="eastAsia"/>
                    </w:rPr>
                    <w:t>方位</w:t>
                  </w:r>
                </w:p>
              </w:tc>
              <w:tc>
                <w:tcPr>
                  <w:tcW w:w="824" w:type="dxa"/>
                  <w:tcBorders>
                    <w:left w:val="single" w:color="auto" w:sz="4" w:space="0"/>
                    <w:right w:val="single" w:color="auto" w:sz="4" w:space="0"/>
                  </w:tcBorders>
                  <w:vAlign w:val="center"/>
                </w:tcPr>
                <w:p>
                  <w:pPr>
                    <w:pStyle w:val="42"/>
                    <w:rPr>
                      <w:rFonts w:hint="eastAsia" w:ascii="宋体" w:hAnsi="宋体"/>
                    </w:rPr>
                  </w:pPr>
                  <w:r>
                    <w:t>最近距离</w:t>
                  </w:r>
                  <w:r>
                    <w:rPr>
                      <w:rFonts w:hint="eastAsia"/>
                    </w:rPr>
                    <w:t>/</w:t>
                  </w:r>
                  <w:r>
                    <w:t>m</w:t>
                  </w:r>
                </w:p>
              </w:tc>
              <w:tc>
                <w:tcPr>
                  <w:tcW w:w="628" w:type="dxa"/>
                  <w:tcBorders>
                    <w:left w:val="single" w:color="auto" w:sz="4" w:space="0"/>
                  </w:tcBorders>
                  <w:vAlign w:val="center"/>
                </w:tcPr>
                <w:p>
                  <w:pPr>
                    <w:pStyle w:val="42"/>
                    <w:rPr>
                      <w:rFonts w:hint="eastAsia" w:ascii="宋体" w:hAnsi="宋体"/>
                    </w:rPr>
                  </w:pPr>
                  <w:r>
                    <w:t>高差</w:t>
                  </w:r>
                  <w:r>
                    <w:rPr>
                      <w:rFonts w:hint="eastAsia"/>
                    </w:rPr>
                    <w:t>/</w:t>
                  </w:r>
                  <w:r>
                    <w:t>m</w:t>
                  </w:r>
                </w:p>
              </w:tc>
              <w:tc>
                <w:tcPr>
                  <w:tcW w:w="564" w:type="dxa"/>
                  <w:tcBorders>
                    <w:right w:val="single" w:color="auto" w:sz="4" w:space="0"/>
                  </w:tcBorders>
                  <w:vAlign w:val="center"/>
                </w:tcPr>
                <w:p>
                  <w:pPr>
                    <w:pStyle w:val="42"/>
                  </w:pPr>
                  <w:r>
                    <w:rPr>
                      <w:rFonts w:hint="eastAsia"/>
                    </w:rPr>
                    <w:t>方位</w:t>
                  </w:r>
                </w:p>
              </w:tc>
              <w:tc>
                <w:tcPr>
                  <w:tcW w:w="858" w:type="dxa"/>
                  <w:tcBorders>
                    <w:left w:val="single" w:color="auto" w:sz="4" w:space="0"/>
                  </w:tcBorders>
                  <w:vAlign w:val="center"/>
                </w:tcPr>
                <w:p>
                  <w:pPr>
                    <w:pStyle w:val="42"/>
                  </w:pPr>
                  <w:r>
                    <w:t>最近距离</w:t>
                  </w:r>
                  <w:r>
                    <w:rPr>
                      <w:rFonts w:hint="eastAsia"/>
                    </w:rPr>
                    <w:t>/</w:t>
                  </w:r>
                  <w:r>
                    <w:t>m</w:t>
                  </w:r>
                </w:p>
              </w:tc>
              <w:tc>
                <w:tcPr>
                  <w:tcW w:w="578" w:type="dxa"/>
                  <w:vAlign w:val="center"/>
                </w:tcPr>
                <w:p>
                  <w:pPr>
                    <w:pStyle w:val="42"/>
                  </w:pPr>
                  <w:r>
                    <w:t>高差</w:t>
                  </w:r>
                  <w:r>
                    <w:rPr>
                      <w:rFonts w:hint="eastAsia"/>
                    </w:rPr>
                    <w:t>/</w:t>
                  </w:r>
                  <w:r>
                    <w:t>m</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407" w:hRule="atLeast"/>
              </w:trPr>
              <w:tc>
                <w:tcPr>
                  <w:tcW w:w="426" w:type="dxa"/>
                  <w:vAlign w:val="center"/>
                </w:tcPr>
                <w:p>
                  <w:pPr>
                    <w:pStyle w:val="42"/>
                  </w:pPr>
                  <w:r>
                    <w:t>1</w:t>
                  </w:r>
                </w:p>
              </w:tc>
              <w:tc>
                <w:tcPr>
                  <w:tcW w:w="832" w:type="dxa"/>
                  <w:tcBorders>
                    <w:right w:val="single" w:color="auto" w:sz="4" w:space="0"/>
                  </w:tcBorders>
                  <w:vAlign w:val="center"/>
                </w:tcPr>
                <w:p>
                  <w:pPr>
                    <w:pStyle w:val="42"/>
                  </w:pPr>
                  <w:r>
                    <w:rPr>
                      <w:rFonts w:hint="eastAsia"/>
                    </w:rPr>
                    <w:t>-626</w:t>
                  </w:r>
                </w:p>
              </w:tc>
              <w:tc>
                <w:tcPr>
                  <w:tcW w:w="683" w:type="dxa"/>
                  <w:tcBorders>
                    <w:left w:val="single" w:color="auto" w:sz="4" w:space="0"/>
                    <w:right w:val="single" w:color="auto" w:sz="4" w:space="0"/>
                  </w:tcBorders>
                  <w:vAlign w:val="center"/>
                </w:tcPr>
                <w:p>
                  <w:pPr>
                    <w:pStyle w:val="42"/>
                  </w:pPr>
                  <w:r>
                    <w:rPr>
                      <w:rFonts w:hint="eastAsia"/>
                    </w:rPr>
                    <w:t>-159</w:t>
                  </w:r>
                </w:p>
              </w:tc>
              <w:tc>
                <w:tcPr>
                  <w:tcW w:w="1102" w:type="dxa"/>
                  <w:tcBorders>
                    <w:left w:val="single" w:color="auto" w:sz="4" w:space="0"/>
                    <w:right w:val="single" w:color="auto" w:sz="4" w:space="0"/>
                  </w:tcBorders>
                  <w:vAlign w:val="center"/>
                </w:tcPr>
                <w:p>
                  <w:pPr>
                    <w:pStyle w:val="42"/>
                  </w:pPr>
                  <w:r>
                    <w:t>1</w:t>
                  </w:r>
                  <w:r>
                    <w:rPr>
                      <w:rFonts w:hint="eastAsia"/>
                    </w:rPr>
                    <w:t>#散户</w:t>
                  </w:r>
                </w:p>
              </w:tc>
              <w:tc>
                <w:tcPr>
                  <w:tcW w:w="1192" w:type="dxa"/>
                  <w:tcBorders>
                    <w:left w:val="single" w:color="auto" w:sz="4" w:space="0"/>
                  </w:tcBorders>
                  <w:vAlign w:val="center"/>
                </w:tcPr>
                <w:p>
                  <w:pPr>
                    <w:pStyle w:val="42"/>
                  </w:pPr>
                  <w:r>
                    <w:rPr>
                      <w:rFonts w:hint="eastAsia"/>
                    </w:rPr>
                    <w:t>2</w:t>
                  </w:r>
                  <w:r>
                    <w:t>户</w:t>
                  </w:r>
                  <w:r>
                    <w:rPr>
                      <w:rFonts w:hint="eastAsia"/>
                    </w:rPr>
                    <w:t>，7</w:t>
                  </w:r>
                  <w:r>
                    <w:t>人</w:t>
                  </w:r>
                </w:p>
              </w:tc>
              <w:tc>
                <w:tcPr>
                  <w:tcW w:w="760" w:type="dxa"/>
                  <w:tcBorders>
                    <w:right w:val="single" w:color="auto" w:sz="4" w:space="0"/>
                  </w:tcBorders>
                  <w:vAlign w:val="center"/>
                </w:tcPr>
                <w:p>
                  <w:pPr>
                    <w:pStyle w:val="42"/>
                  </w:pPr>
                  <w:r>
                    <w:t>二类区</w:t>
                  </w:r>
                </w:p>
              </w:tc>
              <w:tc>
                <w:tcPr>
                  <w:tcW w:w="623" w:type="dxa"/>
                  <w:tcBorders>
                    <w:left w:val="single" w:color="auto" w:sz="4" w:space="0"/>
                  </w:tcBorders>
                  <w:vAlign w:val="center"/>
                </w:tcPr>
                <w:p>
                  <w:pPr>
                    <w:pStyle w:val="42"/>
                  </w:pPr>
                  <w:r>
                    <w:rPr>
                      <w:rFonts w:hint="eastAsia"/>
                    </w:rPr>
                    <w:t>西</w:t>
                  </w:r>
                </w:p>
              </w:tc>
              <w:tc>
                <w:tcPr>
                  <w:tcW w:w="962" w:type="dxa"/>
                  <w:vAlign w:val="center"/>
                </w:tcPr>
                <w:p>
                  <w:pPr>
                    <w:pStyle w:val="42"/>
                  </w:pPr>
                  <w:r>
                    <w:rPr>
                      <w:rFonts w:hint="eastAsia"/>
                    </w:rPr>
                    <w:t>＞500</w:t>
                  </w:r>
                </w:p>
              </w:tc>
              <w:tc>
                <w:tcPr>
                  <w:tcW w:w="694" w:type="dxa"/>
                  <w:vAlign w:val="center"/>
                </w:tcPr>
                <w:p>
                  <w:pPr>
                    <w:pStyle w:val="42"/>
                  </w:pPr>
                  <w:r>
                    <w:rPr>
                      <w:rFonts w:hint="eastAsia"/>
                    </w:rPr>
                    <w:t>/</w:t>
                  </w:r>
                </w:p>
              </w:tc>
              <w:tc>
                <w:tcPr>
                  <w:tcW w:w="517" w:type="dxa"/>
                  <w:tcBorders>
                    <w:right w:val="single" w:color="auto" w:sz="4" w:space="0"/>
                  </w:tcBorders>
                  <w:vAlign w:val="center"/>
                </w:tcPr>
                <w:p>
                  <w:pPr>
                    <w:pStyle w:val="42"/>
                  </w:pPr>
                  <w:r>
                    <w:rPr>
                      <w:rFonts w:hint="eastAsia"/>
                    </w:rPr>
                    <w:t>西</w:t>
                  </w:r>
                </w:p>
              </w:tc>
              <w:tc>
                <w:tcPr>
                  <w:tcW w:w="882" w:type="dxa"/>
                  <w:tcBorders>
                    <w:left w:val="single" w:color="auto" w:sz="4" w:space="0"/>
                    <w:right w:val="single" w:color="auto" w:sz="4" w:space="0"/>
                  </w:tcBorders>
                  <w:vAlign w:val="center"/>
                </w:tcPr>
                <w:p>
                  <w:pPr>
                    <w:pStyle w:val="42"/>
                  </w:pPr>
                  <w:r>
                    <w:rPr>
                      <w:rFonts w:hint="eastAsia"/>
                    </w:rPr>
                    <w:t>＞500</w:t>
                  </w:r>
                </w:p>
              </w:tc>
              <w:tc>
                <w:tcPr>
                  <w:tcW w:w="694" w:type="dxa"/>
                  <w:tcBorders>
                    <w:left w:val="single" w:color="auto" w:sz="4" w:space="0"/>
                    <w:right w:val="single" w:color="auto" w:sz="4" w:space="0"/>
                  </w:tcBorders>
                  <w:vAlign w:val="center"/>
                </w:tcPr>
                <w:p>
                  <w:pPr>
                    <w:pStyle w:val="42"/>
                  </w:pPr>
                  <w:r>
                    <w:rPr>
                      <w:rFonts w:hint="eastAsia"/>
                    </w:rPr>
                    <w:t>/</w:t>
                  </w:r>
                </w:p>
              </w:tc>
              <w:tc>
                <w:tcPr>
                  <w:tcW w:w="427" w:type="dxa"/>
                  <w:tcBorders>
                    <w:left w:val="single" w:color="auto" w:sz="4" w:space="0"/>
                    <w:right w:val="single" w:color="auto" w:sz="4" w:space="0"/>
                  </w:tcBorders>
                  <w:vAlign w:val="center"/>
                </w:tcPr>
                <w:p>
                  <w:pPr>
                    <w:pStyle w:val="42"/>
                  </w:pPr>
                  <w:r>
                    <w:rPr>
                      <w:rFonts w:hint="eastAsia"/>
                    </w:rPr>
                    <w:t>西</w:t>
                  </w:r>
                </w:p>
              </w:tc>
              <w:tc>
                <w:tcPr>
                  <w:tcW w:w="824" w:type="dxa"/>
                  <w:tcBorders>
                    <w:left w:val="single" w:color="auto" w:sz="4" w:space="0"/>
                    <w:right w:val="single" w:color="auto" w:sz="4" w:space="0"/>
                  </w:tcBorders>
                  <w:vAlign w:val="center"/>
                </w:tcPr>
                <w:p>
                  <w:pPr>
                    <w:pStyle w:val="42"/>
                  </w:pPr>
                  <w:r>
                    <w:rPr>
                      <w:rFonts w:hint="eastAsia"/>
                    </w:rPr>
                    <w:t>424</w:t>
                  </w:r>
                </w:p>
              </w:tc>
              <w:tc>
                <w:tcPr>
                  <w:tcW w:w="628" w:type="dxa"/>
                  <w:tcBorders>
                    <w:left w:val="single" w:color="auto" w:sz="4" w:space="0"/>
                  </w:tcBorders>
                  <w:vAlign w:val="center"/>
                </w:tcPr>
                <w:p>
                  <w:pPr>
                    <w:pStyle w:val="42"/>
                  </w:pPr>
                  <w:r>
                    <w:rPr>
                      <w:rFonts w:hint="eastAsia"/>
                    </w:rPr>
                    <w:t>-15</w:t>
                  </w:r>
                </w:p>
              </w:tc>
              <w:tc>
                <w:tcPr>
                  <w:tcW w:w="564" w:type="dxa"/>
                  <w:tcBorders>
                    <w:right w:val="single" w:color="auto" w:sz="4" w:space="0"/>
                  </w:tcBorders>
                  <w:vAlign w:val="center"/>
                </w:tcPr>
                <w:p>
                  <w:pPr>
                    <w:pStyle w:val="42"/>
                  </w:pPr>
                  <w:r>
                    <w:rPr>
                      <w:rFonts w:hint="eastAsia"/>
                    </w:rPr>
                    <w:t>西</w:t>
                  </w:r>
                </w:p>
              </w:tc>
              <w:tc>
                <w:tcPr>
                  <w:tcW w:w="858" w:type="dxa"/>
                  <w:tcBorders>
                    <w:left w:val="single" w:color="auto" w:sz="4" w:space="0"/>
                  </w:tcBorders>
                  <w:vAlign w:val="center"/>
                </w:tcPr>
                <w:p>
                  <w:pPr>
                    <w:pStyle w:val="42"/>
                  </w:pPr>
                  <w:r>
                    <w:rPr>
                      <w:rFonts w:hint="eastAsia"/>
                    </w:rPr>
                    <w:t>460</w:t>
                  </w:r>
                </w:p>
              </w:tc>
              <w:tc>
                <w:tcPr>
                  <w:tcW w:w="578" w:type="dxa"/>
                  <w:vAlign w:val="center"/>
                </w:tcPr>
                <w:p>
                  <w:pPr>
                    <w:pStyle w:val="42"/>
                  </w:pPr>
                  <w:r>
                    <w:rPr>
                      <w:rFonts w:hint="eastAsia"/>
                    </w:rPr>
                    <w:t>-15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407" w:hRule="atLeast"/>
              </w:trPr>
              <w:tc>
                <w:tcPr>
                  <w:tcW w:w="426" w:type="dxa"/>
                  <w:vAlign w:val="center"/>
                </w:tcPr>
                <w:p>
                  <w:pPr>
                    <w:pStyle w:val="42"/>
                  </w:pPr>
                  <w:r>
                    <w:t>2</w:t>
                  </w:r>
                </w:p>
              </w:tc>
              <w:tc>
                <w:tcPr>
                  <w:tcW w:w="832" w:type="dxa"/>
                  <w:tcBorders>
                    <w:right w:val="single" w:color="auto" w:sz="4" w:space="0"/>
                  </w:tcBorders>
                  <w:vAlign w:val="center"/>
                </w:tcPr>
                <w:p>
                  <w:pPr>
                    <w:pStyle w:val="42"/>
                  </w:pPr>
                  <w:r>
                    <w:rPr>
                      <w:rFonts w:hint="eastAsia"/>
                    </w:rPr>
                    <w:t>-515</w:t>
                  </w:r>
                </w:p>
              </w:tc>
              <w:tc>
                <w:tcPr>
                  <w:tcW w:w="683" w:type="dxa"/>
                  <w:tcBorders>
                    <w:left w:val="single" w:color="auto" w:sz="4" w:space="0"/>
                    <w:right w:val="single" w:color="auto" w:sz="4" w:space="0"/>
                  </w:tcBorders>
                  <w:vAlign w:val="center"/>
                </w:tcPr>
                <w:p>
                  <w:pPr>
                    <w:pStyle w:val="42"/>
                  </w:pPr>
                  <w:r>
                    <w:rPr>
                      <w:rFonts w:hint="eastAsia"/>
                    </w:rPr>
                    <w:t>-149</w:t>
                  </w:r>
                </w:p>
              </w:tc>
              <w:tc>
                <w:tcPr>
                  <w:tcW w:w="1102" w:type="dxa"/>
                  <w:tcBorders>
                    <w:left w:val="single" w:color="auto" w:sz="4" w:space="0"/>
                    <w:right w:val="single" w:color="auto" w:sz="4" w:space="0"/>
                  </w:tcBorders>
                  <w:vAlign w:val="center"/>
                </w:tcPr>
                <w:p>
                  <w:pPr>
                    <w:pStyle w:val="42"/>
                  </w:pPr>
                  <w:r>
                    <w:t>2</w:t>
                  </w:r>
                  <w:r>
                    <w:rPr>
                      <w:rFonts w:hint="eastAsia"/>
                    </w:rPr>
                    <w:t>#散户</w:t>
                  </w:r>
                </w:p>
              </w:tc>
              <w:tc>
                <w:tcPr>
                  <w:tcW w:w="1192" w:type="dxa"/>
                  <w:tcBorders>
                    <w:left w:val="single" w:color="auto" w:sz="4" w:space="0"/>
                  </w:tcBorders>
                  <w:vAlign w:val="center"/>
                </w:tcPr>
                <w:p>
                  <w:pPr>
                    <w:pStyle w:val="42"/>
                  </w:pPr>
                  <w:r>
                    <w:t>1户，3人</w:t>
                  </w:r>
                </w:p>
              </w:tc>
              <w:tc>
                <w:tcPr>
                  <w:tcW w:w="760" w:type="dxa"/>
                  <w:tcBorders>
                    <w:right w:val="single" w:color="auto" w:sz="4" w:space="0"/>
                  </w:tcBorders>
                  <w:vAlign w:val="center"/>
                </w:tcPr>
                <w:p>
                  <w:pPr>
                    <w:pStyle w:val="42"/>
                  </w:pPr>
                  <w:r>
                    <w:t>二类区</w:t>
                  </w:r>
                </w:p>
              </w:tc>
              <w:tc>
                <w:tcPr>
                  <w:tcW w:w="623" w:type="dxa"/>
                  <w:tcBorders>
                    <w:left w:val="single" w:color="auto" w:sz="4" w:space="0"/>
                  </w:tcBorders>
                  <w:vAlign w:val="center"/>
                </w:tcPr>
                <w:p>
                  <w:pPr>
                    <w:pStyle w:val="42"/>
                  </w:pPr>
                  <w:r>
                    <w:rPr>
                      <w:rFonts w:hint="eastAsia"/>
                    </w:rPr>
                    <w:t>西</w:t>
                  </w:r>
                </w:p>
              </w:tc>
              <w:tc>
                <w:tcPr>
                  <w:tcW w:w="962" w:type="dxa"/>
                  <w:vAlign w:val="center"/>
                </w:tcPr>
                <w:p>
                  <w:pPr>
                    <w:pStyle w:val="42"/>
                  </w:pPr>
                  <w:r>
                    <w:rPr>
                      <w:rFonts w:hint="eastAsia"/>
                    </w:rPr>
                    <w:t>441</w:t>
                  </w:r>
                </w:p>
              </w:tc>
              <w:tc>
                <w:tcPr>
                  <w:tcW w:w="694" w:type="dxa"/>
                  <w:vAlign w:val="center"/>
                </w:tcPr>
                <w:p>
                  <w:pPr>
                    <w:pStyle w:val="42"/>
                  </w:pPr>
                  <w:r>
                    <w:rPr>
                      <w:rFonts w:hint="eastAsia"/>
                    </w:rPr>
                    <w:t>-85</w:t>
                  </w:r>
                </w:p>
              </w:tc>
              <w:tc>
                <w:tcPr>
                  <w:tcW w:w="517" w:type="dxa"/>
                  <w:tcBorders>
                    <w:right w:val="single" w:color="auto" w:sz="4" w:space="0"/>
                  </w:tcBorders>
                  <w:vAlign w:val="center"/>
                </w:tcPr>
                <w:p>
                  <w:pPr>
                    <w:pStyle w:val="42"/>
                  </w:pPr>
                  <w:r>
                    <w:rPr>
                      <w:rFonts w:hint="eastAsia"/>
                    </w:rPr>
                    <w:t>西北</w:t>
                  </w:r>
                </w:p>
              </w:tc>
              <w:tc>
                <w:tcPr>
                  <w:tcW w:w="882" w:type="dxa"/>
                  <w:tcBorders>
                    <w:left w:val="single" w:color="auto" w:sz="4" w:space="0"/>
                    <w:right w:val="single" w:color="auto" w:sz="4" w:space="0"/>
                  </w:tcBorders>
                  <w:vAlign w:val="center"/>
                </w:tcPr>
                <w:p>
                  <w:pPr>
                    <w:pStyle w:val="42"/>
                  </w:pPr>
                  <w:r>
                    <w:rPr>
                      <w:rFonts w:hint="eastAsia"/>
                    </w:rPr>
                    <w:t>＞500</w:t>
                  </w:r>
                </w:p>
              </w:tc>
              <w:tc>
                <w:tcPr>
                  <w:tcW w:w="694" w:type="dxa"/>
                  <w:tcBorders>
                    <w:left w:val="single" w:color="auto" w:sz="4" w:space="0"/>
                    <w:right w:val="single" w:color="auto" w:sz="4" w:space="0"/>
                  </w:tcBorders>
                  <w:vAlign w:val="center"/>
                </w:tcPr>
                <w:p>
                  <w:pPr>
                    <w:pStyle w:val="42"/>
                  </w:pPr>
                  <w:r>
                    <w:rPr>
                      <w:rFonts w:hint="eastAsia"/>
                    </w:rPr>
                    <w:t>/</w:t>
                  </w:r>
                </w:p>
              </w:tc>
              <w:tc>
                <w:tcPr>
                  <w:tcW w:w="427" w:type="dxa"/>
                  <w:tcBorders>
                    <w:left w:val="single" w:color="auto" w:sz="4" w:space="0"/>
                    <w:right w:val="single" w:color="auto" w:sz="4" w:space="0"/>
                  </w:tcBorders>
                  <w:vAlign w:val="center"/>
                </w:tcPr>
                <w:p>
                  <w:pPr>
                    <w:pStyle w:val="42"/>
                  </w:pPr>
                  <w:r>
                    <w:rPr>
                      <w:rFonts w:hint="eastAsia"/>
                    </w:rPr>
                    <w:t>西北</w:t>
                  </w:r>
                </w:p>
              </w:tc>
              <w:tc>
                <w:tcPr>
                  <w:tcW w:w="824" w:type="dxa"/>
                  <w:tcBorders>
                    <w:left w:val="single" w:color="auto" w:sz="4" w:space="0"/>
                    <w:right w:val="single" w:color="auto" w:sz="4" w:space="0"/>
                  </w:tcBorders>
                  <w:vAlign w:val="center"/>
                </w:tcPr>
                <w:p>
                  <w:pPr>
                    <w:pStyle w:val="42"/>
                  </w:pPr>
                  <w:r>
                    <w:rPr>
                      <w:rFonts w:hint="eastAsia"/>
                    </w:rPr>
                    <w:t>383</w:t>
                  </w:r>
                </w:p>
              </w:tc>
              <w:tc>
                <w:tcPr>
                  <w:tcW w:w="628" w:type="dxa"/>
                  <w:tcBorders>
                    <w:left w:val="single" w:color="auto" w:sz="4" w:space="0"/>
                  </w:tcBorders>
                  <w:vAlign w:val="center"/>
                </w:tcPr>
                <w:p>
                  <w:pPr>
                    <w:pStyle w:val="42"/>
                  </w:pPr>
                  <w:r>
                    <w:rPr>
                      <w:rFonts w:hint="eastAsia"/>
                    </w:rPr>
                    <w:t>-16</w:t>
                  </w:r>
                </w:p>
              </w:tc>
              <w:tc>
                <w:tcPr>
                  <w:tcW w:w="564" w:type="dxa"/>
                  <w:tcBorders>
                    <w:right w:val="single" w:color="auto" w:sz="4" w:space="0"/>
                  </w:tcBorders>
                  <w:vAlign w:val="center"/>
                </w:tcPr>
                <w:p>
                  <w:pPr>
                    <w:pStyle w:val="42"/>
                  </w:pPr>
                  <w:r>
                    <w:rPr>
                      <w:rFonts w:hint="eastAsia"/>
                    </w:rPr>
                    <w:t>西北</w:t>
                  </w:r>
                </w:p>
              </w:tc>
              <w:tc>
                <w:tcPr>
                  <w:tcW w:w="858" w:type="dxa"/>
                  <w:tcBorders>
                    <w:left w:val="single" w:color="auto" w:sz="4" w:space="0"/>
                  </w:tcBorders>
                  <w:vAlign w:val="center"/>
                </w:tcPr>
                <w:p>
                  <w:pPr>
                    <w:pStyle w:val="42"/>
                  </w:pPr>
                  <w:r>
                    <w:rPr>
                      <w:rFonts w:hint="eastAsia"/>
                    </w:rPr>
                    <w:t>443</w:t>
                  </w:r>
                </w:p>
              </w:tc>
              <w:tc>
                <w:tcPr>
                  <w:tcW w:w="578" w:type="dxa"/>
                  <w:vAlign w:val="center"/>
                </w:tcPr>
                <w:p>
                  <w:pPr>
                    <w:pStyle w:val="42"/>
                  </w:pPr>
                  <w:r>
                    <w:rPr>
                      <w:rFonts w:hint="eastAsia"/>
                    </w:rPr>
                    <w:t>-16</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407" w:hRule="atLeast"/>
              </w:trPr>
              <w:tc>
                <w:tcPr>
                  <w:tcW w:w="426" w:type="dxa"/>
                  <w:vAlign w:val="center"/>
                </w:tcPr>
                <w:p>
                  <w:pPr>
                    <w:pStyle w:val="42"/>
                  </w:pPr>
                  <w:r>
                    <w:rPr>
                      <w:rFonts w:hint="eastAsia"/>
                    </w:rPr>
                    <w:t>3</w:t>
                  </w:r>
                </w:p>
              </w:tc>
              <w:tc>
                <w:tcPr>
                  <w:tcW w:w="832" w:type="dxa"/>
                  <w:tcBorders>
                    <w:right w:val="single" w:color="auto" w:sz="4" w:space="0"/>
                  </w:tcBorders>
                  <w:vAlign w:val="center"/>
                </w:tcPr>
                <w:p>
                  <w:pPr>
                    <w:pStyle w:val="42"/>
                  </w:pPr>
                  <w:r>
                    <w:rPr>
                      <w:rFonts w:hint="eastAsia"/>
                    </w:rPr>
                    <w:t>-269</w:t>
                  </w:r>
                </w:p>
              </w:tc>
              <w:tc>
                <w:tcPr>
                  <w:tcW w:w="683" w:type="dxa"/>
                  <w:tcBorders>
                    <w:left w:val="single" w:color="auto" w:sz="4" w:space="0"/>
                    <w:right w:val="single" w:color="auto" w:sz="4" w:space="0"/>
                  </w:tcBorders>
                  <w:vAlign w:val="center"/>
                </w:tcPr>
                <w:p>
                  <w:pPr>
                    <w:pStyle w:val="42"/>
                  </w:pPr>
                  <w:r>
                    <w:rPr>
                      <w:rFonts w:hint="eastAsia"/>
                    </w:rPr>
                    <w:t>182</w:t>
                  </w:r>
                </w:p>
              </w:tc>
              <w:tc>
                <w:tcPr>
                  <w:tcW w:w="1102" w:type="dxa"/>
                  <w:tcBorders>
                    <w:left w:val="single" w:color="auto" w:sz="4" w:space="0"/>
                    <w:right w:val="single" w:color="auto" w:sz="4" w:space="0"/>
                  </w:tcBorders>
                  <w:vAlign w:val="center"/>
                </w:tcPr>
                <w:p>
                  <w:pPr>
                    <w:pStyle w:val="42"/>
                  </w:pPr>
                  <w:r>
                    <w:rPr>
                      <w:rFonts w:hint="eastAsia"/>
                    </w:rPr>
                    <w:t>曹家坪居民区</w:t>
                  </w:r>
                </w:p>
              </w:tc>
              <w:tc>
                <w:tcPr>
                  <w:tcW w:w="1192" w:type="dxa"/>
                  <w:tcBorders>
                    <w:left w:val="single" w:color="auto" w:sz="4" w:space="0"/>
                  </w:tcBorders>
                  <w:vAlign w:val="center"/>
                </w:tcPr>
                <w:p>
                  <w:pPr>
                    <w:pStyle w:val="42"/>
                  </w:pPr>
                  <w:r>
                    <w:rPr>
                      <w:rFonts w:hint="eastAsia"/>
                    </w:rPr>
                    <w:t>5户，约20人</w:t>
                  </w:r>
                </w:p>
              </w:tc>
              <w:tc>
                <w:tcPr>
                  <w:tcW w:w="760" w:type="dxa"/>
                  <w:tcBorders>
                    <w:right w:val="single" w:color="auto" w:sz="4" w:space="0"/>
                  </w:tcBorders>
                  <w:vAlign w:val="center"/>
                </w:tcPr>
                <w:p>
                  <w:pPr>
                    <w:pStyle w:val="42"/>
                  </w:pPr>
                  <w:r>
                    <w:t>二类区</w:t>
                  </w:r>
                </w:p>
              </w:tc>
              <w:tc>
                <w:tcPr>
                  <w:tcW w:w="623" w:type="dxa"/>
                  <w:tcBorders>
                    <w:left w:val="single" w:color="auto" w:sz="4" w:space="0"/>
                  </w:tcBorders>
                  <w:vAlign w:val="center"/>
                </w:tcPr>
                <w:p>
                  <w:pPr>
                    <w:pStyle w:val="42"/>
                  </w:pPr>
                  <w:r>
                    <w:rPr>
                      <w:rFonts w:hint="eastAsia"/>
                    </w:rPr>
                    <w:t>北</w:t>
                  </w:r>
                </w:p>
              </w:tc>
              <w:tc>
                <w:tcPr>
                  <w:tcW w:w="962" w:type="dxa"/>
                  <w:vAlign w:val="center"/>
                </w:tcPr>
                <w:p>
                  <w:pPr>
                    <w:pStyle w:val="42"/>
                  </w:pPr>
                  <w:r>
                    <w:rPr>
                      <w:rFonts w:hint="eastAsia"/>
                    </w:rPr>
                    <w:t>321</w:t>
                  </w:r>
                </w:p>
              </w:tc>
              <w:tc>
                <w:tcPr>
                  <w:tcW w:w="694" w:type="dxa"/>
                  <w:vAlign w:val="center"/>
                </w:tcPr>
                <w:p>
                  <w:pPr>
                    <w:pStyle w:val="42"/>
                  </w:pPr>
                  <w:r>
                    <w:rPr>
                      <w:rFonts w:hint="eastAsia"/>
                    </w:rPr>
                    <w:t>-94</w:t>
                  </w:r>
                </w:p>
              </w:tc>
              <w:tc>
                <w:tcPr>
                  <w:tcW w:w="517" w:type="dxa"/>
                  <w:tcBorders>
                    <w:right w:val="single" w:color="auto" w:sz="4" w:space="0"/>
                  </w:tcBorders>
                  <w:vAlign w:val="center"/>
                </w:tcPr>
                <w:p>
                  <w:pPr>
                    <w:pStyle w:val="42"/>
                  </w:pPr>
                  <w:r>
                    <w:rPr>
                      <w:rFonts w:hint="eastAsia"/>
                    </w:rPr>
                    <w:t>北</w:t>
                  </w:r>
                </w:p>
              </w:tc>
              <w:tc>
                <w:tcPr>
                  <w:tcW w:w="882" w:type="dxa"/>
                  <w:tcBorders>
                    <w:left w:val="single" w:color="auto" w:sz="4" w:space="0"/>
                    <w:right w:val="single" w:color="auto" w:sz="4" w:space="0"/>
                  </w:tcBorders>
                  <w:vAlign w:val="center"/>
                </w:tcPr>
                <w:p>
                  <w:pPr>
                    <w:pStyle w:val="42"/>
                  </w:pPr>
                  <w:r>
                    <w:rPr>
                      <w:rFonts w:hint="eastAsia"/>
                    </w:rPr>
                    <w:t>427</w:t>
                  </w:r>
                </w:p>
              </w:tc>
              <w:tc>
                <w:tcPr>
                  <w:tcW w:w="694" w:type="dxa"/>
                  <w:tcBorders>
                    <w:left w:val="single" w:color="auto" w:sz="4" w:space="0"/>
                    <w:right w:val="single" w:color="auto" w:sz="4" w:space="0"/>
                  </w:tcBorders>
                  <w:vAlign w:val="center"/>
                </w:tcPr>
                <w:p>
                  <w:pPr>
                    <w:pStyle w:val="42"/>
                  </w:pPr>
                  <w:r>
                    <w:rPr>
                      <w:rFonts w:hint="eastAsia"/>
                    </w:rPr>
                    <w:t>-49</w:t>
                  </w:r>
                </w:p>
              </w:tc>
              <w:tc>
                <w:tcPr>
                  <w:tcW w:w="427" w:type="dxa"/>
                  <w:tcBorders>
                    <w:left w:val="single" w:color="auto" w:sz="4" w:space="0"/>
                    <w:right w:val="single" w:color="auto" w:sz="4" w:space="0"/>
                  </w:tcBorders>
                  <w:vAlign w:val="center"/>
                </w:tcPr>
                <w:p>
                  <w:pPr>
                    <w:pStyle w:val="42"/>
                  </w:pPr>
                  <w:r>
                    <w:rPr>
                      <w:rFonts w:hint="eastAsia"/>
                    </w:rPr>
                    <w:t>北</w:t>
                  </w:r>
                </w:p>
              </w:tc>
              <w:tc>
                <w:tcPr>
                  <w:tcW w:w="824" w:type="dxa"/>
                  <w:tcBorders>
                    <w:left w:val="single" w:color="auto" w:sz="4" w:space="0"/>
                    <w:right w:val="single" w:color="auto" w:sz="4" w:space="0"/>
                  </w:tcBorders>
                  <w:vAlign w:val="center"/>
                </w:tcPr>
                <w:p>
                  <w:pPr>
                    <w:pStyle w:val="42"/>
                  </w:pPr>
                  <w:r>
                    <w:rPr>
                      <w:rFonts w:hint="eastAsia"/>
                    </w:rPr>
                    <w:t>325</w:t>
                  </w:r>
                </w:p>
              </w:tc>
              <w:tc>
                <w:tcPr>
                  <w:tcW w:w="628" w:type="dxa"/>
                  <w:tcBorders>
                    <w:left w:val="single" w:color="auto" w:sz="4" w:space="0"/>
                  </w:tcBorders>
                  <w:vAlign w:val="center"/>
                </w:tcPr>
                <w:p>
                  <w:pPr>
                    <w:pStyle w:val="42"/>
                  </w:pPr>
                  <w:r>
                    <w:rPr>
                      <w:rFonts w:hint="eastAsia"/>
                    </w:rPr>
                    <w:t>-25</w:t>
                  </w:r>
                </w:p>
              </w:tc>
              <w:tc>
                <w:tcPr>
                  <w:tcW w:w="564" w:type="dxa"/>
                  <w:tcBorders>
                    <w:right w:val="single" w:color="auto" w:sz="4" w:space="0"/>
                  </w:tcBorders>
                  <w:vAlign w:val="center"/>
                </w:tcPr>
                <w:p>
                  <w:pPr>
                    <w:pStyle w:val="42"/>
                  </w:pPr>
                  <w:r>
                    <w:rPr>
                      <w:rFonts w:hint="eastAsia"/>
                    </w:rPr>
                    <w:t>北</w:t>
                  </w:r>
                </w:p>
              </w:tc>
              <w:tc>
                <w:tcPr>
                  <w:tcW w:w="858" w:type="dxa"/>
                  <w:tcBorders>
                    <w:left w:val="single" w:color="auto" w:sz="4" w:space="0"/>
                  </w:tcBorders>
                  <w:vAlign w:val="center"/>
                </w:tcPr>
                <w:p>
                  <w:pPr>
                    <w:pStyle w:val="42"/>
                  </w:pPr>
                  <w:r>
                    <w:rPr>
                      <w:rFonts w:hint="eastAsia"/>
                    </w:rPr>
                    <w:t>385</w:t>
                  </w:r>
                </w:p>
              </w:tc>
              <w:tc>
                <w:tcPr>
                  <w:tcW w:w="578" w:type="dxa"/>
                  <w:vAlign w:val="center"/>
                </w:tcPr>
                <w:p>
                  <w:pPr>
                    <w:pStyle w:val="42"/>
                  </w:pPr>
                  <w:r>
                    <w:rPr>
                      <w:rFonts w:hint="eastAsia"/>
                    </w:rPr>
                    <w:t>-25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408" w:hRule="atLeast"/>
              </w:trPr>
              <w:tc>
                <w:tcPr>
                  <w:tcW w:w="426" w:type="dxa"/>
                  <w:vAlign w:val="center"/>
                </w:tcPr>
                <w:p>
                  <w:pPr>
                    <w:pStyle w:val="42"/>
                  </w:pPr>
                  <w:r>
                    <w:rPr>
                      <w:rFonts w:hint="eastAsia"/>
                    </w:rPr>
                    <w:t>4</w:t>
                  </w:r>
                </w:p>
              </w:tc>
              <w:tc>
                <w:tcPr>
                  <w:tcW w:w="832" w:type="dxa"/>
                  <w:tcBorders>
                    <w:right w:val="single" w:color="auto" w:sz="4" w:space="0"/>
                  </w:tcBorders>
                  <w:vAlign w:val="center"/>
                </w:tcPr>
                <w:p>
                  <w:pPr>
                    <w:pStyle w:val="42"/>
                  </w:pPr>
                  <w:r>
                    <w:rPr>
                      <w:rFonts w:hint="eastAsia"/>
                    </w:rPr>
                    <w:t>-246</w:t>
                  </w:r>
                </w:p>
              </w:tc>
              <w:tc>
                <w:tcPr>
                  <w:tcW w:w="683" w:type="dxa"/>
                  <w:tcBorders>
                    <w:left w:val="single" w:color="auto" w:sz="4" w:space="0"/>
                    <w:right w:val="single" w:color="auto" w:sz="4" w:space="0"/>
                  </w:tcBorders>
                  <w:vAlign w:val="center"/>
                </w:tcPr>
                <w:p>
                  <w:pPr>
                    <w:pStyle w:val="42"/>
                  </w:pPr>
                  <w:r>
                    <w:rPr>
                      <w:rFonts w:hint="eastAsia"/>
                    </w:rPr>
                    <w:t>439</w:t>
                  </w:r>
                </w:p>
              </w:tc>
              <w:tc>
                <w:tcPr>
                  <w:tcW w:w="1102" w:type="dxa"/>
                  <w:tcBorders>
                    <w:left w:val="single" w:color="auto" w:sz="4" w:space="0"/>
                    <w:right w:val="single" w:color="auto" w:sz="4" w:space="0"/>
                  </w:tcBorders>
                  <w:vAlign w:val="center"/>
                </w:tcPr>
                <w:p>
                  <w:pPr>
                    <w:pStyle w:val="42"/>
                  </w:pPr>
                  <w:r>
                    <w:t>3</w:t>
                  </w:r>
                  <w:r>
                    <w:rPr>
                      <w:rFonts w:hint="eastAsia"/>
                    </w:rPr>
                    <w:t>#散户</w:t>
                  </w:r>
                </w:p>
              </w:tc>
              <w:tc>
                <w:tcPr>
                  <w:tcW w:w="1192" w:type="dxa"/>
                  <w:tcBorders>
                    <w:left w:val="single" w:color="auto" w:sz="4" w:space="0"/>
                  </w:tcBorders>
                  <w:vAlign w:val="center"/>
                </w:tcPr>
                <w:p>
                  <w:pPr>
                    <w:pStyle w:val="42"/>
                  </w:pPr>
                  <w:r>
                    <w:t>2户，7人</w:t>
                  </w:r>
                </w:p>
              </w:tc>
              <w:tc>
                <w:tcPr>
                  <w:tcW w:w="760" w:type="dxa"/>
                  <w:tcBorders>
                    <w:right w:val="single" w:color="auto" w:sz="4" w:space="0"/>
                  </w:tcBorders>
                  <w:vAlign w:val="center"/>
                </w:tcPr>
                <w:p>
                  <w:pPr>
                    <w:pStyle w:val="42"/>
                  </w:pPr>
                  <w:r>
                    <w:t>二类区</w:t>
                  </w:r>
                </w:p>
              </w:tc>
              <w:tc>
                <w:tcPr>
                  <w:tcW w:w="623" w:type="dxa"/>
                  <w:tcBorders>
                    <w:left w:val="single" w:color="auto" w:sz="4" w:space="0"/>
                  </w:tcBorders>
                  <w:vAlign w:val="center"/>
                </w:tcPr>
                <w:p>
                  <w:pPr>
                    <w:pStyle w:val="42"/>
                  </w:pPr>
                  <w:r>
                    <w:rPr>
                      <w:rFonts w:hint="eastAsia"/>
                    </w:rPr>
                    <w:t>北</w:t>
                  </w:r>
                </w:p>
              </w:tc>
              <w:tc>
                <w:tcPr>
                  <w:tcW w:w="962" w:type="dxa"/>
                  <w:vAlign w:val="center"/>
                </w:tcPr>
                <w:p>
                  <w:pPr>
                    <w:pStyle w:val="42"/>
                  </w:pPr>
                  <w:r>
                    <w:rPr>
                      <w:rFonts w:hint="eastAsia"/>
                    </w:rPr>
                    <w:t>423</w:t>
                  </w:r>
                </w:p>
              </w:tc>
              <w:tc>
                <w:tcPr>
                  <w:tcW w:w="694" w:type="dxa"/>
                  <w:vAlign w:val="center"/>
                </w:tcPr>
                <w:p>
                  <w:pPr>
                    <w:pStyle w:val="42"/>
                  </w:pPr>
                  <w:r>
                    <w:rPr>
                      <w:rFonts w:hint="eastAsia"/>
                    </w:rPr>
                    <w:t>-95</w:t>
                  </w:r>
                </w:p>
              </w:tc>
              <w:tc>
                <w:tcPr>
                  <w:tcW w:w="517" w:type="dxa"/>
                  <w:tcBorders>
                    <w:right w:val="single" w:color="auto" w:sz="4" w:space="0"/>
                  </w:tcBorders>
                  <w:vAlign w:val="center"/>
                </w:tcPr>
                <w:p>
                  <w:pPr>
                    <w:pStyle w:val="42"/>
                  </w:pPr>
                  <w:r>
                    <w:rPr>
                      <w:rFonts w:hint="eastAsia"/>
                    </w:rPr>
                    <w:t>北</w:t>
                  </w:r>
                </w:p>
              </w:tc>
              <w:tc>
                <w:tcPr>
                  <w:tcW w:w="882" w:type="dxa"/>
                  <w:tcBorders>
                    <w:left w:val="single" w:color="auto" w:sz="4" w:space="0"/>
                    <w:right w:val="single" w:color="auto" w:sz="4" w:space="0"/>
                  </w:tcBorders>
                  <w:vAlign w:val="center"/>
                </w:tcPr>
                <w:p>
                  <w:pPr>
                    <w:pStyle w:val="42"/>
                  </w:pPr>
                  <w:r>
                    <w:rPr>
                      <w:rFonts w:hint="eastAsia"/>
                    </w:rPr>
                    <w:t>＞500</w:t>
                  </w:r>
                </w:p>
              </w:tc>
              <w:tc>
                <w:tcPr>
                  <w:tcW w:w="694" w:type="dxa"/>
                  <w:tcBorders>
                    <w:left w:val="single" w:color="auto" w:sz="4" w:space="0"/>
                    <w:right w:val="single" w:color="auto" w:sz="4" w:space="0"/>
                  </w:tcBorders>
                  <w:vAlign w:val="center"/>
                </w:tcPr>
                <w:p>
                  <w:pPr>
                    <w:pStyle w:val="42"/>
                  </w:pPr>
                  <w:r>
                    <w:rPr>
                      <w:rFonts w:hint="eastAsia"/>
                    </w:rPr>
                    <w:t>/</w:t>
                  </w:r>
                </w:p>
              </w:tc>
              <w:tc>
                <w:tcPr>
                  <w:tcW w:w="427" w:type="dxa"/>
                  <w:tcBorders>
                    <w:left w:val="single" w:color="auto" w:sz="4" w:space="0"/>
                    <w:right w:val="single" w:color="auto" w:sz="4" w:space="0"/>
                  </w:tcBorders>
                  <w:vAlign w:val="center"/>
                </w:tcPr>
                <w:p>
                  <w:pPr>
                    <w:pStyle w:val="42"/>
                  </w:pPr>
                  <w:r>
                    <w:rPr>
                      <w:rFonts w:hint="eastAsia"/>
                    </w:rPr>
                    <w:t>北</w:t>
                  </w:r>
                </w:p>
              </w:tc>
              <w:tc>
                <w:tcPr>
                  <w:tcW w:w="824" w:type="dxa"/>
                  <w:tcBorders>
                    <w:left w:val="single" w:color="auto" w:sz="4" w:space="0"/>
                    <w:right w:val="single" w:color="auto" w:sz="4" w:space="0"/>
                  </w:tcBorders>
                  <w:vAlign w:val="center"/>
                </w:tcPr>
                <w:p>
                  <w:pPr>
                    <w:pStyle w:val="42"/>
                  </w:pPr>
                  <w:r>
                    <w:rPr>
                      <w:rFonts w:hint="eastAsia"/>
                    </w:rPr>
                    <w:t>＞500</w:t>
                  </w:r>
                </w:p>
              </w:tc>
              <w:tc>
                <w:tcPr>
                  <w:tcW w:w="628" w:type="dxa"/>
                  <w:tcBorders>
                    <w:left w:val="single" w:color="auto" w:sz="4" w:space="0"/>
                  </w:tcBorders>
                  <w:vAlign w:val="center"/>
                </w:tcPr>
                <w:p>
                  <w:pPr>
                    <w:pStyle w:val="42"/>
                  </w:pPr>
                  <w:r>
                    <w:rPr>
                      <w:rFonts w:hint="eastAsia"/>
                    </w:rPr>
                    <w:t>/</w:t>
                  </w:r>
                </w:p>
              </w:tc>
              <w:tc>
                <w:tcPr>
                  <w:tcW w:w="564" w:type="dxa"/>
                  <w:tcBorders>
                    <w:right w:val="single" w:color="auto" w:sz="4" w:space="0"/>
                  </w:tcBorders>
                  <w:vAlign w:val="center"/>
                </w:tcPr>
                <w:p>
                  <w:pPr>
                    <w:pStyle w:val="42"/>
                  </w:pPr>
                  <w:r>
                    <w:rPr>
                      <w:rFonts w:hint="eastAsia"/>
                    </w:rPr>
                    <w:t>北</w:t>
                  </w:r>
                </w:p>
              </w:tc>
              <w:tc>
                <w:tcPr>
                  <w:tcW w:w="858" w:type="dxa"/>
                  <w:tcBorders>
                    <w:left w:val="single" w:color="auto" w:sz="4" w:space="0"/>
                  </w:tcBorders>
                  <w:vAlign w:val="center"/>
                </w:tcPr>
                <w:p>
                  <w:pPr>
                    <w:pStyle w:val="42"/>
                  </w:pPr>
                  <w:r>
                    <w:rPr>
                      <w:rFonts w:hint="eastAsia"/>
                    </w:rPr>
                    <w:t>＞500</w:t>
                  </w:r>
                </w:p>
              </w:tc>
              <w:tc>
                <w:tcPr>
                  <w:tcW w:w="578" w:type="dxa"/>
                  <w:vAlign w:val="center"/>
                </w:tcPr>
                <w:p>
                  <w:pPr>
                    <w:pStyle w:val="42"/>
                  </w:pPr>
                  <w:r>
                    <w:rPr>
                      <w:rFonts w:hint="eastAsia"/>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408" w:hRule="atLeast"/>
              </w:trPr>
              <w:tc>
                <w:tcPr>
                  <w:tcW w:w="426" w:type="dxa"/>
                  <w:vAlign w:val="center"/>
                </w:tcPr>
                <w:p>
                  <w:pPr>
                    <w:pStyle w:val="42"/>
                  </w:pPr>
                  <w:r>
                    <w:rPr>
                      <w:rFonts w:hint="eastAsia"/>
                    </w:rPr>
                    <w:t>5</w:t>
                  </w:r>
                </w:p>
              </w:tc>
              <w:tc>
                <w:tcPr>
                  <w:tcW w:w="832" w:type="dxa"/>
                  <w:tcBorders>
                    <w:right w:val="single" w:color="auto" w:sz="4" w:space="0"/>
                  </w:tcBorders>
                  <w:vAlign w:val="center"/>
                </w:tcPr>
                <w:p>
                  <w:pPr>
                    <w:pStyle w:val="42"/>
                  </w:pPr>
                  <w:r>
                    <w:rPr>
                      <w:rFonts w:hint="eastAsia"/>
                    </w:rPr>
                    <w:t>-25</w:t>
                  </w:r>
                </w:p>
              </w:tc>
              <w:tc>
                <w:tcPr>
                  <w:tcW w:w="683" w:type="dxa"/>
                  <w:tcBorders>
                    <w:left w:val="single" w:color="auto" w:sz="4" w:space="0"/>
                    <w:right w:val="single" w:color="auto" w:sz="4" w:space="0"/>
                  </w:tcBorders>
                  <w:vAlign w:val="center"/>
                </w:tcPr>
                <w:p>
                  <w:pPr>
                    <w:pStyle w:val="42"/>
                  </w:pPr>
                  <w:r>
                    <w:rPr>
                      <w:rFonts w:hint="eastAsia"/>
                    </w:rPr>
                    <w:t>557</w:t>
                  </w:r>
                </w:p>
              </w:tc>
              <w:tc>
                <w:tcPr>
                  <w:tcW w:w="1102" w:type="dxa"/>
                  <w:tcBorders>
                    <w:left w:val="single" w:color="auto" w:sz="4" w:space="0"/>
                    <w:right w:val="single" w:color="auto" w:sz="4" w:space="0"/>
                  </w:tcBorders>
                  <w:vAlign w:val="center"/>
                </w:tcPr>
                <w:p>
                  <w:pPr>
                    <w:pStyle w:val="42"/>
                  </w:pPr>
                  <w:r>
                    <w:rPr>
                      <w:rFonts w:hint="eastAsia"/>
                    </w:rPr>
                    <w:t>4#散户</w:t>
                  </w:r>
                </w:p>
              </w:tc>
              <w:tc>
                <w:tcPr>
                  <w:tcW w:w="1192" w:type="dxa"/>
                  <w:tcBorders>
                    <w:left w:val="single" w:color="auto" w:sz="4" w:space="0"/>
                  </w:tcBorders>
                  <w:vAlign w:val="center"/>
                </w:tcPr>
                <w:p>
                  <w:pPr>
                    <w:pStyle w:val="42"/>
                  </w:pPr>
                  <w:r>
                    <w:t>2户，</w:t>
                  </w:r>
                  <w:r>
                    <w:rPr>
                      <w:rFonts w:hint="eastAsia"/>
                    </w:rPr>
                    <w:t>6</w:t>
                  </w:r>
                  <w:r>
                    <w:t>人</w:t>
                  </w:r>
                </w:p>
              </w:tc>
              <w:tc>
                <w:tcPr>
                  <w:tcW w:w="760" w:type="dxa"/>
                  <w:tcBorders>
                    <w:right w:val="single" w:color="auto" w:sz="4" w:space="0"/>
                  </w:tcBorders>
                  <w:vAlign w:val="center"/>
                </w:tcPr>
                <w:p>
                  <w:pPr>
                    <w:pStyle w:val="42"/>
                  </w:pPr>
                  <w:r>
                    <w:t>二类区</w:t>
                  </w:r>
                </w:p>
              </w:tc>
              <w:tc>
                <w:tcPr>
                  <w:tcW w:w="623" w:type="dxa"/>
                  <w:tcBorders>
                    <w:left w:val="single" w:color="auto" w:sz="4" w:space="0"/>
                  </w:tcBorders>
                  <w:vAlign w:val="center"/>
                </w:tcPr>
                <w:p>
                  <w:pPr>
                    <w:pStyle w:val="42"/>
                  </w:pPr>
                  <w:r>
                    <w:rPr>
                      <w:rFonts w:hint="eastAsia"/>
                    </w:rPr>
                    <w:t>北</w:t>
                  </w:r>
                </w:p>
              </w:tc>
              <w:tc>
                <w:tcPr>
                  <w:tcW w:w="962" w:type="dxa"/>
                  <w:vAlign w:val="center"/>
                </w:tcPr>
                <w:p>
                  <w:pPr>
                    <w:pStyle w:val="42"/>
                  </w:pPr>
                  <w:r>
                    <w:rPr>
                      <w:rFonts w:hint="eastAsia"/>
                    </w:rPr>
                    <w:t>425</w:t>
                  </w:r>
                </w:p>
              </w:tc>
              <w:tc>
                <w:tcPr>
                  <w:tcW w:w="694" w:type="dxa"/>
                  <w:vAlign w:val="center"/>
                </w:tcPr>
                <w:p>
                  <w:pPr>
                    <w:pStyle w:val="42"/>
                  </w:pPr>
                  <w:r>
                    <w:rPr>
                      <w:rFonts w:hint="eastAsia"/>
                    </w:rPr>
                    <w:t>-96</w:t>
                  </w:r>
                </w:p>
              </w:tc>
              <w:tc>
                <w:tcPr>
                  <w:tcW w:w="517" w:type="dxa"/>
                  <w:tcBorders>
                    <w:right w:val="single" w:color="auto" w:sz="4" w:space="0"/>
                  </w:tcBorders>
                  <w:vAlign w:val="center"/>
                </w:tcPr>
                <w:p>
                  <w:pPr>
                    <w:pStyle w:val="42"/>
                  </w:pPr>
                  <w:r>
                    <w:rPr>
                      <w:rFonts w:hint="eastAsia"/>
                    </w:rPr>
                    <w:t>北</w:t>
                  </w:r>
                </w:p>
              </w:tc>
              <w:tc>
                <w:tcPr>
                  <w:tcW w:w="882" w:type="dxa"/>
                  <w:tcBorders>
                    <w:left w:val="single" w:color="auto" w:sz="4" w:space="0"/>
                    <w:right w:val="single" w:color="auto" w:sz="4" w:space="0"/>
                  </w:tcBorders>
                  <w:vAlign w:val="center"/>
                </w:tcPr>
                <w:p>
                  <w:pPr>
                    <w:pStyle w:val="42"/>
                  </w:pPr>
                  <w:r>
                    <w:rPr>
                      <w:rFonts w:hint="eastAsia"/>
                    </w:rPr>
                    <w:t>＞500</w:t>
                  </w:r>
                </w:p>
              </w:tc>
              <w:tc>
                <w:tcPr>
                  <w:tcW w:w="694" w:type="dxa"/>
                  <w:tcBorders>
                    <w:left w:val="single" w:color="auto" w:sz="4" w:space="0"/>
                    <w:right w:val="single" w:color="auto" w:sz="4" w:space="0"/>
                  </w:tcBorders>
                  <w:vAlign w:val="center"/>
                </w:tcPr>
                <w:p>
                  <w:pPr>
                    <w:pStyle w:val="42"/>
                  </w:pPr>
                  <w:r>
                    <w:rPr>
                      <w:rFonts w:hint="eastAsia"/>
                    </w:rPr>
                    <w:t>/</w:t>
                  </w:r>
                </w:p>
              </w:tc>
              <w:tc>
                <w:tcPr>
                  <w:tcW w:w="427" w:type="dxa"/>
                  <w:tcBorders>
                    <w:left w:val="single" w:color="auto" w:sz="4" w:space="0"/>
                    <w:right w:val="single" w:color="auto" w:sz="4" w:space="0"/>
                  </w:tcBorders>
                  <w:vAlign w:val="center"/>
                </w:tcPr>
                <w:p>
                  <w:pPr>
                    <w:pStyle w:val="42"/>
                  </w:pPr>
                  <w:r>
                    <w:rPr>
                      <w:rFonts w:hint="eastAsia"/>
                    </w:rPr>
                    <w:t>北</w:t>
                  </w:r>
                </w:p>
              </w:tc>
              <w:tc>
                <w:tcPr>
                  <w:tcW w:w="824" w:type="dxa"/>
                  <w:tcBorders>
                    <w:left w:val="single" w:color="auto" w:sz="4" w:space="0"/>
                    <w:right w:val="single" w:color="auto" w:sz="4" w:space="0"/>
                  </w:tcBorders>
                  <w:vAlign w:val="center"/>
                </w:tcPr>
                <w:p>
                  <w:pPr>
                    <w:pStyle w:val="42"/>
                  </w:pPr>
                  <w:r>
                    <w:rPr>
                      <w:rFonts w:hint="eastAsia"/>
                    </w:rPr>
                    <w:t>＞500</w:t>
                  </w:r>
                </w:p>
              </w:tc>
              <w:tc>
                <w:tcPr>
                  <w:tcW w:w="628" w:type="dxa"/>
                  <w:tcBorders>
                    <w:left w:val="single" w:color="auto" w:sz="4" w:space="0"/>
                  </w:tcBorders>
                  <w:vAlign w:val="center"/>
                </w:tcPr>
                <w:p>
                  <w:pPr>
                    <w:pStyle w:val="42"/>
                  </w:pPr>
                  <w:r>
                    <w:rPr>
                      <w:rFonts w:hint="eastAsia"/>
                    </w:rPr>
                    <w:t>/</w:t>
                  </w:r>
                </w:p>
              </w:tc>
              <w:tc>
                <w:tcPr>
                  <w:tcW w:w="564" w:type="dxa"/>
                  <w:tcBorders>
                    <w:right w:val="single" w:color="auto" w:sz="4" w:space="0"/>
                  </w:tcBorders>
                  <w:vAlign w:val="center"/>
                </w:tcPr>
                <w:p>
                  <w:pPr>
                    <w:pStyle w:val="42"/>
                  </w:pPr>
                  <w:r>
                    <w:rPr>
                      <w:rFonts w:hint="eastAsia"/>
                    </w:rPr>
                    <w:t>北</w:t>
                  </w:r>
                </w:p>
              </w:tc>
              <w:tc>
                <w:tcPr>
                  <w:tcW w:w="858" w:type="dxa"/>
                  <w:tcBorders>
                    <w:left w:val="single" w:color="auto" w:sz="4" w:space="0"/>
                  </w:tcBorders>
                  <w:vAlign w:val="center"/>
                </w:tcPr>
                <w:p>
                  <w:pPr>
                    <w:pStyle w:val="42"/>
                  </w:pPr>
                  <w:r>
                    <w:rPr>
                      <w:rFonts w:hint="eastAsia"/>
                    </w:rPr>
                    <w:t>＞500</w:t>
                  </w:r>
                </w:p>
              </w:tc>
              <w:tc>
                <w:tcPr>
                  <w:tcW w:w="578" w:type="dxa"/>
                  <w:vAlign w:val="center"/>
                </w:tcPr>
                <w:p>
                  <w:pPr>
                    <w:pStyle w:val="42"/>
                  </w:pPr>
                  <w:r>
                    <w:rPr>
                      <w:rFonts w:hint="eastAsia"/>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408" w:hRule="atLeast"/>
              </w:trPr>
              <w:tc>
                <w:tcPr>
                  <w:tcW w:w="426" w:type="dxa"/>
                  <w:vAlign w:val="center"/>
                </w:tcPr>
                <w:p>
                  <w:pPr>
                    <w:pStyle w:val="42"/>
                  </w:pPr>
                  <w:r>
                    <w:rPr>
                      <w:rFonts w:hint="eastAsia"/>
                    </w:rPr>
                    <w:t>6</w:t>
                  </w:r>
                </w:p>
              </w:tc>
              <w:tc>
                <w:tcPr>
                  <w:tcW w:w="832" w:type="dxa"/>
                  <w:tcBorders>
                    <w:right w:val="single" w:color="auto" w:sz="4" w:space="0"/>
                  </w:tcBorders>
                  <w:vAlign w:val="center"/>
                </w:tcPr>
                <w:p>
                  <w:pPr>
                    <w:pStyle w:val="42"/>
                  </w:pPr>
                  <w:r>
                    <w:rPr>
                      <w:rFonts w:hint="eastAsia"/>
                    </w:rPr>
                    <w:t>-390</w:t>
                  </w:r>
                </w:p>
              </w:tc>
              <w:tc>
                <w:tcPr>
                  <w:tcW w:w="683" w:type="dxa"/>
                  <w:tcBorders>
                    <w:left w:val="single" w:color="auto" w:sz="4" w:space="0"/>
                    <w:right w:val="single" w:color="auto" w:sz="4" w:space="0"/>
                  </w:tcBorders>
                  <w:vAlign w:val="center"/>
                </w:tcPr>
                <w:p>
                  <w:pPr>
                    <w:pStyle w:val="42"/>
                  </w:pPr>
                  <w:r>
                    <w:rPr>
                      <w:rFonts w:hint="eastAsia"/>
                    </w:rPr>
                    <w:t>0</w:t>
                  </w:r>
                </w:p>
              </w:tc>
              <w:tc>
                <w:tcPr>
                  <w:tcW w:w="1102" w:type="dxa"/>
                  <w:tcBorders>
                    <w:left w:val="single" w:color="auto" w:sz="4" w:space="0"/>
                    <w:right w:val="single" w:color="auto" w:sz="4" w:space="0"/>
                  </w:tcBorders>
                  <w:vAlign w:val="center"/>
                </w:tcPr>
                <w:p>
                  <w:pPr>
                    <w:pStyle w:val="42"/>
                  </w:pPr>
                  <w:r>
                    <w:rPr>
                      <w:rFonts w:hint="eastAsia"/>
                    </w:rPr>
                    <w:t>双泉乡城镇居民区</w:t>
                  </w:r>
                </w:p>
              </w:tc>
              <w:tc>
                <w:tcPr>
                  <w:tcW w:w="1192" w:type="dxa"/>
                  <w:tcBorders>
                    <w:left w:val="single" w:color="auto" w:sz="4" w:space="0"/>
                  </w:tcBorders>
                  <w:vAlign w:val="center"/>
                </w:tcPr>
                <w:p>
                  <w:pPr>
                    <w:pStyle w:val="42"/>
                  </w:pPr>
                  <w:r>
                    <w:rPr>
                      <w:rFonts w:hint="eastAsia"/>
                    </w:rPr>
                    <w:t>约64</w:t>
                  </w:r>
                  <w:r>
                    <w:t>户，约</w:t>
                  </w:r>
                  <w:r>
                    <w:rPr>
                      <w:rFonts w:hint="eastAsia"/>
                    </w:rPr>
                    <w:t>210</w:t>
                  </w:r>
                  <w:r>
                    <w:t>人</w:t>
                  </w:r>
                </w:p>
              </w:tc>
              <w:tc>
                <w:tcPr>
                  <w:tcW w:w="760" w:type="dxa"/>
                  <w:tcBorders>
                    <w:right w:val="single" w:color="auto" w:sz="4" w:space="0"/>
                  </w:tcBorders>
                  <w:vAlign w:val="center"/>
                </w:tcPr>
                <w:p>
                  <w:pPr>
                    <w:pStyle w:val="42"/>
                  </w:pPr>
                  <w:r>
                    <w:t>二类区</w:t>
                  </w:r>
                </w:p>
              </w:tc>
              <w:tc>
                <w:tcPr>
                  <w:tcW w:w="623" w:type="dxa"/>
                  <w:tcBorders>
                    <w:left w:val="single" w:color="auto" w:sz="4" w:space="0"/>
                  </w:tcBorders>
                  <w:vAlign w:val="center"/>
                </w:tcPr>
                <w:p>
                  <w:pPr>
                    <w:pStyle w:val="42"/>
                  </w:pPr>
                  <w:r>
                    <w:rPr>
                      <w:rFonts w:hint="eastAsia"/>
                    </w:rPr>
                    <w:t>西</w:t>
                  </w:r>
                </w:p>
              </w:tc>
              <w:tc>
                <w:tcPr>
                  <w:tcW w:w="962" w:type="dxa"/>
                  <w:vAlign w:val="center"/>
                </w:tcPr>
                <w:p>
                  <w:pPr>
                    <w:pStyle w:val="42"/>
                  </w:pPr>
                  <w:r>
                    <w:rPr>
                      <w:rFonts w:hint="eastAsia"/>
                    </w:rPr>
                    <w:t>302</w:t>
                  </w:r>
                </w:p>
              </w:tc>
              <w:tc>
                <w:tcPr>
                  <w:tcW w:w="694" w:type="dxa"/>
                  <w:vAlign w:val="center"/>
                </w:tcPr>
                <w:p>
                  <w:pPr>
                    <w:pStyle w:val="42"/>
                  </w:pPr>
                  <w:r>
                    <w:rPr>
                      <w:rFonts w:hint="eastAsia"/>
                    </w:rPr>
                    <w:t>-94</w:t>
                  </w:r>
                </w:p>
              </w:tc>
              <w:tc>
                <w:tcPr>
                  <w:tcW w:w="517" w:type="dxa"/>
                  <w:tcBorders>
                    <w:right w:val="single" w:color="auto" w:sz="4" w:space="0"/>
                  </w:tcBorders>
                  <w:vAlign w:val="center"/>
                </w:tcPr>
                <w:p>
                  <w:pPr>
                    <w:pStyle w:val="42"/>
                  </w:pPr>
                  <w:r>
                    <w:rPr>
                      <w:rFonts w:hint="eastAsia"/>
                    </w:rPr>
                    <w:t>西</w:t>
                  </w:r>
                </w:p>
              </w:tc>
              <w:tc>
                <w:tcPr>
                  <w:tcW w:w="882" w:type="dxa"/>
                  <w:tcBorders>
                    <w:left w:val="single" w:color="auto" w:sz="4" w:space="0"/>
                    <w:right w:val="single" w:color="auto" w:sz="4" w:space="0"/>
                  </w:tcBorders>
                  <w:vAlign w:val="center"/>
                </w:tcPr>
                <w:p>
                  <w:pPr>
                    <w:pStyle w:val="42"/>
                  </w:pPr>
                  <w:r>
                    <w:rPr>
                      <w:rFonts w:hint="eastAsia"/>
                    </w:rPr>
                    <w:t>327</w:t>
                  </w:r>
                </w:p>
              </w:tc>
              <w:tc>
                <w:tcPr>
                  <w:tcW w:w="694" w:type="dxa"/>
                  <w:tcBorders>
                    <w:left w:val="single" w:color="auto" w:sz="4" w:space="0"/>
                    <w:right w:val="single" w:color="auto" w:sz="4" w:space="0"/>
                  </w:tcBorders>
                  <w:vAlign w:val="center"/>
                </w:tcPr>
                <w:p>
                  <w:pPr>
                    <w:pStyle w:val="42"/>
                  </w:pPr>
                  <w:r>
                    <w:rPr>
                      <w:rFonts w:hint="eastAsia"/>
                    </w:rPr>
                    <w:t>-49</w:t>
                  </w:r>
                </w:p>
              </w:tc>
              <w:tc>
                <w:tcPr>
                  <w:tcW w:w="427" w:type="dxa"/>
                  <w:tcBorders>
                    <w:left w:val="single" w:color="auto" w:sz="4" w:space="0"/>
                    <w:right w:val="single" w:color="auto" w:sz="4" w:space="0"/>
                  </w:tcBorders>
                  <w:vAlign w:val="center"/>
                </w:tcPr>
                <w:p>
                  <w:pPr>
                    <w:pStyle w:val="42"/>
                  </w:pPr>
                  <w:r>
                    <w:rPr>
                      <w:rFonts w:hint="eastAsia"/>
                    </w:rPr>
                    <w:t>西</w:t>
                  </w:r>
                </w:p>
              </w:tc>
              <w:tc>
                <w:tcPr>
                  <w:tcW w:w="824" w:type="dxa"/>
                  <w:tcBorders>
                    <w:left w:val="single" w:color="auto" w:sz="4" w:space="0"/>
                    <w:right w:val="single" w:color="auto" w:sz="4" w:space="0"/>
                  </w:tcBorders>
                  <w:vAlign w:val="center"/>
                </w:tcPr>
                <w:p>
                  <w:pPr>
                    <w:pStyle w:val="42"/>
                  </w:pPr>
                  <w:r>
                    <w:rPr>
                      <w:rFonts w:hint="eastAsia"/>
                    </w:rPr>
                    <w:t>189</w:t>
                  </w:r>
                </w:p>
              </w:tc>
              <w:tc>
                <w:tcPr>
                  <w:tcW w:w="628" w:type="dxa"/>
                  <w:tcBorders>
                    <w:left w:val="single" w:color="auto" w:sz="4" w:space="0"/>
                  </w:tcBorders>
                  <w:vAlign w:val="center"/>
                </w:tcPr>
                <w:p>
                  <w:pPr>
                    <w:pStyle w:val="42"/>
                  </w:pPr>
                  <w:r>
                    <w:rPr>
                      <w:rFonts w:hint="eastAsia"/>
                    </w:rPr>
                    <w:t>-25</w:t>
                  </w:r>
                </w:p>
              </w:tc>
              <w:tc>
                <w:tcPr>
                  <w:tcW w:w="564" w:type="dxa"/>
                  <w:tcBorders>
                    <w:right w:val="single" w:color="auto" w:sz="4" w:space="0"/>
                  </w:tcBorders>
                  <w:vAlign w:val="center"/>
                </w:tcPr>
                <w:p>
                  <w:pPr>
                    <w:pStyle w:val="42"/>
                  </w:pPr>
                  <w:r>
                    <w:rPr>
                      <w:rFonts w:hint="eastAsia"/>
                    </w:rPr>
                    <w:t>西</w:t>
                  </w:r>
                </w:p>
              </w:tc>
              <w:tc>
                <w:tcPr>
                  <w:tcW w:w="858" w:type="dxa"/>
                  <w:tcBorders>
                    <w:left w:val="single" w:color="auto" w:sz="4" w:space="0"/>
                  </w:tcBorders>
                  <w:vAlign w:val="center"/>
                </w:tcPr>
                <w:p>
                  <w:pPr>
                    <w:pStyle w:val="42"/>
                  </w:pPr>
                  <w:r>
                    <w:rPr>
                      <w:rFonts w:hint="eastAsia"/>
                    </w:rPr>
                    <w:t>239</w:t>
                  </w:r>
                </w:p>
              </w:tc>
              <w:tc>
                <w:tcPr>
                  <w:tcW w:w="578" w:type="dxa"/>
                  <w:vAlign w:val="center"/>
                </w:tcPr>
                <w:p>
                  <w:pPr>
                    <w:pStyle w:val="42"/>
                  </w:pPr>
                  <w:r>
                    <w:rPr>
                      <w:rFonts w:hint="eastAsia"/>
                    </w:rPr>
                    <w:t>-25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408" w:hRule="atLeast"/>
              </w:trPr>
              <w:tc>
                <w:tcPr>
                  <w:tcW w:w="426" w:type="dxa"/>
                  <w:vAlign w:val="center"/>
                </w:tcPr>
                <w:p>
                  <w:pPr>
                    <w:pStyle w:val="42"/>
                  </w:pPr>
                  <w:r>
                    <w:rPr>
                      <w:rFonts w:hint="eastAsia"/>
                    </w:rPr>
                    <w:t>7</w:t>
                  </w:r>
                </w:p>
              </w:tc>
              <w:tc>
                <w:tcPr>
                  <w:tcW w:w="832" w:type="dxa"/>
                  <w:tcBorders>
                    <w:right w:val="single" w:color="auto" w:sz="4" w:space="0"/>
                  </w:tcBorders>
                  <w:vAlign w:val="center"/>
                </w:tcPr>
                <w:p>
                  <w:pPr>
                    <w:pStyle w:val="42"/>
                  </w:pPr>
                  <w:r>
                    <w:rPr>
                      <w:rFonts w:hint="eastAsia"/>
                    </w:rPr>
                    <w:t>232</w:t>
                  </w:r>
                </w:p>
              </w:tc>
              <w:tc>
                <w:tcPr>
                  <w:tcW w:w="683" w:type="dxa"/>
                  <w:tcBorders>
                    <w:left w:val="single" w:color="auto" w:sz="4" w:space="0"/>
                    <w:right w:val="single" w:color="auto" w:sz="4" w:space="0"/>
                  </w:tcBorders>
                  <w:vAlign w:val="center"/>
                </w:tcPr>
                <w:p>
                  <w:pPr>
                    <w:pStyle w:val="42"/>
                  </w:pPr>
                  <w:r>
                    <w:rPr>
                      <w:rFonts w:hint="eastAsia"/>
                    </w:rPr>
                    <w:t>-446</w:t>
                  </w:r>
                </w:p>
              </w:tc>
              <w:tc>
                <w:tcPr>
                  <w:tcW w:w="1102" w:type="dxa"/>
                  <w:tcBorders>
                    <w:left w:val="single" w:color="auto" w:sz="4" w:space="0"/>
                    <w:right w:val="single" w:color="auto" w:sz="4" w:space="0"/>
                  </w:tcBorders>
                  <w:vAlign w:val="center"/>
                </w:tcPr>
                <w:p>
                  <w:pPr>
                    <w:pStyle w:val="42"/>
                  </w:pPr>
                  <w:r>
                    <w:rPr>
                      <w:rFonts w:hint="eastAsia"/>
                    </w:rPr>
                    <w:t>龙潭坪居民区</w:t>
                  </w:r>
                </w:p>
              </w:tc>
              <w:tc>
                <w:tcPr>
                  <w:tcW w:w="1192" w:type="dxa"/>
                  <w:tcBorders>
                    <w:left w:val="single" w:color="auto" w:sz="4" w:space="0"/>
                  </w:tcBorders>
                  <w:vAlign w:val="center"/>
                </w:tcPr>
                <w:p>
                  <w:pPr>
                    <w:pStyle w:val="42"/>
                  </w:pPr>
                  <w:r>
                    <w:rPr>
                      <w:rFonts w:hint="eastAsia"/>
                    </w:rPr>
                    <w:t>约9</w:t>
                  </w:r>
                  <w:r>
                    <w:t>户，约</w:t>
                  </w:r>
                  <w:r>
                    <w:rPr>
                      <w:rFonts w:hint="eastAsia"/>
                    </w:rPr>
                    <w:t>30</w:t>
                  </w:r>
                  <w:r>
                    <w:t>人</w:t>
                  </w:r>
                </w:p>
              </w:tc>
              <w:tc>
                <w:tcPr>
                  <w:tcW w:w="760" w:type="dxa"/>
                  <w:tcBorders>
                    <w:right w:val="single" w:color="auto" w:sz="4" w:space="0"/>
                  </w:tcBorders>
                  <w:vAlign w:val="center"/>
                </w:tcPr>
                <w:p>
                  <w:pPr>
                    <w:pStyle w:val="42"/>
                  </w:pPr>
                  <w:r>
                    <w:t>二类区</w:t>
                  </w:r>
                </w:p>
              </w:tc>
              <w:tc>
                <w:tcPr>
                  <w:tcW w:w="623" w:type="dxa"/>
                  <w:tcBorders>
                    <w:left w:val="single" w:color="auto" w:sz="4" w:space="0"/>
                  </w:tcBorders>
                  <w:vAlign w:val="center"/>
                </w:tcPr>
                <w:p>
                  <w:pPr>
                    <w:pStyle w:val="42"/>
                  </w:pPr>
                  <w:r>
                    <w:rPr>
                      <w:rFonts w:hint="eastAsia"/>
                    </w:rPr>
                    <w:t>东南</w:t>
                  </w:r>
                </w:p>
              </w:tc>
              <w:tc>
                <w:tcPr>
                  <w:tcW w:w="962" w:type="dxa"/>
                  <w:vAlign w:val="center"/>
                </w:tcPr>
                <w:p>
                  <w:pPr>
                    <w:pStyle w:val="42"/>
                  </w:pPr>
                  <w:r>
                    <w:rPr>
                      <w:rFonts w:hint="eastAsia"/>
                    </w:rPr>
                    <w:t>386</w:t>
                  </w:r>
                </w:p>
              </w:tc>
              <w:tc>
                <w:tcPr>
                  <w:tcW w:w="694" w:type="dxa"/>
                  <w:vAlign w:val="center"/>
                </w:tcPr>
                <w:p>
                  <w:pPr>
                    <w:pStyle w:val="42"/>
                  </w:pPr>
                  <w:r>
                    <w:rPr>
                      <w:rFonts w:hint="eastAsia"/>
                    </w:rPr>
                    <w:t>81</w:t>
                  </w:r>
                </w:p>
              </w:tc>
              <w:tc>
                <w:tcPr>
                  <w:tcW w:w="517" w:type="dxa"/>
                  <w:tcBorders>
                    <w:right w:val="single" w:color="auto" w:sz="4" w:space="0"/>
                  </w:tcBorders>
                  <w:vAlign w:val="center"/>
                </w:tcPr>
                <w:p>
                  <w:pPr>
                    <w:pStyle w:val="42"/>
                  </w:pPr>
                  <w:r>
                    <w:rPr>
                      <w:rFonts w:hint="eastAsia"/>
                    </w:rPr>
                    <w:t>东南</w:t>
                  </w:r>
                </w:p>
              </w:tc>
              <w:tc>
                <w:tcPr>
                  <w:tcW w:w="882" w:type="dxa"/>
                  <w:tcBorders>
                    <w:left w:val="single" w:color="auto" w:sz="4" w:space="0"/>
                    <w:right w:val="single" w:color="auto" w:sz="4" w:space="0"/>
                  </w:tcBorders>
                  <w:vAlign w:val="center"/>
                </w:tcPr>
                <w:p>
                  <w:pPr>
                    <w:pStyle w:val="42"/>
                  </w:pPr>
                  <w:r>
                    <w:rPr>
                      <w:rFonts w:hint="eastAsia"/>
                    </w:rPr>
                    <w:t>404</w:t>
                  </w:r>
                </w:p>
              </w:tc>
              <w:tc>
                <w:tcPr>
                  <w:tcW w:w="694" w:type="dxa"/>
                  <w:tcBorders>
                    <w:left w:val="single" w:color="auto" w:sz="4" w:space="0"/>
                    <w:right w:val="single" w:color="auto" w:sz="4" w:space="0"/>
                  </w:tcBorders>
                  <w:vAlign w:val="center"/>
                </w:tcPr>
                <w:p>
                  <w:pPr>
                    <w:pStyle w:val="42"/>
                  </w:pPr>
                  <w:r>
                    <w:rPr>
                      <w:rFonts w:hint="eastAsia"/>
                    </w:rPr>
                    <w:t>126</w:t>
                  </w:r>
                </w:p>
              </w:tc>
              <w:tc>
                <w:tcPr>
                  <w:tcW w:w="427" w:type="dxa"/>
                  <w:tcBorders>
                    <w:left w:val="single" w:color="auto" w:sz="4" w:space="0"/>
                    <w:right w:val="single" w:color="auto" w:sz="4" w:space="0"/>
                  </w:tcBorders>
                  <w:vAlign w:val="center"/>
                </w:tcPr>
                <w:p>
                  <w:pPr>
                    <w:pStyle w:val="42"/>
                  </w:pPr>
                  <w:r>
                    <w:rPr>
                      <w:rFonts w:hint="eastAsia"/>
                    </w:rPr>
                    <w:t>东南</w:t>
                  </w:r>
                </w:p>
              </w:tc>
              <w:tc>
                <w:tcPr>
                  <w:tcW w:w="824" w:type="dxa"/>
                  <w:tcBorders>
                    <w:left w:val="single" w:color="auto" w:sz="4" w:space="0"/>
                    <w:right w:val="single" w:color="auto" w:sz="4" w:space="0"/>
                  </w:tcBorders>
                  <w:vAlign w:val="center"/>
                </w:tcPr>
                <w:p>
                  <w:pPr>
                    <w:pStyle w:val="42"/>
                  </w:pPr>
                  <w:r>
                    <w:rPr>
                      <w:rFonts w:hint="eastAsia"/>
                    </w:rPr>
                    <w:t>＞500</w:t>
                  </w:r>
                </w:p>
              </w:tc>
              <w:tc>
                <w:tcPr>
                  <w:tcW w:w="628" w:type="dxa"/>
                  <w:tcBorders>
                    <w:left w:val="single" w:color="auto" w:sz="4" w:space="0"/>
                  </w:tcBorders>
                  <w:vAlign w:val="center"/>
                </w:tcPr>
                <w:p>
                  <w:pPr>
                    <w:pStyle w:val="42"/>
                  </w:pPr>
                  <w:r>
                    <w:rPr>
                      <w:rFonts w:hint="eastAsia"/>
                    </w:rPr>
                    <w:t>/</w:t>
                  </w:r>
                </w:p>
              </w:tc>
              <w:tc>
                <w:tcPr>
                  <w:tcW w:w="564" w:type="dxa"/>
                  <w:tcBorders>
                    <w:right w:val="single" w:color="auto" w:sz="4" w:space="0"/>
                  </w:tcBorders>
                  <w:vAlign w:val="center"/>
                </w:tcPr>
                <w:p>
                  <w:pPr>
                    <w:pStyle w:val="42"/>
                  </w:pPr>
                  <w:r>
                    <w:rPr>
                      <w:rFonts w:hint="eastAsia"/>
                    </w:rPr>
                    <w:t>东南</w:t>
                  </w:r>
                </w:p>
              </w:tc>
              <w:tc>
                <w:tcPr>
                  <w:tcW w:w="858" w:type="dxa"/>
                  <w:tcBorders>
                    <w:left w:val="single" w:color="auto" w:sz="4" w:space="0"/>
                  </w:tcBorders>
                  <w:vAlign w:val="center"/>
                </w:tcPr>
                <w:p>
                  <w:pPr>
                    <w:pStyle w:val="42"/>
                  </w:pPr>
                  <w:r>
                    <w:rPr>
                      <w:rFonts w:hint="eastAsia"/>
                    </w:rPr>
                    <w:t>462</w:t>
                  </w:r>
                </w:p>
              </w:tc>
              <w:tc>
                <w:tcPr>
                  <w:tcW w:w="578" w:type="dxa"/>
                  <w:vAlign w:val="center"/>
                </w:tcPr>
                <w:p>
                  <w:pPr>
                    <w:pStyle w:val="42"/>
                  </w:pPr>
                  <w:r>
                    <w:rPr>
                      <w:rFonts w:hint="eastAsia"/>
                    </w:rPr>
                    <w:t>150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408" w:hRule="atLeast"/>
              </w:trPr>
              <w:tc>
                <w:tcPr>
                  <w:tcW w:w="13246" w:type="dxa"/>
                  <w:gridSpan w:val="18"/>
                  <w:vAlign w:val="center"/>
                </w:tcPr>
                <w:p>
                  <w:pPr>
                    <w:pStyle w:val="42"/>
                    <w:ind w:firstLine="420" w:firstLineChars="200"/>
                    <w:jc w:val="left"/>
                  </w:pPr>
                  <w:r>
                    <w:rPr>
                      <w:rFonts w:hint="eastAsia"/>
                    </w:rPr>
                    <w:t>注：经调查，矿界外300m范围内原有9户当地居民住宅，原项目已将9户房屋全部购买，以上居民均已搬迁，房屋均已空置。由此，拟建项目施工、开采期间矿区边界300m范围内无居民住宅。以矿区中心为坐标点（0</w:t>
                  </w:r>
                  <w:r>
                    <w:rPr>
                      <w:rFonts w:hint="eastAsia" w:ascii="宋体" w:hAnsi="宋体"/>
                    </w:rPr>
                    <w:t>，</w:t>
                  </w:r>
                  <w:r>
                    <w:rPr>
                      <w:rFonts w:hint="eastAsia"/>
                    </w:rPr>
                    <w:t>0）。</w:t>
                  </w:r>
                </w:p>
              </w:tc>
            </w:tr>
            <w:bookmarkEnd w:id="4"/>
          </w:tbl>
          <w:p>
            <w:pPr>
              <w:adjustRightInd w:val="0"/>
              <w:snapToGrid w:val="0"/>
              <w:spacing w:line="360" w:lineRule="auto"/>
              <w:rPr>
                <w:kern w:val="0"/>
                <w:sz w:val="24"/>
              </w:rPr>
            </w:pPr>
          </w:p>
          <w:p>
            <w:pPr>
              <w:adjustRightInd w:val="0"/>
              <w:snapToGrid w:val="0"/>
              <w:spacing w:line="360" w:lineRule="auto"/>
              <w:rPr>
                <w:kern w:val="0"/>
                <w:sz w:val="24"/>
              </w:rPr>
            </w:pPr>
          </w:p>
        </w:tc>
      </w:tr>
    </w:tbl>
    <w:p/>
    <w:p>
      <w:pPr>
        <w:sectPr>
          <w:pgSz w:w="16838" w:h="11906" w:orient="landscape"/>
          <w:pgMar w:top="1080" w:right="1440" w:bottom="1080" w:left="1440" w:header="851" w:footer="1077" w:gutter="0"/>
          <w:cols w:space="720" w:num="1"/>
          <w:docGrid w:linePitch="312" w:charSpace="0"/>
        </w:sectPr>
      </w:pP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4"/>
        <w:gridCol w:w="92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163" w:hRule="atLeast"/>
          <w:jc w:val="center"/>
        </w:trPr>
        <w:tc>
          <w:tcPr>
            <w:tcW w:w="484" w:type="dxa"/>
            <w:vAlign w:val="center"/>
          </w:tcPr>
          <w:p>
            <w:pPr>
              <w:adjustRightInd w:val="0"/>
              <w:snapToGrid w:val="0"/>
              <w:jc w:val="center"/>
              <w:rPr>
                <w:kern w:val="0"/>
                <w:sz w:val="24"/>
              </w:rPr>
            </w:pPr>
            <w:r>
              <w:br w:type="page"/>
            </w:r>
            <w:r>
              <w:br w:type="page"/>
            </w:r>
            <w:r>
              <w:rPr>
                <w:kern w:val="0"/>
                <w:sz w:val="24"/>
              </w:rPr>
              <w:t>生态环境保护目标</w:t>
            </w:r>
          </w:p>
        </w:tc>
        <w:tc>
          <w:tcPr>
            <w:tcW w:w="9242" w:type="dxa"/>
          </w:tcPr>
          <w:p>
            <w:pPr>
              <w:adjustRightInd w:val="0"/>
              <w:snapToGrid w:val="0"/>
              <w:spacing w:line="360" w:lineRule="auto"/>
              <w:ind w:firstLine="482" w:firstLineChars="200"/>
              <w:rPr>
                <w:kern w:val="0"/>
                <w:sz w:val="24"/>
              </w:rPr>
            </w:pPr>
            <w:r>
              <w:rPr>
                <w:b/>
                <w:kern w:val="0"/>
                <w:sz w:val="24"/>
              </w:rPr>
              <w:t>（3）水环境保护目标</w:t>
            </w:r>
          </w:p>
          <w:p>
            <w:pPr>
              <w:adjustRightInd w:val="0"/>
              <w:snapToGrid w:val="0"/>
              <w:spacing w:line="360" w:lineRule="auto"/>
              <w:ind w:firstLine="480" w:firstLineChars="200"/>
              <w:rPr>
                <w:kern w:val="0"/>
                <w:sz w:val="24"/>
              </w:rPr>
            </w:pPr>
            <w:r>
              <w:rPr>
                <w:kern w:val="0"/>
                <w:sz w:val="24"/>
              </w:rPr>
              <w:t>经调查，项目占地范围内无常年地表水体和地下水出露，周边居民、项目员工生活用水以自来水为饮用水源。</w:t>
            </w:r>
          </w:p>
          <w:p>
            <w:pPr>
              <w:adjustRightInd w:val="0"/>
              <w:snapToGrid w:val="0"/>
              <w:spacing w:line="360" w:lineRule="auto"/>
              <w:ind w:firstLine="480" w:firstLineChars="200"/>
              <w:rPr>
                <w:kern w:val="0"/>
                <w:sz w:val="24"/>
              </w:rPr>
            </w:pPr>
            <w:r>
              <w:rPr>
                <w:kern w:val="0"/>
                <w:sz w:val="24"/>
              </w:rPr>
              <w:t>根据《重庆市生态环境局关于公布实施万州区等区县（自治县）集中式饮用水水源地保护区的函》（渝环函〔2021〕394号）</w:t>
            </w:r>
            <w:r>
              <w:rPr>
                <w:rFonts w:hint="eastAsia"/>
                <w:kern w:val="0"/>
                <w:sz w:val="24"/>
              </w:rPr>
              <w:t>等饮用水源保护区划分调整文件</w:t>
            </w:r>
            <w:r>
              <w:rPr>
                <w:kern w:val="0"/>
                <w:sz w:val="24"/>
              </w:rPr>
              <w:t>，拟建项目占地不涉及饮用水源保护区</w:t>
            </w:r>
            <w:r>
              <w:rPr>
                <w:rFonts w:hint="eastAsia"/>
                <w:kern w:val="0"/>
                <w:sz w:val="24"/>
              </w:rPr>
              <w:t>，详见附图15</w:t>
            </w:r>
            <w:r>
              <w:rPr>
                <w:kern w:val="0"/>
                <w:sz w:val="24"/>
              </w:rPr>
              <w:t>。</w:t>
            </w:r>
          </w:p>
          <w:p>
            <w:pPr>
              <w:adjustRightInd w:val="0"/>
              <w:snapToGrid w:val="0"/>
              <w:spacing w:line="360" w:lineRule="auto"/>
              <w:ind w:firstLine="480" w:firstLineChars="200"/>
              <w:rPr>
                <w:kern w:val="0"/>
                <w:sz w:val="24"/>
              </w:rPr>
            </w:pPr>
            <w:r>
              <w:rPr>
                <w:kern w:val="0"/>
                <w:sz w:val="24"/>
              </w:rPr>
              <w:t>项目区域内发育有季节性冲沟，主要接受大气降雨的补给，水量受季节影响较大，呈旱季无水，暴雨季节雨水补给快排泄也快的特点。拟建项目属于</w:t>
            </w:r>
            <w:r>
              <w:rPr>
                <w:rFonts w:hint="eastAsia"/>
                <w:kern w:val="0"/>
                <w:sz w:val="24"/>
              </w:rPr>
              <w:t>阿蓬江流域</w:t>
            </w:r>
            <w:r>
              <w:rPr>
                <w:kern w:val="0"/>
                <w:sz w:val="24"/>
              </w:rPr>
              <w:t>，阿蓬江位于项目</w:t>
            </w:r>
            <w:r>
              <w:rPr>
                <w:rFonts w:hint="eastAsia"/>
                <w:kern w:val="0"/>
                <w:sz w:val="24"/>
              </w:rPr>
              <w:t>西</w:t>
            </w:r>
            <w:r>
              <w:rPr>
                <w:kern w:val="0"/>
                <w:sz w:val="24"/>
              </w:rPr>
              <w:t>侧约</w:t>
            </w:r>
            <w:r>
              <w:rPr>
                <w:rFonts w:hint="eastAsia"/>
                <w:kern w:val="0"/>
                <w:sz w:val="24"/>
              </w:rPr>
              <w:t>4.63</w:t>
            </w:r>
            <w:r>
              <w:rPr>
                <w:kern w:val="0"/>
                <w:sz w:val="24"/>
              </w:rPr>
              <w:t>km处，为常年性河流</w:t>
            </w:r>
            <w:r>
              <w:rPr>
                <w:rFonts w:hint="eastAsia"/>
                <w:kern w:val="0"/>
                <w:sz w:val="24"/>
              </w:rPr>
              <w:t>。</w:t>
            </w:r>
            <w:r>
              <w:rPr>
                <w:kern w:val="0"/>
                <w:sz w:val="24"/>
              </w:rPr>
              <w:t>根据《重庆市人民政府批转重庆市地表水环境功能类别调整方案的通知》（渝府发〔2012〕4号文）及《重庆市人民政府关于批转重庆市地表水环境功能类别局部调整方案的通知》（渝府〔2016〕43号），阿蓬江（</w:t>
            </w:r>
            <w:r>
              <w:rPr>
                <w:rFonts w:hint="eastAsia"/>
                <w:kern w:val="0"/>
                <w:sz w:val="24"/>
              </w:rPr>
              <w:t>酉阳段</w:t>
            </w:r>
            <w:r>
              <w:rPr>
                <w:kern w:val="0"/>
                <w:sz w:val="24"/>
              </w:rPr>
              <w:t>）主要用作饮用水，为Ⅲ类水域，本次评价</w:t>
            </w:r>
            <w:r>
              <w:rPr>
                <w:rFonts w:hint="eastAsia"/>
                <w:kern w:val="0"/>
                <w:sz w:val="24"/>
              </w:rPr>
              <w:t>将</w:t>
            </w:r>
            <w:r>
              <w:rPr>
                <w:kern w:val="0"/>
                <w:sz w:val="24"/>
              </w:rPr>
              <w:t>阿蓬江</w:t>
            </w:r>
            <w:r>
              <w:rPr>
                <w:rFonts w:hint="eastAsia"/>
                <w:kern w:val="0"/>
                <w:sz w:val="24"/>
              </w:rPr>
              <w:t>作为</w:t>
            </w:r>
            <w:r>
              <w:rPr>
                <w:kern w:val="0"/>
                <w:sz w:val="24"/>
              </w:rPr>
              <w:t>为拟建项目地表水保护目标。</w:t>
            </w:r>
          </w:p>
          <w:p>
            <w:pPr>
              <w:adjustRightInd w:val="0"/>
              <w:snapToGrid w:val="0"/>
              <w:spacing w:line="360" w:lineRule="auto"/>
              <w:ind w:firstLine="480" w:firstLineChars="200"/>
              <w:rPr>
                <w:kern w:val="0"/>
                <w:sz w:val="24"/>
              </w:rPr>
            </w:pPr>
            <w:r>
              <w:rPr>
                <w:kern w:val="0"/>
                <w:sz w:val="24"/>
              </w:rPr>
              <w:t>拟建项目水环境保护目标见表3-1</w:t>
            </w:r>
            <w:r>
              <w:rPr>
                <w:rFonts w:hint="eastAsia"/>
                <w:kern w:val="0"/>
                <w:sz w:val="24"/>
              </w:rPr>
              <w:t>7</w:t>
            </w:r>
            <w:r>
              <w:rPr>
                <w:kern w:val="0"/>
                <w:sz w:val="24"/>
              </w:rPr>
              <w:t>。</w:t>
            </w:r>
          </w:p>
          <w:p>
            <w:pPr>
              <w:adjustRightInd w:val="0"/>
              <w:snapToGrid w:val="0"/>
              <w:jc w:val="center"/>
              <w:rPr>
                <w:b/>
                <w:kern w:val="0"/>
                <w:sz w:val="24"/>
              </w:rPr>
            </w:pPr>
            <w:r>
              <w:rPr>
                <w:b/>
                <w:kern w:val="0"/>
                <w:sz w:val="24"/>
              </w:rPr>
              <w:t>表3-1</w:t>
            </w:r>
            <w:r>
              <w:rPr>
                <w:rFonts w:hint="eastAsia"/>
                <w:b/>
                <w:kern w:val="0"/>
                <w:sz w:val="24"/>
              </w:rPr>
              <w:t>7</w:t>
            </w:r>
            <w:r>
              <w:rPr>
                <w:b/>
                <w:kern w:val="0"/>
                <w:sz w:val="24"/>
              </w:rPr>
              <w:t xml:space="preserve">  水环境保护目标一览表</w:t>
            </w:r>
          </w:p>
          <w:tbl>
            <w:tblPr>
              <w:tblStyle w:val="15"/>
              <w:tblW w:w="901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58"/>
              <w:gridCol w:w="863"/>
              <w:gridCol w:w="2013"/>
              <w:gridCol w:w="2480"/>
              <w:gridCol w:w="30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36" w:hRule="atLeast"/>
                <w:jc w:val="center"/>
              </w:trPr>
              <w:tc>
                <w:tcPr>
                  <w:tcW w:w="558" w:type="dxa"/>
                  <w:vAlign w:val="center"/>
                </w:tcPr>
                <w:p>
                  <w:pPr>
                    <w:pStyle w:val="42"/>
                  </w:pPr>
                  <w:r>
                    <w:t>编号</w:t>
                  </w:r>
                </w:p>
              </w:tc>
              <w:tc>
                <w:tcPr>
                  <w:tcW w:w="863" w:type="dxa"/>
                  <w:vAlign w:val="center"/>
                </w:tcPr>
                <w:p>
                  <w:pPr>
                    <w:pStyle w:val="42"/>
                  </w:pPr>
                  <w:r>
                    <w:t>环境敏感点</w:t>
                  </w:r>
                </w:p>
              </w:tc>
              <w:tc>
                <w:tcPr>
                  <w:tcW w:w="2013" w:type="dxa"/>
                  <w:vAlign w:val="center"/>
                </w:tcPr>
                <w:p>
                  <w:pPr>
                    <w:pStyle w:val="42"/>
                  </w:pPr>
                  <w:r>
                    <w:t>方位及</w:t>
                  </w:r>
                  <w:r>
                    <w:rPr>
                      <w:rFonts w:hint="eastAsia"/>
                    </w:rPr>
                    <w:t>最近</w:t>
                  </w:r>
                  <w:r>
                    <w:t>距离</w:t>
                  </w:r>
                </w:p>
              </w:tc>
              <w:tc>
                <w:tcPr>
                  <w:tcW w:w="2480" w:type="dxa"/>
                  <w:vAlign w:val="center"/>
                </w:tcPr>
                <w:p>
                  <w:pPr>
                    <w:pStyle w:val="42"/>
                  </w:pPr>
                  <w:r>
                    <w:t>环境特点（保护原因）</w:t>
                  </w:r>
                </w:p>
              </w:tc>
              <w:tc>
                <w:tcPr>
                  <w:tcW w:w="3096" w:type="dxa"/>
                  <w:vAlign w:val="center"/>
                </w:tcPr>
                <w:p>
                  <w:pPr>
                    <w:pStyle w:val="42"/>
                  </w:pPr>
                  <w:r>
                    <w:t>执行的相关标准及要求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58" w:type="dxa"/>
                  <w:vAlign w:val="center"/>
                </w:tcPr>
                <w:p>
                  <w:pPr>
                    <w:pStyle w:val="42"/>
                  </w:pPr>
                  <w:r>
                    <w:t>1</w:t>
                  </w:r>
                </w:p>
              </w:tc>
              <w:tc>
                <w:tcPr>
                  <w:tcW w:w="863" w:type="dxa"/>
                  <w:vAlign w:val="center"/>
                </w:tcPr>
                <w:p>
                  <w:pPr>
                    <w:pStyle w:val="42"/>
                  </w:pPr>
                  <w:r>
                    <w:t>阿蓬江</w:t>
                  </w:r>
                </w:p>
              </w:tc>
              <w:tc>
                <w:tcPr>
                  <w:tcW w:w="2013" w:type="dxa"/>
                  <w:vAlign w:val="center"/>
                </w:tcPr>
                <w:p>
                  <w:pPr>
                    <w:pStyle w:val="42"/>
                  </w:pPr>
                  <w:r>
                    <w:rPr>
                      <w:rFonts w:hint="eastAsia"/>
                    </w:rPr>
                    <w:t>东侧</w:t>
                  </w:r>
                  <w:r>
                    <w:t>，</w:t>
                  </w:r>
                  <w:r>
                    <w:rPr>
                      <w:rFonts w:hint="eastAsia"/>
                    </w:rPr>
                    <w:t>4.63</w:t>
                  </w:r>
                  <w:r>
                    <w:t>km</w:t>
                  </w:r>
                </w:p>
              </w:tc>
              <w:tc>
                <w:tcPr>
                  <w:tcW w:w="2480" w:type="dxa"/>
                  <w:vAlign w:val="center"/>
                </w:tcPr>
                <w:p>
                  <w:pPr>
                    <w:pStyle w:val="42"/>
                  </w:pPr>
                  <w:r>
                    <w:t>拟建项目段为Ⅲ</w:t>
                  </w:r>
                  <w:r>
                    <w:rPr>
                      <w:rFonts w:hint="eastAsia"/>
                    </w:rPr>
                    <w:t>类</w:t>
                  </w:r>
                  <w:r>
                    <w:t>水域</w:t>
                  </w:r>
                </w:p>
              </w:tc>
              <w:tc>
                <w:tcPr>
                  <w:tcW w:w="3096" w:type="dxa"/>
                  <w:vAlign w:val="center"/>
                </w:tcPr>
                <w:p>
                  <w:pPr>
                    <w:pStyle w:val="42"/>
                  </w:pPr>
                  <w:r>
                    <w:t>不为项目污水受纳水体，无污染影响</w:t>
                  </w:r>
                </w:p>
              </w:tc>
            </w:tr>
          </w:tbl>
          <w:p>
            <w:pPr>
              <w:adjustRightInd w:val="0"/>
              <w:snapToGrid w:val="0"/>
              <w:spacing w:line="360" w:lineRule="auto"/>
              <w:ind w:firstLine="482" w:firstLineChars="200"/>
              <w:rPr>
                <w:b/>
                <w:kern w:val="0"/>
                <w:sz w:val="24"/>
              </w:rPr>
            </w:pPr>
            <w:r>
              <w:rPr>
                <w:b/>
                <w:kern w:val="0"/>
                <w:sz w:val="24"/>
              </w:rPr>
              <w:t>（4）声环境保护目标</w:t>
            </w:r>
          </w:p>
          <w:p>
            <w:pPr>
              <w:adjustRightInd w:val="0"/>
              <w:snapToGrid w:val="0"/>
              <w:spacing w:line="360" w:lineRule="auto"/>
              <w:ind w:firstLine="480" w:firstLineChars="200"/>
              <w:rPr>
                <w:kern w:val="0"/>
                <w:sz w:val="24"/>
              </w:rPr>
            </w:pPr>
            <w:r>
              <w:rPr>
                <w:kern w:val="0"/>
                <w:sz w:val="24"/>
              </w:rPr>
              <w:t>经</w:t>
            </w:r>
            <w:r>
              <w:rPr>
                <w:rFonts w:hint="eastAsia"/>
                <w:kern w:val="0"/>
                <w:sz w:val="24"/>
              </w:rPr>
              <w:t>现场踏勘</w:t>
            </w:r>
            <w:r>
              <w:rPr>
                <w:kern w:val="0"/>
                <w:sz w:val="24"/>
              </w:rPr>
              <w:t>调查，</w:t>
            </w:r>
            <w:r>
              <w:rPr>
                <w:rFonts w:hint="eastAsia"/>
                <w:kern w:val="0"/>
                <w:sz w:val="24"/>
              </w:rPr>
              <w:t>项目矿区、加工区、</w:t>
            </w:r>
            <w:r>
              <w:rPr>
                <w:rFonts w:hint="eastAsia"/>
                <w:color w:val="0000FF"/>
                <w:kern w:val="0"/>
                <w:sz w:val="24"/>
              </w:rPr>
              <w:t>弃渣场</w:t>
            </w:r>
            <w:r>
              <w:rPr>
                <w:rFonts w:hint="eastAsia"/>
                <w:kern w:val="0"/>
                <w:sz w:val="24"/>
              </w:rPr>
              <w:t>、空压机房周边200m范围内</w:t>
            </w:r>
            <w:r>
              <w:rPr>
                <w:kern w:val="0"/>
                <w:sz w:val="24"/>
              </w:rPr>
              <w:t>无声环境保护目标</w:t>
            </w:r>
            <w:r>
              <w:rPr>
                <w:rFonts w:hint="eastAsia"/>
                <w:kern w:val="0"/>
                <w:sz w:val="24"/>
              </w:rPr>
              <w:t>分布，场内运输道路两侧200m范围内也</w:t>
            </w:r>
            <w:r>
              <w:rPr>
                <w:kern w:val="0"/>
                <w:sz w:val="24"/>
              </w:rPr>
              <w:t>无声环境保护目标</w:t>
            </w:r>
            <w:r>
              <w:rPr>
                <w:rFonts w:hint="eastAsia"/>
                <w:kern w:val="0"/>
                <w:sz w:val="24"/>
              </w:rPr>
              <w:t>分布；</w:t>
            </w:r>
            <w:r>
              <w:rPr>
                <w:rFonts w:hint="eastAsia"/>
                <w:color w:val="0000FF"/>
                <w:kern w:val="0"/>
                <w:sz w:val="24"/>
              </w:rPr>
              <w:t>排土场</w:t>
            </w:r>
            <w:r>
              <w:rPr>
                <w:rFonts w:hint="eastAsia"/>
                <w:kern w:val="0"/>
                <w:sz w:val="24"/>
              </w:rPr>
              <w:t>200m范围内现有少量</w:t>
            </w:r>
            <w:r>
              <w:rPr>
                <w:kern w:val="0"/>
                <w:sz w:val="24"/>
              </w:rPr>
              <w:t>声环境保护目标</w:t>
            </w:r>
            <w:r>
              <w:rPr>
                <w:rFonts w:hint="eastAsia"/>
                <w:kern w:val="0"/>
                <w:sz w:val="24"/>
              </w:rPr>
              <w:t>分布，主要为当地双泉乡城镇居民，见表3-18</w:t>
            </w:r>
            <w:r>
              <w:rPr>
                <w:kern w:val="0"/>
                <w:sz w:val="24"/>
              </w:rPr>
              <w:t>。</w:t>
            </w:r>
          </w:p>
          <w:p>
            <w:pPr>
              <w:adjustRightInd w:val="0"/>
              <w:snapToGrid w:val="0"/>
              <w:jc w:val="center"/>
              <w:rPr>
                <w:b/>
                <w:kern w:val="0"/>
                <w:sz w:val="24"/>
              </w:rPr>
            </w:pPr>
            <w:r>
              <w:rPr>
                <w:b/>
                <w:kern w:val="0"/>
                <w:sz w:val="24"/>
              </w:rPr>
              <w:t>表3-1</w:t>
            </w:r>
            <w:r>
              <w:rPr>
                <w:rFonts w:hint="eastAsia"/>
                <w:b/>
                <w:kern w:val="0"/>
                <w:sz w:val="24"/>
              </w:rPr>
              <w:t>8</w:t>
            </w:r>
            <w:r>
              <w:rPr>
                <w:b/>
                <w:kern w:val="0"/>
                <w:sz w:val="24"/>
              </w:rPr>
              <w:t xml:space="preserve">  </w:t>
            </w:r>
            <w:bookmarkStart w:id="5" w:name="_Hlk206360539"/>
            <w:r>
              <w:rPr>
                <w:rFonts w:hint="eastAsia"/>
                <w:b/>
                <w:kern w:val="0"/>
                <w:sz w:val="24"/>
              </w:rPr>
              <w:t>声</w:t>
            </w:r>
            <w:r>
              <w:rPr>
                <w:b/>
                <w:kern w:val="0"/>
                <w:sz w:val="24"/>
              </w:rPr>
              <w:t>环境保护目标一览表</w:t>
            </w:r>
          </w:p>
          <w:tbl>
            <w:tblPr>
              <w:tblStyle w:val="15"/>
              <w:tblW w:w="9006"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810"/>
              <w:gridCol w:w="1419"/>
              <w:gridCol w:w="2129"/>
              <w:gridCol w:w="1129"/>
              <w:gridCol w:w="1702"/>
              <w:gridCol w:w="1817"/>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blHeader/>
              </w:trPr>
              <w:tc>
                <w:tcPr>
                  <w:tcW w:w="810" w:type="dxa"/>
                  <w:vAlign w:val="center"/>
                </w:tcPr>
                <w:p>
                  <w:pPr>
                    <w:pStyle w:val="42"/>
                  </w:pPr>
                  <w:r>
                    <w:t>序号</w:t>
                  </w:r>
                </w:p>
              </w:tc>
              <w:tc>
                <w:tcPr>
                  <w:tcW w:w="1419" w:type="dxa"/>
                  <w:vAlign w:val="center"/>
                </w:tcPr>
                <w:p>
                  <w:pPr>
                    <w:pStyle w:val="42"/>
                  </w:pPr>
                  <w:r>
                    <w:t>项目</w:t>
                  </w:r>
                </w:p>
              </w:tc>
              <w:tc>
                <w:tcPr>
                  <w:tcW w:w="2129" w:type="dxa"/>
                  <w:vAlign w:val="center"/>
                </w:tcPr>
                <w:p>
                  <w:pPr>
                    <w:pStyle w:val="42"/>
                  </w:pPr>
                  <w:r>
                    <w:t>保护对象</w:t>
                  </w:r>
                </w:p>
              </w:tc>
              <w:tc>
                <w:tcPr>
                  <w:tcW w:w="1129" w:type="dxa"/>
                  <w:vAlign w:val="center"/>
                </w:tcPr>
                <w:p>
                  <w:pPr>
                    <w:pStyle w:val="42"/>
                  </w:pPr>
                  <w:r>
                    <w:t>方位</w:t>
                  </w:r>
                </w:p>
              </w:tc>
              <w:tc>
                <w:tcPr>
                  <w:tcW w:w="1702" w:type="dxa"/>
                  <w:vAlign w:val="center"/>
                </w:tcPr>
                <w:p>
                  <w:pPr>
                    <w:pStyle w:val="42"/>
                  </w:pPr>
                  <w:r>
                    <w:t>距离（m）</w:t>
                  </w:r>
                </w:p>
              </w:tc>
              <w:tc>
                <w:tcPr>
                  <w:tcW w:w="1817" w:type="dxa"/>
                  <w:vAlign w:val="center"/>
                </w:tcPr>
                <w:p>
                  <w:pPr>
                    <w:pStyle w:val="42"/>
                  </w:pPr>
                  <w:r>
                    <w:t>规模</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810" w:type="dxa"/>
                  <w:vAlign w:val="center"/>
                </w:tcPr>
                <w:p>
                  <w:pPr>
                    <w:pStyle w:val="42"/>
                  </w:pPr>
                  <w:r>
                    <w:t>1</w:t>
                  </w:r>
                </w:p>
              </w:tc>
              <w:tc>
                <w:tcPr>
                  <w:tcW w:w="1419" w:type="dxa"/>
                  <w:vAlign w:val="center"/>
                </w:tcPr>
                <w:p>
                  <w:pPr>
                    <w:pStyle w:val="42"/>
                  </w:pPr>
                  <w:r>
                    <w:rPr>
                      <w:rFonts w:hint="eastAsia"/>
                      <w:color w:val="0000FF"/>
                    </w:rPr>
                    <w:t>排土场</w:t>
                  </w:r>
                </w:p>
              </w:tc>
              <w:tc>
                <w:tcPr>
                  <w:tcW w:w="2129" w:type="dxa"/>
                  <w:vAlign w:val="center"/>
                </w:tcPr>
                <w:p>
                  <w:pPr>
                    <w:pStyle w:val="42"/>
                  </w:pPr>
                  <w:r>
                    <w:rPr>
                      <w:rFonts w:hint="eastAsia"/>
                    </w:rPr>
                    <w:t>双泉乡城镇居民区</w:t>
                  </w:r>
                  <w:r>
                    <w:rPr>
                      <w:rFonts w:hint="eastAsia"/>
                      <w:color w:val="0000FF"/>
                    </w:rPr>
                    <w:t>（部分）</w:t>
                  </w:r>
                </w:p>
              </w:tc>
              <w:tc>
                <w:tcPr>
                  <w:tcW w:w="1129" w:type="dxa"/>
                  <w:vAlign w:val="center"/>
                </w:tcPr>
                <w:p>
                  <w:pPr>
                    <w:pStyle w:val="42"/>
                  </w:pPr>
                  <w:r>
                    <w:rPr>
                      <w:rFonts w:hint="eastAsia"/>
                    </w:rPr>
                    <w:t>西</w:t>
                  </w:r>
                </w:p>
              </w:tc>
              <w:tc>
                <w:tcPr>
                  <w:tcW w:w="1702" w:type="dxa"/>
                  <w:vAlign w:val="center"/>
                </w:tcPr>
                <w:p>
                  <w:pPr>
                    <w:pStyle w:val="42"/>
                  </w:pPr>
                  <w:r>
                    <w:rPr>
                      <w:rFonts w:hint="eastAsia"/>
                    </w:rPr>
                    <w:t>189~200</w:t>
                  </w:r>
                </w:p>
              </w:tc>
              <w:tc>
                <w:tcPr>
                  <w:tcW w:w="1817" w:type="dxa"/>
                  <w:vAlign w:val="center"/>
                </w:tcPr>
                <w:p>
                  <w:pPr>
                    <w:pStyle w:val="42"/>
                  </w:pPr>
                  <w:r>
                    <w:rPr>
                      <w:rFonts w:hint="eastAsia"/>
                    </w:rPr>
                    <w:t>6户，约21人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9006" w:type="dxa"/>
                  <w:gridSpan w:val="6"/>
                  <w:vAlign w:val="center"/>
                </w:tcPr>
                <w:p>
                  <w:pPr>
                    <w:pStyle w:val="42"/>
                    <w:ind w:firstLine="420" w:firstLineChars="200"/>
                    <w:jc w:val="both"/>
                  </w:pPr>
                  <w:r>
                    <w:rPr>
                      <w:rFonts w:hint="eastAsia"/>
                      <w:color w:val="0000FF"/>
                    </w:rPr>
                    <w:t>注：双泉乡城镇居民区分布于排土场189~500m范围内，本表识别的保护对象为排土场200m范围内居民，共6户，约21人。</w:t>
                  </w:r>
                </w:p>
              </w:tc>
            </w:tr>
            <w:bookmarkEnd w:id="5"/>
          </w:tbl>
          <w:p>
            <w:pPr>
              <w:adjustRightInd w:val="0"/>
              <w:snapToGrid w:val="0"/>
              <w:spacing w:line="360" w:lineRule="auto"/>
              <w:ind w:firstLine="480" w:firstLineChars="200"/>
              <w:rPr>
                <w:kern w:val="0"/>
                <w:sz w:val="24"/>
              </w:rPr>
            </w:pPr>
          </w:p>
        </w:tc>
      </w:tr>
    </w:tbl>
    <w:p>
      <w:r>
        <w:br w:type="page"/>
      </w: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4"/>
        <w:gridCol w:w="92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25" w:hRule="atLeast"/>
          <w:jc w:val="center"/>
        </w:trPr>
        <w:tc>
          <w:tcPr>
            <w:tcW w:w="484" w:type="dxa"/>
            <w:vAlign w:val="center"/>
          </w:tcPr>
          <w:p>
            <w:pPr>
              <w:adjustRightInd w:val="0"/>
              <w:snapToGrid w:val="0"/>
              <w:jc w:val="center"/>
              <w:rPr>
                <w:kern w:val="0"/>
                <w:sz w:val="24"/>
              </w:rPr>
            </w:pPr>
            <w:r>
              <w:br w:type="page"/>
            </w:r>
            <w:r>
              <w:rPr>
                <w:kern w:val="0"/>
                <w:sz w:val="24"/>
              </w:rPr>
              <w:t>评价标准</w:t>
            </w:r>
          </w:p>
        </w:tc>
        <w:tc>
          <w:tcPr>
            <w:tcW w:w="9242" w:type="dxa"/>
          </w:tcPr>
          <w:p>
            <w:pPr>
              <w:adjustRightInd w:val="0"/>
              <w:snapToGrid w:val="0"/>
              <w:spacing w:line="360" w:lineRule="auto"/>
              <w:ind w:firstLine="482" w:firstLineChars="200"/>
              <w:rPr>
                <w:b/>
                <w:kern w:val="0"/>
                <w:sz w:val="24"/>
              </w:rPr>
            </w:pPr>
            <w:r>
              <w:rPr>
                <w:b/>
                <w:kern w:val="0"/>
                <w:sz w:val="24"/>
              </w:rPr>
              <w:t>（1）环境质量标准</w:t>
            </w:r>
          </w:p>
          <w:p>
            <w:pPr>
              <w:adjustRightInd w:val="0"/>
              <w:snapToGrid w:val="0"/>
              <w:spacing w:line="360" w:lineRule="auto"/>
              <w:ind w:firstLine="482" w:firstLineChars="200"/>
              <w:rPr>
                <w:b/>
                <w:kern w:val="0"/>
                <w:sz w:val="24"/>
              </w:rPr>
            </w:pPr>
            <w:r>
              <w:rPr>
                <w:rFonts w:hint="eastAsia" w:ascii="宋体" w:hAnsi="宋体" w:cs="宋体"/>
                <w:b/>
                <w:kern w:val="0"/>
                <w:sz w:val="24"/>
              </w:rPr>
              <w:t>①</w:t>
            </w:r>
            <w:r>
              <w:rPr>
                <w:b/>
                <w:kern w:val="0"/>
                <w:sz w:val="24"/>
              </w:rPr>
              <w:t>地表水环境质量标准</w:t>
            </w:r>
          </w:p>
          <w:p>
            <w:pPr>
              <w:adjustRightInd w:val="0"/>
              <w:snapToGrid w:val="0"/>
              <w:spacing w:line="360" w:lineRule="auto"/>
              <w:ind w:firstLine="480" w:firstLineChars="200"/>
              <w:rPr>
                <w:kern w:val="0"/>
                <w:sz w:val="24"/>
              </w:rPr>
            </w:pPr>
            <w:r>
              <w:rPr>
                <w:kern w:val="0"/>
                <w:sz w:val="24"/>
              </w:rPr>
              <w:t>拟建项目属于阿蓬江流域，阿蓬江（</w:t>
            </w:r>
            <w:r>
              <w:rPr>
                <w:rFonts w:hint="eastAsia"/>
                <w:kern w:val="0"/>
                <w:sz w:val="24"/>
              </w:rPr>
              <w:t>酉阳段</w:t>
            </w:r>
            <w:r>
              <w:rPr>
                <w:kern w:val="0"/>
                <w:sz w:val="24"/>
              </w:rPr>
              <w:t>）为Ⅲ类水域，执行《地表水环境质量标准》（GB3838-2002）Ⅲ类标准，见表3-1</w:t>
            </w:r>
            <w:r>
              <w:rPr>
                <w:rFonts w:hint="eastAsia"/>
                <w:kern w:val="0"/>
                <w:sz w:val="24"/>
              </w:rPr>
              <w:t>9</w:t>
            </w:r>
            <w:r>
              <w:rPr>
                <w:kern w:val="0"/>
                <w:sz w:val="24"/>
              </w:rPr>
              <w:t>。</w:t>
            </w:r>
          </w:p>
          <w:p>
            <w:pPr>
              <w:adjustRightInd w:val="0"/>
              <w:snapToGrid w:val="0"/>
              <w:jc w:val="center"/>
              <w:rPr>
                <w:b/>
                <w:kern w:val="0"/>
                <w:sz w:val="24"/>
              </w:rPr>
            </w:pPr>
            <w:r>
              <w:rPr>
                <w:b/>
                <w:kern w:val="0"/>
                <w:sz w:val="24"/>
              </w:rPr>
              <w:t>表3-1</w:t>
            </w:r>
            <w:r>
              <w:rPr>
                <w:rFonts w:hint="eastAsia"/>
                <w:b/>
                <w:kern w:val="0"/>
                <w:sz w:val="24"/>
              </w:rPr>
              <w:t>9</w:t>
            </w:r>
            <w:r>
              <w:rPr>
                <w:b/>
                <w:kern w:val="0"/>
                <w:sz w:val="24"/>
              </w:rPr>
              <w:t xml:space="preserve">  地表水环境质量标准       单位：除pH外，mg/L</w:t>
            </w:r>
          </w:p>
          <w:tbl>
            <w:tblPr>
              <w:tblStyle w:val="15"/>
              <w:tblW w:w="901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50"/>
              <w:gridCol w:w="3204"/>
              <w:gridCol w:w="36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blHeader/>
              </w:trPr>
              <w:tc>
                <w:tcPr>
                  <w:tcW w:w="2150" w:type="dxa"/>
                  <w:vAlign w:val="center"/>
                </w:tcPr>
                <w:p>
                  <w:pPr>
                    <w:pStyle w:val="42"/>
                  </w:pPr>
                  <w:r>
                    <w:rPr>
                      <w:rFonts w:hint="eastAsia"/>
                    </w:rPr>
                    <w:t>标准名称</w:t>
                  </w:r>
                </w:p>
              </w:tc>
              <w:tc>
                <w:tcPr>
                  <w:tcW w:w="3204" w:type="dxa"/>
                  <w:vAlign w:val="center"/>
                </w:tcPr>
                <w:p>
                  <w:pPr>
                    <w:pStyle w:val="42"/>
                  </w:pPr>
                  <w:r>
                    <w:t>指  标</w:t>
                  </w:r>
                </w:p>
              </w:tc>
              <w:tc>
                <w:tcPr>
                  <w:tcW w:w="3656" w:type="dxa"/>
                  <w:vAlign w:val="center"/>
                </w:tcPr>
                <w:p>
                  <w:pPr>
                    <w:pStyle w:val="42"/>
                  </w:pPr>
                  <w:r>
                    <w:rPr>
                      <w:kern w:val="44"/>
                    </w:rPr>
                    <w:t>Ⅲ</w:t>
                  </w:r>
                  <w:r>
                    <w:t>类标准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2150" w:type="dxa"/>
                  <w:vMerge w:val="restart"/>
                  <w:vAlign w:val="center"/>
                </w:tcPr>
                <w:p>
                  <w:pPr>
                    <w:pStyle w:val="42"/>
                  </w:pPr>
                  <w:r>
                    <w:t>《地表水环境质量标准》（GB3838-2002）</w:t>
                  </w:r>
                </w:p>
              </w:tc>
              <w:tc>
                <w:tcPr>
                  <w:tcW w:w="3204" w:type="dxa"/>
                  <w:vAlign w:val="center"/>
                </w:tcPr>
                <w:p>
                  <w:pPr>
                    <w:pStyle w:val="42"/>
                  </w:pPr>
                  <w:r>
                    <w:t>pH（无量纲）</w:t>
                  </w:r>
                </w:p>
              </w:tc>
              <w:tc>
                <w:tcPr>
                  <w:tcW w:w="3656" w:type="dxa"/>
                  <w:vAlign w:val="center"/>
                </w:tcPr>
                <w:p>
                  <w:pPr>
                    <w:pStyle w:val="42"/>
                  </w:pPr>
                  <w:r>
                    <w:t>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2150" w:type="dxa"/>
                  <w:vMerge w:val="continue"/>
                  <w:vAlign w:val="center"/>
                </w:tcPr>
                <w:p>
                  <w:pPr>
                    <w:pStyle w:val="42"/>
                  </w:pPr>
                </w:p>
              </w:tc>
              <w:tc>
                <w:tcPr>
                  <w:tcW w:w="3204" w:type="dxa"/>
                  <w:vAlign w:val="center"/>
                </w:tcPr>
                <w:p>
                  <w:pPr>
                    <w:pStyle w:val="42"/>
                  </w:pPr>
                  <w:r>
                    <w:rPr>
                      <w:rFonts w:hint="eastAsia"/>
                    </w:rPr>
                    <w:t>溶解氧</w:t>
                  </w:r>
                </w:p>
              </w:tc>
              <w:tc>
                <w:tcPr>
                  <w:tcW w:w="3656" w:type="dxa"/>
                  <w:vAlign w:val="center"/>
                </w:tcPr>
                <w:p>
                  <w:pPr>
                    <w:pStyle w:val="42"/>
                  </w:pPr>
                  <w:r>
                    <w:rPr>
                      <w:rFonts w:hint="eastAsia"/>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2150" w:type="dxa"/>
                  <w:vMerge w:val="continue"/>
                  <w:vAlign w:val="center"/>
                </w:tcPr>
                <w:p>
                  <w:pPr>
                    <w:pStyle w:val="42"/>
                  </w:pPr>
                </w:p>
              </w:tc>
              <w:tc>
                <w:tcPr>
                  <w:tcW w:w="3204" w:type="dxa"/>
                  <w:vAlign w:val="center"/>
                </w:tcPr>
                <w:p>
                  <w:pPr>
                    <w:pStyle w:val="42"/>
                  </w:pPr>
                  <w:r>
                    <w:rPr>
                      <w:rFonts w:hint="eastAsia"/>
                    </w:rPr>
                    <w:t>高锰酸盐指数</w:t>
                  </w:r>
                </w:p>
              </w:tc>
              <w:tc>
                <w:tcPr>
                  <w:tcW w:w="3656" w:type="dxa"/>
                  <w:vAlign w:val="center"/>
                </w:tcPr>
                <w:p>
                  <w:pPr>
                    <w:pStyle w:val="42"/>
                  </w:pPr>
                  <w:r>
                    <w:t>≤</w:t>
                  </w:r>
                  <w:r>
                    <w:rPr>
                      <w:rFonts w:hint="eastAsia"/>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2150" w:type="dxa"/>
                  <w:vMerge w:val="continue"/>
                  <w:vAlign w:val="center"/>
                </w:tcPr>
                <w:p>
                  <w:pPr>
                    <w:pStyle w:val="42"/>
                  </w:pPr>
                </w:p>
              </w:tc>
              <w:tc>
                <w:tcPr>
                  <w:tcW w:w="3204" w:type="dxa"/>
                  <w:vAlign w:val="center"/>
                </w:tcPr>
                <w:p>
                  <w:pPr>
                    <w:pStyle w:val="42"/>
                  </w:pPr>
                  <w:r>
                    <w:t>COD</w:t>
                  </w:r>
                </w:p>
              </w:tc>
              <w:tc>
                <w:tcPr>
                  <w:tcW w:w="3656" w:type="dxa"/>
                  <w:vAlign w:val="center"/>
                </w:tcPr>
                <w:p>
                  <w:pPr>
                    <w:pStyle w:val="42"/>
                  </w:pPr>
                  <w:r>
                    <w:t>≤</w:t>
                  </w:r>
                  <w:r>
                    <w:rPr>
                      <w:rFonts w:hint="eastAsia"/>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2150" w:type="dxa"/>
                  <w:vMerge w:val="continue"/>
                  <w:vAlign w:val="center"/>
                </w:tcPr>
                <w:p>
                  <w:pPr>
                    <w:pStyle w:val="42"/>
                  </w:pPr>
                </w:p>
              </w:tc>
              <w:tc>
                <w:tcPr>
                  <w:tcW w:w="3204" w:type="dxa"/>
                  <w:vAlign w:val="center"/>
                </w:tcPr>
                <w:p>
                  <w:pPr>
                    <w:pStyle w:val="42"/>
                    <w:rPr>
                      <w:rFonts w:eastAsia="仿宋"/>
                    </w:rPr>
                  </w:pPr>
                  <w:r>
                    <w:t>BOD</w:t>
                  </w:r>
                  <w:r>
                    <w:rPr>
                      <w:vertAlign w:val="subscript"/>
                    </w:rPr>
                    <w:t>5</w:t>
                  </w:r>
                </w:p>
              </w:tc>
              <w:tc>
                <w:tcPr>
                  <w:tcW w:w="3656" w:type="dxa"/>
                  <w:vAlign w:val="center"/>
                </w:tcPr>
                <w:p>
                  <w:pPr>
                    <w:pStyle w:val="42"/>
                  </w:pPr>
                  <w:r>
                    <w:t>≤</w:t>
                  </w:r>
                  <w:r>
                    <w:rPr>
                      <w:rFonts w:hint="eastAsia"/>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2150" w:type="dxa"/>
                  <w:vMerge w:val="continue"/>
                  <w:vAlign w:val="center"/>
                </w:tcPr>
                <w:p>
                  <w:pPr>
                    <w:pStyle w:val="42"/>
                  </w:pPr>
                </w:p>
              </w:tc>
              <w:tc>
                <w:tcPr>
                  <w:tcW w:w="3204" w:type="dxa"/>
                  <w:vAlign w:val="center"/>
                </w:tcPr>
                <w:p>
                  <w:pPr>
                    <w:pStyle w:val="42"/>
                  </w:pPr>
                  <w:r>
                    <w:t>氨氮</w:t>
                  </w:r>
                </w:p>
              </w:tc>
              <w:tc>
                <w:tcPr>
                  <w:tcW w:w="3656" w:type="dxa"/>
                  <w:vAlign w:val="center"/>
                </w:tcPr>
                <w:p>
                  <w:pPr>
                    <w:pStyle w:val="42"/>
                  </w:pPr>
                  <w:r>
                    <w:t>≤1.</w:t>
                  </w:r>
                  <w:r>
                    <w:rPr>
                      <w:rFonts w:hint="eastAsia"/>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2150" w:type="dxa"/>
                  <w:vMerge w:val="continue"/>
                  <w:vAlign w:val="center"/>
                </w:tcPr>
                <w:p>
                  <w:pPr>
                    <w:pStyle w:val="42"/>
                  </w:pPr>
                </w:p>
              </w:tc>
              <w:tc>
                <w:tcPr>
                  <w:tcW w:w="3204" w:type="dxa"/>
                  <w:vAlign w:val="center"/>
                </w:tcPr>
                <w:p>
                  <w:pPr>
                    <w:pStyle w:val="42"/>
                  </w:pPr>
                  <w:r>
                    <w:t>总磷</w:t>
                  </w:r>
                </w:p>
              </w:tc>
              <w:tc>
                <w:tcPr>
                  <w:tcW w:w="3656" w:type="dxa"/>
                  <w:vAlign w:val="center"/>
                </w:tcPr>
                <w:p>
                  <w:pPr>
                    <w:pStyle w:val="42"/>
                  </w:pPr>
                  <w:r>
                    <w:t>≤0.</w:t>
                  </w:r>
                  <w:r>
                    <w:rPr>
                      <w:rFonts w:hint="eastAsia"/>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2150" w:type="dxa"/>
                  <w:vMerge w:val="continue"/>
                  <w:vAlign w:val="center"/>
                </w:tcPr>
                <w:p>
                  <w:pPr>
                    <w:pStyle w:val="42"/>
                  </w:pPr>
                </w:p>
              </w:tc>
              <w:tc>
                <w:tcPr>
                  <w:tcW w:w="3204" w:type="dxa"/>
                  <w:vAlign w:val="center"/>
                </w:tcPr>
                <w:p>
                  <w:pPr>
                    <w:pStyle w:val="42"/>
                  </w:pPr>
                  <w:r>
                    <w:rPr>
                      <w:rFonts w:hint="eastAsia"/>
                    </w:rPr>
                    <w:t>挥发酚</w:t>
                  </w:r>
                </w:p>
              </w:tc>
              <w:tc>
                <w:tcPr>
                  <w:tcW w:w="3656" w:type="dxa"/>
                  <w:vAlign w:val="center"/>
                </w:tcPr>
                <w:p>
                  <w:pPr>
                    <w:pStyle w:val="42"/>
                  </w:pPr>
                  <w:r>
                    <w:t>≤</w:t>
                  </w:r>
                  <w:r>
                    <w:rPr>
                      <w:rFonts w:hint="eastAsia"/>
                    </w:rPr>
                    <w:t>0</w:t>
                  </w:r>
                  <w:r>
                    <w:t>.0</w:t>
                  </w:r>
                  <w:r>
                    <w:rPr>
                      <w:rFonts w:hint="eastAsia"/>
                    </w:rPr>
                    <w:t>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2150" w:type="dxa"/>
                  <w:vMerge w:val="continue"/>
                  <w:vAlign w:val="center"/>
                </w:tcPr>
                <w:p>
                  <w:pPr>
                    <w:pStyle w:val="42"/>
                  </w:pPr>
                </w:p>
              </w:tc>
              <w:tc>
                <w:tcPr>
                  <w:tcW w:w="3204" w:type="dxa"/>
                  <w:vAlign w:val="center"/>
                </w:tcPr>
                <w:p>
                  <w:pPr>
                    <w:pStyle w:val="42"/>
                    <w:rPr>
                      <w:rFonts w:eastAsia="仿宋"/>
                    </w:rPr>
                  </w:pPr>
                  <w:r>
                    <w:t>石油类</w:t>
                  </w:r>
                </w:p>
              </w:tc>
              <w:tc>
                <w:tcPr>
                  <w:tcW w:w="3656" w:type="dxa"/>
                  <w:vAlign w:val="center"/>
                </w:tcPr>
                <w:p>
                  <w:pPr>
                    <w:pStyle w:val="42"/>
                  </w:pPr>
                  <w:r>
                    <w:t>≤0.</w:t>
                  </w:r>
                  <w:r>
                    <w:rPr>
                      <w:rFonts w:hint="eastAsia"/>
                    </w:rPr>
                    <w:t>0</w:t>
                  </w: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2150" w:type="dxa"/>
                  <w:vMerge w:val="continue"/>
                  <w:vAlign w:val="center"/>
                </w:tcPr>
                <w:p>
                  <w:pPr>
                    <w:pStyle w:val="42"/>
                  </w:pPr>
                </w:p>
              </w:tc>
              <w:tc>
                <w:tcPr>
                  <w:tcW w:w="3204" w:type="dxa"/>
                  <w:vAlign w:val="center"/>
                </w:tcPr>
                <w:p>
                  <w:pPr>
                    <w:pStyle w:val="42"/>
                    <w:rPr>
                      <w:rFonts w:eastAsia="仿宋"/>
                    </w:rPr>
                  </w:pPr>
                  <w:r>
                    <w:rPr>
                      <w:rFonts w:hint="eastAsia"/>
                    </w:rPr>
                    <w:t>阴离子表面活性剂</w:t>
                  </w:r>
                </w:p>
              </w:tc>
              <w:tc>
                <w:tcPr>
                  <w:tcW w:w="3656" w:type="dxa"/>
                  <w:vAlign w:val="center"/>
                </w:tcPr>
                <w:p>
                  <w:pPr>
                    <w:pStyle w:val="42"/>
                  </w:pPr>
                  <w:r>
                    <w:t>≤</w:t>
                  </w:r>
                  <w:r>
                    <w:rPr>
                      <w:rFonts w:hint="eastAsia"/>
                    </w:rPr>
                    <w:t>0</w:t>
                  </w:r>
                  <w:r>
                    <w:t>.</w:t>
                  </w:r>
                  <w:r>
                    <w:rPr>
                      <w:rFonts w:hint="eastAsia"/>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2150" w:type="dxa"/>
                  <w:vMerge w:val="continue"/>
                  <w:vAlign w:val="center"/>
                </w:tcPr>
                <w:p>
                  <w:pPr>
                    <w:pStyle w:val="42"/>
                  </w:pPr>
                </w:p>
              </w:tc>
              <w:tc>
                <w:tcPr>
                  <w:tcW w:w="3204" w:type="dxa"/>
                  <w:vAlign w:val="center"/>
                </w:tcPr>
                <w:p>
                  <w:pPr>
                    <w:pStyle w:val="42"/>
                    <w:rPr>
                      <w:rFonts w:eastAsia="仿宋"/>
                    </w:rPr>
                  </w:pPr>
                  <w:r>
                    <w:rPr>
                      <w:rFonts w:hint="eastAsia"/>
                    </w:rPr>
                    <w:t>硫化物</w:t>
                  </w:r>
                </w:p>
              </w:tc>
              <w:tc>
                <w:tcPr>
                  <w:tcW w:w="3656" w:type="dxa"/>
                  <w:vAlign w:val="center"/>
                </w:tcPr>
                <w:p>
                  <w:pPr>
                    <w:pStyle w:val="42"/>
                  </w:pPr>
                  <w:r>
                    <w:t>≤</w:t>
                  </w:r>
                  <w:r>
                    <w:rPr>
                      <w:rFonts w:hint="eastAsia"/>
                    </w:rPr>
                    <w:t>0</w:t>
                  </w:r>
                  <w:r>
                    <w:t>.</w:t>
                  </w:r>
                  <w:r>
                    <w:rPr>
                      <w:rFonts w:hint="eastAsia"/>
                    </w:rPr>
                    <w:t>2</w:t>
                  </w:r>
                </w:p>
              </w:tc>
            </w:tr>
          </w:tbl>
          <w:p>
            <w:pPr>
              <w:adjustRightInd w:val="0"/>
              <w:snapToGrid w:val="0"/>
              <w:spacing w:before="240" w:beforeLines="100" w:line="360" w:lineRule="auto"/>
              <w:ind w:firstLine="482" w:firstLineChars="200"/>
              <w:rPr>
                <w:b/>
                <w:kern w:val="0"/>
                <w:sz w:val="24"/>
              </w:rPr>
            </w:pPr>
            <w:r>
              <w:rPr>
                <w:rFonts w:hint="eastAsia" w:ascii="宋体" w:hAnsi="宋体" w:cs="宋体"/>
                <w:b/>
                <w:kern w:val="0"/>
                <w:sz w:val="24"/>
              </w:rPr>
              <w:t>②</w:t>
            </w:r>
            <w:r>
              <w:rPr>
                <w:b/>
                <w:kern w:val="0"/>
                <w:sz w:val="24"/>
              </w:rPr>
              <w:t>声环境质量标准</w:t>
            </w:r>
          </w:p>
          <w:p>
            <w:pPr>
              <w:adjustRightInd w:val="0"/>
              <w:snapToGrid w:val="0"/>
              <w:spacing w:line="360" w:lineRule="auto"/>
              <w:ind w:firstLine="480" w:firstLineChars="200"/>
              <w:rPr>
                <w:kern w:val="0"/>
                <w:sz w:val="24"/>
              </w:rPr>
            </w:pPr>
            <w:r>
              <w:rPr>
                <w:kern w:val="0"/>
                <w:sz w:val="24"/>
              </w:rPr>
              <w:t>拟建项目地处</w:t>
            </w:r>
            <w:r>
              <w:rPr>
                <w:sz w:val="24"/>
              </w:rPr>
              <w:t>双泉乡永祥村</w:t>
            </w:r>
            <w:r>
              <w:rPr>
                <w:kern w:val="0"/>
                <w:sz w:val="24"/>
              </w:rPr>
              <w:t>，根据</w:t>
            </w:r>
            <w:r>
              <w:rPr>
                <w:rFonts w:hint="eastAsia"/>
                <w:kern w:val="0"/>
                <w:sz w:val="24"/>
              </w:rPr>
              <w:t>《酉阳土家族苗族自治县声环境功能区划分调整方案》（酉阳环发〔2023〕6号）、《重庆市酉阳土家族苗族自治县矿产资源总体规划（2021-2025年）环境影响报告书》</w:t>
            </w:r>
            <w:r>
              <w:rPr>
                <w:kern w:val="0"/>
                <w:sz w:val="24"/>
              </w:rPr>
              <w:t>评价范围执行2类声功能区，其声环境质量对应执行《声环境质量标准》（GB</w:t>
            </w:r>
            <w:r>
              <w:rPr>
                <w:rFonts w:hint="eastAsia"/>
                <w:kern w:val="0"/>
                <w:sz w:val="24"/>
              </w:rPr>
              <w:t xml:space="preserve"> </w:t>
            </w:r>
            <w:r>
              <w:rPr>
                <w:kern w:val="0"/>
                <w:sz w:val="24"/>
              </w:rPr>
              <w:t>3096-2008）中2类标准。</w:t>
            </w:r>
          </w:p>
          <w:p>
            <w:pPr>
              <w:adjustRightInd w:val="0"/>
              <w:snapToGrid w:val="0"/>
              <w:jc w:val="center"/>
              <w:rPr>
                <w:b/>
                <w:kern w:val="0"/>
                <w:sz w:val="24"/>
              </w:rPr>
            </w:pPr>
            <w:r>
              <w:rPr>
                <w:b/>
                <w:kern w:val="0"/>
                <w:sz w:val="24"/>
              </w:rPr>
              <w:t>表3-</w:t>
            </w:r>
            <w:r>
              <w:rPr>
                <w:rFonts w:hint="eastAsia"/>
                <w:b/>
                <w:kern w:val="0"/>
                <w:sz w:val="24"/>
              </w:rPr>
              <w:t>20</w:t>
            </w:r>
            <w:r>
              <w:rPr>
                <w:b/>
                <w:kern w:val="0"/>
                <w:sz w:val="24"/>
              </w:rPr>
              <w:t xml:space="preserve">  声环境质量标准      单位:dB（A）</w:t>
            </w:r>
          </w:p>
          <w:tbl>
            <w:tblPr>
              <w:tblStyle w:val="15"/>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5"/>
              <w:gridCol w:w="3062"/>
              <w:gridCol w:w="2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3065" w:type="dxa"/>
                  <w:vMerge w:val="restart"/>
                  <w:tcBorders>
                    <w:tl2br w:val="single" w:color="auto" w:sz="4" w:space="0"/>
                  </w:tcBorders>
                  <w:vAlign w:val="center"/>
                </w:tcPr>
                <w:p>
                  <w:pPr>
                    <w:pStyle w:val="42"/>
                    <w:jc w:val="right"/>
                  </w:pPr>
                  <w:r>
                    <w:t>指标</w:t>
                  </w:r>
                </w:p>
                <w:p>
                  <w:pPr>
                    <w:pStyle w:val="42"/>
                    <w:jc w:val="left"/>
                  </w:pPr>
                  <w:r>
                    <w:t>类别</w:t>
                  </w:r>
                </w:p>
              </w:tc>
              <w:tc>
                <w:tcPr>
                  <w:tcW w:w="5951" w:type="dxa"/>
                  <w:gridSpan w:val="2"/>
                  <w:vAlign w:val="center"/>
                </w:tcPr>
                <w:p>
                  <w:pPr>
                    <w:pStyle w:val="42"/>
                  </w:pPr>
                  <w: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trPr>
              <w:tc>
                <w:tcPr>
                  <w:tcW w:w="3065" w:type="dxa"/>
                  <w:vMerge w:val="continue"/>
                  <w:vAlign w:val="center"/>
                </w:tcPr>
                <w:p>
                  <w:pPr>
                    <w:pStyle w:val="42"/>
                  </w:pPr>
                </w:p>
              </w:tc>
              <w:tc>
                <w:tcPr>
                  <w:tcW w:w="3062" w:type="dxa"/>
                  <w:vAlign w:val="center"/>
                </w:tcPr>
                <w:p>
                  <w:pPr>
                    <w:pStyle w:val="42"/>
                  </w:pPr>
                  <w:r>
                    <w:t>昼间</w:t>
                  </w:r>
                </w:p>
              </w:tc>
              <w:tc>
                <w:tcPr>
                  <w:tcW w:w="2889" w:type="dxa"/>
                  <w:vAlign w:val="center"/>
                </w:tcPr>
                <w:p>
                  <w:pPr>
                    <w:pStyle w:val="42"/>
                  </w:pPr>
                  <w: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 w:hRule="atLeast"/>
              </w:trPr>
              <w:tc>
                <w:tcPr>
                  <w:tcW w:w="3065" w:type="dxa"/>
                  <w:vAlign w:val="center"/>
                </w:tcPr>
                <w:p>
                  <w:pPr>
                    <w:pStyle w:val="42"/>
                  </w:pPr>
                  <w:r>
                    <w:t>2类</w:t>
                  </w:r>
                </w:p>
              </w:tc>
              <w:tc>
                <w:tcPr>
                  <w:tcW w:w="3062" w:type="dxa"/>
                  <w:vAlign w:val="center"/>
                </w:tcPr>
                <w:p>
                  <w:pPr>
                    <w:pStyle w:val="42"/>
                  </w:pPr>
                  <w:r>
                    <w:t>60</w:t>
                  </w:r>
                </w:p>
              </w:tc>
              <w:tc>
                <w:tcPr>
                  <w:tcW w:w="2889" w:type="dxa"/>
                  <w:vAlign w:val="center"/>
                </w:tcPr>
                <w:p>
                  <w:pPr>
                    <w:pStyle w:val="42"/>
                  </w:pPr>
                  <w:r>
                    <w:t>50</w:t>
                  </w:r>
                </w:p>
              </w:tc>
            </w:tr>
          </w:tbl>
          <w:p>
            <w:pPr>
              <w:adjustRightInd w:val="0"/>
              <w:snapToGrid w:val="0"/>
              <w:spacing w:before="240" w:beforeLines="100" w:line="360" w:lineRule="auto"/>
              <w:ind w:firstLine="482" w:firstLineChars="200"/>
              <w:rPr>
                <w:b/>
                <w:kern w:val="0"/>
                <w:sz w:val="24"/>
              </w:rPr>
            </w:pPr>
            <w:r>
              <w:rPr>
                <w:rFonts w:hint="eastAsia" w:ascii="宋体" w:hAnsi="宋体" w:cs="宋体"/>
                <w:b/>
                <w:kern w:val="0"/>
                <w:sz w:val="24"/>
              </w:rPr>
              <w:t>③</w:t>
            </w:r>
            <w:r>
              <w:rPr>
                <w:b/>
                <w:kern w:val="0"/>
                <w:sz w:val="24"/>
              </w:rPr>
              <w:t>环境空气质量标准</w:t>
            </w:r>
          </w:p>
          <w:p>
            <w:pPr>
              <w:adjustRightInd w:val="0"/>
              <w:snapToGrid w:val="0"/>
              <w:spacing w:line="360" w:lineRule="auto"/>
              <w:ind w:firstLine="480" w:firstLineChars="200"/>
              <w:rPr>
                <w:kern w:val="0"/>
                <w:sz w:val="24"/>
              </w:rPr>
            </w:pPr>
            <w:r>
              <w:rPr>
                <w:kern w:val="0"/>
                <w:sz w:val="24"/>
              </w:rPr>
              <w:t>根据《重庆市人民政府关于印发重庆市环境空气质量功能区划分规定的通知》（渝府发〔2016〕19号）的规定，项目所在地属于</w:t>
            </w:r>
            <w:r>
              <w:rPr>
                <w:rFonts w:hint="eastAsia"/>
                <w:kern w:val="0"/>
                <w:sz w:val="24"/>
              </w:rPr>
              <w:t>二</w:t>
            </w:r>
            <w:r>
              <w:rPr>
                <w:kern w:val="0"/>
                <w:sz w:val="24"/>
              </w:rPr>
              <w:t>类区域，环境空气质量执行《环境空气质量标准》（GB3095-2012）的二级标准，详见表3-</w:t>
            </w:r>
            <w:r>
              <w:rPr>
                <w:rFonts w:hint="eastAsia"/>
                <w:kern w:val="0"/>
                <w:sz w:val="24"/>
              </w:rPr>
              <w:t>21</w:t>
            </w:r>
            <w:r>
              <w:rPr>
                <w:kern w:val="0"/>
                <w:sz w:val="24"/>
              </w:rPr>
              <w:t>。</w:t>
            </w:r>
          </w:p>
          <w:p>
            <w:pPr>
              <w:adjustRightInd w:val="0"/>
              <w:snapToGrid w:val="0"/>
              <w:jc w:val="center"/>
              <w:rPr>
                <w:b/>
                <w:kern w:val="0"/>
                <w:sz w:val="24"/>
              </w:rPr>
            </w:pPr>
            <w:r>
              <w:rPr>
                <w:b/>
                <w:kern w:val="0"/>
                <w:sz w:val="24"/>
              </w:rPr>
              <w:t>表3-</w:t>
            </w:r>
            <w:r>
              <w:rPr>
                <w:rFonts w:hint="eastAsia"/>
                <w:b/>
                <w:kern w:val="0"/>
                <w:sz w:val="24"/>
              </w:rPr>
              <w:t>21</w:t>
            </w:r>
            <w:r>
              <w:rPr>
                <w:b/>
                <w:kern w:val="0"/>
                <w:sz w:val="24"/>
              </w:rPr>
              <w:t xml:space="preserve">  《环境空气质量标准》(GB3095-2012)二级标准  单位：(µg/m</w:t>
            </w:r>
            <w:r>
              <w:rPr>
                <w:b/>
                <w:kern w:val="0"/>
                <w:sz w:val="24"/>
                <w:vertAlign w:val="superscript"/>
              </w:rPr>
              <w:t>3</w:t>
            </w:r>
            <w:r>
              <w:rPr>
                <w:b/>
                <w:kern w:val="0"/>
                <w:sz w:val="24"/>
              </w:rPr>
              <w:t>)</w:t>
            </w:r>
          </w:p>
          <w:tbl>
            <w:tblPr>
              <w:tblStyle w:val="15"/>
              <w:tblW w:w="901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140"/>
              <w:gridCol w:w="3457"/>
              <w:gridCol w:w="341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blHeader/>
                <w:jc w:val="center"/>
              </w:trPr>
              <w:tc>
                <w:tcPr>
                  <w:tcW w:w="2140" w:type="dxa"/>
                  <w:vAlign w:val="center"/>
                </w:tcPr>
                <w:p>
                  <w:pPr>
                    <w:pStyle w:val="42"/>
                  </w:pPr>
                  <w:r>
                    <w:t>项目</w:t>
                  </w:r>
                </w:p>
              </w:tc>
              <w:tc>
                <w:tcPr>
                  <w:tcW w:w="3457" w:type="dxa"/>
                  <w:vAlign w:val="center"/>
                </w:tcPr>
                <w:p>
                  <w:pPr>
                    <w:pStyle w:val="42"/>
                  </w:pPr>
                  <w:r>
                    <w:t>类别</w:t>
                  </w:r>
                </w:p>
              </w:tc>
              <w:tc>
                <w:tcPr>
                  <w:tcW w:w="3413" w:type="dxa"/>
                  <w:vAlign w:val="center"/>
                </w:tcPr>
                <w:p>
                  <w:pPr>
                    <w:pStyle w:val="42"/>
                  </w:pPr>
                  <w:r>
                    <w:t>二级标准值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63" w:hRule="atLeast"/>
                <w:jc w:val="center"/>
              </w:trPr>
              <w:tc>
                <w:tcPr>
                  <w:tcW w:w="2140" w:type="dxa"/>
                  <w:vMerge w:val="restart"/>
                  <w:vAlign w:val="center"/>
                </w:tcPr>
                <w:p>
                  <w:pPr>
                    <w:pStyle w:val="42"/>
                  </w:pPr>
                  <w:r>
                    <w:t>SO</w:t>
                  </w:r>
                  <w:r>
                    <w:rPr>
                      <w:vertAlign w:val="subscript"/>
                    </w:rPr>
                    <w:t>2</w:t>
                  </w:r>
                </w:p>
              </w:tc>
              <w:tc>
                <w:tcPr>
                  <w:tcW w:w="3457" w:type="dxa"/>
                  <w:vAlign w:val="center"/>
                </w:tcPr>
                <w:p>
                  <w:pPr>
                    <w:pStyle w:val="42"/>
                  </w:pPr>
                  <w:r>
                    <w:t>年平均</w:t>
                  </w:r>
                </w:p>
              </w:tc>
              <w:tc>
                <w:tcPr>
                  <w:tcW w:w="3413" w:type="dxa"/>
                  <w:vAlign w:val="center"/>
                </w:tcPr>
                <w:p>
                  <w:pPr>
                    <w:pStyle w:val="42"/>
                  </w:pPr>
                  <w: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68" w:hRule="atLeast"/>
                <w:jc w:val="center"/>
              </w:trPr>
              <w:tc>
                <w:tcPr>
                  <w:tcW w:w="2140" w:type="dxa"/>
                  <w:vMerge w:val="continue"/>
                  <w:vAlign w:val="center"/>
                </w:tcPr>
                <w:p>
                  <w:pPr>
                    <w:pStyle w:val="42"/>
                  </w:pPr>
                </w:p>
              </w:tc>
              <w:tc>
                <w:tcPr>
                  <w:tcW w:w="3457" w:type="dxa"/>
                  <w:vAlign w:val="center"/>
                </w:tcPr>
                <w:p>
                  <w:pPr>
                    <w:pStyle w:val="42"/>
                  </w:pPr>
                  <w:r>
                    <w:t>24小时平均</w:t>
                  </w:r>
                </w:p>
              </w:tc>
              <w:tc>
                <w:tcPr>
                  <w:tcW w:w="3413" w:type="dxa"/>
                  <w:vAlign w:val="center"/>
                </w:tcPr>
                <w:p>
                  <w:pPr>
                    <w:pStyle w:val="42"/>
                  </w:pPr>
                  <w:r>
                    <w:t>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57" w:hRule="atLeast"/>
                <w:jc w:val="center"/>
              </w:trPr>
              <w:tc>
                <w:tcPr>
                  <w:tcW w:w="2140" w:type="dxa"/>
                  <w:vMerge w:val="continue"/>
                  <w:vAlign w:val="center"/>
                </w:tcPr>
                <w:p>
                  <w:pPr>
                    <w:pStyle w:val="42"/>
                  </w:pPr>
                </w:p>
              </w:tc>
              <w:tc>
                <w:tcPr>
                  <w:tcW w:w="3457" w:type="dxa"/>
                  <w:vAlign w:val="center"/>
                </w:tcPr>
                <w:p>
                  <w:pPr>
                    <w:pStyle w:val="42"/>
                  </w:pPr>
                  <w:r>
                    <w:t>1小时平均</w:t>
                  </w:r>
                </w:p>
              </w:tc>
              <w:tc>
                <w:tcPr>
                  <w:tcW w:w="3413" w:type="dxa"/>
                  <w:vAlign w:val="center"/>
                </w:tcPr>
                <w:p>
                  <w:pPr>
                    <w:pStyle w:val="42"/>
                  </w:pPr>
                  <w:r>
                    <w:t>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48" w:hRule="atLeast"/>
                <w:jc w:val="center"/>
              </w:trPr>
              <w:tc>
                <w:tcPr>
                  <w:tcW w:w="2140" w:type="dxa"/>
                  <w:vMerge w:val="restart"/>
                  <w:vAlign w:val="center"/>
                </w:tcPr>
                <w:p>
                  <w:pPr>
                    <w:pStyle w:val="42"/>
                  </w:pPr>
                  <w:r>
                    <w:t>NO</w:t>
                  </w:r>
                  <w:r>
                    <w:rPr>
                      <w:vertAlign w:val="subscript"/>
                    </w:rPr>
                    <w:t>2</w:t>
                  </w:r>
                </w:p>
              </w:tc>
              <w:tc>
                <w:tcPr>
                  <w:tcW w:w="3457" w:type="dxa"/>
                  <w:vAlign w:val="center"/>
                </w:tcPr>
                <w:p>
                  <w:pPr>
                    <w:pStyle w:val="42"/>
                  </w:pPr>
                  <w:r>
                    <w:t>年平均</w:t>
                  </w:r>
                </w:p>
              </w:tc>
              <w:tc>
                <w:tcPr>
                  <w:tcW w:w="3413" w:type="dxa"/>
                  <w:vAlign w:val="center"/>
                </w:tcPr>
                <w:p>
                  <w:pPr>
                    <w:pStyle w:val="42"/>
                  </w:pPr>
                  <w: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52" w:hRule="atLeast"/>
                <w:jc w:val="center"/>
              </w:trPr>
              <w:tc>
                <w:tcPr>
                  <w:tcW w:w="2140" w:type="dxa"/>
                  <w:vMerge w:val="continue"/>
                  <w:vAlign w:val="center"/>
                </w:tcPr>
                <w:p>
                  <w:pPr>
                    <w:pStyle w:val="42"/>
                  </w:pPr>
                </w:p>
              </w:tc>
              <w:tc>
                <w:tcPr>
                  <w:tcW w:w="3457" w:type="dxa"/>
                  <w:vAlign w:val="center"/>
                </w:tcPr>
                <w:p>
                  <w:pPr>
                    <w:pStyle w:val="42"/>
                  </w:pPr>
                  <w:r>
                    <w:t>24小时平均</w:t>
                  </w:r>
                </w:p>
              </w:tc>
              <w:tc>
                <w:tcPr>
                  <w:tcW w:w="3413" w:type="dxa"/>
                  <w:vAlign w:val="center"/>
                </w:tcPr>
                <w:p>
                  <w:pPr>
                    <w:pStyle w:val="42"/>
                  </w:pPr>
                  <w:r>
                    <w:t>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42" w:hRule="atLeast"/>
                <w:jc w:val="center"/>
              </w:trPr>
              <w:tc>
                <w:tcPr>
                  <w:tcW w:w="2140" w:type="dxa"/>
                  <w:vMerge w:val="continue"/>
                  <w:vAlign w:val="center"/>
                </w:tcPr>
                <w:p>
                  <w:pPr>
                    <w:pStyle w:val="42"/>
                  </w:pPr>
                </w:p>
              </w:tc>
              <w:tc>
                <w:tcPr>
                  <w:tcW w:w="3457" w:type="dxa"/>
                  <w:vAlign w:val="center"/>
                </w:tcPr>
                <w:p>
                  <w:pPr>
                    <w:pStyle w:val="42"/>
                  </w:pPr>
                  <w:r>
                    <w:t>1小时平均</w:t>
                  </w:r>
                </w:p>
              </w:tc>
              <w:tc>
                <w:tcPr>
                  <w:tcW w:w="3413" w:type="dxa"/>
                  <w:vAlign w:val="center"/>
                </w:tcPr>
                <w:p>
                  <w:pPr>
                    <w:pStyle w:val="42"/>
                  </w:pPr>
                  <w:r>
                    <w:t>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97" w:hRule="atLeast"/>
                <w:jc w:val="center"/>
              </w:trPr>
              <w:tc>
                <w:tcPr>
                  <w:tcW w:w="2140" w:type="dxa"/>
                  <w:vMerge w:val="restart"/>
                  <w:vAlign w:val="center"/>
                </w:tcPr>
                <w:p>
                  <w:pPr>
                    <w:pStyle w:val="42"/>
                  </w:pPr>
                  <w:r>
                    <w:t>CO</w:t>
                  </w:r>
                </w:p>
              </w:tc>
              <w:tc>
                <w:tcPr>
                  <w:tcW w:w="3457" w:type="dxa"/>
                  <w:vAlign w:val="center"/>
                </w:tcPr>
                <w:p>
                  <w:pPr>
                    <w:pStyle w:val="42"/>
                  </w:pPr>
                  <w:r>
                    <w:t>24小时平均</w:t>
                  </w:r>
                </w:p>
              </w:tc>
              <w:tc>
                <w:tcPr>
                  <w:tcW w:w="3413" w:type="dxa"/>
                  <w:vAlign w:val="center"/>
                </w:tcPr>
                <w:p>
                  <w:pPr>
                    <w:pStyle w:val="42"/>
                  </w:pPr>
                  <w:r>
                    <w:t>4000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29" w:hRule="atLeast"/>
                <w:jc w:val="center"/>
              </w:trPr>
              <w:tc>
                <w:tcPr>
                  <w:tcW w:w="2140" w:type="dxa"/>
                  <w:vMerge w:val="continue"/>
                  <w:vAlign w:val="center"/>
                </w:tcPr>
                <w:p>
                  <w:pPr>
                    <w:pStyle w:val="42"/>
                  </w:pPr>
                </w:p>
              </w:tc>
              <w:tc>
                <w:tcPr>
                  <w:tcW w:w="3457" w:type="dxa"/>
                  <w:vAlign w:val="center"/>
                </w:tcPr>
                <w:p>
                  <w:pPr>
                    <w:pStyle w:val="42"/>
                  </w:pPr>
                  <w:r>
                    <w:t>1小时平均</w:t>
                  </w:r>
                </w:p>
              </w:tc>
              <w:tc>
                <w:tcPr>
                  <w:tcW w:w="3413" w:type="dxa"/>
                  <w:vAlign w:val="center"/>
                </w:tcPr>
                <w:p>
                  <w:pPr>
                    <w:pStyle w:val="42"/>
                  </w:pPr>
                  <w:r>
                    <w:t>10000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6" w:hRule="atLeast"/>
                <w:jc w:val="center"/>
              </w:trPr>
              <w:tc>
                <w:tcPr>
                  <w:tcW w:w="2140" w:type="dxa"/>
                  <w:vMerge w:val="restart"/>
                  <w:vAlign w:val="center"/>
                </w:tcPr>
                <w:p>
                  <w:pPr>
                    <w:pStyle w:val="42"/>
                  </w:pPr>
                  <w:r>
                    <w:t>O</w:t>
                  </w:r>
                  <w:r>
                    <w:rPr>
                      <w:vertAlign w:val="subscript"/>
                    </w:rPr>
                    <w:t>3</w:t>
                  </w:r>
                </w:p>
              </w:tc>
              <w:tc>
                <w:tcPr>
                  <w:tcW w:w="3457" w:type="dxa"/>
                  <w:vAlign w:val="center"/>
                </w:tcPr>
                <w:p>
                  <w:pPr>
                    <w:pStyle w:val="42"/>
                  </w:pPr>
                  <w:r>
                    <w:t>日最大8小时平均</w:t>
                  </w:r>
                </w:p>
              </w:tc>
              <w:tc>
                <w:tcPr>
                  <w:tcW w:w="3413" w:type="dxa"/>
                  <w:vAlign w:val="center"/>
                </w:tcPr>
                <w:p>
                  <w:pPr>
                    <w:pStyle w:val="42"/>
                  </w:pPr>
                  <w:r>
                    <w:t>160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2140" w:type="dxa"/>
                  <w:vMerge w:val="continue"/>
                  <w:vAlign w:val="center"/>
                </w:tcPr>
                <w:p>
                  <w:pPr>
                    <w:pStyle w:val="42"/>
                  </w:pPr>
                </w:p>
              </w:tc>
              <w:tc>
                <w:tcPr>
                  <w:tcW w:w="3457" w:type="dxa"/>
                  <w:vAlign w:val="center"/>
                </w:tcPr>
                <w:p>
                  <w:pPr>
                    <w:pStyle w:val="42"/>
                  </w:pPr>
                  <w:r>
                    <w:t>1小时平均</w:t>
                  </w:r>
                </w:p>
              </w:tc>
              <w:tc>
                <w:tcPr>
                  <w:tcW w:w="3413" w:type="dxa"/>
                  <w:vAlign w:val="center"/>
                </w:tcPr>
                <w:p>
                  <w:pPr>
                    <w:pStyle w:val="42"/>
                  </w:pPr>
                  <w:r>
                    <w:t>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56" w:hRule="atLeast"/>
                <w:jc w:val="center"/>
              </w:trPr>
              <w:tc>
                <w:tcPr>
                  <w:tcW w:w="2140" w:type="dxa"/>
                  <w:vMerge w:val="restart"/>
                  <w:vAlign w:val="center"/>
                </w:tcPr>
                <w:p>
                  <w:pPr>
                    <w:pStyle w:val="42"/>
                  </w:pPr>
                  <w:r>
                    <w:t>PM</w:t>
                  </w:r>
                  <w:r>
                    <w:rPr>
                      <w:vertAlign w:val="subscript"/>
                    </w:rPr>
                    <w:t>10</w:t>
                  </w:r>
                </w:p>
              </w:tc>
              <w:tc>
                <w:tcPr>
                  <w:tcW w:w="3457" w:type="dxa"/>
                  <w:vAlign w:val="center"/>
                </w:tcPr>
                <w:p>
                  <w:pPr>
                    <w:pStyle w:val="42"/>
                  </w:pPr>
                  <w:r>
                    <w:t>年平均</w:t>
                  </w:r>
                </w:p>
              </w:tc>
              <w:tc>
                <w:tcPr>
                  <w:tcW w:w="3413" w:type="dxa"/>
                  <w:vAlign w:val="center"/>
                </w:tcPr>
                <w:p>
                  <w:pPr>
                    <w:pStyle w:val="42"/>
                  </w:pPr>
                  <w: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60" w:hRule="atLeast"/>
                <w:jc w:val="center"/>
              </w:trPr>
              <w:tc>
                <w:tcPr>
                  <w:tcW w:w="2140" w:type="dxa"/>
                  <w:vMerge w:val="continue"/>
                  <w:vAlign w:val="center"/>
                </w:tcPr>
                <w:p>
                  <w:pPr>
                    <w:pStyle w:val="42"/>
                  </w:pPr>
                </w:p>
              </w:tc>
              <w:tc>
                <w:tcPr>
                  <w:tcW w:w="3457" w:type="dxa"/>
                  <w:vAlign w:val="center"/>
                </w:tcPr>
                <w:p>
                  <w:pPr>
                    <w:pStyle w:val="42"/>
                  </w:pPr>
                  <w:r>
                    <w:t>24小时平均</w:t>
                  </w:r>
                </w:p>
              </w:tc>
              <w:tc>
                <w:tcPr>
                  <w:tcW w:w="3413" w:type="dxa"/>
                  <w:vAlign w:val="center"/>
                </w:tcPr>
                <w:p>
                  <w:pPr>
                    <w:pStyle w:val="42"/>
                  </w:pPr>
                  <w:r>
                    <w:t>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50" w:hRule="atLeast"/>
                <w:jc w:val="center"/>
              </w:trPr>
              <w:tc>
                <w:tcPr>
                  <w:tcW w:w="2140" w:type="dxa"/>
                  <w:vMerge w:val="restart"/>
                  <w:vAlign w:val="center"/>
                </w:tcPr>
                <w:p>
                  <w:pPr>
                    <w:pStyle w:val="42"/>
                  </w:pPr>
                  <w:r>
                    <w:t>PM</w:t>
                  </w:r>
                  <w:r>
                    <w:rPr>
                      <w:vertAlign w:val="subscript"/>
                    </w:rPr>
                    <w:t>2.5</w:t>
                  </w:r>
                </w:p>
              </w:tc>
              <w:tc>
                <w:tcPr>
                  <w:tcW w:w="3457" w:type="dxa"/>
                  <w:vAlign w:val="center"/>
                </w:tcPr>
                <w:p>
                  <w:pPr>
                    <w:pStyle w:val="42"/>
                  </w:pPr>
                  <w:r>
                    <w:t>年平均</w:t>
                  </w:r>
                </w:p>
              </w:tc>
              <w:tc>
                <w:tcPr>
                  <w:tcW w:w="3413" w:type="dxa"/>
                  <w:vAlign w:val="center"/>
                </w:tcPr>
                <w:p>
                  <w:pPr>
                    <w:pStyle w:val="42"/>
                  </w:pPr>
                  <w:r>
                    <w:t>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54" w:hRule="atLeast"/>
                <w:jc w:val="center"/>
              </w:trPr>
              <w:tc>
                <w:tcPr>
                  <w:tcW w:w="2140" w:type="dxa"/>
                  <w:vMerge w:val="continue"/>
                  <w:vAlign w:val="center"/>
                </w:tcPr>
                <w:p>
                  <w:pPr>
                    <w:pStyle w:val="42"/>
                  </w:pPr>
                </w:p>
              </w:tc>
              <w:tc>
                <w:tcPr>
                  <w:tcW w:w="3457" w:type="dxa"/>
                  <w:vAlign w:val="center"/>
                </w:tcPr>
                <w:p>
                  <w:pPr>
                    <w:pStyle w:val="42"/>
                  </w:pPr>
                  <w:r>
                    <w:t>24小时平均</w:t>
                  </w:r>
                </w:p>
              </w:tc>
              <w:tc>
                <w:tcPr>
                  <w:tcW w:w="3413" w:type="dxa"/>
                  <w:vAlign w:val="center"/>
                </w:tcPr>
                <w:p>
                  <w:pPr>
                    <w:pStyle w:val="42"/>
                  </w:pPr>
                  <w:r>
                    <w:t>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44" w:hRule="atLeast"/>
                <w:jc w:val="center"/>
              </w:trPr>
              <w:tc>
                <w:tcPr>
                  <w:tcW w:w="2140" w:type="dxa"/>
                  <w:vMerge w:val="restart"/>
                  <w:vAlign w:val="center"/>
                </w:tcPr>
                <w:p>
                  <w:pPr>
                    <w:pStyle w:val="42"/>
                  </w:pPr>
                  <w:r>
                    <w:t>TSP</w:t>
                  </w:r>
                </w:p>
              </w:tc>
              <w:tc>
                <w:tcPr>
                  <w:tcW w:w="3457" w:type="dxa"/>
                  <w:vAlign w:val="center"/>
                </w:tcPr>
                <w:p>
                  <w:pPr>
                    <w:pStyle w:val="42"/>
                  </w:pPr>
                  <w:r>
                    <w:t>年平均</w:t>
                  </w:r>
                </w:p>
              </w:tc>
              <w:tc>
                <w:tcPr>
                  <w:tcW w:w="3413" w:type="dxa"/>
                  <w:vAlign w:val="center"/>
                </w:tcPr>
                <w:p>
                  <w:pPr>
                    <w:pStyle w:val="42"/>
                  </w:pPr>
                  <w:r>
                    <w:t>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34" w:hRule="atLeast"/>
                <w:jc w:val="center"/>
              </w:trPr>
              <w:tc>
                <w:tcPr>
                  <w:tcW w:w="2140" w:type="dxa"/>
                  <w:vMerge w:val="continue"/>
                  <w:vAlign w:val="center"/>
                </w:tcPr>
                <w:p>
                  <w:pPr>
                    <w:pStyle w:val="42"/>
                  </w:pPr>
                </w:p>
              </w:tc>
              <w:tc>
                <w:tcPr>
                  <w:tcW w:w="3457" w:type="dxa"/>
                  <w:vAlign w:val="center"/>
                </w:tcPr>
                <w:p>
                  <w:pPr>
                    <w:pStyle w:val="42"/>
                  </w:pPr>
                  <w:r>
                    <w:t>24小时平均</w:t>
                  </w:r>
                </w:p>
              </w:tc>
              <w:tc>
                <w:tcPr>
                  <w:tcW w:w="3413" w:type="dxa"/>
                  <w:vAlign w:val="center"/>
                </w:tcPr>
                <w:p>
                  <w:pPr>
                    <w:pStyle w:val="42"/>
                  </w:pPr>
                  <w:r>
                    <w:t>300</w:t>
                  </w:r>
                </w:p>
              </w:tc>
            </w:tr>
          </w:tbl>
          <w:p>
            <w:pPr>
              <w:adjustRightInd w:val="0"/>
              <w:snapToGrid w:val="0"/>
              <w:spacing w:before="240" w:beforeLines="100" w:line="360" w:lineRule="auto"/>
              <w:ind w:firstLine="482" w:firstLineChars="200"/>
              <w:rPr>
                <w:b/>
                <w:kern w:val="0"/>
                <w:sz w:val="24"/>
              </w:rPr>
            </w:pPr>
            <w:r>
              <w:rPr>
                <w:rFonts w:hint="eastAsia" w:ascii="宋体" w:hAnsi="宋体" w:cs="宋体"/>
                <w:b/>
                <w:kern w:val="0"/>
                <w:sz w:val="24"/>
              </w:rPr>
              <w:t>④</w:t>
            </w:r>
            <w:r>
              <w:rPr>
                <w:b/>
                <w:kern w:val="0"/>
                <w:sz w:val="24"/>
              </w:rPr>
              <w:t>土壤侵蚀</w:t>
            </w:r>
          </w:p>
          <w:p>
            <w:pPr>
              <w:adjustRightInd w:val="0"/>
              <w:snapToGrid w:val="0"/>
              <w:spacing w:line="360" w:lineRule="auto"/>
              <w:ind w:firstLine="480" w:firstLineChars="200"/>
              <w:rPr>
                <w:kern w:val="0"/>
                <w:sz w:val="24"/>
              </w:rPr>
            </w:pPr>
            <w:r>
              <w:rPr>
                <w:kern w:val="0"/>
                <w:sz w:val="24"/>
              </w:rPr>
              <w:t>参照执行《土壤侵蚀分类分级标准》（SL190-2007），有关标准值详见表3-2</w:t>
            </w:r>
            <w:r>
              <w:rPr>
                <w:rFonts w:hint="eastAsia"/>
                <w:kern w:val="0"/>
                <w:sz w:val="24"/>
              </w:rPr>
              <w:t>0</w:t>
            </w:r>
            <w:r>
              <w:rPr>
                <w:kern w:val="0"/>
                <w:sz w:val="24"/>
              </w:rPr>
              <w:t>。拟建项目区域属于西南土石山区水力侵蚀类型区，允许土壤流失量模数为500t/（km</w:t>
            </w:r>
            <w:r>
              <w:rPr>
                <w:kern w:val="0"/>
                <w:sz w:val="24"/>
                <w:vertAlign w:val="superscript"/>
              </w:rPr>
              <w:t>2</w:t>
            </w:r>
            <w:r>
              <w:rPr>
                <w:kern w:val="0"/>
                <w:sz w:val="24"/>
              </w:rPr>
              <w:t>•a）。</w:t>
            </w:r>
          </w:p>
          <w:p>
            <w:pPr>
              <w:adjustRightInd w:val="0"/>
              <w:snapToGrid w:val="0"/>
              <w:jc w:val="center"/>
              <w:rPr>
                <w:b/>
                <w:kern w:val="0"/>
                <w:sz w:val="24"/>
              </w:rPr>
            </w:pPr>
            <w:r>
              <w:rPr>
                <w:b/>
                <w:kern w:val="0"/>
                <w:sz w:val="24"/>
              </w:rPr>
              <w:t>表3-2</w:t>
            </w:r>
            <w:r>
              <w:rPr>
                <w:rFonts w:hint="eastAsia"/>
                <w:b/>
                <w:kern w:val="0"/>
                <w:sz w:val="24"/>
              </w:rPr>
              <w:t>2</w:t>
            </w:r>
            <w:r>
              <w:rPr>
                <w:b/>
                <w:kern w:val="0"/>
                <w:sz w:val="24"/>
              </w:rPr>
              <w:t xml:space="preserve">  水力侵蚀强度分级标准</w:t>
            </w:r>
          </w:p>
          <w:tbl>
            <w:tblPr>
              <w:tblStyle w:val="15"/>
              <w:tblW w:w="901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59"/>
              <w:gridCol w:w="3606"/>
              <w:gridCol w:w="35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1859" w:type="dxa"/>
                  <w:vAlign w:val="center"/>
                </w:tcPr>
                <w:p>
                  <w:pPr>
                    <w:pStyle w:val="42"/>
                  </w:pPr>
                  <w:r>
                    <w:t>级别</w:t>
                  </w:r>
                </w:p>
              </w:tc>
              <w:tc>
                <w:tcPr>
                  <w:tcW w:w="3606" w:type="dxa"/>
                  <w:vAlign w:val="center"/>
                </w:tcPr>
                <w:p>
                  <w:pPr>
                    <w:pStyle w:val="42"/>
                  </w:pPr>
                  <w:r>
                    <w:t>平均侵蚀模数（t/km</w:t>
                  </w:r>
                  <w:r>
                    <w:rPr>
                      <w:vertAlign w:val="superscript"/>
                    </w:rPr>
                    <w:t>2</w:t>
                  </w:r>
                  <w:r>
                    <w:t>·a）</w:t>
                  </w:r>
                </w:p>
              </w:tc>
              <w:tc>
                <w:tcPr>
                  <w:tcW w:w="3545" w:type="dxa"/>
                  <w:vAlign w:val="center"/>
                </w:tcPr>
                <w:p>
                  <w:pPr>
                    <w:pStyle w:val="42"/>
                  </w:pPr>
                  <w:r>
                    <w:t>平均流失厚度（mm/a）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1859" w:type="dxa"/>
                  <w:vAlign w:val="center"/>
                </w:tcPr>
                <w:p>
                  <w:pPr>
                    <w:pStyle w:val="42"/>
                  </w:pPr>
                  <w:r>
                    <w:t>微度</w:t>
                  </w:r>
                </w:p>
              </w:tc>
              <w:tc>
                <w:tcPr>
                  <w:tcW w:w="3606" w:type="dxa"/>
                  <w:vAlign w:val="center"/>
                </w:tcPr>
                <w:p>
                  <w:pPr>
                    <w:pStyle w:val="42"/>
                  </w:pPr>
                  <w:r>
                    <w:t>＜500</w:t>
                  </w:r>
                </w:p>
              </w:tc>
              <w:tc>
                <w:tcPr>
                  <w:tcW w:w="3545" w:type="dxa"/>
                  <w:vAlign w:val="center"/>
                </w:tcPr>
                <w:p>
                  <w:pPr>
                    <w:pStyle w:val="42"/>
                  </w:pPr>
                  <w:r>
                    <w:t>＜0.37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1859" w:type="dxa"/>
                  <w:vAlign w:val="center"/>
                </w:tcPr>
                <w:p>
                  <w:pPr>
                    <w:pStyle w:val="42"/>
                  </w:pPr>
                  <w:r>
                    <w:t>轻度</w:t>
                  </w:r>
                </w:p>
              </w:tc>
              <w:tc>
                <w:tcPr>
                  <w:tcW w:w="3606" w:type="dxa"/>
                  <w:vAlign w:val="center"/>
                </w:tcPr>
                <w:p>
                  <w:pPr>
                    <w:pStyle w:val="42"/>
                  </w:pPr>
                  <w:r>
                    <w:t>500～2500</w:t>
                  </w:r>
                </w:p>
              </w:tc>
              <w:tc>
                <w:tcPr>
                  <w:tcW w:w="3545" w:type="dxa"/>
                  <w:vAlign w:val="center"/>
                </w:tcPr>
                <w:p>
                  <w:pPr>
                    <w:pStyle w:val="42"/>
                  </w:pPr>
                  <w:r>
                    <w:t>0.37～1.9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1859" w:type="dxa"/>
                  <w:vAlign w:val="center"/>
                </w:tcPr>
                <w:p>
                  <w:pPr>
                    <w:pStyle w:val="42"/>
                  </w:pPr>
                  <w:r>
                    <w:t>中度</w:t>
                  </w:r>
                </w:p>
              </w:tc>
              <w:tc>
                <w:tcPr>
                  <w:tcW w:w="3606" w:type="dxa"/>
                  <w:vAlign w:val="center"/>
                </w:tcPr>
                <w:p>
                  <w:pPr>
                    <w:pStyle w:val="42"/>
                  </w:pPr>
                  <w:r>
                    <w:t>2500～5000</w:t>
                  </w:r>
                </w:p>
              </w:tc>
              <w:tc>
                <w:tcPr>
                  <w:tcW w:w="3545" w:type="dxa"/>
                  <w:vAlign w:val="center"/>
                </w:tcPr>
                <w:p>
                  <w:pPr>
                    <w:pStyle w:val="42"/>
                  </w:pPr>
                  <w:r>
                    <w:t>1.9～3.7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1859" w:type="dxa"/>
                  <w:vAlign w:val="center"/>
                </w:tcPr>
                <w:p>
                  <w:pPr>
                    <w:pStyle w:val="42"/>
                  </w:pPr>
                  <w:r>
                    <w:t>强烈</w:t>
                  </w:r>
                </w:p>
              </w:tc>
              <w:tc>
                <w:tcPr>
                  <w:tcW w:w="3606" w:type="dxa"/>
                  <w:vAlign w:val="center"/>
                </w:tcPr>
                <w:p>
                  <w:pPr>
                    <w:pStyle w:val="42"/>
                  </w:pPr>
                  <w:r>
                    <w:t>5000～8000</w:t>
                  </w:r>
                </w:p>
              </w:tc>
              <w:tc>
                <w:tcPr>
                  <w:tcW w:w="3545" w:type="dxa"/>
                  <w:vAlign w:val="center"/>
                </w:tcPr>
                <w:p>
                  <w:pPr>
                    <w:pStyle w:val="42"/>
                  </w:pPr>
                  <w:r>
                    <w:t>3.7～5.9</w:t>
                  </w:r>
                </w:p>
              </w:tc>
            </w:tr>
            <w:tr>
              <w:tblPrEx>
                <w:tblLayout w:type="fixed"/>
                <w:tblCellMar>
                  <w:top w:w="0" w:type="dxa"/>
                  <w:left w:w="108" w:type="dxa"/>
                  <w:bottom w:w="0" w:type="dxa"/>
                  <w:right w:w="108" w:type="dxa"/>
                </w:tblCellMar>
              </w:tblPrEx>
              <w:trPr>
                <w:trHeight w:val="277" w:hRule="atLeast"/>
                <w:jc w:val="center"/>
              </w:trPr>
              <w:tc>
                <w:tcPr>
                  <w:tcW w:w="1859" w:type="dxa"/>
                  <w:vAlign w:val="center"/>
                </w:tcPr>
                <w:p>
                  <w:pPr>
                    <w:pStyle w:val="42"/>
                  </w:pPr>
                  <w:r>
                    <w:t>极强烈</w:t>
                  </w:r>
                </w:p>
              </w:tc>
              <w:tc>
                <w:tcPr>
                  <w:tcW w:w="3606" w:type="dxa"/>
                  <w:vAlign w:val="center"/>
                </w:tcPr>
                <w:p>
                  <w:pPr>
                    <w:pStyle w:val="42"/>
                  </w:pPr>
                  <w:r>
                    <w:t>8000～15000</w:t>
                  </w:r>
                </w:p>
              </w:tc>
              <w:tc>
                <w:tcPr>
                  <w:tcW w:w="3545" w:type="dxa"/>
                  <w:vAlign w:val="center"/>
                </w:tcPr>
                <w:p>
                  <w:pPr>
                    <w:pStyle w:val="42"/>
                  </w:pPr>
                  <w:r>
                    <w:t>5.9～11.1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1859" w:type="dxa"/>
                  <w:vAlign w:val="center"/>
                </w:tcPr>
                <w:p>
                  <w:pPr>
                    <w:pStyle w:val="42"/>
                  </w:pPr>
                  <w:r>
                    <w:t>剧烈</w:t>
                  </w:r>
                </w:p>
              </w:tc>
              <w:tc>
                <w:tcPr>
                  <w:tcW w:w="3606" w:type="dxa"/>
                  <w:vAlign w:val="center"/>
                </w:tcPr>
                <w:p>
                  <w:pPr>
                    <w:pStyle w:val="42"/>
                  </w:pPr>
                  <w:r>
                    <w:t>＞15000</w:t>
                  </w:r>
                </w:p>
              </w:tc>
              <w:tc>
                <w:tcPr>
                  <w:tcW w:w="3545" w:type="dxa"/>
                  <w:vAlign w:val="center"/>
                </w:tcPr>
                <w:p>
                  <w:pPr>
                    <w:pStyle w:val="42"/>
                  </w:pPr>
                  <w:r>
                    <w:t>＞11.1</w:t>
                  </w:r>
                </w:p>
              </w:tc>
            </w:tr>
          </w:tbl>
          <w:p>
            <w:pPr>
              <w:adjustRightInd w:val="0"/>
              <w:snapToGrid w:val="0"/>
              <w:spacing w:line="360" w:lineRule="auto"/>
              <w:ind w:firstLine="482" w:firstLineChars="200"/>
              <w:rPr>
                <w:b/>
                <w:kern w:val="0"/>
                <w:sz w:val="24"/>
              </w:rPr>
            </w:pPr>
            <w:r>
              <w:rPr>
                <w:b/>
                <w:kern w:val="0"/>
                <w:sz w:val="24"/>
              </w:rPr>
              <w:t>（2）污染物排放标准</w:t>
            </w:r>
          </w:p>
          <w:p>
            <w:pPr>
              <w:adjustRightInd w:val="0"/>
              <w:snapToGrid w:val="0"/>
              <w:spacing w:line="360" w:lineRule="auto"/>
              <w:ind w:firstLine="482" w:firstLineChars="200"/>
              <w:rPr>
                <w:b/>
                <w:kern w:val="0"/>
                <w:sz w:val="24"/>
              </w:rPr>
            </w:pPr>
            <w:r>
              <w:rPr>
                <w:rFonts w:hint="eastAsia" w:ascii="宋体" w:hAnsi="宋体" w:cs="宋体"/>
                <w:b/>
                <w:kern w:val="0"/>
                <w:sz w:val="24"/>
              </w:rPr>
              <w:t>①</w:t>
            </w:r>
            <w:r>
              <w:rPr>
                <w:b/>
                <w:kern w:val="0"/>
                <w:sz w:val="24"/>
              </w:rPr>
              <w:t>废气排放标准</w:t>
            </w:r>
          </w:p>
          <w:p>
            <w:pPr>
              <w:adjustRightInd w:val="0"/>
              <w:snapToGrid w:val="0"/>
              <w:spacing w:line="360" w:lineRule="auto"/>
              <w:ind w:firstLine="480" w:firstLineChars="200"/>
              <w:rPr>
                <w:color w:val="0000FF"/>
                <w:kern w:val="0"/>
                <w:sz w:val="24"/>
              </w:rPr>
            </w:pPr>
            <w:r>
              <w:rPr>
                <w:rFonts w:hint="eastAsia"/>
                <w:color w:val="0000FF"/>
                <w:kern w:val="0"/>
                <w:sz w:val="24"/>
              </w:rPr>
              <w:t>根据《关于将酉阳县双泉乡大堡坡采石场纳入中型矿山规划的回复》，酉阳自治县规资局已明确项目实际用途为建筑石料用，不为水泥用（见附件17）。由此，本次评价依照矿山实际，其施工</w:t>
            </w:r>
            <w:r>
              <w:rPr>
                <w:color w:val="0000FF"/>
                <w:kern w:val="0"/>
                <w:sz w:val="24"/>
              </w:rPr>
              <w:t>、生产过程中产生的无组织粉尘执行《大气污染物综合排放标准》（DB</w:t>
            </w:r>
            <w:r>
              <w:rPr>
                <w:rFonts w:hint="eastAsia"/>
                <w:color w:val="0000FF"/>
                <w:kern w:val="0"/>
                <w:sz w:val="24"/>
              </w:rPr>
              <w:t xml:space="preserve"> </w:t>
            </w:r>
            <w:r>
              <w:rPr>
                <w:color w:val="0000FF"/>
                <w:kern w:val="0"/>
                <w:sz w:val="24"/>
              </w:rPr>
              <w:t>50/418-2016）中表1其他颗粒物其他区域无组织排放监控点浓度限值，产生的有组织粉尘执行《大气污染物综合排放标准》（DB</w:t>
            </w:r>
            <w:r>
              <w:rPr>
                <w:rFonts w:hint="eastAsia"/>
                <w:color w:val="0000FF"/>
                <w:kern w:val="0"/>
                <w:sz w:val="24"/>
              </w:rPr>
              <w:t xml:space="preserve"> </w:t>
            </w:r>
            <w:r>
              <w:rPr>
                <w:color w:val="0000FF"/>
                <w:kern w:val="0"/>
                <w:sz w:val="24"/>
              </w:rPr>
              <w:t>50/418-2016）中表1其他颗粒物其他区域与15m排气筒对应的最高允许浓度限值及最高允许排放速率</w:t>
            </w:r>
            <w:r>
              <w:rPr>
                <w:rFonts w:hint="eastAsia"/>
                <w:color w:val="0000FF"/>
                <w:kern w:val="0"/>
                <w:sz w:val="24"/>
              </w:rPr>
              <w:t>，不执行《水泥工业大气污染物排放标准》（DB 50/656-2023），</w:t>
            </w:r>
            <w:r>
              <w:rPr>
                <w:color w:val="0000FF"/>
                <w:kern w:val="0"/>
                <w:sz w:val="24"/>
              </w:rPr>
              <w:t>详见表3-2</w:t>
            </w:r>
            <w:r>
              <w:rPr>
                <w:rFonts w:hint="eastAsia"/>
                <w:color w:val="0000FF"/>
                <w:kern w:val="0"/>
                <w:sz w:val="24"/>
              </w:rPr>
              <w:t>3</w:t>
            </w:r>
            <w:r>
              <w:rPr>
                <w:color w:val="0000FF"/>
                <w:kern w:val="0"/>
                <w:sz w:val="24"/>
              </w:rPr>
              <w:t>。</w:t>
            </w:r>
          </w:p>
          <w:p>
            <w:pPr>
              <w:adjustRightInd w:val="0"/>
              <w:snapToGrid w:val="0"/>
              <w:jc w:val="center"/>
              <w:rPr>
                <w:b/>
                <w:color w:val="0000FF"/>
                <w:kern w:val="0"/>
                <w:sz w:val="24"/>
              </w:rPr>
            </w:pPr>
            <w:r>
              <w:rPr>
                <w:b/>
                <w:color w:val="0000FF"/>
                <w:kern w:val="0"/>
                <w:sz w:val="24"/>
              </w:rPr>
              <w:t>表3-2</w:t>
            </w:r>
            <w:r>
              <w:rPr>
                <w:rFonts w:hint="eastAsia"/>
                <w:b/>
                <w:color w:val="0000FF"/>
                <w:kern w:val="0"/>
                <w:sz w:val="24"/>
              </w:rPr>
              <w:t>3</w:t>
            </w:r>
            <w:r>
              <w:rPr>
                <w:b/>
                <w:color w:val="0000FF"/>
                <w:kern w:val="0"/>
                <w:sz w:val="24"/>
              </w:rPr>
              <w:t xml:space="preserve">  《大气污染物综合排放标准》（DB50/418-2016）其他区域标准</w:t>
            </w:r>
          </w:p>
          <w:tbl>
            <w:tblPr>
              <w:tblStyle w:val="15"/>
              <w:tblW w:w="9006"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90"/>
              <w:gridCol w:w="1518"/>
              <w:gridCol w:w="1745"/>
              <w:gridCol w:w="1558"/>
              <w:gridCol w:w="1985"/>
              <w:gridCol w:w="111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26" w:hRule="atLeast"/>
                <w:jc w:val="center"/>
              </w:trPr>
              <w:tc>
                <w:tcPr>
                  <w:tcW w:w="1090" w:type="dxa"/>
                  <w:vMerge w:val="restart"/>
                  <w:vAlign w:val="center"/>
                </w:tcPr>
                <w:p>
                  <w:pPr>
                    <w:pStyle w:val="42"/>
                    <w:rPr>
                      <w:color w:val="0000FF"/>
                    </w:rPr>
                  </w:pPr>
                  <w:r>
                    <w:rPr>
                      <w:color w:val="0000FF"/>
                    </w:rPr>
                    <w:t>污染物名称</w:t>
                  </w:r>
                </w:p>
              </w:tc>
              <w:tc>
                <w:tcPr>
                  <w:tcW w:w="1518" w:type="dxa"/>
                  <w:vMerge w:val="restart"/>
                  <w:vAlign w:val="center"/>
                </w:tcPr>
                <w:p>
                  <w:pPr>
                    <w:pStyle w:val="42"/>
                    <w:rPr>
                      <w:color w:val="0000FF"/>
                    </w:rPr>
                  </w:pPr>
                  <w:r>
                    <w:rPr>
                      <w:color w:val="0000FF"/>
                    </w:rPr>
                    <w:t>最高允许浓度</w:t>
                  </w:r>
                  <w:r>
                    <w:rPr>
                      <w:rFonts w:hint="eastAsia" w:ascii="宋体" w:hAnsi="宋体" w:cs="宋体"/>
                      <w:color w:val="0000FF"/>
                    </w:rPr>
                    <w:t>（</w:t>
                  </w:r>
                  <w:r>
                    <w:rPr>
                      <w:color w:val="0000FF"/>
                    </w:rPr>
                    <w:t>mg/m</w:t>
                  </w:r>
                  <w:r>
                    <w:rPr>
                      <w:color w:val="0000FF"/>
                      <w:vertAlign w:val="superscript"/>
                    </w:rPr>
                    <w:t>3</w:t>
                  </w:r>
                  <w:r>
                    <w:rPr>
                      <w:rFonts w:hint="eastAsia" w:ascii="宋体" w:hAnsi="宋体" w:cs="宋体"/>
                      <w:color w:val="0000FF"/>
                    </w:rPr>
                    <w:t>）</w:t>
                  </w:r>
                </w:p>
              </w:tc>
              <w:tc>
                <w:tcPr>
                  <w:tcW w:w="3303" w:type="dxa"/>
                  <w:gridSpan w:val="2"/>
                  <w:vAlign w:val="center"/>
                </w:tcPr>
                <w:p>
                  <w:pPr>
                    <w:pStyle w:val="42"/>
                    <w:rPr>
                      <w:color w:val="0000FF"/>
                    </w:rPr>
                  </w:pPr>
                  <w:r>
                    <w:rPr>
                      <w:color w:val="0000FF"/>
                    </w:rPr>
                    <w:t>最高允许排放速率</w:t>
                  </w:r>
                </w:p>
              </w:tc>
              <w:tc>
                <w:tcPr>
                  <w:tcW w:w="1985" w:type="dxa"/>
                  <w:vMerge w:val="restart"/>
                  <w:vAlign w:val="center"/>
                </w:tcPr>
                <w:p>
                  <w:pPr>
                    <w:pStyle w:val="42"/>
                    <w:rPr>
                      <w:color w:val="0000FF"/>
                    </w:rPr>
                  </w:pPr>
                  <w:r>
                    <w:rPr>
                      <w:color w:val="0000FF"/>
                    </w:rPr>
                    <w:t>无组织排放监控点浓度值（mg/m</w:t>
                  </w:r>
                  <w:r>
                    <w:rPr>
                      <w:color w:val="0000FF"/>
                      <w:vertAlign w:val="superscript"/>
                    </w:rPr>
                    <w:t>3</w:t>
                  </w:r>
                  <w:r>
                    <w:rPr>
                      <w:color w:val="0000FF"/>
                    </w:rPr>
                    <w:t>）</w:t>
                  </w:r>
                </w:p>
              </w:tc>
              <w:tc>
                <w:tcPr>
                  <w:tcW w:w="1110" w:type="dxa"/>
                  <w:vMerge w:val="restart"/>
                  <w:vAlign w:val="center"/>
                </w:tcPr>
                <w:p>
                  <w:pPr>
                    <w:pStyle w:val="42"/>
                    <w:rPr>
                      <w:color w:val="0000FF"/>
                    </w:rPr>
                  </w:pPr>
                  <w:r>
                    <w:rPr>
                      <w:color w:val="0000FF"/>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42" w:hRule="atLeast"/>
                <w:jc w:val="center"/>
              </w:trPr>
              <w:tc>
                <w:tcPr>
                  <w:tcW w:w="1090" w:type="dxa"/>
                  <w:vMerge w:val="continue"/>
                  <w:vAlign w:val="center"/>
                </w:tcPr>
                <w:p>
                  <w:pPr>
                    <w:pStyle w:val="42"/>
                    <w:rPr>
                      <w:color w:val="0000FF"/>
                    </w:rPr>
                  </w:pPr>
                </w:p>
              </w:tc>
              <w:tc>
                <w:tcPr>
                  <w:tcW w:w="1518" w:type="dxa"/>
                  <w:vMerge w:val="continue"/>
                  <w:vAlign w:val="center"/>
                </w:tcPr>
                <w:p>
                  <w:pPr>
                    <w:pStyle w:val="42"/>
                    <w:rPr>
                      <w:color w:val="0000FF"/>
                    </w:rPr>
                  </w:pPr>
                </w:p>
              </w:tc>
              <w:tc>
                <w:tcPr>
                  <w:tcW w:w="1745" w:type="dxa"/>
                  <w:vAlign w:val="center"/>
                </w:tcPr>
                <w:p>
                  <w:pPr>
                    <w:pStyle w:val="42"/>
                    <w:rPr>
                      <w:color w:val="0000FF"/>
                    </w:rPr>
                  </w:pPr>
                  <w:r>
                    <w:rPr>
                      <w:color w:val="0000FF"/>
                    </w:rPr>
                    <w:t>排气筒高（m）</w:t>
                  </w:r>
                </w:p>
              </w:tc>
              <w:tc>
                <w:tcPr>
                  <w:tcW w:w="1558" w:type="dxa"/>
                  <w:vAlign w:val="center"/>
                </w:tcPr>
                <w:p>
                  <w:pPr>
                    <w:pStyle w:val="42"/>
                    <w:rPr>
                      <w:color w:val="0000FF"/>
                    </w:rPr>
                  </w:pPr>
                  <w:r>
                    <w:rPr>
                      <w:color w:val="0000FF"/>
                    </w:rPr>
                    <w:t>速率（kg/h）</w:t>
                  </w:r>
                </w:p>
              </w:tc>
              <w:tc>
                <w:tcPr>
                  <w:tcW w:w="1985" w:type="dxa"/>
                  <w:vMerge w:val="continue"/>
                  <w:vAlign w:val="center"/>
                </w:tcPr>
                <w:p>
                  <w:pPr>
                    <w:pStyle w:val="42"/>
                    <w:rPr>
                      <w:color w:val="0000FF"/>
                    </w:rPr>
                  </w:pPr>
                </w:p>
              </w:tc>
              <w:tc>
                <w:tcPr>
                  <w:tcW w:w="1110" w:type="dxa"/>
                  <w:vMerge w:val="continue"/>
                  <w:vAlign w:val="center"/>
                </w:tcPr>
                <w:p>
                  <w:pPr>
                    <w:pStyle w:val="42"/>
                    <w:rPr>
                      <w:color w:val="0000FF"/>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6" w:hRule="atLeast"/>
                <w:jc w:val="center"/>
              </w:trPr>
              <w:tc>
                <w:tcPr>
                  <w:tcW w:w="1090" w:type="dxa"/>
                  <w:vAlign w:val="center"/>
                </w:tcPr>
                <w:p>
                  <w:pPr>
                    <w:pStyle w:val="42"/>
                    <w:rPr>
                      <w:color w:val="0000FF"/>
                    </w:rPr>
                  </w:pPr>
                  <w:r>
                    <w:rPr>
                      <w:color w:val="0000FF"/>
                    </w:rPr>
                    <w:t>其他颗粒物</w:t>
                  </w:r>
                </w:p>
              </w:tc>
              <w:tc>
                <w:tcPr>
                  <w:tcW w:w="1518" w:type="dxa"/>
                  <w:vAlign w:val="center"/>
                </w:tcPr>
                <w:p>
                  <w:pPr>
                    <w:pStyle w:val="42"/>
                    <w:rPr>
                      <w:color w:val="0000FF"/>
                    </w:rPr>
                  </w:pPr>
                  <w:r>
                    <w:rPr>
                      <w:color w:val="0000FF"/>
                    </w:rPr>
                    <w:t>120</w:t>
                  </w:r>
                </w:p>
              </w:tc>
              <w:tc>
                <w:tcPr>
                  <w:tcW w:w="1745" w:type="dxa"/>
                  <w:vAlign w:val="center"/>
                </w:tcPr>
                <w:p>
                  <w:pPr>
                    <w:pStyle w:val="42"/>
                    <w:rPr>
                      <w:color w:val="0000FF"/>
                    </w:rPr>
                  </w:pPr>
                  <w:r>
                    <w:rPr>
                      <w:color w:val="0000FF"/>
                    </w:rPr>
                    <w:t>15</w:t>
                  </w:r>
                </w:p>
              </w:tc>
              <w:tc>
                <w:tcPr>
                  <w:tcW w:w="1558" w:type="dxa"/>
                  <w:vAlign w:val="center"/>
                </w:tcPr>
                <w:p>
                  <w:pPr>
                    <w:pStyle w:val="42"/>
                    <w:rPr>
                      <w:color w:val="0000FF"/>
                    </w:rPr>
                  </w:pPr>
                  <w:r>
                    <w:rPr>
                      <w:color w:val="0000FF"/>
                    </w:rPr>
                    <w:t>3.5</w:t>
                  </w:r>
                </w:p>
              </w:tc>
              <w:tc>
                <w:tcPr>
                  <w:tcW w:w="1985" w:type="dxa"/>
                  <w:vAlign w:val="center"/>
                </w:tcPr>
                <w:p>
                  <w:pPr>
                    <w:pStyle w:val="42"/>
                    <w:rPr>
                      <w:color w:val="0000FF"/>
                    </w:rPr>
                  </w:pPr>
                  <w:r>
                    <w:rPr>
                      <w:color w:val="0000FF"/>
                    </w:rPr>
                    <w:t>1.0</w:t>
                  </w:r>
                </w:p>
              </w:tc>
              <w:tc>
                <w:tcPr>
                  <w:tcW w:w="1110" w:type="dxa"/>
                  <w:vAlign w:val="center"/>
                </w:tcPr>
                <w:p>
                  <w:pPr>
                    <w:pStyle w:val="42"/>
                    <w:rPr>
                      <w:color w:val="0000FF"/>
                    </w:rPr>
                  </w:pPr>
                  <w:r>
                    <w:rPr>
                      <w:color w:val="0000FF"/>
                    </w:rPr>
                    <w:t>其他区域</w:t>
                  </w:r>
                </w:p>
              </w:tc>
            </w:tr>
          </w:tbl>
          <w:p>
            <w:pPr>
              <w:adjustRightInd w:val="0"/>
              <w:snapToGrid w:val="0"/>
              <w:spacing w:before="120" w:beforeLines="50" w:line="360" w:lineRule="auto"/>
              <w:ind w:firstLine="482" w:firstLineChars="200"/>
              <w:rPr>
                <w:b/>
                <w:kern w:val="0"/>
                <w:sz w:val="24"/>
              </w:rPr>
            </w:pPr>
            <w:r>
              <w:rPr>
                <w:rFonts w:hint="eastAsia" w:ascii="宋体" w:hAnsi="宋体" w:cs="宋体"/>
                <w:b/>
                <w:kern w:val="0"/>
                <w:sz w:val="24"/>
              </w:rPr>
              <w:t>②</w:t>
            </w:r>
            <w:r>
              <w:rPr>
                <w:b/>
                <w:kern w:val="0"/>
                <w:sz w:val="24"/>
              </w:rPr>
              <w:t>废水排放标准</w:t>
            </w:r>
          </w:p>
          <w:p>
            <w:pPr>
              <w:adjustRightInd w:val="0"/>
              <w:snapToGrid w:val="0"/>
              <w:spacing w:line="360" w:lineRule="auto"/>
              <w:ind w:firstLine="480" w:firstLineChars="200"/>
              <w:rPr>
                <w:kern w:val="0"/>
                <w:sz w:val="24"/>
              </w:rPr>
            </w:pPr>
            <w:r>
              <w:rPr>
                <w:kern w:val="0"/>
                <w:sz w:val="24"/>
              </w:rPr>
              <w:t>施工期：生活污水经</w:t>
            </w:r>
            <w:r>
              <w:rPr>
                <w:rFonts w:hint="eastAsia"/>
                <w:kern w:val="0"/>
                <w:sz w:val="24"/>
              </w:rPr>
              <w:t>化粪池</w:t>
            </w:r>
            <w:r>
              <w:rPr>
                <w:kern w:val="0"/>
                <w:sz w:val="24"/>
              </w:rPr>
              <w:t>收集后，</w:t>
            </w:r>
            <w:r>
              <w:rPr>
                <w:sz w:val="24"/>
              </w:rPr>
              <w:t>用作农肥</w:t>
            </w:r>
            <w:r>
              <w:rPr>
                <w:kern w:val="0"/>
                <w:sz w:val="24"/>
              </w:rPr>
              <w:t>。</w:t>
            </w:r>
          </w:p>
          <w:p>
            <w:pPr>
              <w:adjustRightInd w:val="0"/>
              <w:snapToGrid w:val="0"/>
              <w:spacing w:line="360" w:lineRule="auto"/>
              <w:ind w:firstLine="480" w:firstLineChars="200"/>
              <w:rPr>
                <w:kern w:val="0"/>
                <w:sz w:val="24"/>
              </w:rPr>
            </w:pPr>
            <w:r>
              <w:rPr>
                <w:kern w:val="0"/>
                <w:sz w:val="24"/>
              </w:rPr>
              <w:t>运营期：拟建项目废水产生量较少，车辆冲洗废水循环使用；</w:t>
            </w:r>
            <w:r>
              <w:rPr>
                <w:sz w:val="24"/>
              </w:rPr>
              <w:t>初期雨水经雨水沉淀池收集沉淀后用于厂区洒水抑尘</w:t>
            </w:r>
            <w:r>
              <w:rPr>
                <w:kern w:val="0"/>
                <w:sz w:val="24"/>
              </w:rPr>
              <w:t>；生活污水经化粪池处理后，</w:t>
            </w:r>
            <w:r>
              <w:rPr>
                <w:sz w:val="24"/>
              </w:rPr>
              <w:t>用作农肥</w:t>
            </w:r>
            <w:r>
              <w:rPr>
                <w:kern w:val="0"/>
                <w:sz w:val="24"/>
              </w:rPr>
              <w:t>，均不外排。</w:t>
            </w:r>
          </w:p>
          <w:p>
            <w:pPr>
              <w:adjustRightInd w:val="0"/>
              <w:snapToGrid w:val="0"/>
              <w:spacing w:line="360" w:lineRule="auto"/>
              <w:ind w:firstLine="482" w:firstLineChars="200"/>
              <w:rPr>
                <w:b/>
                <w:kern w:val="0"/>
                <w:sz w:val="24"/>
              </w:rPr>
            </w:pPr>
            <w:r>
              <w:rPr>
                <w:rFonts w:hint="eastAsia" w:ascii="宋体" w:hAnsi="宋体" w:cs="宋体"/>
                <w:b/>
                <w:kern w:val="0"/>
                <w:sz w:val="24"/>
              </w:rPr>
              <w:t>③</w:t>
            </w:r>
            <w:r>
              <w:rPr>
                <w:b/>
                <w:kern w:val="0"/>
                <w:sz w:val="24"/>
              </w:rPr>
              <w:t>噪声排放标准</w:t>
            </w:r>
          </w:p>
          <w:p>
            <w:pPr>
              <w:adjustRightInd w:val="0"/>
              <w:snapToGrid w:val="0"/>
              <w:spacing w:line="360" w:lineRule="auto"/>
              <w:ind w:firstLine="480" w:firstLineChars="200"/>
              <w:rPr>
                <w:kern w:val="0"/>
                <w:sz w:val="24"/>
              </w:rPr>
            </w:pPr>
            <w:r>
              <w:rPr>
                <w:kern w:val="0"/>
                <w:sz w:val="24"/>
              </w:rPr>
              <w:t>施工期：项目地块场界执行《建筑施工场界环境噪声排放标准》（GB</w:t>
            </w:r>
            <w:r>
              <w:rPr>
                <w:rFonts w:hint="eastAsia"/>
                <w:kern w:val="0"/>
                <w:sz w:val="24"/>
              </w:rPr>
              <w:t xml:space="preserve"> </w:t>
            </w:r>
            <w:r>
              <w:rPr>
                <w:kern w:val="0"/>
                <w:sz w:val="24"/>
              </w:rPr>
              <w:t>12523-2011）中表1标准，见表3-2</w:t>
            </w:r>
            <w:r>
              <w:rPr>
                <w:rFonts w:hint="eastAsia"/>
                <w:color w:val="0000FF"/>
                <w:kern w:val="0"/>
                <w:sz w:val="24"/>
              </w:rPr>
              <w:t>4</w:t>
            </w:r>
            <w:r>
              <w:rPr>
                <w:kern w:val="0"/>
                <w:sz w:val="24"/>
              </w:rPr>
              <w:t>。</w:t>
            </w:r>
          </w:p>
          <w:p>
            <w:pPr>
              <w:adjustRightInd w:val="0"/>
              <w:snapToGrid w:val="0"/>
              <w:jc w:val="center"/>
              <w:rPr>
                <w:b/>
                <w:kern w:val="0"/>
                <w:sz w:val="24"/>
              </w:rPr>
            </w:pPr>
            <w:r>
              <w:rPr>
                <w:b/>
                <w:kern w:val="0"/>
                <w:sz w:val="24"/>
              </w:rPr>
              <w:t>表3-2</w:t>
            </w:r>
            <w:r>
              <w:rPr>
                <w:rFonts w:hint="eastAsia"/>
                <w:b/>
                <w:color w:val="0000FF"/>
                <w:kern w:val="0"/>
                <w:sz w:val="24"/>
              </w:rPr>
              <w:t>4</w:t>
            </w:r>
            <w:r>
              <w:rPr>
                <w:b/>
                <w:kern w:val="0"/>
                <w:sz w:val="24"/>
              </w:rPr>
              <w:t xml:space="preserve">  《建筑施工场界环境噪声排放标准》（GB</w:t>
            </w:r>
            <w:r>
              <w:rPr>
                <w:rFonts w:hint="eastAsia"/>
                <w:b/>
                <w:kern w:val="0"/>
                <w:sz w:val="24"/>
              </w:rPr>
              <w:t xml:space="preserve"> </w:t>
            </w:r>
            <w:r>
              <w:rPr>
                <w:b/>
                <w:kern w:val="0"/>
                <w:sz w:val="24"/>
              </w:rPr>
              <w:t>12523-2011）   单位：dB(A)</w:t>
            </w:r>
          </w:p>
          <w:tbl>
            <w:tblPr>
              <w:tblStyle w:val="15"/>
              <w:tblW w:w="9006"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927"/>
              <w:gridCol w:w="507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17" w:hRule="atLeast"/>
                <w:jc w:val="center"/>
              </w:trPr>
              <w:tc>
                <w:tcPr>
                  <w:tcW w:w="3927" w:type="dxa"/>
                  <w:vAlign w:val="center"/>
                </w:tcPr>
                <w:p>
                  <w:pPr>
                    <w:pStyle w:val="42"/>
                  </w:pPr>
                  <w:r>
                    <w:t>昼间</w:t>
                  </w:r>
                </w:p>
              </w:tc>
              <w:tc>
                <w:tcPr>
                  <w:tcW w:w="5079" w:type="dxa"/>
                  <w:vAlign w:val="center"/>
                </w:tcPr>
                <w:p>
                  <w:pPr>
                    <w:pStyle w:val="42"/>
                  </w:pPr>
                  <w:r>
                    <w:t>夜间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36" w:hRule="atLeast"/>
                <w:jc w:val="center"/>
              </w:trPr>
              <w:tc>
                <w:tcPr>
                  <w:tcW w:w="3927" w:type="dxa"/>
                  <w:vAlign w:val="center"/>
                </w:tcPr>
                <w:p>
                  <w:pPr>
                    <w:pStyle w:val="42"/>
                  </w:pPr>
                  <w:r>
                    <w:t>70</w:t>
                  </w:r>
                </w:p>
              </w:tc>
              <w:tc>
                <w:tcPr>
                  <w:tcW w:w="5079" w:type="dxa"/>
                  <w:vAlign w:val="center"/>
                </w:tcPr>
                <w:p>
                  <w:pPr>
                    <w:pStyle w:val="42"/>
                  </w:pPr>
                  <w:r>
                    <w:t>55</w:t>
                  </w:r>
                </w:p>
              </w:tc>
            </w:tr>
          </w:tbl>
          <w:p>
            <w:pPr>
              <w:adjustRightInd w:val="0"/>
              <w:snapToGrid w:val="0"/>
              <w:spacing w:line="360" w:lineRule="auto"/>
              <w:ind w:firstLine="480" w:firstLineChars="200"/>
              <w:rPr>
                <w:kern w:val="0"/>
                <w:sz w:val="24"/>
              </w:rPr>
            </w:pPr>
            <w:r>
              <w:rPr>
                <w:kern w:val="0"/>
                <w:sz w:val="24"/>
              </w:rPr>
              <w:t>运营期：</w:t>
            </w:r>
            <w:r>
              <w:rPr>
                <w:rFonts w:hint="eastAsia"/>
                <w:kern w:val="0"/>
                <w:sz w:val="24"/>
              </w:rPr>
              <w:t>四侧</w:t>
            </w:r>
            <w:r>
              <w:rPr>
                <w:kern w:val="0"/>
                <w:sz w:val="24"/>
              </w:rPr>
              <w:t>厂界执行《工业企业厂界环境噪声排放标准》（GB</w:t>
            </w:r>
            <w:r>
              <w:rPr>
                <w:rFonts w:hint="eastAsia"/>
                <w:kern w:val="0"/>
                <w:sz w:val="24"/>
              </w:rPr>
              <w:t xml:space="preserve"> </w:t>
            </w:r>
            <w:r>
              <w:rPr>
                <w:kern w:val="0"/>
                <w:sz w:val="24"/>
              </w:rPr>
              <w:t>12348-2008）中的2类标准，见表3-2</w:t>
            </w:r>
            <w:r>
              <w:rPr>
                <w:rFonts w:hint="eastAsia"/>
                <w:color w:val="0000FF"/>
                <w:kern w:val="0"/>
                <w:sz w:val="24"/>
              </w:rPr>
              <w:t>5</w:t>
            </w:r>
            <w:r>
              <w:rPr>
                <w:kern w:val="0"/>
                <w:sz w:val="24"/>
              </w:rPr>
              <w:t>。</w:t>
            </w:r>
          </w:p>
          <w:p>
            <w:pPr>
              <w:adjustRightInd w:val="0"/>
              <w:snapToGrid w:val="0"/>
              <w:jc w:val="center"/>
              <w:rPr>
                <w:b/>
                <w:kern w:val="0"/>
                <w:sz w:val="24"/>
              </w:rPr>
            </w:pPr>
            <w:r>
              <w:rPr>
                <w:b/>
                <w:kern w:val="0"/>
                <w:sz w:val="24"/>
              </w:rPr>
              <w:t>表3-2</w:t>
            </w:r>
            <w:r>
              <w:rPr>
                <w:rFonts w:hint="eastAsia"/>
                <w:b/>
                <w:color w:val="0000FF"/>
                <w:kern w:val="0"/>
                <w:sz w:val="24"/>
              </w:rPr>
              <w:t>5</w:t>
            </w:r>
            <w:r>
              <w:rPr>
                <w:b/>
                <w:kern w:val="0"/>
                <w:sz w:val="24"/>
              </w:rPr>
              <w:t xml:space="preserve">  《工业企业厂界环境噪声排放标准》</w:t>
            </w:r>
            <w:r>
              <w:rPr>
                <w:rFonts w:hint="eastAsia"/>
                <w:b/>
                <w:kern w:val="0"/>
                <w:sz w:val="24"/>
              </w:rPr>
              <w:t>（</w:t>
            </w:r>
            <w:r>
              <w:rPr>
                <w:b/>
                <w:kern w:val="0"/>
                <w:sz w:val="24"/>
              </w:rPr>
              <w:t>GB</w:t>
            </w:r>
            <w:r>
              <w:rPr>
                <w:rFonts w:hint="eastAsia"/>
                <w:b/>
                <w:kern w:val="0"/>
                <w:sz w:val="24"/>
              </w:rPr>
              <w:t xml:space="preserve"> </w:t>
            </w:r>
            <w:r>
              <w:rPr>
                <w:b/>
                <w:kern w:val="0"/>
                <w:sz w:val="24"/>
              </w:rPr>
              <w:t>12348-2008</w:t>
            </w:r>
            <w:r>
              <w:rPr>
                <w:rFonts w:hint="eastAsia"/>
                <w:b/>
                <w:kern w:val="0"/>
                <w:sz w:val="24"/>
              </w:rPr>
              <w:t>）</w:t>
            </w:r>
            <w:r>
              <w:rPr>
                <w:b/>
                <w:kern w:val="0"/>
                <w:sz w:val="24"/>
              </w:rPr>
              <w:t xml:space="preserve">   单位：dB(A)</w:t>
            </w:r>
          </w:p>
          <w:tbl>
            <w:tblPr>
              <w:tblStyle w:val="15"/>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1"/>
              <w:gridCol w:w="2559"/>
              <w:gridCol w:w="2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trPr>
              <w:tc>
                <w:tcPr>
                  <w:tcW w:w="3931" w:type="dxa"/>
                  <w:vMerge w:val="restart"/>
                  <w:vAlign w:val="center"/>
                </w:tcPr>
                <w:p>
                  <w:pPr>
                    <w:pStyle w:val="42"/>
                  </w:pPr>
                  <w:r>
                    <w:t>类别</w:t>
                  </w:r>
                </w:p>
              </w:tc>
              <w:tc>
                <w:tcPr>
                  <w:tcW w:w="5085" w:type="dxa"/>
                  <w:gridSpan w:val="2"/>
                  <w:vAlign w:val="center"/>
                </w:tcPr>
                <w:p>
                  <w:pPr>
                    <w:pStyle w:val="42"/>
                  </w:pPr>
                  <w: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trPr>
              <w:tc>
                <w:tcPr>
                  <w:tcW w:w="3931" w:type="dxa"/>
                  <w:vMerge w:val="continue"/>
                  <w:vAlign w:val="center"/>
                </w:tcPr>
                <w:p>
                  <w:pPr>
                    <w:pStyle w:val="42"/>
                  </w:pPr>
                </w:p>
              </w:tc>
              <w:tc>
                <w:tcPr>
                  <w:tcW w:w="2559" w:type="dxa"/>
                  <w:vAlign w:val="center"/>
                </w:tcPr>
                <w:p>
                  <w:pPr>
                    <w:pStyle w:val="42"/>
                  </w:pPr>
                  <w:r>
                    <w:t>昼间</w:t>
                  </w:r>
                </w:p>
              </w:tc>
              <w:tc>
                <w:tcPr>
                  <w:tcW w:w="2526" w:type="dxa"/>
                  <w:vAlign w:val="center"/>
                </w:tcPr>
                <w:p>
                  <w:pPr>
                    <w:pStyle w:val="42"/>
                  </w:pPr>
                  <w: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trPr>
              <w:tc>
                <w:tcPr>
                  <w:tcW w:w="3931" w:type="dxa"/>
                  <w:vAlign w:val="center"/>
                </w:tcPr>
                <w:p>
                  <w:pPr>
                    <w:pStyle w:val="42"/>
                  </w:pPr>
                  <w:r>
                    <w:t>《工业企业厂界环境噪声排放标准》</w:t>
                  </w:r>
                  <w:r>
                    <w:rPr>
                      <w:rFonts w:hint="eastAsia"/>
                    </w:rPr>
                    <w:t>（</w:t>
                  </w:r>
                  <w:r>
                    <w:t>GB12348-2008</w:t>
                  </w:r>
                  <w:r>
                    <w:rPr>
                      <w:rFonts w:hint="eastAsia"/>
                    </w:rPr>
                    <w:t>）</w:t>
                  </w:r>
                  <w:r>
                    <w:t>2类</w:t>
                  </w:r>
                </w:p>
              </w:tc>
              <w:tc>
                <w:tcPr>
                  <w:tcW w:w="2559" w:type="dxa"/>
                  <w:vAlign w:val="center"/>
                </w:tcPr>
                <w:p>
                  <w:pPr>
                    <w:pStyle w:val="42"/>
                  </w:pPr>
                  <w:r>
                    <w:t>60</w:t>
                  </w:r>
                </w:p>
              </w:tc>
              <w:tc>
                <w:tcPr>
                  <w:tcW w:w="2526" w:type="dxa"/>
                  <w:vAlign w:val="center"/>
                </w:tcPr>
                <w:p>
                  <w:pPr>
                    <w:pStyle w:val="42"/>
                  </w:pPr>
                  <w:r>
                    <w:t>50</w:t>
                  </w:r>
                </w:p>
              </w:tc>
            </w:tr>
          </w:tbl>
          <w:p>
            <w:pPr>
              <w:adjustRightInd w:val="0"/>
              <w:snapToGrid w:val="0"/>
              <w:spacing w:before="240" w:beforeLines="100" w:line="360" w:lineRule="auto"/>
              <w:ind w:firstLine="482" w:firstLineChars="200"/>
              <w:rPr>
                <w:b/>
                <w:kern w:val="0"/>
                <w:sz w:val="24"/>
              </w:rPr>
            </w:pPr>
            <w:r>
              <w:rPr>
                <w:rFonts w:hint="eastAsia" w:ascii="宋体" w:hAnsi="宋体" w:cs="宋体"/>
                <w:b/>
                <w:kern w:val="0"/>
                <w:sz w:val="24"/>
              </w:rPr>
              <w:t>④</w:t>
            </w:r>
            <w:r>
              <w:rPr>
                <w:b/>
                <w:kern w:val="0"/>
                <w:sz w:val="24"/>
              </w:rPr>
              <w:t>固体废物</w:t>
            </w:r>
          </w:p>
          <w:p>
            <w:pPr>
              <w:adjustRightInd w:val="0"/>
              <w:snapToGrid w:val="0"/>
              <w:spacing w:line="360" w:lineRule="auto"/>
              <w:ind w:firstLine="480" w:firstLineChars="200"/>
              <w:rPr>
                <w:kern w:val="0"/>
                <w:sz w:val="24"/>
              </w:rPr>
            </w:pPr>
            <w:r>
              <w:rPr>
                <w:kern w:val="0"/>
                <w:sz w:val="24"/>
              </w:rPr>
              <w:t>一般工业固体废物执行《一般工业固体废物贮存和填埋污染控制标准》（GB</w:t>
            </w:r>
            <w:r>
              <w:rPr>
                <w:rFonts w:hint="eastAsia"/>
                <w:kern w:val="0"/>
                <w:sz w:val="24"/>
              </w:rPr>
              <w:t xml:space="preserve"> </w:t>
            </w:r>
            <w:r>
              <w:rPr>
                <w:kern w:val="0"/>
                <w:sz w:val="24"/>
              </w:rPr>
              <w:t>18599-2020）；危险废物执行《危险废物贮存污染控制标准》（GB</w:t>
            </w:r>
            <w:r>
              <w:rPr>
                <w:rFonts w:hint="eastAsia"/>
                <w:kern w:val="0"/>
                <w:sz w:val="24"/>
              </w:rPr>
              <w:t xml:space="preserve"> </w:t>
            </w:r>
            <w:r>
              <w:rPr>
                <w:kern w:val="0"/>
                <w:sz w:val="24"/>
              </w:rPr>
              <w:t>18597-2023）</w:t>
            </w:r>
            <w:r>
              <w:rPr>
                <w:rFonts w:hint="eastAsia"/>
                <w:kern w:val="0"/>
                <w:sz w:val="24"/>
              </w:rPr>
              <w:t>、</w:t>
            </w:r>
            <w:r>
              <w:rPr>
                <w:kern w:val="0"/>
                <w:sz w:val="24"/>
              </w:rPr>
              <w:t>《</w:t>
            </w:r>
            <w:r>
              <w:rPr>
                <w:rFonts w:hint="eastAsia"/>
                <w:kern w:val="0"/>
                <w:sz w:val="24"/>
              </w:rPr>
              <w:t>危险废物收集 贮存 运输技术规范</w:t>
            </w:r>
            <w:r>
              <w:rPr>
                <w:kern w:val="0"/>
                <w:sz w:val="24"/>
              </w:rPr>
              <w:t>》（</w:t>
            </w:r>
            <w:r>
              <w:rPr>
                <w:rFonts w:hint="eastAsia"/>
                <w:kern w:val="0"/>
                <w:sz w:val="24"/>
              </w:rPr>
              <w:t>HJ 2025-2012</w:t>
            </w:r>
            <w:r>
              <w:rPr>
                <w:kern w:val="0"/>
                <w:sz w:val="24"/>
              </w:rPr>
              <w:t>）；生活垃圾执行《城市生活垃圾管理办法》</w:t>
            </w:r>
            <w:r>
              <w:rPr>
                <w:rFonts w:hint="eastAsia"/>
                <w:kern w:val="0"/>
                <w:sz w:val="24"/>
              </w:rPr>
              <w:t>（</w:t>
            </w:r>
            <w:r>
              <w:rPr>
                <w:kern w:val="0"/>
                <w:sz w:val="24"/>
              </w:rPr>
              <w:t>2007年7月1日起施行</w:t>
            </w:r>
            <w:r>
              <w:rPr>
                <w:rFonts w:hint="eastAsia"/>
                <w:kern w:val="0"/>
                <w:sz w:val="24"/>
              </w:rPr>
              <w:t>）</w:t>
            </w:r>
            <w:r>
              <w:rPr>
                <w:kern w:val="0"/>
                <w:sz w:val="24"/>
              </w:rPr>
              <w:t>。</w:t>
            </w:r>
          </w:p>
          <w:p>
            <w:pPr>
              <w:adjustRightInd w:val="0"/>
              <w:snapToGrid w:val="0"/>
              <w:spacing w:line="360" w:lineRule="auto"/>
              <w:ind w:firstLine="482" w:firstLineChars="200"/>
              <w:rPr>
                <w:b/>
                <w:bCs/>
                <w:kern w:val="0"/>
                <w:sz w:val="24"/>
              </w:rPr>
            </w:pPr>
            <w:r>
              <w:rPr>
                <w:rFonts w:hint="eastAsia"/>
                <w:b/>
                <w:bCs/>
                <w:kern w:val="0"/>
                <w:sz w:val="24"/>
              </w:rPr>
              <w:t>⑤振动</w:t>
            </w:r>
          </w:p>
          <w:p>
            <w:pPr>
              <w:adjustRightInd w:val="0"/>
              <w:snapToGrid w:val="0"/>
              <w:spacing w:line="360" w:lineRule="auto"/>
              <w:ind w:firstLine="480" w:firstLineChars="200"/>
              <w:rPr>
                <w:kern w:val="0"/>
                <w:sz w:val="24"/>
              </w:rPr>
            </w:pPr>
            <w:r>
              <w:rPr>
                <w:rFonts w:hint="eastAsia"/>
                <w:kern w:val="0"/>
                <w:sz w:val="24"/>
              </w:rPr>
              <w:t>工程振动标准参考执行《城市区域环境振动标准》（GB 10070-88）标准，详见表3-2</w:t>
            </w:r>
            <w:r>
              <w:rPr>
                <w:rFonts w:hint="eastAsia"/>
                <w:color w:val="0000FF"/>
                <w:kern w:val="0"/>
                <w:sz w:val="24"/>
              </w:rPr>
              <w:t>6</w:t>
            </w:r>
            <w:r>
              <w:rPr>
                <w:rFonts w:hint="eastAsia"/>
                <w:kern w:val="0"/>
                <w:sz w:val="24"/>
              </w:rPr>
              <w:t>。</w:t>
            </w:r>
          </w:p>
          <w:p>
            <w:pPr>
              <w:adjustRightInd w:val="0"/>
              <w:snapToGrid w:val="0"/>
              <w:ind w:firstLine="482" w:firstLineChars="200"/>
              <w:rPr>
                <w:b/>
                <w:bCs/>
                <w:kern w:val="0"/>
                <w:sz w:val="24"/>
              </w:rPr>
            </w:pPr>
            <w:r>
              <w:rPr>
                <w:rFonts w:hint="eastAsia"/>
                <w:b/>
                <w:bCs/>
                <w:kern w:val="0"/>
                <w:sz w:val="24"/>
              </w:rPr>
              <w:t>表3-2</w:t>
            </w:r>
            <w:r>
              <w:rPr>
                <w:rFonts w:hint="eastAsia"/>
                <w:b/>
                <w:bCs/>
                <w:color w:val="0000FF"/>
                <w:kern w:val="0"/>
                <w:sz w:val="24"/>
              </w:rPr>
              <w:t>6</w:t>
            </w:r>
            <w:r>
              <w:rPr>
                <w:rFonts w:hint="eastAsia"/>
                <w:b/>
                <w:bCs/>
                <w:kern w:val="0"/>
                <w:sz w:val="24"/>
              </w:rPr>
              <w:t xml:space="preserve">  《城市区域环境振动标准》（GB 10070-88）  单位：dB（A）</w:t>
            </w:r>
          </w:p>
          <w:tbl>
            <w:tblPr>
              <w:tblStyle w:val="15"/>
              <w:tblW w:w="901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078"/>
              <w:gridCol w:w="2977"/>
              <w:gridCol w:w="29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tblHeader/>
                <w:jc w:val="center"/>
              </w:trPr>
              <w:tc>
                <w:tcPr>
                  <w:tcW w:w="3078" w:type="dxa"/>
                  <w:vAlign w:val="center"/>
                </w:tcPr>
                <w:p>
                  <w:pPr>
                    <w:spacing w:line="300" w:lineRule="exact"/>
                    <w:jc w:val="center"/>
                  </w:pPr>
                  <w:r>
                    <w:t>适用地带范围</w:t>
                  </w:r>
                </w:p>
              </w:tc>
              <w:tc>
                <w:tcPr>
                  <w:tcW w:w="2977" w:type="dxa"/>
                  <w:vAlign w:val="center"/>
                </w:tcPr>
                <w:p>
                  <w:pPr>
                    <w:spacing w:line="300" w:lineRule="exact"/>
                    <w:jc w:val="center"/>
                  </w:pPr>
                  <w:r>
                    <w:t>昼间</w:t>
                  </w:r>
                </w:p>
              </w:tc>
              <w:tc>
                <w:tcPr>
                  <w:tcW w:w="2955" w:type="dxa"/>
                  <w:vAlign w:val="center"/>
                </w:tcPr>
                <w:p>
                  <w:pPr>
                    <w:spacing w:line="300" w:lineRule="exact"/>
                    <w:jc w:val="center"/>
                  </w:pPr>
                  <w: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3078" w:type="dxa"/>
                  <w:vAlign w:val="center"/>
                </w:tcPr>
                <w:p>
                  <w:pPr>
                    <w:spacing w:line="300" w:lineRule="exact"/>
                    <w:jc w:val="center"/>
                  </w:pPr>
                  <w:r>
                    <w:t>居民、文教区</w:t>
                  </w:r>
                </w:p>
              </w:tc>
              <w:tc>
                <w:tcPr>
                  <w:tcW w:w="2977" w:type="dxa"/>
                  <w:vAlign w:val="center"/>
                </w:tcPr>
                <w:p>
                  <w:pPr>
                    <w:spacing w:line="300" w:lineRule="exact"/>
                    <w:jc w:val="center"/>
                  </w:pPr>
                  <w:r>
                    <w:t>70</w:t>
                  </w:r>
                </w:p>
              </w:tc>
              <w:tc>
                <w:tcPr>
                  <w:tcW w:w="2955" w:type="dxa"/>
                  <w:vAlign w:val="center"/>
                </w:tcPr>
                <w:p>
                  <w:pPr>
                    <w:spacing w:line="300" w:lineRule="exact"/>
                    <w:jc w:val="center"/>
                  </w:pPr>
                  <w:r>
                    <w:t>67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3078" w:type="dxa"/>
                  <w:vAlign w:val="center"/>
                </w:tcPr>
                <w:p>
                  <w:pPr>
                    <w:spacing w:line="300" w:lineRule="exact"/>
                    <w:jc w:val="center"/>
                  </w:pPr>
                  <w:r>
                    <w:t>混合区、商业中心区</w:t>
                  </w:r>
                </w:p>
              </w:tc>
              <w:tc>
                <w:tcPr>
                  <w:tcW w:w="2977" w:type="dxa"/>
                  <w:vAlign w:val="center"/>
                </w:tcPr>
                <w:p>
                  <w:pPr>
                    <w:spacing w:line="300" w:lineRule="exact"/>
                    <w:jc w:val="center"/>
                  </w:pPr>
                  <w:r>
                    <w:t>75</w:t>
                  </w:r>
                </w:p>
              </w:tc>
              <w:tc>
                <w:tcPr>
                  <w:tcW w:w="2955" w:type="dxa"/>
                  <w:vAlign w:val="center"/>
                </w:tcPr>
                <w:p>
                  <w:pPr>
                    <w:spacing w:line="300" w:lineRule="exact"/>
                    <w:jc w:val="center"/>
                  </w:pPr>
                  <w:r>
                    <w:t>72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3078" w:type="dxa"/>
                  <w:vAlign w:val="center"/>
                </w:tcPr>
                <w:p>
                  <w:pPr>
                    <w:spacing w:line="300" w:lineRule="exact"/>
                    <w:jc w:val="center"/>
                  </w:pPr>
                  <w:r>
                    <w:t>交通干线道路两侧</w:t>
                  </w:r>
                </w:p>
              </w:tc>
              <w:tc>
                <w:tcPr>
                  <w:tcW w:w="2977" w:type="dxa"/>
                  <w:vAlign w:val="center"/>
                </w:tcPr>
                <w:p>
                  <w:pPr>
                    <w:spacing w:line="300" w:lineRule="exact"/>
                    <w:jc w:val="center"/>
                  </w:pPr>
                  <w:r>
                    <w:t>75</w:t>
                  </w:r>
                </w:p>
              </w:tc>
              <w:tc>
                <w:tcPr>
                  <w:tcW w:w="2955" w:type="dxa"/>
                  <w:vAlign w:val="center"/>
                </w:tcPr>
                <w:p>
                  <w:pPr>
                    <w:spacing w:line="300" w:lineRule="exact"/>
                    <w:jc w:val="center"/>
                  </w:pPr>
                  <w:r>
                    <w:t>72</w:t>
                  </w:r>
                </w:p>
              </w:tc>
            </w:tr>
          </w:tbl>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032" w:hRule="atLeast"/>
          <w:jc w:val="center"/>
        </w:trPr>
        <w:tc>
          <w:tcPr>
            <w:tcW w:w="484" w:type="dxa"/>
            <w:vAlign w:val="center"/>
          </w:tcPr>
          <w:p>
            <w:pPr>
              <w:adjustRightInd w:val="0"/>
              <w:snapToGrid w:val="0"/>
              <w:jc w:val="center"/>
              <w:rPr>
                <w:kern w:val="0"/>
                <w:sz w:val="24"/>
              </w:rPr>
            </w:pPr>
            <w:r>
              <w:rPr>
                <w:kern w:val="0"/>
                <w:sz w:val="24"/>
              </w:rPr>
              <w:t>其他</w:t>
            </w:r>
          </w:p>
        </w:tc>
        <w:tc>
          <w:tcPr>
            <w:tcW w:w="9242" w:type="dxa"/>
          </w:tcPr>
          <w:p>
            <w:pPr>
              <w:adjustRightInd w:val="0"/>
              <w:snapToGrid w:val="0"/>
              <w:spacing w:line="360" w:lineRule="auto"/>
              <w:ind w:firstLine="480" w:firstLineChars="200"/>
              <w:rPr>
                <w:kern w:val="0"/>
                <w:sz w:val="24"/>
              </w:rPr>
            </w:pPr>
            <w:r>
              <w:rPr>
                <w:kern w:val="0"/>
                <w:sz w:val="24"/>
              </w:rPr>
              <w:t>污染物总量控制是在当地环境功能区划和环境功能要求的基础上，结合当地污染源和总体排污水平，将各企业允许排放总量合理分析，以维持经济、环境的合理有序发展的、达到预定环境目标的一种控制手段。</w:t>
            </w:r>
          </w:p>
          <w:p>
            <w:pPr>
              <w:adjustRightInd w:val="0"/>
              <w:snapToGrid w:val="0"/>
              <w:spacing w:line="360" w:lineRule="auto"/>
              <w:ind w:firstLine="480" w:firstLineChars="200"/>
              <w:rPr>
                <w:kern w:val="0"/>
                <w:sz w:val="24"/>
              </w:rPr>
            </w:pPr>
            <w:r>
              <w:rPr>
                <w:kern w:val="0"/>
                <w:sz w:val="24"/>
              </w:rPr>
              <w:t>拟建项目一般工业固废均合理处置不外排；生产、生活废水均不外排；生产废气为颗粒物，无组织、有组织排入大气环境。</w:t>
            </w:r>
          </w:p>
          <w:p>
            <w:pPr>
              <w:adjustRightInd w:val="0"/>
              <w:snapToGrid w:val="0"/>
              <w:spacing w:line="360" w:lineRule="auto"/>
              <w:ind w:firstLine="480" w:firstLineChars="200"/>
              <w:rPr>
                <w:kern w:val="0"/>
                <w:sz w:val="24"/>
              </w:rPr>
            </w:pPr>
            <w:r>
              <w:rPr>
                <w:rFonts w:hint="eastAsia"/>
                <w:color w:val="0000FF"/>
                <w:kern w:val="0"/>
                <w:sz w:val="24"/>
              </w:rPr>
              <w:t>本次评价将颗粒物纳入总量管理指标，具体为：无组织颗粒物：8.323t/a、有组织颗粒物2.861t/a，颗粒物合计11.184t/a</w:t>
            </w:r>
            <w:r>
              <w:rPr>
                <w:color w:val="0000FF"/>
                <w:kern w:val="0"/>
                <w:sz w:val="24"/>
              </w:rPr>
              <w:t>。</w:t>
            </w:r>
          </w:p>
        </w:tc>
      </w:tr>
    </w:tbl>
    <w:p>
      <w:pPr>
        <w:pStyle w:val="13"/>
        <w:adjustRightInd w:val="0"/>
        <w:snapToGrid w:val="0"/>
        <w:spacing w:before="0" w:beforeAutospacing="0" w:after="0" w:afterAutospacing="0" w:line="14" w:lineRule="auto"/>
        <w:jc w:val="center"/>
        <w:outlineLvl w:val="0"/>
        <w:rPr>
          <w:rFonts w:ascii="Times New Roman" w:hAnsi="Times New Roman" w:eastAsia="黑体"/>
          <w:snapToGrid w:val="0"/>
          <w:kern w:val="2"/>
          <w:sz w:val="36"/>
          <w:szCs w:val="36"/>
        </w:rPr>
      </w:pPr>
    </w:p>
    <w:p>
      <w:pPr>
        <w:pStyle w:val="13"/>
        <w:jc w:val="center"/>
        <w:outlineLvl w:val="0"/>
        <w:rPr>
          <w:rFonts w:ascii="Times New Roman" w:hAnsi="Times New Roman" w:eastAsia="黑体"/>
          <w:snapToGrid w:val="0"/>
          <w:sz w:val="30"/>
          <w:szCs w:val="30"/>
        </w:rPr>
      </w:pPr>
      <w:r>
        <w:rPr>
          <w:rFonts w:ascii="Times New Roman" w:hAnsi="Times New Roman" w:eastAsia="黑体"/>
          <w:snapToGrid w:val="0"/>
          <w:kern w:val="2"/>
          <w:sz w:val="36"/>
          <w:szCs w:val="36"/>
        </w:rPr>
        <w:br w:type="page"/>
      </w:r>
      <w:r>
        <w:rPr>
          <w:rFonts w:ascii="Times New Roman" w:hAnsi="Times New Roman" w:eastAsia="黑体"/>
          <w:snapToGrid w:val="0"/>
          <w:sz w:val="30"/>
          <w:szCs w:val="30"/>
        </w:rPr>
        <w:t>四、生态环境影响分析</w:t>
      </w: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6"/>
        <w:gridCol w:w="94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171" w:hRule="atLeast"/>
          <w:jc w:val="center"/>
        </w:trPr>
        <w:tc>
          <w:tcPr>
            <w:tcW w:w="296" w:type="dxa"/>
            <w:tcMar>
              <w:left w:w="28" w:type="dxa"/>
              <w:right w:w="28" w:type="dxa"/>
            </w:tcMar>
            <w:vAlign w:val="center"/>
          </w:tcPr>
          <w:p>
            <w:pPr>
              <w:adjustRightInd w:val="0"/>
              <w:snapToGrid w:val="0"/>
              <w:jc w:val="center"/>
              <w:rPr>
                <w:sz w:val="24"/>
              </w:rPr>
            </w:pPr>
            <w:bookmarkStart w:id="6" w:name="_Hlk49796138"/>
            <w:r>
              <w:rPr>
                <w:sz w:val="24"/>
              </w:rPr>
              <w:t>施工期生态环境影响分析</w:t>
            </w:r>
            <w:bookmarkEnd w:id="6"/>
          </w:p>
        </w:tc>
        <w:tc>
          <w:tcPr>
            <w:tcW w:w="9430" w:type="dxa"/>
          </w:tcPr>
          <w:p>
            <w:pPr>
              <w:adjustRightInd w:val="0"/>
              <w:snapToGrid w:val="0"/>
              <w:spacing w:line="360" w:lineRule="auto"/>
              <w:ind w:firstLine="562" w:firstLineChars="200"/>
              <w:jc w:val="left"/>
              <w:rPr>
                <w:b/>
                <w:sz w:val="28"/>
                <w:szCs w:val="28"/>
              </w:rPr>
            </w:pPr>
            <w:r>
              <w:rPr>
                <w:b/>
                <w:sz w:val="28"/>
                <w:szCs w:val="28"/>
              </w:rPr>
              <w:t>4.1、施工期工艺流程简述</w:t>
            </w:r>
          </w:p>
          <w:p>
            <w:pPr>
              <w:adjustRightInd w:val="0"/>
              <w:snapToGrid w:val="0"/>
              <w:spacing w:line="360" w:lineRule="auto"/>
              <w:ind w:firstLine="480" w:firstLineChars="200"/>
              <w:jc w:val="left"/>
              <w:rPr>
                <w:sz w:val="24"/>
              </w:rPr>
            </w:pPr>
            <w:r>
              <w:rPr>
                <w:rFonts w:hint="eastAsia"/>
                <w:sz w:val="24"/>
              </w:rPr>
              <w:t>拟建项目</w:t>
            </w:r>
            <w:r>
              <w:rPr>
                <w:sz w:val="24"/>
              </w:rPr>
              <w:t>主要建设内容是</w:t>
            </w:r>
            <w:r>
              <w:rPr>
                <w:rFonts w:hint="eastAsia" w:ascii="宋体" w:hAnsi="宋体" w:cs="宋体"/>
                <w:kern w:val="0"/>
                <w:sz w:val="24"/>
              </w:rPr>
              <w:t>截排水沟及雨水沉淀池的修建、厂房搭建及设备安装、</w:t>
            </w:r>
            <w:r>
              <w:rPr>
                <w:rFonts w:hint="eastAsia"/>
                <w:kern w:val="0"/>
                <w:sz w:val="24"/>
              </w:rPr>
              <w:t>场内运输道路开拓、首采面剥顶形成工作面、迹地修复、仿真绿叶网的覆盖</w:t>
            </w:r>
            <w:r>
              <w:rPr>
                <w:kern w:val="0"/>
                <w:sz w:val="24"/>
              </w:rPr>
              <w:t>等</w:t>
            </w:r>
            <w:r>
              <w:rPr>
                <w:sz w:val="24"/>
              </w:rPr>
              <w:t>。</w:t>
            </w:r>
          </w:p>
          <w:p>
            <w:pPr>
              <w:adjustRightInd w:val="0"/>
              <w:snapToGrid w:val="0"/>
              <w:spacing w:line="360" w:lineRule="auto"/>
              <w:ind w:firstLine="480" w:firstLineChars="200"/>
              <w:rPr>
                <w:kern w:val="0"/>
                <w:sz w:val="24"/>
              </w:rPr>
            </w:pPr>
            <w:r>
              <w:rPr>
                <w:kern w:val="0"/>
                <w:sz w:val="24"/>
              </w:rPr>
              <w:t>其施工期主要施工工艺及产排污环节见图4-1。</w:t>
            </w:r>
          </w:p>
          <w:p>
            <w:pPr>
              <w:adjustRightInd w:val="0"/>
              <w:snapToGrid w:val="0"/>
              <w:spacing w:line="360" w:lineRule="auto"/>
              <w:jc w:val="center"/>
              <w:rPr>
                <w:kern w:val="0"/>
                <w:sz w:val="24"/>
              </w:rPr>
            </w:pPr>
            <w:r>
              <w:rPr>
                <w:rFonts w:hint="eastAsia"/>
              </w:rPr>
              <w:object>
                <v:shape id="_x0000_i1028" o:spt="75" type="#_x0000_t75" style="height:141.85pt;width:461pt;" o:ole="t" filled="f" o:preferrelative="t" stroked="f" coordsize="21600,21600">
                  <v:path/>
                  <v:fill on="f" focussize="0,0"/>
                  <v:stroke on="f" joinstyle="miter"/>
                  <v:imagedata r:id="rId25" o:title=""/>
                  <o:lock v:ext="edit" aspectratio="t"/>
                  <w10:wrap type="none"/>
                  <w10:anchorlock/>
                </v:shape>
                <o:OLEObject Type="Embed" ProgID="Visio.Drawing.15" ShapeID="_x0000_i1028" DrawAspect="Content" ObjectID="_1468075728" r:id="rId24">
                  <o:LockedField>false</o:LockedField>
                </o:OLEObject>
              </w:object>
            </w:r>
          </w:p>
          <w:p>
            <w:pPr>
              <w:adjustRightInd w:val="0"/>
              <w:snapToGrid w:val="0"/>
              <w:spacing w:line="360" w:lineRule="auto"/>
              <w:jc w:val="center"/>
              <w:rPr>
                <w:b/>
                <w:kern w:val="0"/>
                <w:sz w:val="24"/>
              </w:rPr>
            </w:pPr>
            <w:r>
              <w:rPr>
                <w:b/>
                <w:kern w:val="0"/>
                <w:sz w:val="24"/>
              </w:rPr>
              <w:t>图4-1  施工期主要施工工艺及产污环节图</w:t>
            </w:r>
          </w:p>
          <w:p>
            <w:pPr>
              <w:adjustRightInd w:val="0"/>
              <w:snapToGrid w:val="0"/>
              <w:spacing w:line="360" w:lineRule="auto"/>
              <w:ind w:firstLine="482" w:firstLineChars="200"/>
              <w:jc w:val="left"/>
              <w:rPr>
                <w:b/>
                <w:sz w:val="24"/>
              </w:rPr>
            </w:pPr>
            <w:r>
              <w:rPr>
                <w:b/>
                <w:sz w:val="24"/>
              </w:rPr>
              <w:t>主要工艺流程简述：</w:t>
            </w:r>
          </w:p>
          <w:p>
            <w:pPr>
              <w:adjustRightInd w:val="0"/>
              <w:snapToGrid w:val="0"/>
              <w:spacing w:line="360" w:lineRule="auto"/>
              <w:ind w:firstLine="480" w:firstLineChars="200"/>
              <w:rPr>
                <w:kern w:val="0"/>
                <w:sz w:val="24"/>
              </w:rPr>
            </w:pPr>
            <w:r>
              <w:rPr>
                <w:rFonts w:hint="eastAsia" w:ascii="宋体" w:hAnsi="宋体" w:cs="宋体"/>
                <w:kern w:val="0"/>
                <w:sz w:val="24"/>
              </w:rPr>
              <w:t>①</w:t>
            </w:r>
            <w:r>
              <w:rPr>
                <w:kern w:val="0"/>
                <w:sz w:val="24"/>
              </w:rPr>
              <w:t>清表</w:t>
            </w:r>
            <w:r>
              <w:rPr>
                <w:sz w:val="24"/>
              </w:rPr>
              <w:t>：</w:t>
            </w:r>
            <w:r>
              <w:rPr>
                <w:kern w:val="0"/>
                <w:sz w:val="24"/>
              </w:rPr>
              <w:t>采用挖掘机</w:t>
            </w:r>
            <w:r>
              <w:rPr>
                <w:rFonts w:hint="eastAsia"/>
                <w:kern w:val="0"/>
                <w:sz w:val="24"/>
              </w:rPr>
              <w:t>或人工</w:t>
            </w:r>
            <w:r>
              <w:rPr>
                <w:kern w:val="0"/>
                <w:sz w:val="24"/>
              </w:rPr>
              <w:t>对</w:t>
            </w:r>
            <w:r>
              <w:rPr>
                <w:rFonts w:hint="eastAsia" w:ascii="宋体" w:hAnsi="宋体" w:cs="宋体"/>
                <w:kern w:val="0"/>
                <w:sz w:val="24"/>
              </w:rPr>
              <w:t>截排水沟及雨水沉淀池</w:t>
            </w:r>
            <w:r>
              <w:rPr>
                <w:rFonts w:hint="eastAsia"/>
                <w:kern w:val="0"/>
                <w:sz w:val="24"/>
              </w:rPr>
              <w:t>、</w:t>
            </w:r>
            <w:r>
              <w:rPr>
                <w:kern w:val="0"/>
                <w:sz w:val="24"/>
              </w:rPr>
              <w:t>运输道路上的附着植被进行清理，植被全部移栽至</w:t>
            </w:r>
            <w:r>
              <w:rPr>
                <w:rFonts w:hint="eastAsia"/>
                <w:kern w:val="0"/>
                <w:sz w:val="24"/>
              </w:rPr>
              <w:t>原项目恢复治理区；</w:t>
            </w:r>
          </w:p>
          <w:p>
            <w:pPr>
              <w:adjustRightInd w:val="0"/>
              <w:snapToGrid w:val="0"/>
              <w:spacing w:line="360" w:lineRule="auto"/>
              <w:ind w:firstLine="480" w:firstLineChars="200"/>
              <w:rPr>
                <w:kern w:val="0"/>
                <w:sz w:val="24"/>
              </w:rPr>
            </w:pPr>
            <w:r>
              <w:rPr>
                <w:rFonts w:hint="eastAsia" w:ascii="宋体" w:hAnsi="宋体" w:cs="宋体"/>
                <w:kern w:val="0"/>
                <w:sz w:val="24"/>
              </w:rPr>
              <w:t>②场地平整</w:t>
            </w:r>
            <w:r>
              <w:rPr>
                <w:kern w:val="0"/>
                <w:sz w:val="24"/>
              </w:rPr>
              <w:t>：采用挖掘机、</w:t>
            </w:r>
            <w:r>
              <w:rPr>
                <w:rFonts w:hint="eastAsia"/>
                <w:kern w:val="0"/>
                <w:sz w:val="24"/>
              </w:rPr>
              <w:t>推土机</w:t>
            </w:r>
            <w:r>
              <w:rPr>
                <w:kern w:val="0"/>
                <w:sz w:val="24"/>
              </w:rPr>
              <w:t>等</w:t>
            </w:r>
            <w:r>
              <w:rPr>
                <w:rFonts w:hint="eastAsia"/>
                <w:kern w:val="0"/>
                <w:sz w:val="24"/>
              </w:rPr>
              <w:t>施工机械对</w:t>
            </w:r>
            <w:r>
              <w:rPr>
                <w:kern w:val="0"/>
                <w:sz w:val="24"/>
              </w:rPr>
              <w:t>运输道路</w:t>
            </w:r>
            <w:r>
              <w:rPr>
                <w:rFonts w:hint="eastAsia"/>
                <w:kern w:val="0"/>
                <w:sz w:val="24"/>
              </w:rPr>
              <w:t>进行开拓，对</w:t>
            </w:r>
            <w:r>
              <w:rPr>
                <w:kern w:val="0"/>
                <w:sz w:val="24"/>
              </w:rPr>
              <w:t>首采面</w:t>
            </w:r>
            <w:r>
              <w:rPr>
                <w:rFonts w:hint="eastAsia"/>
                <w:kern w:val="0"/>
                <w:sz w:val="24"/>
              </w:rPr>
              <w:t>进行剥顶，对雨水沉淀池进行开挖，对恢复治理区内现有的浮石进行清理；由于施工机械工作面较宽，截排水沟的挖掘采用人工挖掘。剥离的表土直接用于原项目恢复治理区覆土</w:t>
            </w:r>
            <w:r>
              <w:rPr>
                <w:kern w:val="0"/>
                <w:sz w:val="24"/>
              </w:rPr>
              <w:t>；</w:t>
            </w:r>
          </w:p>
          <w:p>
            <w:pPr>
              <w:adjustRightInd w:val="0"/>
              <w:snapToGrid w:val="0"/>
              <w:spacing w:line="360" w:lineRule="auto"/>
              <w:ind w:firstLine="480" w:firstLineChars="200"/>
              <w:rPr>
                <w:kern w:val="0"/>
                <w:sz w:val="24"/>
              </w:rPr>
            </w:pPr>
            <w:r>
              <w:rPr>
                <w:rFonts w:hint="eastAsia" w:ascii="宋体" w:hAnsi="宋体" w:cs="宋体"/>
                <w:kern w:val="0"/>
                <w:sz w:val="24"/>
              </w:rPr>
              <w:t>③</w:t>
            </w:r>
            <w:r>
              <w:rPr>
                <w:kern w:val="0"/>
                <w:sz w:val="24"/>
              </w:rPr>
              <w:t>基础施工：场内运输道路使用推土机碾压平整</w:t>
            </w:r>
            <w:r>
              <w:rPr>
                <w:rFonts w:hint="eastAsia"/>
                <w:kern w:val="0"/>
                <w:sz w:val="24"/>
              </w:rPr>
              <w:t>，矿界外的运输道路采用商品混凝土摊铺硬化，截排水沟、雨水沉淀池采用片石人工</w:t>
            </w:r>
            <w:r>
              <w:rPr>
                <w:kern w:val="0"/>
                <w:sz w:val="24"/>
              </w:rPr>
              <w:t>浆砌</w:t>
            </w:r>
            <w:r>
              <w:rPr>
                <w:rFonts w:hint="eastAsia"/>
                <w:kern w:val="0"/>
                <w:sz w:val="24"/>
              </w:rPr>
              <w:t>，仿真绿叶网采用人工牵引覆盖；</w:t>
            </w:r>
          </w:p>
          <w:p>
            <w:pPr>
              <w:adjustRightInd w:val="0"/>
              <w:snapToGrid w:val="0"/>
              <w:spacing w:line="360" w:lineRule="auto"/>
              <w:ind w:firstLine="480" w:firstLineChars="200"/>
              <w:rPr>
                <w:kern w:val="0"/>
                <w:sz w:val="24"/>
              </w:rPr>
            </w:pPr>
            <w:r>
              <w:rPr>
                <w:rFonts w:hint="eastAsia" w:ascii="宋体" w:hAnsi="宋体" w:cs="宋体"/>
                <w:kern w:val="0"/>
                <w:sz w:val="24"/>
              </w:rPr>
              <w:t>④结构施工</w:t>
            </w:r>
            <w:r>
              <w:rPr>
                <w:kern w:val="0"/>
                <w:sz w:val="24"/>
              </w:rPr>
              <w:t>：</w:t>
            </w:r>
            <w:r>
              <w:rPr>
                <w:rFonts w:hint="eastAsia"/>
                <w:kern w:val="0"/>
                <w:sz w:val="24"/>
              </w:rPr>
              <w:t>加工区彩钢厂房破损区域修补，四面设置围挡</w:t>
            </w:r>
            <w:r>
              <w:rPr>
                <w:kern w:val="0"/>
                <w:sz w:val="24"/>
              </w:rPr>
              <w:t>；</w:t>
            </w:r>
          </w:p>
          <w:p>
            <w:pPr>
              <w:adjustRightInd w:val="0"/>
              <w:snapToGrid w:val="0"/>
              <w:spacing w:line="360" w:lineRule="auto"/>
              <w:ind w:firstLine="480" w:firstLineChars="200"/>
              <w:rPr>
                <w:kern w:val="0"/>
                <w:sz w:val="24"/>
              </w:rPr>
            </w:pPr>
            <w:r>
              <w:rPr>
                <w:rFonts w:hint="eastAsia" w:ascii="宋体" w:hAnsi="宋体" w:cs="宋体"/>
                <w:kern w:val="0"/>
                <w:sz w:val="24"/>
              </w:rPr>
              <w:t>⑤设备安装：</w:t>
            </w:r>
            <w:r>
              <w:rPr>
                <w:rFonts w:hint="eastAsia"/>
                <w:kern w:val="0"/>
                <w:sz w:val="24"/>
              </w:rPr>
              <w:t>彩钢厂房内机械吊装+人工拆除安装破碎、筛分等生产设备</w:t>
            </w:r>
            <w:r>
              <w:rPr>
                <w:kern w:val="0"/>
                <w:sz w:val="24"/>
              </w:rPr>
              <w:t>。</w:t>
            </w:r>
          </w:p>
          <w:p>
            <w:pPr>
              <w:adjustRightInd w:val="0"/>
              <w:snapToGrid w:val="0"/>
              <w:spacing w:line="360" w:lineRule="auto"/>
              <w:ind w:firstLine="480" w:firstLineChars="200"/>
              <w:rPr>
                <w:sz w:val="24"/>
              </w:rPr>
            </w:pPr>
            <w:r>
              <w:rPr>
                <w:rFonts w:hint="eastAsia"/>
                <w:kern w:val="0"/>
                <w:sz w:val="24"/>
              </w:rPr>
              <w:t>⑥迹地修复：恢复治理区内无植被区域补栽植株复绿。</w:t>
            </w:r>
          </w:p>
          <w:p>
            <w:pPr>
              <w:adjustRightInd w:val="0"/>
              <w:snapToGrid w:val="0"/>
              <w:spacing w:line="360" w:lineRule="auto"/>
              <w:ind w:firstLine="482" w:firstLineChars="200"/>
              <w:rPr>
                <w:b/>
                <w:sz w:val="24"/>
              </w:rPr>
            </w:pPr>
            <w:r>
              <w:rPr>
                <w:b/>
                <w:sz w:val="24"/>
              </w:rPr>
              <w:t>产污节点：</w:t>
            </w:r>
          </w:p>
          <w:p>
            <w:pPr>
              <w:adjustRightInd w:val="0"/>
              <w:snapToGrid w:val="0"/>
              <w:spacing w:line="360" w:lineRule="auto"/>
              <w:ind w:firstLine="480" w:firstLineChars="200"/>
              <w:rPr>
                <w:sz w:val="24"/>
              </w:rPr>
            </w:pPr>
            <w:r>
              <w:rPr>
                <w:rFonts w:hint="eastAsia"/>
                <w:sz w:val="24"/>
              </w:rPr>
              <w:t>粉尘</w:t>
            </w:r>
            <w:r>
              <w:rPr>
                <w:sz w:val="24"/>
              </w:rPr>
              <w:t>：挖填方及施工材料运输阶段产生粉尘；</w:t>
            </w:r>
          </w:p>
          <w:p>
            <w:pPr>
              <w:adjustRightInd w:val="0"/>
              <w:snapToGrid w:val="0"/>
              <w:spacing w:line="360" w:lineRule="auto"/>
              <w:ind w:firstLine="480" w:firstLineChars="200"/>
              <w:rPr>
                <w:sz w:val="24"/>
              </w:rPr>
            </w:pPr>
            <w:r>
              <w:rPr>
                <w:sz w:val="24"/>
              </w:rPr>
              <w:t>废气：施工机械</w:t>
            </w:r>
            <w:r>
              <w:rPr>
                <w:rFonts w:hint="eastAsia"/>
                <w:sz w:val="24"/>
              </w:rPr>
              <w:t>及车辆</w:t>
            </w:r>
            <w:r>
              <w:rPr>
                <w:sz w:val="24"/>
              </w:rPr>
              <w:t>运行排放的燃油尾气；</w:t>
            </w:r>
          </w:p>
          <w:p>
            <w:pPr>
              <w:adjustRightInd w:val="0"/>
              <w:snapToGrid w:val="0"/>
              <w:spacing w:line="360" w:lineRule="auto"/>
              <w:ind w:firstLine="480" w:firstLineChars="200"/>
              <w:rPr>
                <w:sz w:val="24"/>
              </w:rPr>
            </w:pPr>
            <w:r>
              <w:rPr>
                <w:sz w:val="24"/>
              </w:rPr>
              <w:t>噪声：运输车辆运输噪声，挖掘机、</w:t>
            </w:r>
            <w:r>
              <w:rPr>
                <w:rFonts w:hint="eastAsia"/>
                <w:sz w:val="24"/>
              </w:rPr>
              <w:t>混凝土振捣器</w:t>
            </w:r>
            <w:r>
              <w:rPr>
                <w:sz w:val="24"/>
              </w:rPr>
              <w:t>等工程施工机械噪声；</w:t>
            </w:r>
          </w:p>
          <w:p>
            <w:pPr>
              <w:adjustRightInd w:val="0"/>
              <w:snapToGrid w:val="0"/>
              <w:spacing w:line="360" w:lineRule="auto"/>
              <w:ind w:firstLine="480" w:firstLineChars="200"/>
              <w:rPr>
                <w:sz w:val="24"/>
              </w:rPr>
            </w:pPr>
            <w:r>
              <w:rPr>
                <w:sz w:val="24"/>
              </w:rPr>
              <w:t>固废：施工人员生活垃圾、挖填方产生的表土</w:t>
            </w:r>
            <w:r>
              <w:rPr>
                <w:rFonts w:hint="eastAsia"/>
                <w:sz w:val="24"/>
              </w:rPr>
              <w:t>及废石、加工区拆除垃圾</w:t>
            </w:r>
            <w:r>
              <w:rPr>
                <w:sz w:val="24"/>
              </w:rPr>
              <w:t>；</w:t>
            </w:r>
          </w:p>
          <w:p>
            <w:pPr>
              <w:adjustRightInd w:val="0"/>
              <w:snapToGrid w:val="0"/>
              <w:spacing w:line="360" w:lineRule="auto"/>
              <w:ind w:firstLine="480" w:firstLineChars="200"/>
              <w:rPr>
                <w:sz w:val="24"/>
              </w:rPr>
            </w:pPr>
            <w:r>
              <w:rPr>
                <w:sz w:val="24"/>
              </w:rPr>
              <w:t>废水：施工人员生活污水、施工废水。</w:t>
            </w:r>
          </w:p>
          <w:p>
            <w:pPr>
              <w:adjustRightInd w:val="0"/>
              <w:snapToGrid w:val="0"/>
              <w:spacing w:line="360" w:lineRule="auto"/>
              <w:ind w:firstLine="562" w:firstLineChars="200"/>
              <w:rPr>
                <w:b/>
                <w:sz w:val="28"/>
                <w:szCs w:val="28"/>
              </w:rPr>
            </w:pPr>
            <w:r>
              <w:rPr>
                <w:b/>
                <w:sz w:val="28"/>
                <w:szCs w:val="28"/>
              </w:rPr>
              <w:t>4.2、施工期环境影响因素分析</w:t>
            </w:r>
          </w:p>
          <w:p>
            <w:pPr>
              <w:adjustRightInd w:val="0"/>
              <w:snapToGrid w:val="0"/>
              <w:spacing w:line="360" w:lineRule="auto"/>
              <w:ind w:firstLine="482" w:firstLineChars="200"/>
              <w:rPr>
                <w:b/>
                <w:sz w:val="24"/>
              </w:rPr>
            </w:pPr>
            <w:r>
              <w:rPr>
                <w:b/>
                <w:sz w:val="24"/>
              </w:rPr>
              <w:t>（1）废气</w:t>
            </w:r>
          </w:p>
          <w:p>
            <w:pPr>
              <w:adjustRightInd w:val="0"/>
              <w:snapToGrid w:val="0"/>
              <w:spacing w:line="360" w:lineRule="auto"/>
              <w:ind w:firstLine="480" w:firstLineChars="200"/>
              <w:rPr>
                <w:sz w:val="24"/>
              </w:rPr>
            </w:pPr>
            <w:r>
              <w:rPr>
                <w:sz w:val="24"/>
              </w:rPr>
              <w:t>主要大气污染物为施工扬尘、施工机械尾气。</w:t>
            </w:r>
          </w:p>
          <w:p>
            <w:pPr>
              <w:adjustRightInd w:val="0"/>
              <w:snapToGrid w:val="0"/>
              <w:spacing w:line="360" w:lineRule="auto"/>
              <w:ind w:firstLine="480" w:firstLineChars="200"/>
              <w:rPr>
                <w:sz w:val="24"/>
              </w:rPr>
            </w:pPr>
            <w:r>
              <w:rPr>
                <w:rFonts w:hint="eastAsia" w:ascii="宋体" w:hAnsi="宋体" w:cs="宋体"/>
                <w:sz w:val="24"/>
              </w:rPr>
              <w:t>①粉尘</w:t>
            </w:r>
            <w:r>
              <w:rPr>
                <w:sz w:val="24"/>
              </w:rPr>
              <w:t>：在场地开挖、平整、物料装卸、运输</w:t>
            </w:r>
            <w:r>
              <w:rPr>
                <w:rFonts w:hint="eastAsia"/>
                <w:sz w:val="24"/>
              </w:rPr>
              <w:t>、</w:t>
            </w:r>
            <w:r>
              <w:rPr>
                <w:sz w:val="24"/>
              </w:rPr>
              <w:t>堆放</w:t>
            </w:r>
            <w:r>
              <w:rPr>
                <w:rFonts w:hint="eastAsia"/>
                <w:sz w:val="24"/>
              </w:rPr>
              <w:t>、拌合</w:t>
            </w:r>
            <w:r>
              <w:rPr>
                <w:sz w:val="24"/>
              </w:rPr>
              <w:t>等施工活动中会产生</w:t>
            </w:r>
            <w:r>
              <w:rPr>
                <w:rFonts w:hint="eastAsia" w:ascii="宋体" w:hAnsi="宋体" w:cs="宋体"/>
                <w:sz w:val="24"/>
              </w:rPr>
              <w:t>粉尘</w:t>
            </w:r>
            <w:r>
              <w:rPr>
                <w:sz w:val="24"/>
              </w:rPr>
              <w:t>，其产生量随项目地风力和场地内物料、土壤干燥程度不同而有所变化；施工运输车辆的往来将产生道路二次扬尘，其产生量随路面积尘情况、行车速度和载重有关。扬尘污染以颗粒物为主，呈无组织排放，是施工过程中较为突出的环境问题。</w:t>
            </w:r>
          </w:p>
          <w:p>
            <w:pPr>
              <w:adjustRightInd w:val="0"/>
              <w:snapToGrid w:val="0"/>
              <w:spacing w:line="360" w:lineRule="auto"/>
              <w:ind w:firstLine="480" w:firstLineChars="200"/>
              <w:rPr>
                <w:sz w:val="24"/>
              </w:rPr>
            </w:pPr>
            <w:r>
              <w:rPr>
                <w:rFonts w:hint="eastAsia" w:ascii="宋体" w:hAnsi="宋体" w:cs="宋体"/>
                <w:sz w:val="24"/>
              </w:rPr>
              <w:t>②</w:t>
            </w:r>
            <w:r>
              <w:rPr>
                <w:sz w:val="24"/>
              </w:rPr>
              <w:t>废气：主要为各类燃油动力机械在进行场地挖方、清理、平整、运输等作业时产生的燃油废气，主要污染物为CO、NOx和碳氢化合物，呈无组织排放。</w:t>
            </w:r>
          </w:p>
          <w:p>
            <w:pPr>
              <w:adjustRightInd w:val="0"/>
              <w:snapToGrid w:val="0"/>
              <w:spacing w:line="360" w:lineRule="auto"/>
              <w:ind w:firstLine="482" w:firstLineChars="200"/>
              <w:rPr>
                <w:b/>
                <w:sz w:val="24"/>
              </w:rPr>
            </w:pPr>
            <w:r>
              <w:rPr>
                <w:b/>
                <w:sz w:val="24"/>
              </w:rPr>
              <w:t>（2）废水</w:t>
            </w:r>
          </w:p>
          <w:p>
            <w:pPr>
              <w:adjustRightInd w:val="0"/>
              <w:snapToGrid w:val="0"/>
              <w:spacing w:line="360" w:lineRule="auto"/>
              <w:ind w:firstLine="480" w:firstLineChars="200"/>
              <w:rPr>
                <w:sz w:val="24"/>
              </w:rPr>
            </w:pPr>
            <w:r>
              <w:rPr>
                <w:sz w:val="24"/>
              </w:rPr>
              <w:t>施工期废水主要为施工作业废水和施工人员生活污水。</w:t>
            </w:r>
          </w:p>
          <w:p>
            <w:pPr>
              <w:adjustRightInd w:val="0"/>
              <w:snapToGrid w:val="0"/>
              <w:spacing w:line="360" w:lineRule="auto"/>
              <w:ind w:firstLine="480" w:firstLineChars="200"/>
              <w:rPr>
                <w:sz w:val="24"/>
              </w:rPr>
            </w:pPr>
            <w:r>
              <w:rPr>
                <w:rFonts w:hint="eastAsia" w:ascii="宋体" w:hAnsi="宋体" w:cs="宋体"/>
                <w:sz w:val="24"/>
              </w:rPr>
              <w:t>①</w:t>
            </w:r>
            <w:r>
              <w:rPr>
                <w:sz w:val="24"/>
              </w:rPr>
              <w:t>施工作业废水</w:t>
            </w:r>
          </w:p>
          <w:p>
            <w:pPr>
              <w:adjustRightInd w:val="0"/>
              <w:snapToGrid w:val="0"/>
              <w:spacing w:line="360" w:lineRule="auto"/>
              <w:ind w:firstLine="480" w:firstLineChars="200"/>
              <w:rPr>
                <w:sz w:val="24"/>
              </w:rPr>
            </w:pPr>
            <w:r>
              <w:rPr>
                <w:sz w:val="24"/>
              </w:rPr>
              <w:t>主要为施工</w:t>
            </w:r>
            <w:r>
              <w:rPr>
                <w:rFonts w:hint="eastAsia"/>
                <w:sz w:val="24"/>
              </w:rPr>
              <w:t>车辆及</w:t>
            </w:r>
            <w:r>
              <w:rPr>
                <w:sz w:val="24"/>
              </w:rPr>
              <w:t>机械</w:t>
            </w:r>
            <w:r>
              <w:rPr>
                <w:rFonts w:hint="eastAsia"/>
                <w:sz w:val="24"/>
              </w:rPr>
              <w:t>冲洗废水</w:t>
            </w:r>
            <w:r>
              <w:rPr>
                <w:sz w:val="24"/>
              </w:rPr>
              <w:t>。施工机具、车辆冲洗废水产生量约0.5m</w:t>
            </w:r>
            <w:r>
              <w:rPr>
                <w:sz w:val="24"/>
                <w:vertAlign w:val="superscript"/>
              </w:rPr>
              <w:t>3</w:t>
            </w:r>
            <w:r>
              <w:rPr>
                <w:sz w:val="24"/>
              </w:rPr>
              <w:t>/d，项目施工期</w:t>
            </w:r>
            <w:r>
              <w:rPr>
                <w:rFonts w:hint="eastAsia"/>
                <w:sz w:val="24"/>
              </w:rPr>
              <w:t>6</w:t>
            </w:r>
            <w:r>
              <w:rPr>
                <w:sz w:val="24"/>
              </w:rPr>
              <w:t>个月，月施工30d，</w:t>
            </w:r>
            <w:r>
              <w:rPr>
                <w:rFonts w:hint="eastAsia"/>
                <w:sz w:val="24"/>
              </w:rPr>
              <w:t>则</w:t>
            </w:r>
            <w:r>
              <w:rPr>
                <w:sz w:val="24"/>
              </w:rPr>
              <w:t>施工期间施工车辆</w:t>
            </w:r>
            <w:r>
              <w:rPr>
                <w:rFonts w:hint="eastAsia"/>
                <w:sz w:val="24"/>
              </w:rPr>
              <w:t>和</w:t>
            </w:r>
            <w:r>
              <w:rPr>
                <w:sz w:val="24"/>
              </w:rPr>
              <w:t>设备冲洗废水合计约</w:t>
            </w:r>
            <w:r>
              <w:rPr>
                <w:rFonts w:hint="eastAsia"/>
                <w:sz w:val="24"/>
              </w:rPr>
              <w:t>90</w:t>
            </w:r>
            <w:r>
              <w:rPr>
                <w:sz w:val="24"/>
              </w:rPr>
              <w:t>m</w:t>
            </w:r>
            <w:r>
              <w:rPr>
                <w:sz w:val="24"/>
                <w:vertAlign w:val="superscript"/>
              </w:rPr>
              <w:t>3</w:t>
            </w:r>
            <w:r>
              <w:rPr>
                <w:sz w:val="24"/>
              </w:rPr>
              <w:t>，主要污染物为SS，产生浓度约500mg/L，产生量为0.0</w:t>
            </w:r>
            <w:r>
              <w:rPr>
                <w:rFonts w:hint="eastAsia"/>
                <w:sz w:val="24"/>
              </w:rPr>
              <w:t>45</w:t>
            </w:r>
            <w:r>
              <w:rPr>
                <w:sz w:val="24"/>
              </w:rPr>
              <w:t>t（0.</w:t>
            </w:r>
            <w:r>
              <w:rPr>
                <w:rFonts w:hint="eastAsia"/>
                <w:sz w:val="24"/>
              </w:rPr>
              <w:t>125</w:t>
            </w:r>
            <w:r>
              <w:rPr>
                <w:sz w:val="24"/>
              </w:rPr>
              <w:t>kg/d）。</w:t>
            </w:r>
          </w:p>
          <w:p>
            <w:pPr>
              <w:adjustRightInd w:val="0"/>
              <w:snapToGrid w:val="0"/>
              <w:spacing w:line="360" w:lineRule="auto"/>
              <w:ind w:firstLine="480" w:firstLineChars="200"/>
              <w:rPr>
                <w:sz w:val="24"/>
              </w:rPr>
            </w:pPr>
            <w:r>
              <w:rPr>
                <w:rFonts w:hint="eastAsia" w:ascii="宋体" w:hAnsi="宋体" w:cs="宋体"/>
                <w:sz w:val="24"/>
              </w:rPr>
              <w:t>②</w:t>
            </w:r>
            <w:r>
              <w:rPr>
                <w:sz w:val="24"/>
              </w:rPr>
              <w:t>施工人员生活污水</w:t>
            </w:r>
          </w:p>
          <w:p>
            <w:pPr>
              <w:adjustRightInd w:val="0"/>
              <w:snapToGrid w:val="0"/>
              <w:spacing w:line="360" w:lineRule="auto"/>
              <w:ind w:firstLine="480" w:firstLineChars="200"/>
              <w:rPr>
                <w:sz w:val="24"/>
              </w:rPr>
            </w:pPr>
            <w:r>
              <w:rPr>
                <w:sz w:val="24"/>
              </w:rPr>
              <w:t>预计施工高峰期人数为</w:t>
            </w:r>
            <w:r>
              <w:rPr>
                <w:rFonts w:hint="eastAsia"/>
                <w:sz w:val="24"/>
              </w:rPr>
              <w:t>15</w:t>
            </w:r>
            <w:r>
              <w:rPr>
                <w:sz w:val="24"/>
              </w:rPr>
              <w:t>人/d，</w:t>
            </w:r>
            <w:r>
              <w:rPr>
                <w:rFonts w:hint="eastAsia"/>
                <w:sz w:val="24"/>
              </w:rPr>
              <w:t>施工人员不在场地内食宿</w:t>
            </w:r>
            <w:r>
              <w:rPr>
                <w:sz w:val="24"/>
              </w:rPr>
              <w:t>，</w:t>
            </w:r>
            <w:r>
              <w:rPr>
                <w:rFonts w:hint="eastAsia"/>
                <w:sz w:val="24"/>
              </w:rPr>
              <w:t>类比同类项目，</w:t>
            </w:r>
            <w:r>
              <w:rPr>
                <w:sz w:val="24"/>
              </w:rPr>
              <w:t>生活用水量约</w:t>
            </w:r>
            <w:r>
              <w:rPr>
                <w:rFonts w:hint="eastAsia"/>
                <w:sz w:val="24"/>
              </w:rPr>
              <w:t>60</w:t>
            </w:r>
            <w:r>
              <w:rPr>
                <w:sz w:val="24"/>
              </w:rPr>
              <w:t>L/人.d，排污系数以0.9计，则施工期生活污水产生量为</w:t>
            </w:r>
            <w:r>
              <w:rPr>
                <w:rFonts w:hint="eastAsia"/>
                <w:sz w:val="24"/>
              </w:rPr>
              <w:t>0.81</w:t>
            </w:r>
            <w:r>
              <w:rPr>
                <w:sz w:val="24"/>
              </w:rPr>
              <w:t>m</w:t>
            </w:r>
            <w:r>
              <w:rPr>
                <w:sz w:val="24"/>
                <w:vertAlign w:val="superscript"/>
              </w:rPr>
              <w:t>3</w:t>
            </w:r>
            <w:r>
              <w:rPr>
                <w:sz w:val="24"/>
              </w:rPr>
              <w:t>/d，施工期为</w:t>
            </w:r>
            <w:r>
              <w:rPr>
                <w:rFonts w:hint="eastAsia"/>
                <w:sz w:val="24"/>
              </w:rPr>
              <w:t>6</w:t>
            </w:r>
            <w:r>
              <w:rPr>
                <w:sz w:val="24"/>
              </w:rPr>
              <w:t>个月，施工期间废水生活污水约</w:t>
            </w:r>
            <w:r>
              <w:rPr>
                <w:rFonts w:hint="eastAsia"/>
                <w:sz w:val="24"/>
              </w:rPr>
              <w:t>145.8</w:t>
            </w:r>
            <w:r>
              <w:rPr>
                <w:sz w:val="24"/>
              </w:rPr>
              <w:t>m</w:t>
            </w:r>
            <w:r>
              <w:rPr>
                <w:sz w:val="24"/>
                <w:vertAlign w:val="superscript"/>
              </w:rPr>
              <w:t>3</w:t>
            </w:r>
            <w:r>
              <w:rPr>
                <w:sz w:val="24"/>
              </w:rPr>
              <w:t>，主要污染物浓度为COD450mg/L、SS250mg/L、NH</w:t>
            </w:r>
            <w:r>
              <w:rPr>
                <w:sz w:val="24"/>
                <w:vertAlign w:val="subscript"/>
              </w:rPr>
              <w:t>3</w:t>
            </w:r>
            <w:r>
              <w:rPr>
                <w:sz w:val="24"/>
              </w:rPr>
              <w:t>-N30mg/L。则项目主要污染物产生量为COD0.</w:t>
            </w:r>
            <w:r>
              <w:rPr>
                <w:rFonts w:hint="eastAsia"/>
                <w:sz w:val="24"/>
              </w:rPr>
              <w:t>066</w:t>
            </w:r>
            <w:r>
              <w:rPr>
                <w:sz w:val="24"/>
              </w:rPr>
              <w:t>t、SS0.0</w:t>
            </w:r>
            <w:r>
              <w:rPr>
                <w:rFonts w:hint="eastAsia"/>
                <w:sz w:val="24"/>
              </w:rPr>
              <w:t>36</w:t>
            </w:r>
            <w:r>
              <w:rPr>
                <w:sz w:val="24"/>
              </w:rPr>
              <w:t>t、NH</w:t>
            </w:r>
            <w:r>
              <w:rPr>
                <w:sz w:val="24"/>
                <w:vertAlign w:val="subscript"/>
              </w:rPr>
              <w:t>3</w:t>
            </w:r>
            <w:r>
              <w:rPr>
                <w:sz w:val="24"/>
              </w:rPr>
              <w:t>-N0.0</w:t>
            </w:r>
            <w:r>
              <w:rPr>
                <w:rFonts w:hint="eastAsia"/>
                <w:sz w:val="24"/>
              </w:rPr>
              <w:t>04</w:t>
            </w:r>
            <w:r>
              <w:rPr>
                <w:sz w:val="24"/>
              </w:rPr>
              <w:t>t。</w:t>
            </w:r>
          </w:p>
          <w:p>
            <w:pPr>
              <w:adjustRightInd w:val="0"/>
              <w:snapToGrid w:val="0"/>
              <w:spacing w:line="360" w:lineRule="auto"/>
              <w:ind w:firstLine="480" w:firstLineChars="200"/>
              <w:rPr>
                <w:sz w:val="24"/>
              </w:rPr>
            </w:pPr>
            <w:r>
              <w:rPr>
                <w:rFonts w:hint="eastAsia" w:ascii="宋体" w:hAnsi="宋体" w:cs="宋体"/>
                <w:sz w:val="24"/>
              </w:rPr>
              <w:t>③</w:t>
            </w:r>
            <w:r>
              <w:rPr>
                <w:sz w:val="24"/>
              </w:rPr>
              <w:t>场区雨水</w:t>
            </w:r>
          </w:p>
          <w:p>
            <w:pPr>
              <w:adjustRightInd w:val="0"/>
              <w:snapToGrid w:val="0"/>
              <w:spacing w:line="360" w:lineRule="auto"/>
              <w:ind w:firstLine="480" w:firstLineChars="200"/>
              <w:rPr>
                <w:sz w:val="24"/>
              </w:rPr>
            </w:pPr>
            <w:r>
              <w:rPr>
                <w:sz w:val="24"/>
              </w:rPr>
              <w:t>在雨季，雨水对施工场地的冲刷，会造成一定程度的水土流失，同时产生一定的污染，主要污染物为SS。</w:t>
            </w:r>
          </w:p>
          <w:p>
            <w:pPr>
              <w:adjustRightInd w:val="0"/>
              <w:snapToGrid w:val="0"/>
              <w:spacing w:line="360" w:lineRule="auto"/>
              <w:ind w:firstLine="482" w:firstLineChars="200"/>
              <w:rPr>
                <w:b/>
                <w:sz w:val="24"/>
              </w:rPr>
            </w:pPr>
            <w:r>
              <w:rPr>
                <w:b/>
                <w:sz w:val="24"/>
              </w:rPr>
              <w:t>（3）噪声</w:t>
            </w:r>
          </w:p>
          <w:p>
            <w:pPr>
              <w:adjustRightInd w:val="0"/>
              <w:snapToGrid w:val="0"/>
              <w:spacing w:line="360" w:lineRule="auto"/>
              <w:ind w:firstLine="480" w:firstLineChars="200"/>
              <w:rPr>
                <w:sz w:val="24"/>
              </w:rPr>
            </w:pPr>
            <w:r>
              <w:rPr>
                <w:sz w:val="24"/>
              </w:rPr>
              <w:t>项目施工噪声主要来自施工机具的噪声，施工机具噪声源特点为移动噪声源，施工噪声影响为短期性、暂时性，一旦施工活动结束，施工噪声也就随之结束。施工过程主要噪声设备为推土机、挖掘机和载重汽车等，参照《环境噪声与振动控制工程技术导则》（HJ 2034-2013）各噪声源特点见表4-1。</w:t>
            </w:r>
          </w:p>
          <w:p>
            <w:pPr>
              <w:adjustRightInd w:val="0"/>
              <w:snapToGrid w:val="0"/>
              <w:jc w:val="center"/>
              <w:rPr>
                <w:b/>
                <w:sz w:val="24"/>
              </w:rPr>
            </w:pPr>
            <w:r>
              <w:rPr>
                <w:b/>
                <w:sz w:val="24"/>
              </w:rPr>
              <w:t>表4-1  施工期主要噪声源强表</w:t>
            </w:r>
          </w:p>
          <w:tbl>
            <w:tblPr>
              <w:tblStyle w:val="15"/>
              <w:tblW w:w="9194" w:type="dxa"/>
              <w:jc w:val="center"/>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950"/>
              <w:gridCol w:w="2532"/>
              <w:gridCol w:w="1866"/>
              <w:gridCol w:w="1866"/>
              <w:gridCol w:w="1980"/>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Ex>
              <w:trPr>
                <w:trHeight w:val="334" w:hRule="atLeast"/>
                <w:tblHeader/>
                <w:jc w:val="center"/>
              </w:trPr>
              <w:tc>
                <w:tcPr>
                  <w:tcW w:w="950"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序号</w:t>
                  </w:r>
                </w:p>
              </w:tc>
              <w:tc>
                <w:tcPr>
                  <w:tcW w:w="2532"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噪声源</w:t>
                  </w:r>
                </w:p>
              </w:tc>
              <w:tc>
                <w:tcPr>
                  <w:tcW w:w="1866"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单机噪声级</w:t>
                  </w:r>
                </w:p>
              </w:tc>
              <w:tc>
                <w:tcPr>
                  <w:tcW w:w="1866"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噪声测距</w:t>
                  </w:r>
                </w:p>
              </w:tc>
              <w:tc>
                <w:tcPr>
                  <w:tcW w:w="1980"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声源类型</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Ex>
              <w:trPr>
                <w:trHeight w:val="331" w:hRule="atLeast"/>
                <w:jc w:val="center"/>
              </w:trPr>
              <w:tc>
                <w:tcPr>
                  <w:tcW w:w="950"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1</w:t>
                  </w:r>
                </w:p>
              </w:tc>
              <w:tc>
                <w:tcPr>
                  <w:tcW w:w="2532" w:type="dxa"/>
                  <w:vAlign w:val="center"/>
                </w:tcPr>
                <w:p>
                  <w:pPr>
                    <w:pStyle w:val="13"/>
                    <w:kinsoku w:val="0"/>
                    <w:overflowPunct w:val="0"/>
                    <w:autoSpaceDE w:val="0"/>
                    <w:autoSpaceDN w:val="0"/>
                    <w:adjustRightInd w:val="0"/>
                    <w:jc w:val="center"/>
                    <w:rPr>
                      <w:rFonts w:ascii="Times New Roman" w:hAnsi="Times New Roman"/>
                      <w:kern w:val="2"/>
                      <w:sz w:val="21"/>
                      <w:szCs w:val="21"/>
                    </w:rPr>
                  </w:pPr>
                  <w:r>
                    <w:rPr>
                      <w:rFonts w:ascii="Times New Roman" w:hAnsi="Times New Roman"/>
                      <w:kern w:val="2"/>
                      <w:sz w:val="21"/>
                      <w:szCs w:val="21"/>
                    </w:rPr>
                    <w:t>重型载重卡车</w:t>
                  </w:r>
                </w:p>
              </w:tc>
              <w:tc>
                <w:tcPr>
                  <w:tcW w:w="1866" w:type="dxa"/>
                  <w:vAlign w:val="center"/>
                </w:tcPr>
                <w:p>
                  <w:pPr>
                    <w:pStyle w:val="13"/>
                    <w:kinsoku w:val="0"/>
                    <w:overflowPunct w:val="0"/>
                    <w:autoSpaceDE w:val="0"/>
                    <w:autoSpaceDN w:val="0"/>
                    <w:adjustRightInd w:val="0"/>
                    <w:jc w:val="center"/>
                    <w:rPr>
                      <w:rFonts w:ascii="Times New Roman" w:hAnsi="Times New Roman"/>
                      <w:kern w:val="2"/>
                      <w:sz w:val="21"/>
                      <w:szCs w:val="21"/>
                    </w:rPr>
                  </w:pPr>
                  <w:r>
                    <w:rPr>
                      <w:rFonts w:hint="eastAsia" w:ascii="Times New Roman" w:hAnsi="Times New Roman"/>
                      <w:kern w:val="2"/>
                      <w:sz w:val="21"/>
                      <w:szCs w:val="21"/>
                    </w:rPr>
                    <w:t>80</w:t>
                  </w:r>
                </w:p>
              </w:tc>
              <w:tc>
                <w:tcPr>
                  <w:tcW w:w="1866"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5m</w:t>
                  </w:r>
                </w:p>
              </w:tc>
              <w:tc>
                <w:tcPr>
                  <w:tcW w:w="1980" w:type="dxa"/>
                  <w:vAlign w:val="center"/>
                </w:tcPr>
                <w:p>
                  <w:pPr>
                    <w:pStyle w:val="63"/>
                    <w:spacing w:line="240" w:lineRule="auto"/>
                    <w:rPr>
                      <w:rFonts w:ascii="Times New Roman" w:hAnsi="Times New Roman" w:eastAsia="宋体"/>
                      <w:sz w:val="21"/>
                      <w:szCs w:val="21"/>
                    </w:rPr>
                  </w:pPr>
                  <w:r>
                    <w:rPr>
                      <w:rFonts w:hint="eastAsia" w:ascii="Times New Roman" w:hAnsi="Times New Roman" w:eastAsia="宋体"/>
                      <w:sz w:val="21"/>
                      <w:szCs w:val="21"/>
                    </w:rPr>
                    <w:t>移动</w:t>
                  </w:r>
                  <w:r>
                    <w:rPr>
                      <w:rFonts w:ascii="Times New Roman" w:hAnsi="Times New Roman" w:eastAsia="宋体"/>
                      <w:sz w:val="21"/>
                      <w:szCs w:val="21"/>
                    </w:rPr>
                    <w:t>声源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Ex>
              <w:trPr>
                <w:trHeight w:val="329" w:hRule="atLeast"/>
                <w:jc w:val="center"/>
              </w:trPr>
              <w:tc>
                <w:tcPr>
                  <w:tcW w:w="950"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2</w:t>
                  </w:r>
                </w:p>
              </w:tc>
              <w:tc>
                <w:tcPr>
                  <w:tcW w:w="2532"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挖掘机</w:t>
                  </w:r>
                </w:p>
              </w:tc>
              <w:tc>
                <w:tcPr>
                  <w:tcW w:w="1866" w:type="dxa"/>
                  <w:vAlign w:val="center"/>
                </w:tcPr>
                <w:p>
                  <w:pPr>
                    <w:pStyle w:val="63"/>
                    <w:spacing w:line="240" w:lineRule="auto"/>
                    <w:rPr>
                      <w:rFonts w:ascii="Times New Roman" w:hAnsi="Times New Roman" w:eastAsia="宋体"/>
                      <w:sz w:val="21"/>
                      <w:szCs w:val="21"/>
                    </w:rPr>
                  </w:pPr>
                  <w:r>
                    <w:rPr>
                      <w:rFonts w:hint="eastAsia" w:ascii="Times New Roman" w:hAnsi="Times New Roman" w:eastAsia="宋体"/>
                      <w:sz w:val="21"/>
                      <w:szCs w:val="21"/>
                    </w:rPr>
                    <w:t>84</w:t>
                  </w:r>
                </w:p>
              </w:tc>
              <w:tc>
                <w:tcPr>
                  <w:tcW w:w="1866"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5m</w:t>
                  </w:r>
                </w:p>
              </w:tc>
              <w:tc>
                <w:tcPr>
                  <w:tcW w:w="1980" w:type="dxa"/>
                  <w:vAlign w:val="center"/>
                </w:tcPr>
                <w:p>
                  <w:pPr>
                    <w:pStyle w:val="63"/>
                    <w:spacing w:line="240" w:lineRule="auto"/>
                    <w:rPr>
                      <w:rFonts w:ascii="Times New Roman" w:hAnsi="Times New Roman" w:eastAsia="宋体"/>
                      <w:sz w:val="21"/>
                      <w:szCs w:val="21"/>
                    </w:rPr>
                  </w:pPr>
                  <w:r>
                    <w:rPr>
                      <w:rFonts w:hint="eastAsia" w:ascii="Times New Roman" w:hAnsi="Times New Roman" w:eastAsia="宋体"/>
                      <w:sz w:val="21"/>
                      <w:szCs w:val="21"/>
                    </w:rPr>
                    <w:t>移动</w:t>
                  </w:r>
                  <w:r>
                    <w:rPr>
                      <w:rFonts w:ascii="Times New Roman" w:hAnsi="Times New Roman" w:eastAsia="宋体"/>
                      <w:sz w:val="21"/>
                      <w:szCs w:val="21"/>
                    </w:rPr>
                    <w:t>声源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Ex>
              <w:trPr>
                <w:trHeight w:val="331" w:hRule="atLeast"/>
                <w:jc w:val="center"/>
              </w:trPr>
              <w:tc>
                <w:tcPr>
                  <w:tcW w:w="950"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3</w:t>
                  </w:r>
                </w:p>
              </w:tc>
              <w:tc>
                <w:tcPr>
                  <w:tcW w:w="2532"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推土机</w:t>
                  </w:r>
                </w:p>
              </w:tc>
              <w:tc>
                <w:tcPr>
                  <w:tcW w:w="1866" w:type="dxa"/>
                  <w:vAlign w:val="center"/>
                </w:tcPr>
                <w:p>
                  <w:pPr>
                    <w:pStyle w:val="63"/>
                    <w:spacing w:line="240" w:lineRule="auto"/>
                    <w:rPr>
                      <w:rFonts w:ascii="Times New Roman" w:hAnsi="Times New Roman" w:eastAsia="宋体"/>
                      <w:sz w:val="21"/>
                      <w:szCs w:val="21"/>
                    </w:rPr>
                  </w:pPr>
                  <w:r>
                    <w:rPr>
                      <w:rFonts w:hint="eastAsia" w:ascii="Times New Roman" w:hAnsi="Times New Roman" w:eastAsia="宋体"/>
                      <w:sz w:val="21"/>
                      <w:szCs w:val="21"/>
                    </w:rPr>
                    <w:t>84</w:t>
                  </w:r>
                </w:p>
              </w:tc>
              <w:tc>
                <w:tcPr>
                  <w:tcW w:w="1866"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5m</w:t>
                  </w:r>
                </w:p>
              </w:tc>
              <w:tc>
                <w:tcPr>
                  <w:tcW w:w="1980" w:type="dxa"/>
                  <w:vAlign w:val="center"/>
                </w:tcPr>
                <w:p>
                  <w:pPr>
                    <w:pStyle w:val="63"/>
                    <w:spacing w:line="240" w:lineRule="auto"/>
                    <w:rPr>
                      <w:rFonts w:ascii="Times New Roman" w:hAnsi="Times New Roman" w:eastAsia="宋体"/>
                      <w:sz w:val="21"/>
                      <w:szCs w:val="21"/>
                    </w:rPr>
                  </w:pPr>
                  <w:r>
                    <w:rPr>
                      <w:rFonts w:hint="eastAsia" w:ascii="Times New Roman" w:hAnsi="Times New Roman" w:eastAsia="宋体"/>
                      <w:sz w:val="21"/>
                      <w:szCs w:val="21"/>
                    </w:rPr>
                    <w:t>移动</w:t>
                  </w:r>
                  <w:r>
                    <w:rPr>
                      <w:rFonts w:ascii="Times New Roman" w:hAnsi="Times New Roman" w:eastAsia="宋体"/>
                      <w:sz w:val="21"/>
                      <w:szCs w:val="21"/>
                    </w:rPr>
                    <w:t>声源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Ex>
              <w:trPr>
                <w:trHeight w:val="329" w:hRule="atLeast"/>
                <w:jc w:val="center"/>
              </w:trPr>
              <w:tc>
                <w:tcPr>
                  <w:tcW w:w="950"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4</w:t>
                  </w:r>
                </w:p>
              </w:tc>
              <w:tc>
                <w:tcPr>
                  <w:tcW w:w="2532"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振捣器</w:t>
                  </w:r>
                </w:p>
              </w:tc>
              <w:tc>
                <w:tcPr>
                  <w:tcW w:w="1866" w:type="dxa"/>
                  <w:vAlign w:val="center"/>
                </w:tcPr>
                <w:p>
                  <w:pPr>
                    <w:pStyle w:val="63"/>
                    <w:spacing w:line="240" w:lineRule="auto"/>
                    <w:rPr>
                      <w:rFonts w:ascii="Times New Roman" w:hAnsi="Times New Roman" w:eastAsia="宋体"/>
                      <w:sz w:val="21"/>
                      <w:szCs w:val="21"/>
                    </w:rPr>
                  </w:pPr>
                  <w:r>
                    <w:rPr>
                      <w:rFonts w:hint="eastAsia" w:ascii="Times New Roman" w:hAnsi="Times New Roman" w:eastAsia="宋体"/>
                      <w:sz w:val="21"/>
                      <w:szCs w:val="21"/>
                    </w:rPr>
                    <w:t>85</w:t>
                  </w:r>
                </w:p>
              </w:tc>
              <w:tc>
                <w:tcPr>
                  <w:tcW w:w="1866"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5m</w:t>
                  </w:r>
                </w:p>
              </w:tc>
              <w:tc>
                <w:tcPr>
                  <w:tcW w:w="1980" w:type="dxa"/>
                  <w:vAlign w:val="center"/>
                </w:tcPr>
                <w:p>
                  <w:pPr>
                    <w:pStyle w:val="63"/>
                    <w:spacing w:line="240" w:lineRule="auto"/>
                    <w:rPr>
                      <w:rFonts w:ascii="Times New Roman" w:hAnsi="Times New Roman" w:eastAsia="宋体"/>
                      <w:sz w:val="21"/>
                      <w:szCs w:val="21"/>
                    </w:rPr>
                  </w:pPr>
                  <w:r>
                    <w:rPr>
                      <w:rFonts w:hint="eastAsia" w:ascii="Times New Roman" w:hAnsi="Times New Roman" w:eastAsia="宋体"/>
                      <w:sz w:val="21"/>
                      <w:szCs w:val="21"/>
                    </w:rPr>
                    <w:t>移动</w:t>
                  </w:r>
                  <w:r>
                    <w:rPr>
                      <w:rFonts w:ascii="Times New Roman" w:hAnsi="Times New Roman" w:eastAsia="宋体"/>
                      <w:sz w:val="21"/>
                      <w:szCs w:val="21"/>
                    </w:rPr>
                    <w:t>声源</w:t>
                  </w:r>
                </w:p>
              </w:tc>
            </w:tr>
          </w:tbl>
          <w:p>
            <w:pPr>
              <w:adjustRightInd w:val="0"/>
              <w:snapToGrid w:val="0"/>
              <w:spacing w:line="360" w:lineRule="auto"/>
              <w:ind w:firstLine="482" w:firstLineChars="200"/>
              <w:jc w:val="left"/>
              <w:rPr>
                <w:b/>
                <w:sz w:val="24"/>
              </w:rPr>
            </w:pPr>
            <w:r>
              <w:rPr>
                <w:b/>
                <w:sz w:val="24"/>
              </w:rPr>
              <w:t>（4）固废</w:t>
            </w:r>
          </w:p>
          <w:p>
            <w:pPr>
              <w:adjustRightInd w:val="0"/>
              <w:snapToGrid w:val="0"/>
              <w:spacing w:line="360" w:lineRule="auto"/>
              <w:ind w:firstLine="480" w:firstLineChars="200"/>
              <w:rPr>
                <w:sz w:val="24"/>
              </w:rPr>
            </w:pPr>
            <w:r>
              <w:rPr>
                <w:sz w:val="24"/>
              </w:rPr>
              <w:t>项目施工期对</w:t>
            </w:r>
            <w:r>
              <w:rPr>
                <w:kern w:val="0"/>
                <w:sz w:val="24"/>
              </w:rPr>
              <w:t>首采面、</w:t>
            </w:r>
            <w:r>
              <w:rPr>
                <w:rFonts w:hint="eastAsia" w:ascii="宋体" w:hAnsi="宋体" w:cs="宋体"/>
                <w:kern w:val="0"/>
                <w:sz w:val="24"/>
              </w:rPr>
              <w:t>截排水沟及雨水沉淀池</w:t>
            </w:r>
            <w:r>
              <w:rPr>
                <w:rFonts w:hint="eastAsia"/>
                <w:kern w:val="0"/>
                <w:sz w:val="24"/>
              </w:rPr>
              <w:t>、</w:t>
            </w:r>
            <w:r>
              <w:rPr>
                <w:kern w:val="0"/>
                <w:sz w:val="24"/>
              </w:rPr>
              <w:t>运输道路</w:t>
            </w:r>
            <w:r>
              <w:rPr>
                <w:sz w:val="24"/>
              </w:rPr>
              <w:t>植被进行清理，会产生一定量的植被，</w:t>
            </w:r>
            <w:r>
              <w:rPr>
                <w:kern w:val="0"/>
                <w:sz w:val="24"/>
              </w:rPr>
              <w:t>植被全部移栽至</w:t>
            </w:r>
            <w:r>
              <w:rPr>
                <w:rFonts w:hint="eastAsia"/>
                <w:kern w:val="0"/>
                <w:sz w:val="24"/>
              </w:rPr>
              <w:t>原项目恢复治理区</w:t>
            </w:r>
            <w:r>
              <w:rPr>
                <w:kern w:val="0"/>
                <w:sz w:val="24"/>
              </w:rPr>
              <w:t>，此阶段不会遗留大量固废。拟建项目施工</w:t>
            </w:r>
            <w:r>
              <w:rPr>
                <w:sz w:val="24"/>
              </w:rPr>
              <w:t>固体废物主要包括弃土石方、生活垃圾</w:t>
            </w:r>
            <w:r>
              <w:rPr>
                <w:rFonts w:hint="eastAsia"/>
                <w:sz w:val="24"/>
              </w:rPr>
              <w:t>和拆除垃圾</w:t>
            </w:r>
            <w:r>
              <w:rPr>
                <w:sz w:val="24"/>
              </w:rPr>
              <w:t>。</w:t>
            </w:r>
          </w:p>
          <w:p>
            <w:pPr>
              <w:adjustRightInd w:val="0"/>
              <w:snapToGrid w:val="0"/>
              <w:spacing w:line="360" w:lineRule="auto"/>
              <w:ind w:firstLine="480" w:firstLineChars="200"/>
              <w:rPr>
                <w:sz w:val="24"/>
              </w:rPr>
            </w:pPr>
            <w:r>
              <w:rPr>
                <w:rFonts w:hint="eastAsia" w:ascii="宋体" w:hAnsi="宋体" w:cs="宋体"/>
                <w:sz w:val="24"/>
              </w:rPr>
              <w:t>①</w:t>
            </w:r>
            <w:r>
              <w:rPr>
                <w:sz w:val="24"/>
              </w:rPr>
              <w:t>弃土石方</w:t>
            </w:r>
          </w:p>
          <w:p>
            <w:pPr>
              <w:adjustRightInd w:val="0"/>
              <w:snapToGrid w:val="0"/>
              <w:spacing w:line="360" w:lineRule="auto"/>
              <w:ind w:firstLine="480" w:firstLineChars="200"/>
              <w:rPr>
                <w:kern w:val="0"/>
                <w:sz w:val="24"/>
              </w:rPr>
            </w:pPr>
            <w:r>
              <w:rPr>
                <w:sz w:val="24"/>
              </w:rPr>
              <w:t>根据项目</w:t>
            </w:r>
            <w:r>
              <w:rPr>
                <w:rFonts w:ascii="宋体" w:hAnsi="宋体"/>
                <w:sz w:val="24"/>
              </w:rPr>
              <w:t>“</w:t>
            </w:r>
            <w:r>
              <w:rPr>
                <w:rFonts w:hint="eastAsia" w:ascii="宋体" w:hAnsi="宋体"/>
                <w:sz w:val="24"/>
              </w:rPr>
              <w:t>开发利用方案</w:t>
            </w:r>
            <w:r>
              <w:rPr>
                <w:rFonts w:ascii="宋体" w:hAnsi="宋体"/>
                <w:sz w:val="24"/>
              </w:rPr>
              <w:t>”</w:t>
            </w:r>
            <w:r>
              <w:rPr>
                <w:sz w:val="24"/>
              </w:rPr>
              <w:t>，</w:t>
            </w:r>
            <w:r>
              <w:rPr>
                <w:rFonts w:hint="eastAsia"/>
                <w:sz w:val="24"/>
              </w:rPr>
              <w:t>施工占地中有</w:t>
            </w:r>
            <w:r>
              <w:rPr>
                <w:sz w:val="24"/>
              </w:rPr>
              <w:t>表土</w:t>
            </w:r>
            <w:r>
              <w:rPr>
                <w:rFonts w:hint="eastAsia"/>
                <w:sz w:val="24"/>
              </w:rPr>
              <w:t>覆盖的面积约1300m</w:t>
            </w:r>
            <w:r>
              <w:rPr>
                <w:rFonts w:hint="eastAsia"/>
                <w:sz w:val="24"/>
                <w:vertAlign w:val="superscript"/>
              </w:rPr>
              <w:t>2</w:t>
            </w:r>
            <w:r>
              <w:rPr>
                <w:rFonts w:hint="eastAsia"/>
                <w:sz w:val="24"/>
              </w:rPr>
              <w:t>，土层平均厚度约1.5</w:t>
            </w:r>
            <w:r>
              <w:rPr>
                <w:sz w:val="24"/>
              </w:rPr>
              <w:t>m</w:t>
            </w:r>
            <w:r>
              <w:rPr>
                <w:rFonts w:hint="eastAsia"/>
                <w:sz w:val="24"/>
              </w:rPr>
              <w:t>，则施工剥离的</w:t>
            </w:r>
            <w:r>
              <w:rPr>
                <w:sz w:val="24"/>
              </w:rPr>
              <w:t>表土</w:t>
            </w:r>
            <w:r>
              <w:rPr>
                <w:rFonts w:hint="eastAsia"/>
                <w:sz w:val="24"/>
              </w:rPr>
              <w:t>约1950</w:t>
            </w:r>
            <w:r>
              <w:rPr>
                <w:sz w:val="24"/>
              </w:rPr>
              <w:t>m</w:t>
            </w:r>
            <w:r>
              <w:rPr>
                <w:sz w:val="24"/>
                <w:vertAlign w:val="superscript"/>
              </w:rPr>
              <w:t>3</w:t>
            </w:r>
            <w:r>
              <w:rPr>
                <w:rFonts w:hint="eastAsia"/>
                <w:sz w:val="24"/>
              </w:rPr>
              <w:t>，</w:t>
            </w:r>
            <w:r>
              <w:rPr>
                <w:sz w:val="24"/>
              </w:rPr>
              <w:t>表土容重约1.4t/m</w:t>
            </w:r>
            <w:r>
              <w:rPr>
                <w:sz w:val="24"/>
                <w:vertAlign w:val="superscript"/>
              </w:rPr>
              <w:t>3</w:t>
            </w:r>
            <w:r>
              <w:rPr>
                <w:sz w:val="24"/>
              </w:rPr>
              <w:t>，则施工期表土清理量约</w:t>
            </w:r>
            <w:r>
              <w:rPr>
                <w:rFonts w:hint="eastAsia"/>
                <w:sz w:val="24"/>
              </w:rPr>
              <w:t>2730</w:t>
            </w:r>
            <w:r>
              <w:rPr>
                <w:sz w:val="24"/>
              </w:rPr>
              <w:t>t</w:t>
            </w:r>
            <w:r>
              <w:rPr>
                <w:rFonts w:hint="eastAsia"/>
                <w:sz w:val="24"/>
              </w:rPr>
              <w:t>，剥离表土全部运至</w:t>
            </w:r>
            <w:r>
              <w:rPr>
                <w:rFonts w:hint="eastAsia"/>
                <w:kern w:val="0"/>
                <w:sz w:val="24"/>
              </w:rPr>
              <w:t>恢复治理区裸岩区域进行覆土。根据</w:t>
            </w:r>
            <w:r>
              <w:rPr>
                <w:rFonts w:ascii="宋体" w:hAnsi="宋体"/>
                <w:sz w:val="24"/>
              </w:rPr>
              <w:t>“</w:t>
            </w:r>
            <w:r>
              <w:rPr>
                <w:rFonts w:hint="eastAsia" w:ascii="宋体" w:hAnsi="宋体"/>
                <w:sz w:val="24"/>
              </w:rPr>
              <w:t>开发利用方案</w:t>
            </w:r>
            <w:r>
              <w:rPr>
                <w:rFonts w:ascii="宋体" w:hAnsi="宋体"/>
                <w:sz w:val="24"/>
              </w:rPr>
              <w:t>”</w:t>
            </w:r>
            <w:r>
              <w:rPr>
                <w:rFonts w:hint="eastAsia" w:ascii="宋体" w:hAnsi="宋体"/>
                <w:sz w:val="24"/>
              </w:rPr>
              <w:t>测算，</w:t>
            </w:r>
            <w:r>
              <w:rPr>
                <w:rFonts w:hint="eastAsia"/>
                <w:kern w:val="0"/>
                <w:sz w:val="24"/>
              </w:rPr>
              <w:t>恢复治理区浮石清理完毕后，裸岩区域不超过3000</w:t>
            </w:r>
            <w:r>
              <w:rPr>
                <w:rFonts w:hint="eastAsia"/>
                <w:sz w:val="24"/>
              </w:rPr>
              <w:t>m</w:t>
            </w:r>
            <w:r>
              <w:rPr>
                <w:rFonts w:hint="eastAsia"/>
                <w:sz w:val="24"/>
                <w:vertAlign w:val="superscript"/>
              </w:rPr>
              <w:t>2</w:t>
            </w:r>
            <w:r>
              <w:rPr>
                <w:rFonts w:hint="eastAsia"/>
                <w:sz w:val="24"/>
              </w:rPr>
              <w:t>，该区域表土回覆后，厚度不低于0.5m，则施工期间剥离表土量可满足，</w:t>
            </w:r>
            <w:r>
              <w:rPr>
                <w:rFonts w:hint="eastAsia"/>
                <w:kern w:val="0"/>
                <w:sz w:val="24"/>
              </w:rPr>
              <w:t>恢复治理区回覆所需，无需对外客土。</w:t>
            </w:r>
          </w:p>
          <w:p>
            <w:pPr>
              <w:adjustRightInd w:val="0"/>
              <w:snapToGrid w:val="0"/>
              <w:spacing w:line="360" w:lineRule="auto"/>
              <w:ind w:firstLine="480" w:firstLineChars="200"/>
              <w:rPr>
                <w:color w:val="0000FF"/>
                <w:kern w:val="0"/>
                <w:sz w:val="24"/>
              </w:rPr>
            </w:pPr>
            <w:r>
              <w:rPr>
                <w:rFonts w:hint="eastAsia"/>
                <w:kern w:val="0"/>
                <w:sz w:val="24"/>
              </w:rPr>
              <w:t>另根据</w:t>
            </w:r>
            <w:r>
              <w:rPr>
                <w:sz w:val="24"/>
              </w:rPr>
              <w:t>项目</w:t>
            </w:r>
            <w:r>
              <w:rPr>
                <w:rFonts w:ascii="宋体" w:hAnsi="宋体"/>
                <w:sz w:val="24"/>
              </w:rPr>
              <w:t>“</w:t>
            </w:r>
            <w:r>
              <w:rPr>
                <w:rFonts w:hint="eastAsia" w:ascii="宋体" w:hAnsi="宋体"/>
                <w:sz w:val="24"/>
              </w:rPr>
              <w:t>开发利用方案</w:t>
            </w:r>
            <w:r>
              <w:rPr>
                <w:rFonts w:ascii="宋体" w:hAnsi="宋体"/>
                <w:sz w:val="24"/>
              </w:rPr>
              <w:t>”</w:t>
            </w:r>
            <w:r>
              <w:rPr>
                <w:sz w:val="24"/>
              </w:rPr>
              <w:t>，</w:t>
            </w:r>
            <w:r>
              <w:rPr>
                <w:rFonts w:hint="eastAsia"/>
                <w:kern w:val="0"/>
                <w:sz w:val="24"/>
              </w:rPr>
              <w:t>恢复治理区浮石清理量约3512</w:t>
            </w:r>
            <w:r>
              <w:rPr>
                <w:sz w:val="24"/>
              </w:rPr>
              <w:t>m</w:t>
            </w:r>
            <w:r>
              <w:rPr>
                <w:sz w:val="24"/>
                <w:vertAlign w:val="superscript"/>
              </w:rPr>
              <w:t>3</w:t>
            </w:r>
            <w:r>
              <w:rPr>
                <w:rFonts w:hint="eastAsia"/>
                <w:sz w:val="24"/>
              </w:rPr>
              <w:t>；拟建项目首采面面积</w:t>
            </w:r>
            <w:r>
              <w:rPr>
                <w:rFonts w:hint="eastAsia"/>
                <w:kern w:val="0"/>
                <w:sz w:val="24"/>
              </w:rPr>
              <w:t>6416m</w:t>
            </w:r>
            <w:r>
              <w:rPr>
                <w:rFonts w:hint="eastAsia"/>
                <w:kern w:val="0"/>
                <w:sz w:val="24"/>
                <w:vertAlign w:val="superscript"/>
              </w:rPr>
              <w:t>2</w:t>
            </w:r>
            <w:r>
              <w:rPr>
                <w:rFonts w:hint="eastAsia"/>
                <w:kern w:val="0"/>
                <w:sz w:val="24"/>
              </w:rPr>
              <w:t>，平均资源厚度5.1m，则施工期间首采面剥顶产生废石32722</w:t>
            </w:r>
            <w:r>
              <w:rPr>
                <w:sz w:val="24"/>
              </w:rPr>
              <w:t>m</w:t>
            </w:r>
            <w:r>
              <w:rPr>
                <w:sz w:val="24"/>
                <w:vertAlign w:val="superscript"/>
              </w:rPr>
              <w:t>3</w:t>
            </w:r>
            <w:r>
              <w:rPr>
                <w:rFonts w:hint="eastAsia"/>
                <w:sz w:val="24"/>
              </w:rPr>
              <w:t>；此外，场内运输道路开拓、截排水沟、雨水沉淀池开挖也会产生少量废石，合计约900</w:t>
            </w:r>
            <w:r>
              <w:rPr>
                <w:sz w:val="24"/>
              </w:rPr>
              <w:t>m</w:t>
            </w:r>
            <w:r>
              <w:rPr>
                <w:sz w:val="24"/>
                <w:vertAlign w:val="superscript"/>
              </w:rPr>
              <w:t>3</w:t>
            </w:r>
            <w:r>
              <w:rPr>
                <w:rFonts w:hint="eastAsia"/>
                <w:sz w:val="24"/>
              </w:rPr>
              <w:t>。由此，施工期间废石产生总量为</w:t>
            </w:r>
            <w:r>
              <w:rPr>
                <w:rFonts w:hint="eastAsia"/>
                <w:color w:val="0000FF"/>
                <w:sz w:val="24"/>
              </w:rPr>
              <w:t>37134</w:t>
            </w:r>
            <w:r>
              <w:rPr>
                <w:sz w:val="24"/>
              </w:rPr>
              <w:t>m</w:t>
            </w:r>
            <w:r>
              <w:rPr>
                <w:sz w:val="24"/>
                <w:vertAlign w:val="superscript"/>
              </w:rPr>
              <w:t>3</w:t>
            </w:r>
            <w:r>
              <w:rPr>
                <w:sz w:val="24"/>
              </w:rPr>
              <w:t>，</w:t>
            </w:r>
            <w:r>
              <w:rPr>
                <w:rFonts w:hint="eastAsia"/>
                <w:sz w:val="24"/>
              </w:rPr>
              <w:t>废石</w:t>
            </w:r>
            <w:r>
              <w:rPr>
                <w:sz w:val="24"/>
              </w:rPr>
              <w:t>容重约</w:t>
            </w:r>
            <w:r>
              <w:rPr>
                <w:rFonts w:hint="eastAsia"/>
                <w:sz w:val="24"/>
              </w:rPr>
              <w:t>2.7</w:t>
            </w:r>
            <w:r>
              <w:rPr>
                <w:sz w:val="24"/>
              </w:rPr>
              <w:t>t/m</w:t>
            </w:r>
            <w:r>
              <w:rPr>
                <w:sz w:val="24"/>
                <w:vertAlign w:val="superscript"/>
              </w:rPr>
              <w:t>3</w:t>
            </w:r>
            <w:r>
              <w:rPr>
                <w:sz w:val="24"/>
              </w:rPr>
              <w:t>，则</w:t>
            </w:r>
            <w:r>
              <w:rPr>
                <w:rFonts w:hint="eastAsia"/>
                <w:sz w:val="24"/>
              </w:rPr>
              <w:t>废石产生总质量</w:t>
            </w:r>
            <w:r>
              <w:rPr>
                <w:sz w:val="24"/>
              </w:rPr>
              <w:t>约</w:t>
            </w:r>
            <w:r>
              <w:rPr>
                <w:rFonts w:hint="eastAsia"/>
                <w:color w:val="0000FF"/>
                <w:sz w:val="24"/>
              </w:rPr>
              <w:t>100262</w:t>
            </w:r>
            <w:r>
              <w:rPr>
                <w:sz w:val="24"/>
              </w:rPr>
              <w:t>t</w:t>
            </w:r>
            <w:r>
              <w:rPr>
                <w:rFonts w:hint="eastAsia"/>
                <w:sz w:val="24"/>
              </w:rPr>
              <w:t>。项目施工期间产生的废石</w:t>
            </w:r>
            <w:r>
              <w:rPr>
                <w:rFonts w:hint="eastAsia"/>
                <w:color w:val="0000FF"/>
                <w:sz w:val="24"/>
              </w:rPr>
              <w:t>也为石灰石，可直接原矿外售作堡坎块石，或码垛暂存于工业广场仓库内，待运营期加工成建筑砂碎石后外售。</w:t>
            </w:r>
          </w:p>
          <w:p>
            <w:pPr>
              <w:adjustRightInd w:val="0"/>
              <w:snapToGrid w:val="0"/>
              <w:spacing w:line="360" w:lineRule="auto"/>
              <w:ind w:firstLine="480" w:firstLineChars="200"/>
              <w:rPr>
                <w:sz w:val="24"/>
              </w:rPr>
            </w:pPr>
            <w:r>
              <w:rPr>
                <w:rFonts w:hint="eastAsia" w:ascii="宋体" w:hAnsi="宋体" w:cs="宋体"/>
                <w:sz w:val="24"/>
              </w:rPr>
              <w:t>②</w:t>
            </w:r>
            <w:r>
              <w:rPr>
                <w:sz w:val="24"/>
              </w:rPr>
              <w:t>生活垃圾</w:t>
            </w:r>
          </w:p>
          <w:p>
            <w:pPr>
              <w:adjustRightInd w:val="0"/>
              <w:snapToGrid w:val="0"/>
              <w:spacing w:line="360" w:lineRule="auto"/>
              <w:ind w:firstLine="480" w:firstLineChars="200"/>
              <w:rPr>
                <w:sz w:val="24"/>
              </w:rPr>
            </w:pPr>
            <w:r>
              <w:rPr>
                <w:sz w:val="24"/>
              </w:rPr>
              <w:t>项目施工营区生活垃圾以0.5kg/人•d计，施工人员以</w:t>
            </w:r>
            <w:r>
              <w:rPr>
                <w:rFonts w:hint="eastAsia"/>
                <w:sz w:val="24"/>
              </w:rPr>
              <w:t>15</w:t>
            </w:r>
            <w:r>
              <w:rPr>
                <w:sz w:val="24"/>
              </w:rPr>
              <w:t>人计，则生活垃圾排放量约为</w:t>
            </w:r>
            <w:r>
              <w:rPr>
                <w:rFonts w:hint="eastAsia"/>
                <w:sz w:val="24"/>
              </w:rPr>
              <w:t>7.5</w:t>
            </w:r>
            <w:r>
              <w:rPr>
                <w:sz w:val="24"/>
              </w:rPr>
              <w:t>kg/d，施工时间为</w:t>
            </w:r>
            <w:r>
              <w:rPr>
                <w:rFonts w:hint="eastAsia"/>
                <w:sz w:val="24"/>
              </w:rPr>
              <w:t>6</w:t>
            </w:r>
            <w:r>
              <w:rPr>
                <w:sz w:val="24"/>
              </w:rPr>
              <w:t>个月，共产生生活垃圾</w:t>
            </w:r>
            <w:r>
              <w:rPr>
                <w:rFonts w:hint="eastAsia"/>
                <w:sz w:val="24"/>
              </w:rPr>
              <w:t>1.35</w:t>
            </w:r>
            <w:r>
              <w:rPr>
                <w:sz w:val="24"/>
              </w:rPr>
              <w:t>t。</w:t>
            </w:r>
          </w:p>
          <w:p>
            <w:pPr>
              <w:adjustRightInd w:val="0"/>
              <w:snapToGrid w:val="0"/>
              <w:spacing w:line="360" w:lineRule="auto"/>
              <w:ind w:firstLine="480" w:firstLineChars="200"/>
              <w:rPr>
                <w:sz w:val="24"/>
              </w:rPr>
            </w:pPr>
            <w:r>
              <w:rPr>
                <w:rFonts w:hint="eastAsia"/>
                <w:sz w:val="24"/>
              </w:rPr>
              <w:t>③拆除垃圾</w:t>
            </w:r>
          </w:p>
          <w:p>
            <w:pPr>
              <w:adjustRightInd w:val="0"/>
              <w:snapToGrid w:val="0"/>
              <w:spacing w:line="360" w:lineRule="auto"/>
              <w:ind w:firstLine="480" w:firstLineChars="200"/>
              <w:rPr>
                <w:sz w:val="24"/>
              </w:rPr>
            </w:pPr>
            <w:r>
              <w:rPr>
                <w:rFonts w:hint="eastAsia"/>
                <w:sz w:val="24"/>
              </w:rPr>
              <w:t>施工期间将对原项目破碎站</w:t>
            </w:r>
            <w:r>
              <w:rPr>
                <w:rFonts w:hint="eastAsia"/>
                <w:color w:val="0000FF"/>
                <w:sz w:val="24"/>
              </w:rPr>
              <w:t>主要生产</w:t>
            </w:r>
            <w:r>
              <w:rPr>
                <w:rFonts w:hint="eastAsia"/>
                <w:sz w:val="24"/>
              </w:rPr>
              <w:t>设备</w:t>
            </w:r>
            <w:r>
              <w:rPr>
                <w:rFonts w:hint="eastAsia"/>
                <w:color w:val="0000FF"/>
                <w:sz w:val="24"/>
              </w:rPr>
              <w:t>（破碎机、振动筛、传送带）</w:t>
            </w:r>
            <w:r>
              <w:rPr>
                <w:rFonts w:hint="eastAsia"/>
                <w:sz w:val="24"/>
              </w:rPr>
              <w:t>进行拆除置换，对破损厂房实施拆除更换，根据建设单位资料统计，拆除淘汰的废旧设备、废彩钢板合计约</w:t>
            </w:r>
            <w:r>
              <w:rPr>
                <w:rFonts w:hint="eastAsia"/>
                <w:color w:val="0000FF"/>
                <w:sz w:val="24"/>
              </w:rPr>
              <w:t>51.4</w:t>
            </w:r>
            <w:r>
              <w:rPr>
                <w:rFonts w:hint="eastAsia"/>
                <w:sz w:val="24"/>
              </w:rPr>
              <w:t>t，可全部外售至物资回收公司。</w:t>
            </w:r>
          </w:p>
          <w:p>
            <w:pPr>
              <w:adjustRightInd w:val="0"/>
              <w:snapToGrid w:val="0"/>
              <w:spacing w:line="360" w:lineRule="auto"/>
              <w:ind w:firstLine="482" w:firstLineChars="200"/>
              <w:jc w:val="left"/>
              <w:rPr>
                <w:b/>
                <w:sz w:val="24"/>
              </w:rPr>
            </w:pPr>
            <w:r>
              <w:rPr>
                <w:b/>
                <w:sz w:val="24"/>
              </w:rPr>
              <w:t>（5）生态影响</w:t>
            </w:r>
          </w:p>
          <w:p>
            <w:pPr>
              <w:adjustRightInd w:val="0"/>
              <w:snapToGrid w:val="0"/>
              <w:spacing w:line="360" w:lineRule="auto"/>
              <w:ind w:firstLine="480" w:firstLineChars="200"/>
              <w:rPr>
                <w:sz w:val="24"/>
              </w:rPr>
            </w:pPr>
            <w:r>
              <w:rPr>
                <w:rFonts w:hint="eastAsia"/>
                <w:sz w:val="24"/>
              </w:rPr>
              <w:t>拟建</w:t>
            </w:r>
            <w:r>
              <w:rPr>
                <w:sz w:val="24"/>
              </w:rPr>
              <w:t>项目</w:t>
            </w:r>
            <w:r>
              <w:rPr>
                <w:rFonts w:hint="eastAsia"/>
                <w:sz w:val="24"/>
              </w:rPr>
              <w:t>主要</w:t>
            </w:r>
            <w:r>
              <w:rPr>
                <w:sz w:val="24"/>
              </w:rPr>
              <w:t>工程内容为</w:t>
            </w:r>
            <w:r>
              <w:rPr>
                <w:rFonts w:hint="eastAsia" w:ascii="宋体" w:hAnsi="宋体" w:cs="宋体"/>
                <w:kern w:val="0"/>
                <w:sz w:val="24"/>
              </w:rPr>
              <w:t>截排水沟及雨水沉淀池的修建、</w:t>
            </w:r>
            <w:r>
              <w:rPr>
                <w:rFonts w:hint="eastAsia"/>
                <w:sz w:val="24"/>
              </w:rPr>
              <w:t>厂房搭建</w:t>
            </w:r>
            <w:r>
              <w:rPr>
                <w:rFonts w:hint="eastAsia" w:ascii="宋体" w:hAnsi="宋体" w:cs="宋体"/>
                <w:kern w:val="0"/>
                <w:sz w:val="24"/>
              </w:rPr>
              <w:t>、场内</w:t>
            </w:r>
            <w:r>
              <w:rPr>
                <w:rFonts w:hint="eastAsia"/>
                <w:sz w:val="24"/>
              </w:rPr>
              <w:t>运输道路的开拓、首采面的剥顶、恢复治理区迹地修复，</w:t>
            </w:r>
            <w:r>
              <w:rPr>
                <w:sz w:val="24"/>
              </w:rPr>
              <w:t>施工期对生态的影响因素为工程施工占地</w:t>
            </w:r>
            <w:r>
              <w:rPr>
                <w:rFonts w:hint="eastAsia"/>
                <w:sz w:val="24"/>
              </w:rPr>
              <w:t>、水土流失</w:t>
            </w:r>
            <w:r>
              <w:rPr>
                <w:sz w:val="24"/>
              </w:rPr>
              <w:t>。</w:t>
            </w:r>
          </w:p>
          <w:p>
            <w:pPr>
              <w:adjustRightInd w:val="0"/>
              <w:snapToGrid w:val="0"/>
              <w:spacing w:line="360" w:lineRule="auto"/>
              <w:ind w:firstLine="480" w:firstLineChars="200"/>
              <w:rPr>
                <w:sz w:val="24"/>
              </w:rPr>
            </w:pPr>
            <w:r>
              <w:rPr>
                <w:rFonts w:hint="eastAsia"/>
                <w:sz w:val="24"/>
              </w:rPr>
              <w:t>项目</w:t>
            </w:r>
            <w:r>
              <w:rPr>
                <w:rFonts w:hint="eastAsia"/>
                <w:kern w:val="0"/>
                <w:sz w:val="24"/>
              </w:rPr>
              <w:t>截排水沟、沉淀池及场内运输道路新开拓段</w:t>
            </w:r>
            <w:r>
              <w:rPr>
                <w:rFonts w:hint="eastAsia"/>
                <w:sz w:val="24"/>
              </w:rPr>
              <w:t>施工占地大多为未开发用地，其施工对地表的影响主要是开挖、回填等作业对原地貌的扰动，造成占地范围内植被损失，也将产生松散表土层，在地表径流的冲刷下易产生水土流失，同时施工临时堆放土方若处置不当，也易引发水土流失；相较整个厂区而言</w:t>
            </w:r>
            <w:r>
              <w:rPr>
                <w:rFonts w:hint="eastAsia"/>
                <w:kern w:val="0"/>
                <w:sz w:val="24"/>
              </w:rPr>
              <w:t>截排水沟、沉淀池及场内运输道路新开拓段施工</w:t>
            </w:r>
            <w:r>
              <w:rPr>
                <w:rFonts w:hint="eastAsia"/>
                <w:sz w:val="24"/>
              </w:rPr>
              <w:t>占地占比极小，</w:t>
            </w:r>
            <w:r>
              <w:rPr>
                <w:rFonts w:hint="eastAsia"/>
                <w:kern w:val="0"/>
                <w:sz w:val="24"/>
              </w:rPr>
              <w:t>工业广场、大部分运输道路、排土场及首采面的施工均局限在历史施工范围之内，其</w:t>
            </w:r>
            <w:r>
              <w:rPr>
                <w:rFonts w:hint="eastAsia"/>
                <w:sz w:val="24"/>
              </w:rPr>
              <w:t>占地</w:t>
            </w:r>
            <w:r>
              <w:rPr>
                <w:rFonts w:hint="eastAsia"/>
                <w:kern w:val="0"/>
                <w:sz w:val="24"/>
              </w:rPr>
              <w:t>影响可控，其中矿区外运输道路硬化施工后可显著减少占地区域</w:t>
            </w:r>
            <w:r>
              <w:rPr>
                <w:rFonts w:hint="eastAsia"/>
                <w:sz w:val="24"/>
              </w:rPr>
              <w:t>水土流失</w:t>
            </w:r>
            <w:r>
              <w:rPr>
                <w:rFonts w:hint="eastAsia"/>
                <w:kern w:val="0"/>
                <w:sz w:val="24"/>
              </w:rPr>
              <w:t>；</w:t>
            </w:r>
            <w:r>
              <w:rPr>
                <w:rFonts w:hint="eastAsia"/>
                <w:sz w:val="24"/>
              </w:rPr>
              <w:t>恢复治理区的</w:t>
            </w:r>
            <w:r>
              <w:rPr>
                <w:rFonts w:hint="eastAsia"/>
                <w:kern w:val="0"/>
                <w:sz w:val="24"/>
              </w:rPr>
              <w:t>迹地清理也对区域生态而言具备生态正效应</w:t>
            </w:r>
            <w:r>
              <w:rPr>
                <w:sz w:val="24"/>
              </w:rPr>
              <w:t>。</w:t>
            </w:r>
          </w:p>
          <w:p>
            <w:pPr>
              <w:adjustRightInd w:val="0"/>
              <w:snapToGrid w:val="0"/>
              <w:spacing w:line="360" w:lineRule="auto"/>
              <w:ind w:firstLine="562" w:firstLineChars="200"/>
              <w:rPr>
                <w:b/>
                <w:sz w:val="28"/>
                <w:szCs w:val="28"/>
              </w:rPr>
            </w:pPr>
            <w:r>
              <w:rPr>
                <w:b/>
                <w:sz w:val="28"/>
                <w:szCs w:val="28"/>
              </w:rPr>
              <w:t>4.3、施工期环境影响分析</w:t>
            </w:r>
          </w:p>
          <w:p>
            <w:pPr>
              <w:adjustRightInd w:val="0"/>
              <w:snapToGrid w:val="0"/>
              <w:spacing w:line="360" w:lineRule="auto"/>
              <w:ind w:firstLine="482" w:firstLineChars="200"/>
              <w:rPr>
                <w:b/>
                <w:sz w:val="24"/>
              </w:rPr>
            </w:pPr>
            <w:r>
              <w:rPr>
                <w:b/>
                <w:sz w:val="24"/>
              </w:rPr>
              <w:t>（1）大气环境</w:t>
            </w:r>
          </w:p>
          <w:p>
            <w:pPr>
              <w:adjustRightInd w:val="0"/>
              <w:snapToGrid w:val="0"/>
              <w:spacing w:line="360" w:lineRule="auto"/>
              <w:ind w:firstLine="480" w:firstLineChars="200"/>
              <w:rPr>
                <w:sz w:val="24"/>
              </w:rPr>
            </w:pPr>
            <w:r>
              <w:rPr>
                <w:sz w:val="24"/>
              </w:rPr>
              <w:t>1）施工扬尘</w:t>
            </w:r>
          </w:p>
          <w:p>
            <w:pPr>
              <w:adjustRightInd w:val="0"/>
              <w:snapToGrid w:val="0"/>
              <w:spacing w:line="360" w:lineRule="auto"/>
              <w:ind w:firstLine="480" w:firstLineChars="200"/>
              <w:rPr>
                <w:sz w:val="24"/>
              </w:rPr>
            </w:pPr>
            <w:r>
              <w:rPr>
                <w:sz w:val="24"/>
              </w:rPr>
              <w:t>针对场地施工粉尘，根据</w:t>
            </w:r>
            <w:r>
              <w:rPr>
                <w:rFonts w:hint="eastAsia"/>
                <w:sz w:val="24"/>
              </w:rPr>
              <w:t>低山</w:t>
            </w:r>
            <w:r>
              <w:rPr>
                <w:sz w:val="24"/>
              </w:rPr>
              <w:t>地区类似工程项目实测资料，在天气晴朗、场地未洒水的情况下，进行土石方装卸、运输及施工作业时，在下风向（风速为2.4m/s）50~150m范围内，TSP浓度可达5.0~20.0mg/m</w:t>
            </w:r>
            <w:r>
              <w:rPr>
                <w:sz w:val="24"/>
                <w:vertAlign w:val="superscript"/>
              </w:rPr>
              <w:t>3</w:t>
            </w:r>
            <w:r>
              <w:rPr>
                <w:sz w:val="24"/>
              </w:rPr>
              <w:t>；当进行土方装卸、运输和混合作业时，在下风向（风速为1.2m/s）50~150m范围内，TSP浓度可达0.8~9.0mg/m</w:t>
            </w:r>
            <w:r>
              <w:rPr>
                <w:sz w:val="24"/>
                <w:vertAlign w:val="superscript"/>
              </w:rPr>
              <w:t>3</w:t>
            </w:r>
            <w:r>
              <w:rPr>
                <w:sz w:val="24"/>
              </w:rPr>
              <w:t>，表明施工场地的粉尘会对周围大气环境产生一定影响。</w:t>
            </w:r>
          </w:p>
          <w:p>
            <w:pPr>
              <w:adjustRightInd w:val="0"/>
              <w:snapToGrid w:val="0"/>
              <w:spacing w:line="360" w:lineRule="auto"/>
              <w:ind w:firstLine="480" w:firstLineChars="200"/>
              <w:rPr>
                <w:sz w:val="24"/>
              </w:rPr>
            </w:pPr>
            <w:r>
              <w:rPr>
                <w:sz w:val="24"/>
              </w:rPr>
              <w:t>施工过程中，每天对运输道路和积尘较大的施工区进行4~5次的洒水措施，可使施工工地周围环境空气中的扬尘量减少80%以上，有效减小扬尘对项目附近环境空气的影响。因此，在施工过程中，除加强施工规范管理外，应加强洒水防尘工作，减少施工扬尘对环境空气的不良影响。施工期扬尘对环境空气的影响是暂时的，随着施工的结束而消失，对周边大气影响较小。</w:t>
            </w:r>
          </w:p>
          <w:p>
            <w:pPr>
              <w:adjustRightInd w:val="0"/>
              <w:snapToGrid w:val="0"/>
              <w:spacing w:line="360" w:lineRule="auto"/>
              <w:ind w:firstLine="480" w:firstLineChars="200"/>
              <w:rPr>
                <w:sz w:val="24"/>
              </w:rPr>
            </w:pPr>
            <w:r>
              <w:rPr>
                <w:sz w:val="24"/>
              </w:rPr>
              <w:t>2）施工机械尾气</w:t>
            </w:r>
          </w:p>
          <w:p>
            <w:pPr>
              <w:adjustRightInd w:val="0"/>
              <w:snapToGrid w:val="0"/>
              <w:spacing w:line="360" w:lineRule="auto"/>
              <w:ind w:firstLine="480" w:firstLineChars="200"/>
              <w:rPr>
                <w:sz w:val="24"/>
              </w:rPr>
            </w:pPr>
            <w:r>
              <w:rPr>
                <w:sz w:val="24"/>
              </w:rPr>
              <w:t>燃油动力机械在作业时产生一定的燃油废气，污染物主要为CO、NOx和碳氢化合物等。但其为间断作业且数量不多，拟建项目施工期短，施工强度不大，施工机械数量小，施工过程所使用机械设备的尾气污染物排放量很小，因此，排放的污染物仅对施工区较近的环境空气产生很小程度的影响。</w:t>
            </w:r>
          </w:p>
          <w:p>
            <w:pPr>
              <w:adjustRightInd w:val="0"/>
              <w:snapToGrid w:val="0"/>
              <w:spacing w:line="360" w:lineRule="auto"/>
              <w:ind w:firstLine="482" w:firstLineChars="200"/>
              <w:rPr>
                <w:b/>
                <w:sz w:val="24"/>
              </w:rPr>
            </w:pPr>
            <w:r>
              <w:rPr>
                <w:b/>
                <w:sz w:val="24"/>
              </w:rPr>
              <w:t>（2）地表水环境</w:t>
            </w:r>
          </w:p>
          <w:p>
            <w:pPr>
              <w:adjustRightInd w:val="0"/>
              <w:snapToGrid w:val="0"/>
              <w:spacing w:line="360" w:lineRule="auto"/>
              <w:ind w:firstLine="480" w:firstLineChars="200"/>
              <w:rPr>
                <w:sz w:val="24"/>
              </w:rPr>
            </w:pPr>
            <w:r>
              <w:rPr>
                <w:rFonts w:hint="eastAsia" w:ascii="宋体" w:hAnsi="宋体" w:cs="宋体"/>
                <w:sz w:val="24"/>
              </w:rPr>
              <w:t>①</w:t>
            </w:r>
            <w:r>
              <w:rPr>
                <w:sz w:val="24"/>
              </w:rPr>
              <w:t>施工作业废水</w:t>
            </w:r>
          </w:p>
          <w:p>
            <w:pPr>
              <w:adjustRightInd w:val="0"/>
              <w:snapToGrid w:val="0"/>
              <w:spacing w:line="360" w:lineRule="auto"/>
              <w:ind w:firstLine="480" w:firstLineChars="200"/>
              <w:rPr>
                <w:sz w:val="24"/>
              </w:rPr>
            </w:pPr>
            <w:r>
              <w:rPr>
                <w:sz w:val="24"/>
              </w:rPr>
              <w:t>施工机具、车辆冲洗废水产生量约0.5m</w:t>
            </w:r>
            <w:r>
              <w:rPr>
                <w:sz w:val="24"/>
                <w:vertAlign w:val="superscript"/>
              </w:rPr>
              <w:t>3</w:t>
            </w:r>
            <w:r>
              <w:rPr>
                <w:sz w:val="24"/>
              </w:rPr>
              <w:t>/d（总计</w:t>
            </w:r>
            <w:r>
              <w:rPr>
                <w:rFonts w:hint="eastAsia"/>
                <w:sz w:val="24"/>
              </w:rPr>
              <w:t>90</w:t>
            </w:r>
            <w:r>
              <w:rPr>
                <w:sz w:val="24"/>
              </w:rPr>
              <w:t>m</w:t>
            </w:r>
            <w:r>
              <w:rPr>
                <w:sz w:val="24"/>
                <w:vertAlign w:val="superscript"/>
              </w:rPr>
              <w:t>3</w:t>
            </w:r>
            <w:r>
              <w:rPr>
                <w:sz w:val="24"/>
              </w:rPr>
              <w:t>）</w:t>
            </w:r>
            <w:r>
              <w:rPr>
                <w:rFonts w:hint="eastAsia"/>
                <w:sz w:val="24"/>
              </w:rPr>
              <w:t>，项目在地磅称东侧</w:t>
            </w:r>
            <w:r>
              <w:rPr>
                <w:sz w:val="24"/>
              </w:rPr>
              <w:t>设置1个</w:t>
            </w:r>
            <w:r>
              <w:rPr>
                <w:rFonts w:hint="eastAsia"/>
                <w:sz w:val="24"/>
              </w:rPr>
              <w:t>20</w:t>
            </w:r>
            <w:r>
              <w:rPr>
                <w:sz w:val="24"/>
              </w:rPr>
              <w:t>m</w:t>
            </w:r>
            <w:r>
              <w:rPr>
                <w:sz w:val="24"/>
                <w:vertAlign w:val="superscript"/>
              </w:rPr>
              <w:t>3</w:t>
            </w:r>
            <w:r>
              <w:rPr>
                <w:sz w:val="24"/>
              </w:rPr>
              <w:t>的</w:t>
            </w:r>
            <w:r>
              <w:rPr>
                <w:rFonts w:ascii="宋体" w:hAnsi="宋体"/>
                <w:sz w:val="24"/>
              </w:rPr>
              <w:t>“</w:t>
            </w:r>
            <w:r>
              <w:rPr>
                <w:sz w:val="24"/>
              </w:rPr>
              <w:t>U型</w:t>
            </w:r>
            <w:r>
              <w:rPr>
                <w:rFonts w:ascii="宋体" w:hAnsi="宋体"/>
                <w:sz w:val="24"/>
              </w:rPr>
              <w:t>”</w:t>
            </w:r>
            <w:r>
              <w:rPr>
                <w:sz w:val="24"/>
              </w:rPr>
              <w:t>冲洗池，施工机具、车辆</w:t>
            </w:r>
            <w:r>
              <w:rPr>
                <w:rFonts w:hint="eastAsia"/>
                <w:sz w:val="24"/>
              </w:rPr>
              <w:t>于</w:t>
            </w:r>
            <w:r>
              <w:rPr>
                <w:rFonts w:ascii="宋体" w:hAnsi="宋体"/>
                <w:sz w:val="24"/>
              </w:rPr>
              <w:t>“</w:t>
            </w:r>
            <w:r>
              <w:rPr>
                <w:sz w:val="24"/>
              </w:rPr>
              <w:t>U型</w:t>
            </w:r>
            <w:r>
              <w:rPr>
                <w:rFonts w:ascii="宋体" w:hAnsi="宋体"/>
                <w:sz w:val="24"/>
              </w:rPr>
              <w:t>”</w:t>
            </w:r>
            <w:r>
              <w:rPr>
                <w:sz w:val="24"/>
              </w:rPr>
              <w:t>冲洗池</w:t>
            </w:r>
            <w:r>
              <w:rPr>
                <w:bCs/>
                <w:spacing w:val="10"/>
                <w:sz w:val="24"/>
              </w:rPr>
              <w:t>内定期冲洗，</w:t>
            </w:r>
            <w:r>
              <w:rPr>
                <w:sz w:val="24"/>
              </w:rPr>
              <w:t>冲洗废水经沉淀处理后循环利用，不外排，对周边地表水环境影响较小。</w:t>
            </w:r>
          </w:p>
          <w:p>
            <w:pPr>
              <w:adjustRightInd w:val="0"/>
              <w:snapToGrid w:val="0"/>
              <w:spacing w:line="360" w:lineRule="auto"/>
              <w:ind w:firstLine="480" w:firstLineChars="200"/>
              <w:rPr>
                <w:sz w:val="24"/>
              </w:rPr>
            </w:pPr>
            <w:r>
              <w:rPr>
                <w:rFonts w:hint="eastAsia" w:ascii="宋体" w:hAnsi="宋体" w:cs="宋体"/>
                <w:sz w:val="24"/>
              </w:rPr>
              <w:t>②</w:t>
            </w:r>
            <w:r>
              <w:rPr>
                <w:sz w:val="24"/>
              </w:rPr>
              <w:t>施工人员生活污水</w:t>
            </w:r>
          </w:p>
          <w:p>
            <w:pPr>
              <w:adjustRightInd w:val="0"/>
              <w:snapToGrid w:val="0"/>
              <w:spacing w:line="360" w:lineRule="auto"/>
              <w:ind w:firstLine="480" w:firstLineChars="200"/>
              <w:rPr>
                <w:sz w:val="24"/>
              </w:rPr>
            </w:pPr>
            <w:r>
              <w:rPr>
                <w:sz w:val="24"/>
              </w:rPr>
              <w:t>施工期生活污水产生量为</w:t>
            </w:r>
            <w:r>
              <w:rPr>
                <w:rFonts w:hint="eastAsia"/>
                <w:sz w:val="24"/>
              </w:rPr>
              <w:t>0.81</w:t>
            </w:r>
            <w:r>
              <w:rPr>
                <w:sz w:val="24"/>
              </w:rPr>
              <w:t>m</w:t>
            </w:r>
            <w:r>
              <w:rPr>
                <w:sz w:val="24"/>
                <w:vertAlign w:val="superscript"/>
              </w:rPr>
              <w:t>3</w:t>
            </w:r>
            <w:r>
              <w:rPr>
                <w:sz w:val="24"/>
              </w:rPr>
              <w:t>/d（总计</w:t>
            </w:r>
            <w:r>
              <w:rPr>
                <w:rFonts w:hint="eastAsia"/>
                <w:sz w:val="24"/>
              </w:rPr>
              <w:t>145.8</w:t>
            </w:r>
            <w:r>
              <w:rPr>
                <w:sz w:val="24"/>
              </w:rPr>
              <w:t>m</w:t>
            </w:r>
            <w:r>
              <w:rPr>
                <w:sz w:val="24"/>
                <w:vertAlign w:val="superscript"/>
              </w:rPr>
              <w:t>3</w:t>
            </w:r>
            <w:r>
              <w:rPr>
                <w:sz w:val="24"/>
              </w:rPr>
              <w:t>）。</w:t>
            </w:r>
            <w:r>
              <w:rPr>
                <w:rFonts w:hint="eastAsia"/>
                <w:sz w:val="24"/>
              </w:rPr>
              <w:t>项目为建设单位自行施工，相较开采期间，施工期人数也未增加，将办公楼直接作为施工期间的施工营地，则</w:t>
            </w:r>
            <w:r>
              <w:rPr>
                <w:sz w:val="24"/>
              </w:rPr>
              <w:t>施工人员生活污水经</w:t>
            </w:r>
            <w:r>
              <w:rPr>
                <w:rFonts w:hint="eastAsia"/>
                <w:sz w:val="24"/>
              </w:rPr>
              <w:t>办公楼东侧4m处已建的</w:t>
            </w:r>
            <w:r>
              <w:rPr>
                <w:sz w:val="24"/>
              </w:rPr>
              <w:t>30m</w:t>
            </w:r>
            <w:r>
              <w:rPr>
                <w:sz w:val="24"/>
                <w:vertAlign w:val="superscript"/>
              </w:rPr>
              <w:t>3</w:t>
            </w:r>
            <w:r>
              <w:rPr>
                <w:rFonts w:hint="eastAsia"/>
                <w:sz w:val="24"/>
              </w:rPr>
              <w:t>化粪池</w:t>
            </w:r>
            <w:r>
              <w:rPr>
                <w:sz w:val="24"/>
              </w:rPr>
              <w:t>收集后，用作农肥，对周边地表水环境影响较小。</w:t>
            </w:r>
          </w:p>
          <w:p>
            <w:pPr>
              <w:adjustRightInd w:val="0"/>
              <w:snapToGrid w:val="0"/>
              <w:spacing w:line="360" w:lineRule="auto"/>
              <w:ind w:firstLine="480" w:firstLineChars="200"/>
              <w:rPr>
                <w:sz w:val="24"/>
              </w:rPr>
            </w:pPr>
            <w:r>
              <w:rPr>
                <w:rFonts w:hint="eastAsia" w:ascii="宋体" w:hAnsi="宋体" w:cs="宋体"/>
                <w:sz w:val="24"/>
              </w:rPr>
              <w:t>③</w:t>
            </w:r>
            <w:r>
              <w:rPr>
                <w:sz w:val="24"/>
              </w:rPr>
              <w:t>场区雨水</w:t>
            </w:r>
          </w:p>
          <w:p>
            <w:pPr>
              <w:adjustRightInd w:val="0"/>
              <w:snapToGrid w:val="0"/>
              <w:spacing w:line="360" w:lineRule="auto"/>
              <w:ind w:firstLine="480" w:firstLineChars="200"/>
              <w:rPr>
                <w:sz w:val="24"/>
              </w:rPr>
            </w:pPr>
            <w:r>
              <w:rPr>
                <w:rFonts w:hint="eastAsia"/>
                <w:sz w:val="24"/>
              </w:rPr>
              <w:t>根据项目施工时序，拟建项目首先进行全厂</w:t>
            </w:r>
            <w:r>
              <w:rPr>
                <w:rFonts w:hint="eastAsia" w:ascii="宋体" w:hAnsi="宋体" w:cs="宋体"/>
                <w:kern w:val="0"/>
                <w:sz w:val="24"/>
              </w:rPr>
              <w:t>截排水沟及雨水沉淀池的修建，而项目施工作业区域均局限在厂区范围内，由此，修建截排水系统可有效收集沉淀施工期间厂区初期雨水，导排后期澄清雨水，无需额外修建施工期间临时截排水系统，但</w:t>
            </w:r>
            <w:r>
              <w:rPr>
                <w:sz w:val="24"/>
              </w:rPr>
              <w:t>在降水来临前，</w:t>
            </w:r>
            <w:r>
              <w:rPr>
                <w:rFonts w:hint="eastAsia"/>
                <w:sz w:val="24"/>
              </w:rPr>
              <w:t>需</w:t>
            </w:r>
            <w:r>
              <w:rPr>
                <w:sz w:val="24"/>
              </w:rPr>
              <w:t>用防雨布遮盖散装建筑材料，避免受到雨水的冲刷。</w:t>
            </w:r>
          </w:p>
          <w:p>
            <w:pPr>
              <w:adjustRightInd w:val="0"/>
              <w:snapToGrid w:val="0"/>
              <w:spacing w:line="360" w:lineRule="auto"/>
              <w:ind w:firstLine="480" w:firstLineChars="200"/>
              <w:rPr>
                <w:sz w:val="24"/>
              </w:rPr>
            </w:pPr>
            <w:r>
              <w:rPr>
                <w:sz w:val="24"/>
              </w:rPr>
              <w:t>采取上述措施后，项目施工期对区域地表水环境影响较小。</w:t>
            </w:r>
          </w:p>
          <w:p>
            <w:pPr>
              <w:adjustRightInd w:val="0"/>
              <w:snapToGrid w:val="0"/>
              <w:spacing w:line="360" w:lineRule="auto"/>
              <w:ind w:firstLine="482" w:firstLineChars="200"/>
              <w:rPr>
                <w:b/>
                <w:sz w:val="24"/>
              </w:rPr>
            </w:pPr>
            <w:r>
              <w:rPr>
                <w:b/>
                <w:sz w:val="24"/>
              </w:rPr>
              <w:t>（3）声环境</w:t>
            </w:r>
          </w:p>
          <w:p>
            <w:pPr>
              <w:adjustRightInd w:val="0"/>
              <w:snapToGrid w:val="0"/>
              <w:spacing w:line="360" w:lineRule="auto"/>
              <w:ind w:firstLine="480" w:firstLineChars="200"/>
              <w:rPr>
                <w:sz w:val="24"/>
              </w:rPr>
            </w:pPr>
            <w:r>
              <w:rPr>
                <w:rFonts w:hint="eastAsia"/>
                <w:sz w:val="24"/>
              </w:rPr>
              <w:t>1）噪声源强</w:t>
            </w:r>
          </w:p>
          <w:p>
            <w:pPr>
              <w:adjustRightInd w:val="0"/>
              <w:snapToGrid w:val="0"/>
              <w:spacing w:line="360" w:lineRule="auto"/>
              <w:ind w:firstLine="480" w:firstLineChars="200"/>
              <w:rPr>
                <w:sz w:val="24"/>
              </w:rPr>
            </w:pPr>
            <w:r>
              <w:rPr>
                <w:sz w:val="24"/>
              </w:rPr>
              <w:t>噪声源主要</w:t>
            </w:r>
            <w:r>
              <w:rPr>
                <w:rFonts w:hint="eastAsia"/>
                <w:sz w:val="24"/>
              </w:rPr>
              <w:t>为施工过程中</w:t>
            </w:r>
            <w:r>
              <w:rPr>
                <w:sz w:val="24"/>
              </w:rPr>
              <w:t>挖掘机、推土机、</w:t>
            </w:r>
            <w:r>
              <w:rPr>
                <w:rFonts w:hint="eastAsia"/>
                <w:sz w:val="24"/>
              </w:rPr>
              <w:t>振捣器、</w:t>
            </w:r>
            <w:r>
              <w:rPr>
                <w:sz w:val="24"/>
              </w:rPr>
              <w:t>载重汽车等施工机具产生的</w:t>
            </w:r>
            <w:r>
              <w:rPr>
                <w:rFonts w:hint="eastAsia"/>
                <w:sz w:val="24"/>
              </w:rPr>
              <w:t>机械</w:t>
            </w:r>
            <w:r>
              <w:rPr>
                <w:sz w:val="24"/>
              </w:rPr>
              <w:t>噪声。其噪声源具有噪声高、无规律的特点，对外环境的影响是暂时的，随着施工结束而消失。但由于在施工过程中采用的机械设备噪声值很高，如不加以控制，往往会对周边的居民点等声环境敏感点产生较大影响。</w:t>
            </w:r>
          </w:p>
          <w:p>
            <w:pPr>
              <w:adjustRightInd w:val="0"/>
              <w:snapToGrid w:val="0"/>
              <w:spacing w:line="360" w:lineRule="auto"/>
              <w:ind w:firstLine="480" w:firstLineChars="200"/>
              <w:rPr>
                <w:sz w:val="24"/>
              </w:rPr>
            </w:pPr>
            <w:r>
              <w:rPr>
                <w:rFonts w:hint="eastAsia"/>
                <w:sz w:val="24"/>
              </w:rPr>
              <w:t>2）预测模式</w:t>
            </w:r>
          </w:p>
          <w:p>
            <w:pPr>
              <w:adjustRightInd w:val="0"/>
              <w:snapToGrid w:val="0"/>
              <w:spacing w:line="360" w:lineRule="auto"/>
              <w:ind w:firstLine="480" w:firstLineChars="200"/>
              <w:rPr>
                <w:sz w:val="24"/>
              </w:rPr>
            </w:pPr>
            <w:r>
              <w:rPr>
                <w:sz w:val="24"/>
              </w:rPr>
              <w:t>由于露天施工本身的特征，同时难以采取吸声、隔声等措施来控制施工噪声对环境影响，因此主要靠距离衰减来减缓噪声对周围环境的影响。为了反映施工噪声对施工现场及周围环境的最大影响，假设不存在任何声屏障，利用点源传播衰减模式预测分析施工机械噪声的影响范围，并采用《建筑施工场界环境噪声排放标准》（GB</w:t>
            </w:r>
            <w:r>
              <w:rPr>
                <w:rFonts w:hint="eastAsia"/>
                <w:sz w:val="24"/>
              </w:rPr>
              <w:t xml:space="preserve"> </w:t>
            </w:r>
            <w:r>
              <w:rPr>
                <w:sz w:val="24"/>
              </w:rPr>
              <w:t>12523-2011）和《声环境质量标准》（GB</w:t>
            </w:r>
            <w:r>
              <w:rPr>
                <w:rFonts w:hint="eastAsia"/>
                <w:sz w:val="24"/>
              </w:rPr>
              <w:t xml:space="preserve"> </w:t>
            </w:r>
            <w:r>
              <w:rPr>
                <w:sz w:val="24"/>
              </w:rPr>
              <w:t>3096-2008）进行比较分析。</w:t>
            </w:r>
          </w:p>
          <w:p>
            <w:pPr>
              <w:adjustRightInd w:val="0"/>
              <w:snapToGrid w:val="0"/>
              <w:spacing w:line="360" w:lineRule="auto"/>
              <w:ind w:firstLine="480" w:firstLineChars="200"/>
              <w:rPr>
                <w:sz w:val="24"/>
              </w:rPr>
            </w:pPr>
            <w:r>
              <w:rPr>
                <w:sz w:val="24"/>
              </w:rPr>
              <w:t>根据《环境影响评价技术导则 声环境》（HJ</w:t>
            </w:r>
            <w:r>
              <w:rPr>
                <w:rFonts w:hint="eastAsia"/>
                <w:sz w:val="24"/>
              </w:rPr>
              <w:t xml:space="preserve"> </w:t>
            </w:r>
            <w:r>
              <w:rPr>
                <w:sz w:val="24"/>
              </w:rPr>
              <w:t>2.4-2021），本次评价采用下述噪声预测模式：</w:t>
            </w:r>
          </w:p>
          <w:p>
            <w:pPr>
              <w:adjustRightInd w:val="0"/>
              <w:snapToGrid w:val="0"/>
              <w:spacing w:line="360" w:lineRule="auto"/>
              <w:jc w:val="center"/>
              <w:rPr>
                <w:sz w:val="24"/>
              </w:rPr>
            </w:pPr>
            <w:r>
              <w:drawing>
                <wp:inline distT="0" distB="0" distL="0" distR="0">
                  <wp:extent cx="2470150" cy="342900"/>
                  <wp:effectExtent l="0" t="0" r="6350" b="0"/>
                  <wp:docPr id="20013454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45449"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70150" cy="342900"/>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sz w:val="24"/>
              </w:rPr>
              <w:t>式中：</w:t>
            </w:r>
          </w:p>
          <w:p>
            <w:pPr>
              <w:adjustRightInd w:val="0"/>
              <w:snapToGrid w:val="0"/>
              <w:spacing w:line="360" w:lineRule="auto"/>
              <w:ind w:firstLine="960" w:firstLineChars="400"/>
              <w:rPr>
                <w:sz w:val="24"/>
              </w:rPr>
            </w:pPr>
            <w:r>
              <w:rPr>
                <w:i/>
                <w:sz w:val="24"/>
              </w:rPr>
              <w:t>Lr</w:t>
            </w:r>
            <w:r>
              <w:rPr>
                <w:i/>
                <w:sz w:val="24"/>
                <w:vertAlign w:val="subscript"/>
              </w:rPr>
              <w:t xml:space="preserve"> </w:t>
            </w:r>
            <w:r>
              <w:rPr>
                <w:sz w:val="24"/>
              </w:rPr>
              <w:t>——评价点噪声预测值，dB（A）；</w:t>
            </w:r>
          </w:p>
          <w:p>
            <w:pPr>
              <w:adjustRightInd w:val="0"/>
              <w:snapToGrid w:val="0"/>
              <w:spacing w:line="360" w:lineRule="auto"/>
              <w:ind w:firstLine="960" w:firstLineChars="400"/>
              <w:rPr>
                <w:sz w:val="24"/>
              </w:rPr>
            </w:pPr>
            <w:r>
              <w:rPr>
                <w:i/>
                <w:sz w:val="24"/>
              </w:rPr>
              <w:t>Lr</w:t>
            </w:r>
            <w:r>
              <w:rPr>
                <w:i/>
                <w:sz w:val="24"/>
                <w:vertAlign w:val="subscript"/>
              </w:rPr>
              <w:t>0</w:t>
            </w:r>
            <w:r>
              <w:rPr>
                <w:sz w:val="24"/>
              </w:rPr>
              <w:t>——参考点r</w:t>
            </w:r>
            <w:r>
              <w:rPr>
                <w:sz w:val="24"/>
                <w:vertAlign w:val="subscript"/>
              </w:rPr>
              <w:t>0</w:t>
            </w:r>
            <w:r>
              <w:rPr>
                <w:sz w:val="24"/>
              </w:rPr>
              <w:t>处的声级，dB（A）；</w:t>
            </w:r>
          </w:p>
          <w:p>
            <w:pPr>
              <w:adjustRightInd w:val="0"/>
              <w:snapToGrid w:val="0"/>
              <w:spacing w:line="360" w:lineRule="auto"/>
              <w:ind w:firstLine="960" w:firstLineChars="400"/>
              <w:rPr>
                <w:sz w:val="24"/>
              </w:rPr>
            </w:pPr>
            <w:r>
              <w:rPr>
                <w:i/>
                <w:sz w:val="24"/>
              </w:rPr>
              <w:t>r</w:t>
            </w:r>
            <w:r>
              <w:rPr>
                <w:sz w:val="24"/>
              </w:rPr>
              <w:t>——为预测点距声源距离，m；</w:t>
            </w:r>
          </w:p>
          <w:p>
            <w:pPr>
              <w:adjustRightInd w:val="0"/>
              <w:snapToGrid w:val="0"/>
              <w:spacing w:line="360" w:lineRule="auto"/>
              <w:ind w:firstLine="960" w:firstLineChars="400"/>
              <w:rPr>
                <w:sz w:val="24"/>
              </w:rPr>
            </w:pPr>
            <w:r>
              <w:rPr>
                <w:i/>
                <w:sz w:val="24"/>
              </w:rPr>
              <w:t>r</w:t>
            </w:r>
            <w:r>
              <w:rPr>
                <w:i/>
                <w:sz w:val="24"/>
                <w:vertAlign w:val="subscript"/>
              </w:rPr>
              <w:t>0</w:t>
            </w:r>
            <w:r>
              <w:rPr>
                <w:sz w:val="24"/>
              </w:rPr>
              <w:t>——为参考点距声源距离，m；</w:t>
            </w:r>
          </w:p>
          <w:p>
            <w:pPr>
              <w:adjustRightInd w:val="0"/>
              <w:snapToGrid w:val="0"/>
              <w:spacing w:line="360" w:lineRule="auto"/>
              <w:ind w:firstLine="960" w:firstLineChars="400"/>
              <w:rPr>
                <w:sz w:val="24"/>
              </w:rPr>
            </w:pPr>
            <w:r>
              <w:rPr>
                <w:i/>
                <w:sz w:val="24"/>
              </w:rPr>
              <w:t>ΔL</w:t>
            </w:r>
            <w:r>
              <w:rPr>
                <w:sz w:val="24"/>
              </w:rPr>
              <w:t>——各种因素引起的衰减量（包括屏障、遮挡物引起的衰减量），dB（A），本次评价以最不利因素为前提，则不考虑各外界因素引起的噪声衰减量。</w:t>
            </w:r>
          </w:p>
          <w:p>
            <w:pPr>
              <w:adjustRightInd w:val="0"/>
              <w:snapToGrid w:val="0"/>
              <w:spacing w:line="360" w:lineRule="auto"/>
              <w:ind w:firstLine="480" w:firstLineChars="200"/>
              <w:rPr>
                <w:sz w:val="24"/>
              </w:rPr>
            </w:pPr>
            <w:r>
              <w:rPr>
                <w:sz w:val="24"/>
              </w:rPr>
              <w:t>各室外声源在预测点产生的合成声级采用以下公式计算：</w:t>
            </w:r>
          </w:p>
          <w:p>
            <w:pPr>
              <w:adjustRightInd w:val="0"/>
              <w:snapToGrid w:val="0"/>
              <w:spacing w:line="360" w:lineRule="auto"/>
              <w:jc w:val="center"/>
              <w:rPr>
                <w:sz w:val="24"/>
              </w:rPr>
            </w:pPr>
            <w:r>
              <w:drawing>
                <wp:inline distT="0" distB="0" distL="0" distR="0">
                  <wp:extent cx="1828800" cy="590550"/>
                  <wp:effectExtent l="0" t="0" r="0" b="0"/>
                  <wp:docPr id="14281542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54242" name="图片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828800" cy="590550"/>
                          </a:xfrm>
                          <a:prstGeom prst="rect">
                            <a:avLst/>
                          </a:prstGeom>
                          <a:noFill/>
                          <a:ln>
                            <a:noFill/>
                          </a:ln>
                        </pic:spPr>
                      </pic:pic>
                    </a:graphicData>
                  </a:graphic>
                </wp:inline>
              </w:drawing>
            </w:r>
          </w:p>
          <w:p>
            <w:pPr>
              <w:adjustRightInd w:val="0"/>
              <w:snapToGrid w:val="0"/>
              <w:spacing w:line="360" w:lineRule="auto"/>
              <w:ind w:firstLine="480" w:firstLineChars="200"/>
              <w:jc w:val="left"/>
              <w:rPr>
                <w:sz w:val="24"/>
              </w:rPr>
            </w:pPr>
            <w:r>
              <w:rPr>
                <w:sz w:val="24"/>
              </w:rPr>
              <w:t>根据点源传播衰减模式，噪声随距离变化的衰减值见表4-2。</w:t>
            </w:r>
          </w:p>
          <w:p>
            <w:pPr>
              <w:adjustRightInd w:val="0"/>
              <w:snapToGrid w:val="0"/>
              <w:jc w:val="center"/>
              <w:rPr>
                <w:b/>
                <w:sz w:val="24"/>
              </w:rPr>
            </w:pPr>
            <w:r>
              <w:rPr>
                <w:b/>
                <w:sz w:val="24"/>
              </w:rPr>
              <w:t>表4-2  主要施工机械在不同距离的噪声值   单位：dB(A)</w:t>
            </w:r>
          </w:p>
          <w:tbl>
            <w:tblPr>
              <w:tblStyle w:val="15"/>
              <w:tblW w:w="9152"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835"/>
              <w:gridCol w:w="936"/>
              <w:gridCol w:w="962"/>
              <w:gridCol w:w="987"/>
              <w:gridCol w:w="878"/>
              <w:gridCol w:w="878"/>
              <w:gridCol w:w="835"/>
              <w:gridCol w:w="965"/>
              <w:gridCol w:w="876"/>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490" w:hRule="atLeast"/>
              </w:trPr>
              <w:tc>
                <w:tcPr>
                  <w:tcW w:w="1835" w:type="dxa"/>
                  <w:tcBorders>
                    <w:tl2br w:val="single" w:color="000000" w:sz="8" w:space="0"/>
                  </w:tcBorders>
                  <w:vAlign w:val="center"/>
                </w:tcPr>
                <w:p>
                  <w:pPr>
                    <w:pStyle w:val="42"/>
                    <w:jc w:val="right"/>
                  </w:pPr>
                  <w:r>
                    <w:rPr>
                      <w:rFonts w:hint="eastAsia" w:ascii="宋体" w:hAnsi="宋体" w:cs="宋体"/>
                    </w:rPr>
                    <w:t>距离（</w:t>
                  </w:r>
                  <w:r>
                    <w:t>m</w:t>
                  </w:r>
                  <w:r>
                    <w:rPr>
                      <w:rFonts w:hint="eastAsia" w:ascii="宋体" w:hAnsi="宋体" w:cs="宋体"/>
                    </w:rPr>
                    <w:t>）</w:t>
                  </w:r>
                </w:p>
                <w:p>
                  <w:pPr>
                    <w:pStyle w:val="42"/>
                    <w:jc w:val="left"/>
                  </w:pPr>
                  <w:r>
                    <w:rPr>
                      <w:rFonts w:hint="eastAsia" w:ascii="宋体" w:hAnsi="宋体" w:cs="宋体"/>
                    </w:rPr>
                    <w:t>设备</w:t>
                  </w:r>
                </w:p>
              </w:tc>
              <w:tc>
                <w:tcPr>
                  <w:tcW w:w="936" w:type="dxa"/>
                  <w:vAlign w:val="center"/>
                </w:tcPr>
                <w:p>
                  <w:pPr>
                    <w:pStyle w:val="42"/>
                  </w:pPr>
                  <w:r>
                    <w:t>5</w:t>
                  </w:r>
                </w:p>
              </w:tc>
              <w:tc>
                <w:tcPr>
                  <w:tcW w:w="962" w:type="dxa"/>
                  <w:vAlign w:val="center"/>
                </w:tcPr>
                <w:p>
                  <w:pPr>
                    <w:pStyle w:val="42"/>
                  </w:pPr>
                  <w:r>
                    <w:t>10</w:t>
                  </w:r>
                </w:p>
              </w:tc>
              <w:tc>
                <w:tcPr>
                  <w:tcW w:w="987" w:type="dxa"/>
                  <w:vAlign w:val="center"/>
                </w:tcPr>
                <w:p>
                  <w:pPr>
                    <w:pStyle w:val="42"/>
                  </w:pPr>
                  <w:r>
                    <w:t>30</w:t>
                  </w:r>
                </w:p>
              </w:tc>
              <w:tc>
                <w:tcPr>
                  <w:tcW w:w="878" w:type="dxa"/>
                  <w:vAlign w:val="center"/>
                </w:tcPr>
                <w:p>
                  <w:pPr>
                    <w:pStyle w:val="42"/>
                  </w:pPr>
                  <w:r>
                    <w:t>50</w:t>
                  </w:r>
                </w:p>
              </w:tc>
              <w:tc>
                <w:tcPr>
                  <w:tcW w:w="878" w:type="dxa"/>
                  <w:vAlign w:val="center"/>
                </w:tcPr>
                <w:p>
                  <w:pPr>
                    <w:pStyle w:val="42"/>
                  </w:pPr>
                  <w:r>
                    <w:t>100</w:t>
                  </w:r>
                </w:p>
              </w:tc>
              <w:tc>
                <w:tcPr>
                  <w:tcW w:w="835" w:type="dxa"/>
                  <w:vAlign w:val="center"/>
                </w:tcPr>
                <w:p>
                  <w:pPr>
                    <w:pStyle w:val="42"/>
                  </w:pPr>
                  <w:r>
                    <w:t>150</w:t>
                  </w:r>
                </w:p>
              </w:tc>
              <w:tc>
                <w:tcPr>
                  <w:tcW w:w="965" w:type="dxa"/>
                  <w:vAlign w:val="center"/>
                </w:tcPr>
                <w:p>
                  <w:pPr>
                    <w:pStyle w:val="42"/>
                  </w:pPr>
                  <w:r>
                    <w:t>200</w:t>
                  </w:r>
                </w:p>
              </w:tc>
              <w:tc>
                <w:tcPr>
                  <w:tcW w:w="876" w:type="dxa"/>
                  <w:vAlign w:val="center"/>
                </w:tcPr>
                <w:p>
                  <w:pPr>
                    <w:pStyle w:val="42"/>
                  </w:pPr>
                  <w:r>
                    <w:t>300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20" w:hRule="atLeast"/>
              </w:trPr>
              <w:tc>
                <w:tcPr>
                  <w:tcW w:w="1835" w:type="dxa"/>
                  <w:vAlign w:val="center"/>
                </w:tcPr>
                <w:p>
                  <w:pPr>
                    <w:pStyle w:val="42"/>
                    <w:rPr>
                      <w:szCs w:val="21"/>
                    </w:rPr>
                  </w:pPr>
                  <w:r>
                    <w:rPr>
                      <w:szCs w:val="21"/>
                    </w:rPr>
                    <w:t>重型载重卡车</w:t>
                  </w:r>
                </w:p>
              </w:tc>
              <w:tc>
                <w:tcPr>
                  <w:tcW w:w="936" w:type="dxa"/>
                  <w:vAlign w:val="center"/>
                </w:tcPr>
                <w:p>
                  <w:pPr>
                    <w:pStyle w:val="42"/>
                    <w:rPr>
                      <w:szCs w:val="21"/>
                    </w:rPr>
                  </w:pPr>
                  <w:r>
                    <w:rPr>
                      <w:rFonts w:hint="eastAsia"/>
                      <w:szCs w:val="21"/>
                    </w:rPr>
                    <w:t>80</w:t>
                  </w:r>
                </w:p>
              </w:tc>
              <w:tc>
                <w:tcPr>
                  <w:tcW w:w="962" w:type="dxa"/>
                  <w:vAlign w:val="center"/>
                </w:tcPr>
                <w:p>
                  <w:pPr>
                    <w:pStyle w:val="42"/>
                    <w:rPr>
                      <w:rFonts w:eastAsiaTheme="minorEastAsia"/>
                      <w:szCs w:val="21"/>
                    </w:rPr>
                  </w:pPr>
                  <w:r>
                    <w:rPr>
                      <w:rFonts w:hint="eastAsia" w:eastAsiaTheme="minorEastAsia"/>
                      <w:szCs w:val="21"/>
                    </w:rPr>
                    <w:t>74</w:t>
                  </w:r>
                </w:p>
              </w:tc>
              <w:tc>
                <w:tcPr>
                  <w:tcW w:w="987" w:type="dxa"/>
                  <w:vAlign w:val="center"/>
                </w:tcPr>
                <w:p>
                  <w:pPr>
                    <w:pStyle w:val="42"/>
                    <w:rPr>
                      <w:rFonts w:eastAsiaTheme="minorEastAsia"/>
                      <w:szCs w:val="21"/>
                    </w:rPr>
                  </w:pPr>
                  <w:r>
                    <w:rPr>
                      <w:rFonts w:hint="eastAsia" w:eastAsiaTheme="minorEastAsia"/>
                      <w:szCs w:val="21"/>
                    </w:rPr>
                    <w:t>64.5</w:t>
                  </w:r>
                </w:p>
              </w:tc>
              <w:tc>
                <w:tcPr>
                  <w:tcW w:w="878" w:type="dxa"/>
                  <w:vAlign w:val="center"/>
                </w:tcPr>
                <w:p>
                  <w:pPr>
                    <w:pStyle w:val="42"/>
                    <w:rPr>
                      <w:rFonts w:eastAsiaTheme="minorEastAsia"/>
                      <w:szCs w:val="21"/>
                    </w:rPr>
                  </w:pPr>
                  <w:r>
                    <w:rPr>
                      <w:rFonts w:hint="eastAsia" w:eastAsiaTheme="minorEastAsia"/>
                      <w:szCs w:val="21"/>
                    </w:rPr>
                    <w:t>60</w:t>
                  </w:r>
                </w:p>
              </w:tc>
              <w:tc>
                <w:tcPr>
                  <w:tcW w:w="878" w:type="dxa"/>
                  <w:vAlign w:val="center"/>
                </w:tcPr>
                <w:p>
                  <w:pPr>
                    <w:pStyle w:val="42"/>
                    <w:rPr>
                      <w:rFonts w:eastAsiaTheme="minorEastAsia"/>
                      <w:szCs w:val="21"/>
                    </w:rPr>
                  </w:pPr>
                  <w:r>
                    <w:rPr>
                      <w:rFonts w:hint="eastAsia" w:eastAsiaTheme="minorEastAsia"/>
                      <w:szCs w:val="21"/>
                    </w:rPr>
                    <w:t>54</w:t>
                  </w:r>
                </w:p>
              </w:tc>
              <w:tc>
                <w:tcPr>
                  <w:tcW w:w="835" w:type="dxa"/>
                  <w:vAlign w:val="center"/>
                </w:tcPr>
                <w:p>
                  <w:pPr>
                    <w:pStyle w:val="42"/>
                    <w:rPr>
                      <w:rFonts w:eastAsiaTheme="minorEastAsia"/>
                      <w:szCs w:val="21"/>
                    </w:rPr>
                  </w:pPr>
                  <w:r>
                    <w:rPr>
                      <w:rFonts w:hint="eastAsia" w:eastAsiaTheme="minorEastAsia"/>
                      <w:szCs w:val="21"/>
                    </w:rPr>
                    <w:t>50.5</w:t>
                  </w:r>
                </w:p>
              </w:tc>
              <w:tc>
                <w:tcPr>
                  <w:tcW w:w="965" w:type="dxa"/>
                  <w:vAlign w:val="center"/>
                </w:tcPr>
                <w:p>
                  <w:pPr>
                    <w:pStyle w:val="42"/>
                    <w:rPr>
                      <w:rFonts w:eastAsiaTheme="minorEastAsia"/>
                      <w:szCs w:val="21"/>
                    </w:rPr>
                  </w:pPr>
                  <w:r>
                    <w:rPr>
                      <w:rFonts w:hint="eastAsia" w:eastAsiaTheme="minorEastAsia"/>
                      <w:szCs w:val="21"/>
                    </w:rPr>
                    <w:t>48</w:t>
                  </w:r>
                </w:p>
              </w:tc>
              <w:tc>
                <w:tcPr>
                  <w:tcW w:w="876" w:type="dxa"/>
                  <w:vAlign w:val="center"/>
                </w:tcPr>
                <w:p>
                  <w:pPr>
                    <w:pStyle w:val="42"/>
                    <w:rPr>
                      <w:rFonts w:eastAsiaTheme="minorEastAsia"/>
                      <w:szCs w:val="21"/>
                    </w:rPr>
                  </w:pPr>
                  <w:r>
                    <w:rPr>
                      <w:rFonts w:hint="eastAsia" w:eastAsiaTheme="minorEastAsia"/>
                      <w:szCs w:val="21"/>
                    </w:rPr>
                    <w:t>44.5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20" w:hRule="atLeast"/>
              </w:trPr>
              <w:tc>
                <w:tcPr>
                  <w:tcW w:w="1835" w:type="dxa"/>
                  <w:vAlign w:val="center"/>
                </w:tcPr>
                <w:p>
                  <w:pPr>
                    <w:pStyle w:val="42"/>
                    <w:rPr>
                      <w:szCs w:val="21"/>
                    </w:rPr>
                  </w:pPr>
                  <w:r>
                    <w:rPr>
                      <w:szCs w:val="21"/>
                    </w:rPr>
                    <w:t>挖掘机</w:t>
                  </w:r>
                </w:p>
              </w:tc>
              <w:tc>
                <w:tcPr>
                  <w:tcW w:w="936" w:type="dxa"/>
                  <w:vAlign w:val="center"/>
                </w:tcPr>
                <w:p>
                  <w:pPr>
                    <w:pStyle w:val="42"/>
                    <w:rPr>
                      <w:szCs w:val="21"/>
                    </w:rPr>
                  </w:pPr>
                  <w:r>
                    <w:rPr>
                      <w:rFonts w:hint="eastAsia"/>
                      <w:szCs w:val="21"/>
                    </w:rPr>
                    <w:t>84</w:t>
                  </w:r>
                </w:p>
              </w:tc>
              <w:tc>
                <w:tcPr>
                  <w:tcW w:w="962" w:type="dxa"/>
                  <w:vAlign w:val="center"/>
                </w:tcPr>
                <w:p>
                  <w:pPr>
                    <w:pStyle w:val="42"/>
                    <w:rPr>
                      <w:szCs w:val="21"/>
                    </w:rPr>
                  </w:pPr>
                  <w:r>
                    <w:rPr>
                      <w:rFonts w:eastAsia="等线"/>
                      <w:szCs w:val="21"/>
                    </w:rPr>
                    <w:t>78</w:t>
                  </w:r>
                </w:p>
              </w:tc>
              <w:tc>
                <w:tcPr>
                  <w:tcW w:w="987" w:type="dxa"/>
                  <w:vAlign w:val="center"/>
                </w:tcPr>
                <w:p>
                  <w:pPr>
                    <w:pStyle w:val="42"/>
                    <w:rPr>
                      <w:szCs w:val="21"/>
                    </w:rPr>
                  </w:pPr>
                  <w:r>
                    <w:rPr>
                      <w:rFonts w:eastAsia="等线"/>
                      <w:szCs w:val="21"/>
                    </w:rPr>
                    <w:t>68.5</w:t>
                  </w:r>
                </w:p>
              </w:tc>
              <w:tc>
                <w:tcPr>
                  <w:tcW w:w="878" w:type="dxa"/>
                  <w:vAlign w:val="center"/>
                </w:tcPr>
                <w:p>
                  <w:pPr>
                    <w:pStyle w:val="42"/>
                    <w:rPr>
                      <w:szCs w:val="21"/>
                    </w:rPr>
                  </w:pPr>
                  <w:r>
                    <w:rPr>
                      <w:rFonts w:eastAsia="等线"/>
                      <w:szCs w:val="21"/>
                    </w:rPr>
                    <w:t>64</w:t>
                  </w:r>
                </w:p>
              </w:tc>
              <w:tc>
                <w:tcPr>
                  <w:tcW w:w="878" w:type="dxa"/>
                  <w:vAlign w:val="center"/>
                </w:tcPr>
                <w:p>
                  <w:pPr>
                    <w:pStyle w:val="42"/>
                    <w:rPr>
                      <w:szCs w:val="21"/>
                    </w:rPr>
                  </w:pPr>
                  <w:r>
                    <w:rPr>
                      <w:rFonts w:eastAsia="等线"/>
                      <w:szCs w:val="21"/>
                    </w:rPr>
                    <w:t>58</w:t>
                  </w:r>
                </w:p>
              </w:tc>
              <w:tc>
                <w:tcPr>
                  <w:tcW w:w="835" w:type="dxa"/>
                  <w:vAlign w:val="center"/>
                </w:tcPr>
                <w:p>
                  <w:pPr>
                    <w:pStyle w:val="42"/>
                    <w:rPr>
                      <w:szCs w:val="21"/>
                    </w:rPr>
                  </w:pPr>
                  <w:r>
                    <w:rPr>
                      <w:rFonts w:eastAsia="等线"/>
                      <w:szCs w:val="21"/>
                    </w:rPr>
                    <w:t>54.5</w:t>
                  </w:r>
                </w:p>
              </w:tc>
              <w:tc>
                <w:tcPr>
                  <w:tcW w:w="965" w:type="dxa"/>
                  <w:vAlign w:val="center"/>
                </w:tcPr>
                <w:p>
                  <w:pPr>
                    <w:pStyle w:val="42"/>
                    <w:rPr>
                      <w:szCs w:val="21"/>
                    </w:rPr>
                  </w:pPr>
                  <w:r>
                    <w:rPr>
                      <w:rFonts w:eastAsia="等线"/>
                      <w:szCs w:val="21"/>
                    </w:rPr>
                    <w:t>52</w:t>
                  </w:r>
                </w:p>
              </w:tc>
              <w:tc>
                <w:tcPr>
                  <w:tcW w:w="876" w:type="dxa"/>
                  <w:vAlign w:val="center"/>
                </w:tcPr>
                <w:p>
                  <w:pPr>
                    <w:pStyle w:val="42"/>
                    <w:rPr>
                      <w:szCs w:val="21"/>
                    </w:rPr>
                  </w:pPr>
                  <w:r>
                    <w:rPr>
                      <w:rFonts w:eastAsia="等线"/>
                      <w:szCs w:val="21"/>
                    </w:rPr>
                    <w:t>48.5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20" w:hRule="atLeast"/>
              </w:trPr>
              <w:tc>
                <w:tcPr>
                  <w:tcW w:w="1835" w:type="dxa"/>
                  <w:vAlign w:val="center"/>
                </w:tcPr>
                <w:p>
                  <w:pPr>
                    <w:pStyle w:val="42"/>
                    <w:rPr>
                      <w:szCs w:val="21"/>
                    </w:rPr>
                  </w:pPr>
                  <w:r>
                    <w:rPr>
                      <w:szCs w:val="21"/>
                    </w:rPr>
                    <w:t>推土机</w:t>
                  </w:r>
                </w:p>
              </w:tc>
              <w:tc>
                <w:tcPr>
                  <w:tcW w:w="936" w:type="dxa"/>
                  <w:vAlign w:val="center"/>
                </w:tcPr>
                <w:p>
                  <w:pPr>
                    <w:pStyle w:val="42"/>
                    <w:rPr>
                      <w:szCs w:val="21"/>
                    </w:rPr>
                  </w:pPr>
                  <w:r>
                    <w:rPr>
                      <w:rFonts w:hint="eastAsia"/>
                      <w:szCs w:val="21"/>
                    </w:rPr>
                    <w:t>84</w:t>
                  </w:r>
                </w:p>
              </w:tc>
              <w:tc>
                <w:tcPr>
                  <w:tcW w:w="962" w:type="dxa"/>
                  <w:vAlign w:val="center"/>
                </w:tcPr>
                <w:p>
                  <w:pPr>
                    <w:pStyle w:val="42"/>
                    <w:rPr>
                      <w:szCs w:val="21"/>
                    </w:rPr>
                  </w:pPr>
                  <w:r>
                    <w:rPr>
                      <w:rFonts w:eastAsia="等线"/>
                      <w:szCs w:val="21"/>
                    </w:rPr>
                    <w:t>78</w:t>
                  </w:r>
                </w:p>
              </w:tc>
              <w:tc>
                <w:tcPr>
                  <w:tcW w:w="987" w:type="dxa"/>
                  <w:vAlign w:val="center"/>
                </w:tcPr>
                <w:p>
                  <w:pPr>
                    <w:pStyle w:val="42"/>
                    <w:rPr>
                      <w:szCs w:val="21"/>
                    </w:rPr>
                  </w:pPr>
                  <w:r>
                    <w:rPr>
                      <w:rFonts w:eastAsia="等线"/>
                      <w:szCs w:val="21"/>
                    </w:rPr>
                    <w:t>68.5</w:t>
                  </w:r>
                </w:p>
              </w:tc>
              <w:tc>
                <w:tcPr>
                  <w:tcW w:w="878" w:type="dxa"/>
                  <w:vAlign w:val="center"/>
                </w:tcPr>
                <w:p>
                  <w:pPr>
                    <w:pStyle w:val="42"/>
                    <w:rPr>
                      <w:szCs w:val="21"/>
                    </w:rPr>
                  </w:pPr>
                  <w:r>
                    <w:rPr>
                      <w:rFonts w:eastAsia="等线"/>
                      <w:szCs w:val="21"/>
                    </w:rPr>
                    <w:t>64</w:t>
                  </w:r>
                </w:p>
              </w:tc>
              <w:tc>
                <w:tcPr>
                  <w:tcW w:w="878" w:type="dxa"/>
                  <w:vAlign w:val="center"/>
                </w:tcPr>
                <w:p>
                  <w:pPr>
                    <w:pStyle w:val="42"/>
                    <w:rPr>
                      <w:szCs w:val="21"/>
                    </w:rPr>
                  </w:pPr>
                  <w:r>
                    <w:rPr>
                      <w:rFonts w:eastAsia="等线"/>
                      <w:szCs w:val="21"/>
                    </w:rPr>
                    <w:t>58</w:t>
                  </w:r>
                </w:p>
              </w:tc>
              <w:tc>
                <w:tcPr>
                  <w:tcW w:w="835" w:type="dxa"/>
                  <w:vAlign w:val="center"/>
                </w:tcPr>
                <w:p>
                  <w:pPr>
                    <w:pStyle w:val="42"/>
                    <w:rPr>
                      <w:szCs w:val="21"/>
                    </w:rPr>
                  </w:pPr>
                  <w:r>
                    <w:rPr>
                      <w:rFonts w:eastAsia="等线"/>
                      <w:szCs w:val="21"/>
                    </w:rPr>
                    <w:t>54.5</w:t>
                  </w:r>
                </w:p>
              </w:tc>
              <w:tc>
                <w:tcPr>
                  <w:tcW w:w="965" w:type="dxa"/>
                  <w:vAlign w:val="center"/>
                </w:tcPr>
                <w:p>
                  <w:pPr>
                    <w:pStyle w:val="42"/>
                    <w:rPr>
                      <w:szCs w:val="21"/>
                    </w:rPr>
                  </w:pPr>
                  <w:r>
                    <w:rPr>
                      <w:rFonts w:eastAsia="等线"/>
                      <w:szCs w:val="21"/>
                    </w:rPr>
                    <w:t>52</w:t>
                  </w:r>
                </w:p>
              </w:tc>
              <w:tc>
                <w:tcPr>
                  <w:tcW w:w="876" w:type="dxa"/>
                  <w:vAlign w:val="center"/>
                </w:tcPr>
                <w:p>
                  <w:pPr>
                    <w:pStyle w:val="42"/>
                    <w:rPr>
                      <w:szCs w:val="21"/>
                    </w:rPr>
                  </w:pPr>
                  <w:r>
                    <w:rPr>
                      <w:rFonts w:eastAsia="等线"/>
                      <w:szCs w:val="21"/>
                    </w:rPr>
                    <w:t>48.5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20" w:hRule="atLeast"/>
              </w:trPr>
              <w:tc>
                <w:tcPr>
                  <w:tcW w:w="1835" w:type="dxa"/>
                  <w:vAlign w:val="center"/>
                </w:tcPr>
                <w:p>
                  <w:pPr>
                    <w:pStyle w:val="42"/>
                    <w:rPr>
                      <w:szCs w:val="21"/>
                    </w:rPr>
                  </w:pPr>
                  <w:r>
                    <w:rPr>
                      <w:szCs w:val="21"/>
                    </w:rPr>
                    <w:t>振捣器</w:t>
                  </w:r>
                </w:p>
              </w:tc>
              <w:tc>
                <w:tcPr>
                  <w:tcW w:w="936" w:type="dxa"/>
                  <w:vAlign w:val="center"/>
                </w:tcPr>
                <w:p>
                  <w:pPr>
                    <w:pStyle w:val="42"/>
                    <w:rPr>
                      <w:szCs w:val="21"/>
                    </w:rPr>
                  </w:pPr>
                  <w:r>
                    <w:rPr>
                      <w:rFonts w:hint="eastAsia"/>
                      <w:szCs w:val="21"/>
                    </w:rPr>
                    <w:t>85</w:t>
                  </w:r>
                </w:p>
              </w:tc>
              <w:tc>
                <w:tcPr>
                  <w:tcW w:w="962" w:type="dxa"/>
                  <w:vAlign w:val="center"/>
                </w:tcPr>
                <w:p>
                  <w:pPr>
                    <w:pStyle w:val="42"/>
                    <w:rPr>
                      <w:szCs w:val="21"/>
                    </w:rPr>
                  </w:pPr>
                  <w:r>
                    <w:rPr>
                      <w:rFonts w:eastAsia="等线"/>
                      <w:szCs w:val="21"/>
                    </w:rPr>
                    <w:t>79</w:t>
                  </w:r>
                </w:p>
              </w:tc>
              <w:tc>
                <w:tcPr>
                  <w:tcW w:w="987" w:type="dxa"/>
                  <w:vAlign w:val="center"/>
                </w:tcPr>
                <w:p>
                  <w:pPr>
                    <w:pStyle w:val="42"/>
                    <w:rPr>
                      <w:szCs w:val="21"/>
                    </w:rPr>
                  </w:pPr>
                  <w:r>
                    <w:rPr>
                      <w:rFonts w:eastAsia="等线"/>
                      <w:szCs w:val="21"/>
                    </w:rPr>
                    <w:t>69.5</w:t>
                  </w:r>
                </w:p>
              </w:tc>
              <w:tc>
                <w:tcPr>
                  <w:tcW w:w="878" w:type="dxa"/>
                  <w:vAlign w:val="center"/>
                </w:tcPr>
                <w:p>
                  <w:pPr>
                    <w:pStyle w:val="42"/>
                    <w:rPr>
                      <w:szCs w:val="21"/>
                    </w:rPr>
                  </w:pPr>
                  <w:r>
                    <w:rPr>
                      <w:rFonts w:eastAsia="等线"/>
                      <w:szCs w:val="21"/>
                    </w:rPr>
                    <w:t>65</w:t>
                  </w:r>
                </w:p>
              </w:tc>
              <w:tc>
                <w:tcPr>
                  <w:tcW w:w="878" w:type="dxa"/>
                  <w:vAlign w:val="center"/>
                </w:tcPr>
                <w:p>
                  <w:pPr>
                    <w:pStyle w:val="42"/>
                    <w:rPr>
                      <w:szCs w:val="21"/>
                    </w:rPr>
                  </w:pPr>
                  <w:r>
                    <w:rPr>
                      <w:rFonts w:eastAsia="等线"/>
                      <w:szCs w:val="21"/>
                    </w:rPr>
                    <w:t>59</w:t>
                  </w:r>
                </w:p>
              </w:tc>
              <w:tc>
                <w:tcPr>
                  <w:tcW w:w="835" w:type="dxa"/>
                  <w:vAlign w:val="center"/>
                </w:tcPr>
                <w:p>
                  <w:pPr>
                    <w:pStyle w:val="42"/>
                    <w:rPr>
                      <w:szCs w:val="21"/>
                    </w:rPr>
                  </w:pPr>
                  <w:r>
                    <w:rPr>
                      <w:rFonts w:eastAsia="等线"/>
                      <w:szCs w:val="21"/>
                    </w:rPr>
                    <w:t>55.5</w:t>
                  </w:r>
                </w:p>
              </w:tc>
              <w:tc>
                <w:tcPr>
                  <w:tcW w:w="965" w:type="dxa"/>
                  <w:vAlign w:val="center"/>
                </w:tcPr>
                <w:p>
                  <w:pPr>
                    <w:pStyle w:val="42"/>
                    <w:rPr>
                      <w:szCs w:val="21"/>
                    </w:rPr>
                  </w:pPr>
                  <w:r>
                    <w:rPr>
                      <w:rFonts w:eastAsia="等线"/>
                      <w:szCs w:val="21"/>
                    </w:rPr>
                    <w:t>53</w:t>
                  </w:r>
                </w:p>
              </w:tc>
              <w:tc>
                <w:tcPr>
                  <w:tcW w:w="876" w:type="dxa"/>
                  <w:vAlign w:val="center"/>
                </w:tcPr>
                <w:p>
                  <w:pPr>
                    <w:pStyle w:val="42"/>
                    <w:rPr>
                      <w:szCs w:val="21"/>
                    </w:rPr>
                  </w:pPr>
                  <w:r>
                    <w:rPr>
                      <w:rFonts w:eastAsia="等线"/>
                      <w:szCs w:val="21"/>
                    </w:rPr>
                    <w:t>49.5</w:t>
                  </w:r>
                </w:p>
              </w:tc>
            </w:tr>
          </w:tbl>
          <w:p>
            <w:pPr>
              <w:adjustRightInd w:val="0"/>
              <w:snapToGrid w:val="0"/>
              <w:spacing w:line="360" w:lineRule="auto"/>
              <w:ind w:firstLine="480" w:firstLineChars="200"/>
              <w:rPr>
                <w:sz w:val="24"/>
              </w:rPr>
            </w:pPr>
            <w:r>
              <w:rPr>
                <w:sz w:val="24"/>
              </w:rPr>
              <w:t>由表4-2可知，</w:t>
            </w:r>
            <w:r>
              <w:rPr>
                <w:rFonts w:hint="eastAsia"/>
                <w:sz w:val="24"/>
              </w:rPr>
              <w:t>施工易引起场界超标，考虑最不利因素，项目施工区域约5</w:t>
            </w:r>
            <w:r>
              <w:rPr>
                <w:sz w:val="24"/>
              </w:rPr>
              <w:t>5</w:t>
            </w:r>
            <w:r>
              <w:rPr>
                <w:rFonts w:hint="eastAsia"/>
                <w:sz w:val="24"/>
              </w:rPr>
              <w:t>m范围外噪声基本达到</w:t>
            </w:r>
            <w:r>
              <w:rPr>
                <w:sz w:val="24"/>
              </w:rPr>
              <w:t>《建筑施工场界环境噪声排放标准》（GB</w:t>
            </w:r>
            <w:r>
              <w:rPr>
                <w:rFonts w:hint="eastAsia"/>
                <w:sz w:val="24"/>
              </w:rPr>
              <w:t xml:space="preserve"> </w:t>
            </w:r>
            <w:r>
              <w:rPr>
                <w:sz w:val="24"/>
              </w:rPr>
              <w:t>12523-2011）</w:t>
            </w:r>
            <w:r>
              <w:rPr>
                <w:rFonts w:hint="eastAsia"/>
                <w:sz w:val="24"/>
              </w:rPr>
              <w:t>中昼间噪声标准限值，若夜间施工，达标距离约</w:t>
            </w:r>
            <w:r>
              <w:rPr>
                <w:sz w:val="24"/>
              </w:rPr>
              <w:t>261m</w:t>
            </w:r>
            <w:r>
              <w:rPr>
                <w:rFonts w:hint="eastAsia"/>
                <w:sz w:val="24"/>
              </w:rPr>
              <w:t>。</w:t>
            </w:r>
          </w:p>
          <w:p>
            <w:pPr>
              <w:adjustRightInd w:val="0"/>
              <w:snapToGrid w:val="0"/>
              <w:spacing w:line="360" w:lineRule="auto"/>
              <w:ind w:firstLine="480" w:firstLineChars="200"/>
              <w:rPr>
                <w:sz w:val="24"/>
              </w:rPr>
            </w:pPr>
            <w:r>
              <w:rPr>
                <w:rFonts w:hint="eastAsia"/>
                <w:sz w:val="24"/>
              </w:rPr>
              <w:t>按照项目夜间不施工的施工计划，不存在夜间施工影响。在不采取任何噪声防治措施的情况下，通过施工期噪声预测可知，在临近场界55m范围内使用挖掘机、振捣器等施工，可能造成施工场界噪声不能满足《建筑施工场界环境噪声排放标准》（GB 12523-2011）规定的昼间70dB(A)限值要求。经调查发现，项目厂区各单元施工边界均紧邻场界，临施工边界不足55m，则建设单位应严格执行本次评价提出的各项噪声污染防治措施，并对周边居民做好安抚解释工作，施工噪声影响特点为暂时性，一旦施工活动结束，施工噪声也就随之结束。</w:t>
            </w:r>
          </w:p>
          <w:p>
            <w:pPr>
              <w:adjustRightInd w:val="0"/>
              <w:snapToGrid w:val="0"/>
              <w:spacing w:line="360" w:lineRule="auto"/>
              <w:ind w:firstLine="480" w:firstLineChars="200"/>
              <w:rPr>
                <w:sz w:val="24"/>
              </w:rPr>
            </w:pPr>
            <w:r>
              <w:rPr>
                <w:rFonts w:hint="eastAsia"/>
                <w:sz w:val="24"/>
              </w:rPr>
              <w:t>项目施工期间，矿区、</w:t>
            </w:r>
            <w:r>
              <w:rPr>
                <w:rFonts w:hint="eastAsia"/>
                <w:color w:val="0000FF"/>
                <w:sz w:val="24"/>
              </w:rPr>
              <w:t>弃渣场</w:t>
            </w:r>
            <w:r>
              <w:rPr>
                <w:rFonts w:hint="eastAsia"/>
                <w:sz w:val="24"/>
              </w:rPr>
              <w:t>、加工区施工场界及场内运输道路施工两侧200m范围内无声环境保护目标，</w:t>
            </w:r>
            <w:r>
              <w:rPr>
                <w:rFonts w:hint="eastAsia"/>
                <w:color w:val="0000FF"/>
                <w:sz w:val="24"/>
              </w:rPr>
              <w:t>排土场</w:t>
            </w:r>
            <w:r>
              <w:rPr>
                <w:rFonts w:hint="eastAsia"/>
                <w:sz w:val="24"/>
              </w:rPr>
              <w:t>场界200m范围虽存有声环境保护目标，但其无机械施工内容，影响较小；截排水沟、雨水沉淀池采用人工开挖，浆砌，其影响有限。</w:t>
            </w:r>
          </w:p>
          <w:p>
            <w:pPr>
              <w:adjustRightInd w:val="0"/>
              <w:snapToGrid w:val="0"/>
              <w:spacing w:line="360" w:lineRule="auto"/>
              <w:ind w:firstLine="480" w:firstLineChars="200"/>
              <w:rPr>
                <w:sz w:val="24"/>
              </w:rPr>
            </w:pPr>
            <w:r>
              <w:rPr>
                <w:rFonts w:hint="eastAsia"/>
                <w:sz w:val="24"/>
              </w:rPr>
              <w:t>综上，项目施工对区域声环境的影响总体可控。</w:t>
            </w:r>
          </w:p>
          <w:p>
            <w:pPr>
              <w:adjustRightInd w:val="0"/>
              <w:snapToGrid w:val="0"/>
              <w:spacing w:line="360" w:lineRule="auto"/>
              <w:ind w:firstLine="482" w:firstLineChars="200"/>
              <w:rPr>
                <w:b/>
                <w:sz w:val="24"/>
              </w:rPr>
            </w:pPr>
            <w:r>
              <w:rPr>
                <w:b/>
                <w:sz w:val="24"/>
              </w:rPr>
              <w:t>（4）固体废物</w:t>
            </w:r>
          </w:p>
          <w:p>
            <w:pPr>
              <w:adjustRightInd w:val="0"/>
              <w:snapToGrid w:val="0"/>
              <w:spacing w:line="360" w:lineRule="auto"/>
              <w:ind w:firstLine="480" w:firstLineChars="200"/>
              <w:rPr>
                <w:sz w:val="24"/>
              </w:rPr>
            </w:pPr>
            <w:r>
              <w:rPr>
                <w:sz w:val="24"/>
              </w:rPr>
              <w:t>施工期固体废物主要包括弃土石方、生活垃圾</w:t>
            </w:r>
            <w:r>
              <w:rPr>
                <w:rFonts w:hint="eastAsia"/>
                <w:sz w:val="24"/>
              </w:rPr>
              <w:t>和拆除垃圾</w:t>
            </w:r>
            <w:r>
              <w:rPr>
                <w:sz w:val="24"/>
              </w:rPr>
              <w:t>。</w:t>
            </w:r>
          </w:p>
          <w:p>
            <w:pPr>
              <w:adjustRightInd w:val="0"/>
              <w:snapToGrid w:val="0"/>
              <w:spacing w:line="360" w:lineRule="auto"/>
              <w:ind w:firstLine="480" w:firstLineChars="200"/>
              <w:rPr>
                <w:sz w:val="24"/>
              </w:rPr>
            </w:pPr>
            <w:r>
              <w:rPr>
                <w:sz w:val="24"/>
              </w:rPr>
              <w:t>经前文分析，</w:t>
            </w:r>
            <w:r>
              <w:rPr>
                <w:rFonts w:hint="eastAsia"/>
                <w:sz w:val="24"/>
              </w:rPr>
              <w:t>施工期间</w:t>
            </w:r>
            <w:r>
              <w:rPr>
                <w:sz w:val="24"/>
              </w:rPr>
              <w:t>项目表土、</w:t>
            </w:r>
            <w:r>
              <w:rPr>
                <w:kern w:val="0"/>
                <w:sz w:val="24"/>
              </w:rPr>
              <w:t>废石</w:t>
            </w:r>
            <w:r>
              <w:rPr>
                <w:sz w:val="24"/>
              </w:rPr>
              <w:t>产生量分别为</w:t>
            </w:r>
            <w:r>
              <w:rPr>
                <w:rFonts w:hint="eastAsia"/>
                <w:sz w:val="24"/>
              </w:rPr>
              <w:t>1950</w:t>
            </w:r>
            <w:r>
              <w:rPr>
                <w:sz w:val="24"/>
              </w:rPr>
              <w:t>m</w:t>
            </w:r>
            <w:r>
              <w:rPr>
                <w:sz w:val="24"/>
                <w:vertAlign w:val="superscript"/>
              </w:rPr>
              <w:t>3</w:t>
            </w:r>
            <w:r>
              <w:rPr>
                <w:sz w:val="24"/>
              </w:rPr>
              <w:t>（</w:t>
            </w:r>
            <w:r>
              <w:rPr>
                <w:rFonts w:hint="eastAsia"/>
                <w:sz w:val="24"/>
              </w:rPr>
              <w:t>2730</w:t>
            </w:r>
            <w:r>
              <w:rPr>
                <w:sz w:val="24"/>
              </w:rPr>
              <w:t>t）</w:t>
            </w:r>
            <w:r>
              <w:rPr>
                <w:kern w:val="0"/>
                <w:sz w:val="24"/>
              </w:rPr>
              <w:t>、</w:t>
            </w:r>
            <w:r>
              <w:rPr>
                <w:rFonts w:hint="eastAsia"/>
                <w:color w:val="0000FF"/>
                <w:sz w:val="24"/>
              </w:rPr>
              <w:t>37134</w:t>
            </w:r>
            <w:r>
              <w:rPr>
                <w:sz w:val="24"/>
              </w:rPr>
              <w:t>m</w:t>
            </w:r>
            <w:r>
              <w:rPr>
                <w:sz w:val="24"/>
                <w:vertAlign w:val="superscript"/>
              </w:rPr>
              <w:t>3</w:t>
            </w:r>
            <w:r>
              <w:rPr>
                <w:sz w:val="24"/>
              </w:rPr>
              <w:t>（</w:t>
            </w:r>
            <w:r>
              <w:rPr>
                <w:rFonts w:hint="eastAsia"/>
                <w:color w:val="0000FF"/>
                <w:sz w:val="24"/>
              </w:rPr>
              <w:t>100262</w:t>
            </w:r>
            <w:r>
              <w:rPr>
                <w:sz w:val="24"/>
              </w:rPr>
              <w:t>t）</w:t>
            </w:r>
            <w:r>
              <w:rPr>
                <w:rFonts w:hint="eastAsia"/>
                <w:sz w:val="24"/>
              </w:rPr>
              <w:t>。剥离表土全部运至</w:t>
            </w:r>
            <w:r>
              <w:rPr>
                <w:rFonts w:hint="eastAsia"/>
                <w:kern w:val="0"/>
                <w:sz w:val="24"/>
              </w:rPr>
              <w:t>恢复治理区裸岩区域作为绿化覆土；</w:t>
            </w:r>
            <w:r>
              <w:rPr>
                <w:rFonts w:hint="eastAsia"/>
                <w:sz w:val="24"/>
              </w:rPr>
              <w:t>废石</w:t>
            </w:r>
            <w:r>
              <w:rPr>
                <w:rFonts w:hint="eastAsia"/>
                <w:color w:val="0000FF"/>
                <w:sz w:val="24"/>
              </w:rPr>
              <w:t>也为石灰石，可直接原矿外售作堡坎块石，或码垛暂存于工业广场仓库内，待运营期加工成建筑砂碎石后外售</w:t>
            </w:r>
            <w:r>
              <w:rPr>
                <w:rFonts w:hint="eastAsia"/>
                <w:sz w:val="24"/>
              </w:rPr>
              <w:t>。</w:t>
            </w:r>
          </w:p>
          <w:p>
            <w:pPr>
              <w:adjustRightInd w:val="0"/>
              <w:snapToGrid w:val="0"/>
              <w:spacing w:line="360" w:lineRule="auto"/>
              <w:ind w:firstLine="480" w:firstLineChars="200"/>
              <w:rPr>
                <w:sz w:val="24"/>
              </w:rPr>
            </w:pPr>
            <w:r>
              <w:rPr>
                <w:sz w:val="24"/>
              </w:rPr>
              <w:t>施工期间共产生生活垃圾1.35t，集中收集后，交由当地市政环卫部门统一处置，施工现场禁止焚烧垃圾，通过规范生活垃圾的管理，避免其乱堆放，确保施工场地有良好的卫生条件。</w:t>
            </w:r>
          </w:p>
          <w:p>
            <w:pPr>
              <w:adjustRightInd w:val="0"/>
              <w:snapToGrid w:val="0"/>
              <w:spacing w:line="360" w:lineRule="auto"/>
              <w:ind w:firstLine="480" w:firstLineChars="200"/>
              <w:rPr>
                <w:sz w:val="24"/>
              </w:rPr>
            </w:pPr>
            <w:r>
              <w:rPr>
                <w:rFonts w:hint="eastAsia"/>
                <w:sz w:val="24"/>
              </w:rPr>
              <w:t>施工期间将对原项目破碎站</w:t>
            </w:r>
            <w:r>
              <w:rPr>
                <w:rFonts w:hint="eastAsia"/>
                <w:color w:val="0000FF"/>
                <w:sz w:val="24"/>
              </w:rPr>
              <w:t>主要生产</w:t>
            </w:r>
            <w:r>
              <w:rPr>
                <w:rFonts w:hint="eastAsia"/>
                <w:sz w:val="24"/>
              </w:rPr>
              <w:t>设备</w:t>
            </w:r>
            <w:r>
              <w:rPr>
                <w:rFonts w:hint="eastAsia"/>
                <w:color w:val="0000FF"/>
                <w:sz w:val="24"/>
              </w:rPr>
              <w:t>（破碎机、振动筛、传送带）</w:t>
            </w:r>
            <w:r>
              <w:rPr>
                <w:rFonts w:hint="eastAsia"/>
                <w:sz w:val="24"/>
              </w:rPr>
              <w:t>进行拆除置换，对破损厂房实施拆除更换，根据建设单位资料统计，拆除淘汰的废旧设备、废彩钢板合计约</w:t>
            </w:r>
            <w:r>
              <w:rPr>
                <w:rFonts w:hint="eastAsia"/>
                <w:color w:val="0000FF"/>
                <w:sz w:val="24"/>
              </w:rPr>
              <w:t>51.4</w:t>
            </w:r>
            <w:r>
              <w:rPr>
                <w:rFonts w:hint="eastAsia"/>
                <w:sz w:val="24"/>
              </w:rPr>
              <w:t>t，可全部外售至物资回收公司。</w:t>
            </w:r>
          </w:p>
          <w:p>
            <w:pPr>
              <w:adjustRightInd w:val="0"/>
              <w:snapToGrid w:val="0"/>
              <w:spacing w:line="360" w:lineRule="auto"/>
              <w:ind w:firstLine="480" w:firstLineChars="200"/>
              <w:rPr>
                <w:sz w:val="24"/>
              </w:rPr>
            </w:pPr>
            <w:r>
              <w:rPr>
                <w:rFonts w:hint="eastAsia"/>
                <w:sz w:val="24"/>
              </w:rPr>
              <w:t>在采取以上固废暂存处置措施后，施工期间各项固废得以综合利用或处置，</w:t>
            </w:r>
            <w:r>
              <w:rPr>
                <w:sz w:val="24"/>
              </w:rPr>
              <w:t>对周边环境影响较小</w:t>
            </w:r>
            <w:r>
              <w:rPr>
                <w:rFonts w:hint="eastAsia"/>
                <w:sz w:val="24"/>
              </w:rPr>
              <w:t>。</w:t>
            </w:r>
          </w:p>
          <w:p>
            <w:pPr>
              <w:adjustRightInd w:val="0"/>
              <w:snapToGrid w:val="0"/>
              <w:spacing w:line="360" w:lineRule="auto"/>
              <w:ind w:firstLine="482" w:firstLineChars="200"/>
              <w:rPr>
                <w:b/>
                <w:sz w:val="24"/>
              </w:rPr>
            </w:pPr>
            <w:r>
              <w:rPr>
                <w:b/>
                <w:sz w:val="24"/>
              </w:rPr>
              <w:t>（5）生态环境</w:t>
            </w:r>
          </w:p>
          <w:p>
            <w:pPr>
              <w:adjustRightInd w:val="0"/>
              <w:snapToGrid w:val="0"/>
              <w:spacing w:line="360" w:lineRule="auto"/>
              <w:ind w:firstLine="480" w:firstLineChars="200"/>
              <w:rPr>
                <w:sz w:val="24"/>
              </w:rPr>
            </w:pPr>
            <w:r>
              <w:rPr>
                <w:sz w:val="24"/>
              </w:rPr>
              <w:t>项目施工对生态环境的影响主要为</w:t>
            </w:r>
            <w:r>
              <w:rPr>
                <w:rFonts w:hint="eastAsia" w:ascii="宋体" w:hAnsi="宋体" w:cs="宋体"/>
                <w:kern w:val="0"/>
                <w:sz w:val="24"/>
              </w:rPr>
              <w:t>截排水沟及雨水沉淀池修建、</w:t>
            </w:r>
            <w:r>
              <w:rPr>
                <w:rFonts w:hint="eastAsia"/>
                <w:kern w:val="0"/>
                <w:sz w:val="24"/>
              </w:rPr>
              <w:t>场内运输道路开拓、首采面剥顶</w:t>
            </w:r>
            <w:r>
              <w:rPr>
                <w:sz w:val="24"/>
              </w:rPr>
              <w:t>要进行地表开挖、植被清除，造成施工区域内地表植被的破坏，改变土地资源的原有使用功能及其地形地貌，增加裸露面积，并可能引起局部的水土流失，从而对区内生态系统产生一定的不利影响。</w:t>
            </w:r>
          </w:p>
          <w:p>
            <w:pPr>
              <w:adjustRightInd w:val="0"/>
              <w:snapToGrid w:val="0"/>
              <w:spacing w:line="360" w:lineRule="auto"/>
              <w:ind w:firstLine="480" w:firstLineChars="200"/>
              <w:rPr>
                <w:sz w:val="24"/>
              </w:rPr>
            </w:pPr>
            <w:r>
              <w:rPr>
                <w:sz w:val="24"/>
              </w:rPr>
              <w:t>单从植物种类来看，施工期作业场地被破坏或影响的植物为组成当地植物群落的建群种，这些植物在当地分布比较均匀，</w:t>
            </w:r>
            <w:r>
              <w:rPr>
                <w:rFonts w:hint="eastAsia"/>
                <w:sz w:val="24"/>
              </w:rPr>
              <w:t>项目</w:t>
            </w:r>
            <w:r>
              <w:rPr>
                <w:sz w:val="24"/>
              </w:rPr>
              <w:t>建设的局部植被破坏，不会使评价区植物种群组成发生根本变化，也不会造成某一植物种在评价区范围内消失。在施工过程中需进行必要的生态环境保护措施：</w:t>
            </w:r>
          </w:p>
          <w:p>
            <w:pPr>
              <w:adjustRightInd w:val="0"/>
              <w:snapToGrid w:val="0"/>
              <w:spacing w:line="360" w:lineRule="auto"/>
              <w:ind w:firstLine="480" w:firstLineChars="200"/>
              <w:rPr>
                <w:sz w:val="24"/>
              </w:rPr>
            </w:pPr>
            <w:r>
              <w:rPr>
                <w:rFonts w:hint="eastAsia" w:ascii="宋体" w:hAnsi="宋体" w:cs="宋体"/>
                <w:sz w:val="24"/>
              </w:rPr>
              <w:t>①</w:t>
            </w:r>
            <w:r>
              <w:rPr>
                <w:sz w:val="24"/>
              </w:rPr>
              <w:t>整个施工过程中，严禁对施工区周围植被的破坏，禁止随意在未征用的林地内开设运输通道或作临时占用地。</w:t>
            </w:r>
          </w:p>
          <w:p>
            <w:pPr>
              <w:adjustRightInd w:val="0"/>
              <w:snapToGrid w:val="0"/>
              <w:spacing w:line="360" w:lineRule="auto"/>
              <w:ind w:firstLine="480" w:firstLineChars="200"/>
              <w:rPr>
                <w:sz w:val="24"/>
              </w:rPr>
            </w:pPr>
            <w:r>
              <w:rPr>
                <w:rFonts w:hint="eastAsia" w:ascii="宋体" w:hAnsi="宋体" w:cs="宋体"/>
                <w:sz w:val="24"/>
              </w:rPr>
              <w:t>②</w:t>
            </w:r>
            <w:r>
              <w:rPr>
                <w:sz w:val="24"/>
              </w:rPr>
              <w:t>合理安排施工期，填挖土石方工程要避开雨季和春季大风季节，缩短施工时间，及早进行绿化以减少裸露地面；对受破坏的植被及时进行恢复。</w:t>
            </w:r>
          </w:p>
          <w:p>
            <w:pPr>
              <w:adjustRightInd w:val="0"/>
              <w:snapToGrid w:val="0"/>
              <w:spacing w:line="360" w:lineRule="auto"/>
              <w:ind w:firstLine="480" w:firstLineChars="200"/>
              <w:rPr>
                <w:sz w:val="24"/>
              </w:rPr>
            </w:pPr>
            <w:r>
              <w:rPr>
                <w:sz w:val="24"/>
              </w:rPr>
              <w:t>在</w:t>
            </w:r>
            <w:r>
              <w:rPr>
                <w:rFonts w:hint="eastAsia"/>
                <w:sz w:val="24"/>
              </w:rPr>
              <w:t>采取</w:t>
            </w:r>
            <w:r>
              <w:rPr>
                <w:sz w:val="24"/>
              </w:rPr>
              <w:t>以上生态保护措施的情况下，拟建项目施工对周边生态环境的影响较小可控。</w:t>
            </w:r>
          </w:p>
        </w:tc>
      </w:tr>
    </w:tbl>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5"/>
        <w:gridCol w:w="94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351" w:hRule="atLeast"/>
          <w:jc w:val="center"/>
        </w:trPr>
        <w:tc>
          <w:tcPr>
            <w:tcW w:w="295" w:type="dxa"/>
            <w:tcMar>
              <w:left w:w="28" w:type="dxa"/>
              <w:right w:w="28" w:type="dxa"/>
            </w:tcMar>
            <w:vAlign w:val="center"/>
          </w:tcPr>
          <w:p>
            <w:pPr>
              <w:adjustRightInd w:val="0"/>
              <w:snapToGrid w:val="0"/>
              <w:jc w:val="center"/>
              <w:rPr>
                <w:sz w:val="24"/>
              </w:rPr>
            </w:pPr>
            <w:r>
              <w:br w:type="page"/>
            </w:r>
            <w:r>
              <w:rPr>
                <w:sz w:val="24"/>
              </w:rPr>
              <w:t>运营期生态环境影响分析</w:t>
            </w:r>
          </w:p>
        </w:tc>
        <w:tc>
          <w:tcPr>
            <w:tcW w:w="9431" w:type="dxa"/>
          </w:tcPr>
          <w:p>
            <w:pPr>
              <w:adjustRightInd w:val="0"/>
              <w:snapToGrid w:val="0"/>
              <w:spacing w:line="360" w:lineRule="auto"/>
              <w:ind w:firstLine="562" w:firstLineChars="200"/>
              <w:jc w:val="left"/>
              <w:rPr>
                <w:b/>
                <w:sz w:val="28"/>
                <w:szCs w:val="28"/>
              </w:rPr>
            </w:pPr>
            <w:r>
              <w:rPr>
                <w:b/>
                <w:sz w:val="28"/>
                <w:szCs w:val="28"/>
              </w:rPr>
              <w:t>4.4、运营期采矿工艺及产排污环节</w:t>
            </w:r>
          </w:p>
          <w:p>
            <w:pPr>
              <w:adjustRightInd w:val="0"/>
              <w:snapToGrid w:val="0"/>
              <w:spacing w:line="360" w:lineRule="auto"/>
              <w:ind w:firstLine="482" w:firstLineChars="200"/>
              <w:jc w:val="left"/>
              <w:rPr>
                <w:b/>
                <w:sz w:val="24"/>
              </w:rPr>
            </w:pPr>
            <w:r>
              <w:rPr>
                <w:b/>
                <w:sz w:val="24"/>
              </w:rPr>
              <w:t>（1）矿区采矿工艺及产排污环节</w:t>
            </w:r>
          </w:p>
          <w:p>
            <w:pPr>
              <w:adjustRightInd w:val="0"/>
              <w:snapToGrid w:val="0"/>
              <w:spacing w:line="360" w:lineRule="auto"/>
              <w:ind w:firstLine="480" w:firstLineChars="200"/>
              <w:jc w:val="left"/>
              <w:rPr>
                <w:sz w:val="24"/>
              </w:rPr>
            </w:pPr>
            <w:r>
              <w:rPr>
                <w:sz w:val="24"/>
              </w:rPr>
              <w:t>1）运营期采区采矿工艺流程如图4-2。</w:t>
            </w:r>
          </w:p>
          <w:p>
            <w:pPr>
              <w:adjustRightInd w:val="0"/>
              <w:snapToGrid w:val="0"/>
              <w:spacing w:line="360" w:lineRule="auto"/>
              <w:jc w:val="center"/>
              <w:rPr>
                <w:sz w:val="24"/>
              </w:rPr>
            </w:pPr>
            <w:r>
              <w:rPr>
                <w:rFonts w:hint="eastAsia"/>
              </w:rPr>
              <w:object>
                <v:shape id="_x0000_i1029" o:spt="75" type="#_x0000_t75" style="height:207.95pt;width:374.5pt;" o:ole="t" filled="f" o:preferrelative="t" stroked="f" coordsize="21600,21600">
                  <v:path/>
                  <v:fill on="f" focussize="0,0"/>
                  <v:stroke on="f" joinstyle="miter"/>
                  <v:imagedata r:id="rId29" o:title=""/>
                  <o:lock v:ext="edit" aspectratio="t"/>
                  <w10:wrap type="none"/>
                  <w10:anchorlock/>
                </v:shape>
                <o:OLEObject Type="Embed" ProgID="Visio.Drawing.15" ShapeID="_x0000_i1029" DrawAspect="Content" ObjectID="_1468075729" r:id="rId28">
                  <o:LockedField>false</o:LockedField>
                </o:OLEObject>
              </w:object>
            </w:r>
          </w:p>
          <w:p>
            <w:pPr>
              <w:adjustRightInd w:val="0"/>
              <w:snapToGrid w:val="0"/>
              <w:spacing w:line="360" w:lineRule="auto"/>
              <w:ind w:firstLine="420" w:firstLineChars="200"/>
              <w:jc w:val="left"/>
              <w:rPr>
                <w:szCs w:val="21"/>
              </w:rPr>
            </w:pPr>
            <w:r>
              <w:rPr>
                <w:szCs w:val="21"/>
              </w:rPr>
              <w:t>注：S为固废，W为废水，N为噪声，G为废气。</w:t>
            </w:r>
          </w:p>
          <w:p>
            <w:pPr>
              <w:adjustRightInd w:val="0"/>
              <w:snapToGrid w:val="0"/>
              <w:spacing w:line="360" w:lineRule="auto"/>
              <w:jc w:val="center"/>
              <w:rPr>
                <w:b/>
                <w:color w:val="0000FF"/>
                <w:sz w:val="24"/>
              </w:rPr>
            </w:pPr>
            <w:r>
              <w:rPr>
                <w:b/>
                <w:color w:val="0000FF"/>
                <w:sz w:val="24"/>
              </w:rPr>
              <w:t>图4-2  采区采矿工艺及产污流程图</w:t>
            </w:r>
          </w:p>
          <w:p>
            <w:pPr>
              <w:adjustRightInd w:val="0"/>
              <w:snapToGrid w:val="0"/>
              <w:spacing w:line="360" w:lineRule="auto"/>
              <w:ind w:firstLine="482" w:firstLineChars="200"/>
              <w:jc w:val="left"/>
              <w:rPr>
                <w:b/>
                <w:sz w:val="24"/>
              </w:rPr>
            </w:pPr>
            <w:r>
              <w:rPr>
                <w:b/>
                <w:sz w:val="24"/>
              </w:rPr>
              <w:t>工艺流程及产污环节：</w:t>
            </w:r>
          </w:p>
          <w:p>
            <w:pPr>
              <w:adjustRightInd w:val="0"/>
              <w:snapToGrid w:val="0"/>
              <w:spacing w:line="360" w:lineRule="auto"/>
              <w:ind w:firstLine="480" w:firstLineChars="200"/>
              <w:rPr>
                <w:sz w:val="24"/>
              </w:rPr>
            </w:pPr>
            <w:r>
              <w:rPr>
                <w:rFonts w:hint="eastAsia" w:ascii="宋体" w:hAnsi="宋体" w:cs="宋体"/>
                <w:sz w:val="24"/>
              </w:rPr>
              <w:t>①不可视边坡</w:t>
            </w:r>
            <w:r>
              <w:rPr>
                <w:sz w:val="24"/>
              </w:rPr>
              <w:t>剥离清表：根据拟建项目实际情况，采区首采面</w:t>
            </w:r>
            <w:r>
              <w:rPr>
                <w:rFonts w:hint="eastAsia"/>
                <w:sz w:val="24"/>
              </w:rPr>
              <w:t>剥顶</w:t>
            </w:r>
            <w:r>
              <w:rPr>
                <w:sz w:val="24"/>
              </w:rPr>
              <w:t>工序纳入施工期；</w:t>
            </w:r>
            <w:r>
              <w:rPr>
                <w:rFonts w:hint="eastAsia"/>
                <w:sz w:val="24"/>
              </w:rPr>
              <w:t>为避免开采期间可视，每级开采台阶开采方向均由矿区东侧向矿区中部推进，再由中部向北、西、南三侧推进，东侧边坡清理会产生剥离表土</w:t>
            </w:r>
            <w:r>
              <w:rPr>
                <w:sz w:val="24"/>
              </w:rPr>
              <w:t>S1</w:t>
            </w:r>
            <w:r>
              <w:rPr>
                <w:rFonts w:hint="eastAsia"/>
                <w:color w:val="0000FF"/>
                <w:sz w:val="24"/>
              </w:rPr>
              <w:t>、风化废石S2</w:t>
            </w:r>
            <w:r>
              <w:rPr>
                <w:color w:val="0000FF"/>
                <w:sz w:val="24"/>
              </w:rPr>
              <w:t>。</w:t>
            </w:r>
            <w:r>
              <w:rPr>
                <w:rFonts w:hint="eastAsia"/>
                <w:color w:val="0000FF"/>
                <w:sz w:val="24"/>
              </w:rPr>
              <w:t>表土剥离过程中耕作层、心土层也需分开剥离，第1台阶剥离</w:t>
            </w:r>
            <w:r>
              <w:rPr>
                <w:color w:val="0000FF"/>
                <w:sz w:val="24"/>
              </w:rPr>
              <w:t>表土</w:t>
            </w:r>
            <w:r>
              <w:rPr>
                <w:rFonts w:hint="eastAsia"/>
                <w:color w:val="0000FF"/>
                <w:sz w:val="24"/>
              </w:rPr>
              <w:t>层（耕作层、心土层）</w:t>
            </w:r>
            <w:r>
              <w:rPr>
                <w:color w:val="0000FF"/>
                <w:sz w:val="24"/>
              </w:rPr>
              <w:t>由车辆运至排土场</w:t>
            </w:r>
            <w:r>
              <w:rPr>
                <w:rFonts w:hint="eastAsia"/>
                <w:color w:val="0000FF"/>
                <w:sz w:val="24"/>
              </w:rPr>
              <w:t>内</w:t>
            </w:r>
            <w:r>
              <w:rPr>
                <w:color w:val="0000FF"/>
                <w:sz w:val="24"/>
              </w:rPr>
              <w:t>临时</w:t>
            </w:r>
            <w:r>
              <w:rPr>
                <w:rFonts w:hint="eastAsia"/>
                <w:color w:val="0000FF"/>
                <w:sz w:val="24"/>
              </w:rPr>
              <w:t>分区</w:t>
            </w:r>
            <w:r>
              <w:rPr>
                <w:color w:val="0000FF"/>
                <w:sz w:val="24"/>
              </w:rPr>
              <w:t>堆存</w:t>
            </w:r>
            <w:r>
              <w:rPr>
                <w:rFonts w:hint="eastAsia"/>
                <w:color w:val="0000FF"/>
                <w:sz w:val="24"/>
              </w:rPr>
              <w:t>；第1台阶剥离风化废石</w:t>
            </w:r>
            <w:r>
              <w:rPr>
                <w:sz w:val="24"/>
              </w:rPr>
              <w:t>由车辆运至</w:t>
            </w:r>
            <w:r>
              <w:rPr>
                <w:rFonts w:hint="eastAsia"/>
                <w:color w:val="0000FF"/>
                <w:sz w:val="24"/>
              </w:rPr>
              <w:t>弃渣场</w:t>
            </w:r>
            <w:r>
              <w:rPr>
                <w:rFonts w:hint="eastAsia"/>
                <w:sz w:val="24"/>
              </w:rPr>
              <w:t>内</w:t>
            </w:r>
            <w:r>
              <w:rPr>
                <w:sz w:val="24"/>
              </w:rPr>
              <w:t>临时堆存</w:t>
            </w:r>
            <w:r>
              <w:rPr>
                <w:rFonts w:hint="eastAsia"/>
                <w:color w:val="0000FF"/>
                <w:sz w:val="24"/>
              </w:rPr>
              <w:t>。</w:t>
            </w:r>
            <w:r>
              <w:rPr>
                <w:rFonts w:hint="eastAsia"/>
                <w:sz w:val="24"/>
              </w:rPr>
              <w:t>第2~5台阶剥离</w:t>
            </w:r>
            <w:r>
              <w:rPr>
                <w:sz w:val="24"/>
              </w:rPr>
              <w:t>表土</w:t>
            </w:r>
            <w:r>
              <w:rPr>
                <w:rFonts w:hint="eastAsia"/>
                <w:color w:val="0000FF"/>
                <w:sz w:val="24"/>
              </w:rPr>
              <w:t>层（耕作层、心土层）</w:t>
            </w:r>
            <w:r>
              <w:rPr>
                <w:rFonts w:hint="eastAsia"/>
                <w:sz w:val="24"/>
              </w:rPr>
              <w:t>、</w:t>
            </w:r>
            <w:r>
              <w:rPr>
                <w:rFonts w:hint="eastAsia"/>
                <w:color w:val="0000FF"/>
                <w:sz w:val="24"/>
              </w:rPr>
              <w:t>风化废石</w:t>
            </w:r>
            <w:r>
              <w:rPr>
                <w:rFonts w:hint="eastAsia"/>
                <w:sz w:val="24"/>
              </w:rPr>
              <w:t>均优先运至上一台阶绿化覆土</w:t>
            </w:r>
            <w:r>
              <w:rPr>
                <w:rFonts w:hint="eastAsia"/>
                <w:color w:val="0000FF"/>
                <w:sz w:val="24"/>
              </w:rPr>
              <w:t>（由下至上分别摊铺风化废石、心土层、耕作层）</w:t>
            </w:r>
            <w:r>
              <w:rPr>
                <w:rFonts w:hint="eastAsia"/>
                <w:sz w:val="24"/>
              </w:rPr>
              <w:t>，余方再分别</w:t>
            </w:r>
            <w:r>
              <w:rPr>
                <w:sz w:val="24"/>
              </w:rPr>
              <w:t>运至</w:t>
            </w:r>
            <w:r>
              <w:rPr>
                <w:rFonts w:hint="eastAsia"/>
                <w:color w:val="0000FF"/>
                <w:sz w:val="24"/>
              </w:rPr>
              <w:t>排土场、弃渣场</w:t>
            </w:r>
            <w:r>
              <w:rPr>
                <w:rFonts w:hint="eastAsia"/>
                <w:sz w:val="24"/>
              </w:rPr>
              <w:t>内</w:t>
            </w:r>
            <w:r>
              <w:rPr>
                <w:sz w:val="24"/>
              </w:rPr>
              <w:t>临时堆存</w:t>
            </w:r>
            <w:r>
              <w:rPr>
                <w:rFonts w:hint="eastAsia"/>
                <w:sz w:val="24"/>
              </w:rPr>
              <w:t>。此外，清理覆盖层前需将上方植被进行清理，清理的植被全部移栽至恢复治理区进行复绿或用于上一开采台阶复绿。</w:t>
            </w:r>
          </w:p>
          <w:p>
            <w:pPr>
              <w:adjustRightInd w:val="0"/>
              <w:snapToGrid w:val="0"/>
              <w:spacing w:line="360" w:lineRule="auto"/>
              <w:ind w:firstLine="480" w:firstLineChars="200"/>
              <w:rPr>
                <w:sz w:val="24"/>
              </w:rPr>
            </w:pPr>
            <w:r>
              <w:rPr>
                <w:rFonts w:hint="eastAsia" w:ascii="宋体" w:hAnsi="宋体" w:cs="宋体"/>
                <w:sz w:val="24"/>
              </w:rPr>
              <w:t>②</w:t>
            </w:r>
            <w:r>
              <w:rPr>
                <w:sz w:val="24"/>
              </w:rPr>
              <w:t>钻孔：拟建项目采用中深孔爆破，孔径90mm，孔深10～15m，底盘抵抗距1.5m，孔距1.2m，排距1.4m。采用中深孔潜孔钻机在台阶上钻孔。矿山边角矿体开采、场内修路、采准作业，配套采用凿岩机穿孔，此过程会产生噪声N2、</w:t>
            </w:r>
            <w:r>
              <w:rPr>
                <w:rFonts w:hint="eastAsia"/>
                <w:sz w:val="24"/>
              </w:rPr>
              <w:t>钻孔</w:t>
            </w:r>
            <w:r>
              <w:rPr>
                <w:sz w:val="24"/>
              </w:rPr>
              <w:t>粉尘G2。</w:t>
            </w:r>
          </w:p>
          <w:p>
            <w:pPr>
              <w:adjustRightInd w:val="0"/>
              <w:snapToGrid w:val="0"/>
              <w:spacing w:line="360" w:lineRule="auto"/>
              <w:ind w:firstLine="480" w:firstLineChars="200"/>
              <w:rPr>
                <w:sz w:val="24"/>
              </w:rPr>
            </w:pPr>
            <w:r>
              <w:rPr>
                <w:rFonts w:hint="eastAsia" w:ascii="宋体" w:hAnsi="宋体" w:cs="宋体"/>
                <w:sz w:val="24"/>
              </w:rPr>
              <w:t>③</w:t>
            </w:r>
            <w:r>
              <w:rPr>
                <w:sz w:val="24"/>
              </w:rPr>
              <w:t>装药：将适量起爆药包装入炮眼，并用略大于雷管直径的木质炮棍扎孔，将经电阻检查合格的雷管完全埋入药卷内且用雷管脚线与药卷固定好。起爆药卷装入底部且雷管凹底应朝向眼口，以形成反向爆破，提高爆破效果。采用岩石乳化炸药，单孔装药量1.35kg。</w:t>
            </w:r>
          </w:p>
          <w:p>
            <w:pPr>
              <w:adjustRightInd w:val="0"/>
              <w:snapToGrid w:val="0"/>
              <w:spacing w:line="360" w:lineRule="auto"/>
              <w:ind w:firstLine="480" w:firstLineChars="200"/>
              <w:rPr>
                <w:sz w:val="24"/>
              </w:rPr>
            </w:pPr>
            <w:r>
              <w:rPr>
                <w:rFonts w:hint="eastAsia" w:ascii="宋体" w:hAnsi="宋体" w:cs="宋体"/>
                <w:sz w:val="24"/>
              </w:rPr>
              <w:t>④</w:t>
            </w:r>
            <w:r>
              <w:rPr>
                <w:sz w:val="24"/>
              </w:rPr>
              <w:t>爆破：采用镭管产生的冲击波引爆，炸药在瞬时引爆分解并产生大量的热和气体进而增大压强而爆炸。采用多排孔微差松动爆破法，可提高爆破安全及减少爆破扬尘。根据</w:t>
            </w:r>
            <w:r>
              <w:rPr>
                <w:rFonts w:hint="eastAsia"/>
                <w:sz w:val="24"/>
              </w:rPr>
              <w:t>项目“安全设施设计”</w:t>
            </w:r>
            <w:r>
              <w:rPr>
                <w:sz w:val="24"/>
              </w:rPr>
              <w:t>，本项目将设置200m安全防护距离，防护距离内的</w:t>
            </w:r>
            <w:r>
              <w:rPr>
                <w:rFonts w:hint="eastAsia"/>
                <w:sz w:val="24"/>
              </w:rPr>
              <w:t>建筑物全部</w:t>
            </w:r>
            <w:r>
              <w:rPr>
                <w:sz w:val="24"/>
              </w:rPr>
              <w:t>腾空，爆破施工时对安全防护距离内的行人全部临时撤离，此过程会产生</w:t>
            </w:r>
            <w:r>
              <w:rPr>
                <w:rFonts w:hint="eastAsia"/>
                <w:sz w:val="24"/>
              </w:rPr>
              <w:t>爆破</w:t>
            </w:r>
            <w:r>
              <w:rPr>
                <w:sz w:val="24"/>
              </w:rPr>
              <w:t>噪声N</w:t>
            </w:r>
            <w:r>
              <w:rPr>
                <w:rFonts w:hint="eastAsia"/>
                <w:sz w:val="24"/>
              </w:rPr>
              <w:t>2</w:t>
            </w:r>
            <w:r>
              <w:rPr>
                <w:sz w:val="24"/>
              </w:rPr>
              <w:t>、爆破废气G3及粉尘G</w:t>
            </w:r>
            <w:r>
              <w:rPr>
                <w:rFonts w:hint="eastAsia"/>
                <w:sz w:val="24"/>
              </w:rPr>
              <w:t>4</w:t>
            </w:r>
            <w:r>
              <w:rPr>
                <w:sz w:val="24"/>
              </w:rPr>
              <w:t>。</w:t>
            </w:r>
          </w:p>
          <w:p>
            <w:pPr>
              <w:adjustRightInd w:val="0"/>
              <w:snapToGrid w:val="0"/>
              <w:spacing w:line="360" w:lineRule="auto"/>
              <w:ind w:firstLine="480" w:firstLineChars="200"/>
              <w:rPr>
                <w:sz w:val="24"/>
              </w:rPr>
            </w:pPr>
            <w:r>
              <w:rPr>
                <w:rFonts w:hint="eastAsia" w:ascii="宋体" w:hAnsi="宋体" w:cs="宋体"/>
                <w:sz w:val="24"/>
              </w:rPr>
              <w:t>⑤</w:t>
            </w:r>
            <w:r>
              <w:rPr>
                <w:sz w:val="24"/>
              </w:rPr>
              <w:t>剥离与铲装：用挖掘机将矿石表面少量碎屑散落物剥离，对爆堆进行分类规整、集堆等，并铲装至运输车。矿山边角矿体底根、修路、采准等作业采用挖掘机进行清理，此过程会产生</w:t>
            </w:r>
            <w:r>
              <w:rPr>
                <w:rFonts w:hint="eastAsia"/>
                <w:sz w:val="24"/>
              </w:rPr>
              <w:t>机械</w:t>
            </w:r>
            <w:r>
              <w:rPr>
                <w:sz w:val="24"/>
              </w:rPr>
              <w:t>噪声N</w:t>
            </w:r>
            <w:r>
              <w:rPr>
                <w:rFonts w:hint="eastAsia"/>
                <w:sz w:val="24"/>
              </w:rPr>
              <w:t>1</w:t>
            </w:r>
            <w:r>
              <w:rPr>
                <w:sz w:val="24"/>
              </w:rPr>
              <w:t>、机械</w:t>
            </w:r>
            <w:r>
              <w:rPr>
                <w:rFonts w:hint="eastAsia"/>
                <w:sz w:val="24"/>
              </w:rPr>
              <w:t>燃油</w:t>
            </w:r>
            <w:r>
              <w:rPr>
                <w:sz w:val="24"/>
              </w:rPr>
              <w:t>废气G</w:t>
            </w:r>
            <w:r>
              <w:rPr>
                <w:rFonts w:hint="eastAsia"/>
                <w:sz w:val="24"/>
              </w:rPr>
              <w:t>5</w:t>
            </w:r>
            <w:r>
              <w:rPr>
                <w:sz w:val="24"/>
              </w:rPr>
              <w:t>及</w:t>
            </w:r>
            <w:r>
              <w:rPr>
                <w:rFonts w:hint="eastAsia"/>
                <w:sz w:val="24"/>
              </w:rPr>
              <w:t>铲装</w:t>
            </w:r>
            <w:r>
              <w:rPr>
                <w:sz w:val="24"/>
              </w:rPr>
              <w:t>粉尘G</w:t>
            </w:r>
            <w:r>
              <w:rPr>
                <w:rFonts w:hint="eastAsia"/>
                <w:sz w:val="24"/>
              </w:rPr>
              <w:t>6</w:t>
            </w:r>
            <w:r>
              <w:rPr>
                <w:sz w:val="24"/>
              </w:rPr>
              <w:t>。</w:t>
            </w:r>
          </w:p>
          <w:p>
            <w:pPr>
              <w:adjustRightInd w:val="0"/>
              <w:snapToGrid w:val="0"/>
              <w:spacing w:line="360" w:lineRule="auto"/>
              <w:ind w:firstLine="480" w:firstLineChars="200"/>
              <w:rPr>
                <w:sz w:val="24"/>
              </w:rPr>
            </w:pPr>
            <w:r>
              <w:rPr>
                <w:rFonts w:hint="eastAsia" w:ascii="宋体" w:hAnsi="宋体" w:cs="宋体"/>
                <w:sz w:val="24"/>
              </w:rPr>
              <w:t>⑥</w:t>
            </w:r>
            <w:r>
              <w:rPr>
                <w:rFonts w:hint="eastAsia"/>
                <w:sz w:val="24"/>
              </w:rPr>
              <w:t>可视台阶清表：为避免开采期间采区可视，每级开采台阶的可视坡面均最后清理，此阶段会产生剥离表土</w:t>
            </w:r>
            <w:r>
              <w:rPr>
                <w:sz w:val="24"/>
              </w:rPr>
              <w:t>S1</w:t>
            </w:r>
            <w:r>
              <w:rPr>
                <w:rFonts w:hint="eastAsia"/>
                <w:color w:val="0000FF"/>
                <w:sz w:val="24"/>
              </w:rPr>
              <w:t>、风化废石S2</w:t>
            </w:r>
            <w:r>
              <w:rPr>
                <w:sz w:val="24"/>
              </w:rPr>
              <w:t>。</w:t>
            </w:r>
            <w:r>
              <w:rPr>
                <w:rFonts w:hint="eastAsia"/>
                <w:color w:val="0000FF"/>
                <w:sz w:val="24"/>
              </w:rPr>
              <w:t>第1台阶剥离</w:t>
            </w:r>
            <w:r>
              <w:rPr>
                <w:color w:val="0000FF"/>
                <w:sz w:val="24"/>
              </w:rPr>
              <w:t>表土</w:t>
            </w:r>
            <w:r>
              <w:rPr>
                <w:rFonts w:hint="eastAsia"/>
                <w:color w:val="0000FF"/>
                <w:sz w:val="24"/>
              </w:rPr>
              <w:t>层（耕作层、心土层）</w:t>
            </w:r>
            <w:r>
              <w:rPr>
                <w:color w:val="0000FF"/>
                <w:sz w:val="24"/>
              </w:rPr>
              <w:t>由车辆运至排土场</w:t>
            </w:r>
            <w:r>
              <w:rPr>
                <w:rFonts w:hint="eastAsia"/>
                <w:color w:val="0000FF"/>
                <w:sz w:val="24"/>
              </w:rPr>
              <w:t>内</w:t>
            </w:r>
            <w:r>
              <w:rPr>
                <w:color w:val="0000FF"/>
                <w:sz w:val="24"/>
              </w:rPr>
              <w:t>临时</w:t>
            </w:r>
            <w:r>
              <w:rPr>
                <w:rFonts w:hint="eastAsia"/>
                <w:color w:val="0000FF"/>
                <w:sz w:val="24"/>
              </w:rPr>
              <w:t>分区</w:t>
            </w:r>
            <w:r>
              <w:rPr>
                <w:color w:val="0000FF"/>
                <w:sz w:val="24"/>
              </w:rPr>
              <w:t>堆存</w:t>
            </w:r>
            <w:r>
              <w:rPr>
                <w:rFonts w:hint="eastAsia"/>
                <w:color w:val="0000FF"/>
                <w:sz w:val="24"/>
              </w:rPr>
              <w:t>；第1台阶剥离风化废石</w:t>
            </w:r>
            <w:r>
              <w:rPr>
                <w:color w:val="0000FF"/>
                <w:sz w:val="24"/>
              </w:rPr>
              <w:t>由车辆运至</w:t>
            </w:r>
            <w:r>
              <w:rPr>
                <w:rFonts w:hint="eastAsia"/>
                <w:color w:val="0000FF"/>
                <w:sz w:val="24"/>
              </w:rPr>
              <w:t>弃渣场内</w:t>
            </w:r>
            <w:r>
              <w:rPr>
                <w:color w:val="0000FF"/>
                <w:sz w:val="24"/>
              </w:rPr>
              <w:t>临时堆存</w:t>
            </w:r>
            <w:r>
              <w:rPr>
                <w:rFonts w:hint="eastAsia"/>
                <w:color w:val="0000FF"/>
                <w:sz w:val="24"/>
              </w:rPr>
              <w:t>。</w:t>
            </w:r>
            <w:r>
              <w:rPr>
                <w:rFonts w:hint="eastAsia"/>
                <w:sz w:val="24"/>
              </w:rPr>
              <w:t>第2~5台阶</w:t>
            </w:r>
            <w:r>
              <w:rPr>
                <w:rFonts w:hint="eastAsia"/>
                <w:color w:val="0000FF"/>
                <w:sz w:val="24"/>
              </w:rPr>
              <w:t>剥离</w:t>
            </w:r>
            <w:r>
              <w:rPr>
                <w:color w:val="0000FF"/>
                <w:sz w:val="24"/>
              </w:rPr>
              <w:t>表土</w:t>
            </w:r>
            <w:r>
              <w:rPr>
                <w:rFonts w:hint="eastAsia"/>
                <w:color w:val="0000FF"/>
                <w:sz w:val="24"/>
              </w:rPr>
              <w:t>层（耕作层、心土层）、风化废石均优先运至上一台阶绿化覆土（由下至上分别摊铺风化废石、心土层、耕作层），余方再分别</w:t>
            </w:r>
            <w:r>
              <w:rPr>
                <w:color w:val="0000FF"/>
                <w:sz w:val="24"/>
              </w:rPr>
              <w:t>运至</w:t>
            </w:r>
            <w:r>
              <w:rPr>
                <w:rFonts w:hint="eastAsia"/>
                <w:color w:val="0000FF"/>
                <w:sz w:val="24"/>
              </w:rPr>
              <w:t>排土场、弃渣场内</w:t>
            </w:r>
            <w:r>
              <w:rPr>
                <w:color w:val="0000FF"/>
                <w:sz w:val="24"/>
              </w:rPr>
              <w:t>临时堆存</w:t>
            </w:r>
            <w:r>
              <w:rPr>
                <w:rFonts w:hint="eastAsia"/>
                <w:sz w:val="24"/>
              </w:rPr>
              <w:t>。此外，北侧、南侧边坡清理覆盖层前需将上方植被进行清理，清理的植被全部移栽至恢复治理区进行复绿或用于上一开采台阶复绿；西侧边坡覆盖层主要为仿真绿叶网，揭开后，产生的仿真绿叶网</w:t>
            </w:r>
            <w:r>
              <w:rPr>
                <w:rFonts w:hint="eastAsia"/>
                <w:color w:val="0000FF"/>
                <w:sz w:val="24"/>
              </w:rPr>
              <w:t>S3</w:t>
            </w:r>
            <w:r>
              <w:rPr>
                <w:rFonts w:hint="eastAsia"/>
                <w:sz w:val="24"/>
              </w:rPr>
              <w:t>，可再次回收，用于采区其他暂未开采区域的临时苫盖。</w:t>
            </w:r>
          </w:p>
          <w:p>
            <w:pPr>
              <w:adjustRightInd w:val="0"/>
              <w:snapToGrid w:val="0"/>
              <w:spacing w:line="360" w:lineRule="auto"/>
              <w:ind w:firstLine="480" w:firstLineChars="200"/>
              <w:rPr>
                <w:sz w:val="24"/>
              </w:rPr>
            </w:pPr>
            <w:r>
              <w:rPr>
                <w:rFonts w:hint="eastAsia"/>
                <w:sz w:val="24"/>
              </w:rPr>
              <w:t>⑦</w:t>
            </w:r>
            <w:r>
              <w:rPr>
                <w:sz w:val="24"/>
              </w:rPr>
              <w:t>运输：项目开采的矿石通过运载汽车运输至工业广场进行</w:t>
            </w:r>
            <w:r>
              <w:rPr>
                <w:rFonts w:hint="eastAsia"/>
                <w:sz w:val="24"/>
              </w:rPr>
              <w:t>破碎</w:t>
            </w:r>
            <w:r>
              <w:rPr>
                <w:sz w:val="24"/>
              </w:rPr>
              <w:t>加工，此过程会产生</w:t>
            </w:r>
            <w:r>
              <w:rPr>
                <w:rFonts w:hint="eastAsia"/>
                <w:sz w:val="24"/>
              </w:rPr>
              <w:t>车辆运输</w:t>
            </w:r>
            <w:r>
              <w:rPr>
                <w:sz w:val="24"/>
              </w:rPr>
              <w:t>噪声N</w:t>
            </w:r>
            <w:r>
              <w:rPr>
                <w:rFonts w:hint="eastAsia"/>
                <w:sz w:val="24"/>
              </w:rPr>
              <w:t>1</w:t>
            </w:r>
            <w:r>
              <w:rPr>
                <w:sz w:val="24"/>
              </w:rPr>
              <w:t>、燃油尾气G</w:t>
            </w:r>
            <w:r>
              <w:rPr>
                <w:rFonts w:hint="eastAsia"/>
                <w:sz w:val="24"/>
              </w:rPr>
              <w:t>5</w:t>
            </w:r>
            <w:r>
              <w:rPr>
                <w:sz w:val="24"/>
              </w:rPr>
              <w:t>及</w:t>
            </w:r>
            <w:r>
              <w:rPr>
                <w:rFonts w:hint="eastAsia"/>
                <w:sz w:val="24"/>
              </w:rPr>
              <w:t>车辆运输</w:t>
            </w:r>
            <w:r>
              <w:rPr>
                <w:sz w:val="24"/>
              </w:rPr>
              <w:t>粉尘G</w:t>
            </w:r>
            <w:r>
              <w:rPr>
                <w:rFonts w:hint="eastAsia"/>
                <w:sz w:val="24"/>
              </w:rPr>
              <w:t>7</w:t>
            </w:r>
            <w:r>
              <w:rPr>
                <w:sz w:val="24"/>
              </w:rPr>
              <w:t>。</w:t>
            </w:r>
          </w:p>
          <w:p>
            <w:pPr>
              <w:adjustRightInd w:val="0"/>
              <w:snapToGrid w:val="0"/>
              <w:spacing w:line="360" w:lineRule="auto"/>
              <w:ind w:firstLine="562" w:firstLineChars="200"/>
              <w:rPr>
                <w:b/>
                <w:sz w:val="28"/>
                <w:szCs w:val="28"/>
              </w:rPr>
            </w:pPr>
            <w:r>
              <w:rPr>
                <w:b/>
                <w:sz w:val="28"/>
                <w:szCs w:val="28"/>
              </w:rPr>
              <w:t>4.5、矿山剥离物排弃计划</w:t>
            </w:r>
          </w:p>
          <w:p>
            <w:pPr>
              <w:adjustRightInd w:val="0"/>
              <w:snapToGrid w:val="0"/>
              <w:spacing w:line="360" w:lineRule="auto"/>
              <w:ind w:firstLine="480" w:firstLineChars="200"/>
              <w:rPr>
                <w:sz w:val="24"/>
              </w:rPr>
            </w:pPr>
            <w:r>
              <w:rPr>
                <w:sz w:val="24"/>
              </w:rPr>
              <w:t>根据项目</w:t>
            </w:r>
            <w:r>
              <w:rPr>
                <w:rFonts w:ascii="宋体" w:hAnsi="宋体"/>
                <w:bCs/>
                <w:sz w:val="24"/>
              </w:rPr>
              <w:t>“开发利用方案”</w:t>
            </w:r>
            <w:r>
              <w:rPr>
                <w:sz w:val="24"/>
              </w:rPr>
              <w:t>，项目</w:t>
            </w:r>
            <w:r>
              <w:rPr>
                <w:rFonts w:hint="eastAsia"/>
                <w:sz w:val="24"/>
              </w:rPr>
              <w:t>施工占地</w:t>
            </w:r>
            <w:r>
              <w:rPr>
                <w:sz w:val="24"/>
              </w:rPr>
              <w:t>剥离</w:t>
            </w:r>
            <w:r>
              <w:rPr>
                <w:kern w:val="0"/>
                <w:sz w:val="24"/>
              </w:rPr>
              <w:t>表土</w:t>
            </w:r>
            <w:r>
              <w:rPr>
                <w:rFonts w:hint="eastAsia"/>
                <w:kern w:val="0"/>
                <w:sz w:val="24"/>
              </w:rPr>
              <w:t>层</w:t>
            </w:r>
            <w:r>
              <w:rPr>
                <w:sz w:val="24"/>
              </w:rPr>
              <w:t>约</w:t>
            </w:r>
            <w:r>
              <w:rPr>
                <w:rFonts w:hint="eastAsia"/>
                <w:sz w:val="24"/>
              </w:rPr>
              <w:t>1950</w:t>
            </w:r>
            <w:r>
              <w:rPr>
                <w:sz w:val="24"/>
              </w:rPr>
              <w:t>m</w:t>
            </w:r>
            <w:r>
              <w:rPr>
                <w:sz w:val="24"/>
                <w:vertAlign w:val="superscript"/>
              </w:rPr>
              <w:t>3</w:t>
            </w:r>
            <w:r>
              <w:rPr>
                <w:rFonts w:hint="eastAsia"/>
                <w:sz w:val="24"/>
              </w:rPr>
              <w:t>，该阶段剥离的表土全部运至</w:t>
            </w:r>
            <w:r>
              <w:rPr>
                <w:rFonts w:hint="eastAsia"/>
                <w:kern w:val="0"/>
                <w:sz w:val="24"/>
              </w:rPr>
              <w:t>恢复治理区裸岩区域作为绿化覆土</w:t>
            </w:r>
            <w:r>
              <w:rPr>
                <w:rFonts w:hint="eastAsia"/>
                <w:sz w:val="24"/>
              </w:rPr>
              <w:t>。</w:t>
            </w:r>
          </w:p>
          <w:p>
            <w:pPr>
              <w:adjustRightInd w:val="0"/>
              <w:snapToGrid w:val="0"/>
              <w:spacing w:line="360" w:lineRule="auto"/>
              <w:ind w:firstLine="480" w:firstLineChars="200"/>
              <w:rPr>
                <w:sz w:val="24"/>
              </w:rPr>
            </w:pPr>
            <w:r>
              <w:rPr>
                <w:rFonts w:hint="eastAsia"/>
                <w:color w:val="0000FF"/>
                <w:sz w:val="24"/>
              </w:rPr>
              <w:t>另</w:t>
            </w:r>
            <w:r>
              <w:rPr>
                <w:sz w:val="24"/>
              </w:rPr>
              <w:t>根据项目</w:t>
            </w:r>
            <w:r>
              <w:rPr>
                <w:rFonts w:ascii="宋体" w:hAnsi="宋体"/>
                <w:bCs/>
                <w:sz w:val="24"/>
              </w:rPr>
              <w:t>“开发利用方案”</w:t>
            </w:r>
            <w:r>
              <w:rPr>
                <w:sz w:val="24"/>
              </w:rPr>
              <w:t>，</w:t>
            </w:r>
            <w:r>
              <w:rPr>
                <w:rFonts w:hint="eastAsia"/>
                <w:sz w:val="24"/>
              </w:rPr>
              <w:t>开采期，采区表土剥离面积约1.65hn</w:t>
            </w:r>
            <w:r>
              <w:rPr>
                <w:rFonts w:hint="eastAsia"/>
                <w:sz w:val="24"/>
                <w:vertAlign w:val="superscript"/>
              </w:rPr>
              <w:t>2</w:t>
            </w:r>
            <w:r>
              <w:rPr>
                <w:rFonts w:hint="eastAsia"/>
                <w:sz w:val="24"/>
              </w:rPr>
              <w:t>，平均厚度1.5m，</w:t>
            </w:r>
            <w:r>
              <w:rPr>
                <w:rFonts w:hint="eastAsia"/>
                <w:color w:val="0000FF"/>
                <w:sz w:val="24"/>
              </w:rPr>
              <w:t>其中耕作层厚度约0.3m，</w:t>
            </w:r>
            <w:r>
              <w:rPr>
                <w:rFonts w:hint="eastAsia"/>
                <w:sz w:val="24"/>
              </w:rPr>
              <w:t>则表土</w:t>
            </w:r>
            <w:r>
              <w:rPr>
                <w:rFonts w:hint="eastAsia"/>
                <w:color w:val="0000FF"/>
                <w:sz w:val="24"/>
              </w:rPr>
              <w:t>层</w:t>
            </w:r>
            <w:r>
              <w:rPr>
                <w:rFonts w:hint="eastAsia"/>
                <w:sz w:val="24"/>
              </w:rPr>
              <w:t>剥离</w:t>
            </w:r>
            <w:r>
              <w:rPr>
                <w:rFonts w:hint="eastAsia"/>
                <w:color w:val="0000FF"/>
                <w:sz w:val="24"/>
              </w:rPr>
              <w:t>总</w:t>
            </w:r>
            <w:r>
              <w:rPr>
                <w:rFonts w:hint="eastAsia"/>
                <w:sz w:val="24"/>
              </w:rPr>
              <w:t>量为24750</w:t>
            </w:r>
            <w:r>
              <w:rPr>
                <w:sz w:val="24"/>
              </w:rPr>
              <w:t>m</w:t>
            </w:r>
            <w:r>
              <w:rPr>
                <w:sz w:val="24"/>
                <w:vertAlign w:val="superscript"/>
              </w:rPr>
              <w:t>3</w:t>
            </w:r>
            <w:r>
              <w:rPr>
                <w:rFonts w:hint="eastAsia"/>
                <w:color w:val="0000FF"/>
                <w:sz w:val="24"/>
              </w:rPr>
              <w:t>（耕作层4950</w:t>
            </w:r>
            <w:r>
              <w:rPr>
                <w:color w:val="0000FF"/>
                <w:sz w:val="24"/>
              </w:rPr>
              <w:t>m</w:t>
            </w:r>
            <w:r>
              <w:rPr>
                <w:color w:val="0000FF"/>
                <w:sz w:val="24"/>
                <w:vertAlign w:val="superscript"/>
              </w:rPr>
              <w:t>3</w:t>
            </w:r>
            <w:r>
              <w:rPr>
                <w:rFonts w:hint="eastAsia"/>
                <w:color w:val="0000FF"/>
                <w:sz w:val="24"/>
              </w:rPr>
              <w:t>、心土层19800</w:t>
            </w:r>
            <w:r>
              <w:rPr>
                <w:color w:val="0000FF"/>
                <w:sz w:val="24"/>
              </w:rPr>
              <w:t>m</w:t>
            </w:r>
            <w:r>
              <w:rPr>
                <w:color w:val="0000FF"/>
                <w:sz w:val="24"/>
                <w:vertAlign w:val="superscript"/>
              </w:rPr>
              <w:t>3</w:t>
            </w:r>
            <w:r>
              <w:rPr>
                <w:rFonts w:hint="eastAsia"/>
                <w:color w:val="0000FF"/>
                <w:sz w:val="24"/>
              </w:rPr>
              <w:t>）</w:t>
            </w:r>
            <w:r>
              <w:rPr>
                <w:rFonts w:hint="eastAsia"/>
                <w:sz w:val="24"/>
              </w:rPr>
              <w:t>。项目采用“边开采、边复垦”的方式进行开采，</w:t>
            </w:r>
            <w:r>
              <w:rPr>
                <w:rFonts w:hint="eastAsia"/>
                <w:color w:val="0000FF"/>
                <w:sz w:val="24"/>
              </w:rPr>
              <w:t>第1台阶</w:t>
            </w:r>
            <w:r>
              <w:rPr>
                <w:color w:val="0000FF"/>
                <w:sz w:val="24"/>
              </w:rPr>
              <w:t>表土</w:t>
            </w:r>
            <w:r>
              <w:rPr>
                <w:rFonts w:hint="eastAsia"/>
                <w:color w:val="0000FF"/>
                <w:sz w:val="24"/>
              </w:rPr>
              <w:t>层中耕作层、心土层分开剥离后</w:t>
            </w:r>
            <w:r>
              <w:rPr>
                <w:color w:val="0000FF"/>
                <w:sz w:val="24"/>
              </w:rPr>
              <w:t>由车辆运至排土场</w:t>
            </w:r>
            <w:r>
              <w:rPr>
                <w:rFonts w:hint="eastAsia"/>
                <w:color w:val="0000FF"/>
                <w:sz w:val="24"/>
              </w:rPr>
              <w:t>内</w:t>
            </w:r>
            <w:r>
              <w:rPr>
                <w:color w:val="0000FF"/>
                <w:sz w:val="24"/>
              </w:rPr>
              <w:t>临时</w:t>
            </w:r>
            <w:r>
              <w:rPr>
                <w:rFonts w:hint="eastAsia"/>
                <w:color w:val="0000FF"/>
                <w:sz w:val="24"/>
              </w:rPr>
              <w:t>分区</w:t>
            </w:r>
            <w:r>
              <w:rPr>
                <w:color w:val="0000FF"/>
                <w:sz w:val="24"/>
              </w:rPr>
              <w:t>堆存</w:t>
            </w:r>
            <w:r>
              <w:rPr>
                <w:rFonts w:hint="eastAsia"/>
                <w:color w:val="0000FF"/>
                <w:sz w:val="24"/>
              </w:rPr>
              <w:t>；</w:t>
            </w:r>
            <w:r>
              <w:rPr>
                <w:rFonts w:hint="eastAsia"/>
                <w:sz w:val="24"/>
              </w:rPr>
              <w:t>第2~5台阶</w:t>
            </w:r>
            <w:r>
              <w:rPr>
                <w:rFonts w:hint="eastAsia"/>
                <w:color w:val="0000FF"/>
                <w:sz w:val="24"/>
              </w:rPr>
              <w:t>剥离的</w:t>
            </w:r>
            <w:r>
              <w:rPr>
                <w:color w:val="0000FF"/>
                <w:sz w:val="24"/>
              </w:rPr>
              <w:t>表土</w:t>
            </w:r>
            <w:r>
              <w:rPr>
                <w:rFonts w:hint="eastAsia"/>
                <w:color w:val="0000FF"/>
                <w:sz w:val="24"/>
              </w:rPr>
              <w:t>层（耕作层、心土层）优先运至上一台阶绿化覆土，余方再</w:t>
            </w:r>
            <w:r>
              <w:rPr>
                <w:color w:val="0000FF"/>
                <w:sz w:val="24"/>
              </w:rPr>
              <w:t>运至</w:t>
            </w:r>
            <w:r>
              <w:rPr>
                <w:rFonts w:hint="eastAsia"/>
                <w:color w:val="0000FF"/>
                <w:sz w:val="24"/>
              </w:rPr>
              <w:t>排土场</w:t>
            </w:r>
            <w:r>
              <w:rPr>
                <w:color w:val="0000FF"/>
                <w:sz w:val="24"/>
              </w:rPr>
              <w:t>临时</w:t>
            </w:r>
            <w:r>
              <w:rPr>
                <w:rFonts w:hint="eastAsia"/>
                <w:color w:val="0000FF"/>
                <w:sz w:val="24"/>
              </w:rPr>
              <w:t>分区</w:t>
            </w:r>
            <w:r>
              <w:rPr>
                <w:color w:val="0000FF"/>
                <w:sz w:val="24"/>
              </w:rPr>
              <w:t>堆存</w:t>
            </w:r>
            <w:r>
              <w:rPr>
                <w:rFonts w:hint="eastAsia"/>
                <w:sz w:val="24"/>
              </w:rPr>
              <w:t>。</w:t>
            </w:r>
          </w:p>
          <w:p>
            <w:pPr>
              <w:adjustRightInd w:val="0"/>
              <w:snapToGrid w:val="0"/>
              <w:spacing w:line="360" w:lineRule="auto"/>
              <w:ind w:firstLine="480" w:firstLineChars="200"/>
              <w:rPr>
                <w:sz w:val="24"/>
              </w:rPr>
            </w:pPr>
            <w:r>
              <w:rPr>
                <w:rFonts w:hint="eastAsia"/>
                <w:sz w:val="24"/>
              </w:rPr>
              <w:t>项目矿种为</w:t>
            </w:r>
            <w:r>
              <w:rPr>
                <w:rFonts w:hint="eastAsia"/>
                <w:color w:val="0000FF"/>
                <w:sz w:val="24"/>
              </w:rPr>
              <w:t>建筑石料</w:t>
            </w:r>
            <w:r>
              <w:rPr>
                <w:rFonts w:hint="eastAsia"/>
                <w:sz w:val="24"/>
              </w:rPr>
              <w:t>用灰岩，采区矿层上方因与表土层接触，在外部形成约15cm厚风化壳，该风化壳</w:t>
            </w:r>
            <w:r>
              <w:rPr>
                <w:rFonts w:hint="eastAsia"/>
                <w:color w:val="0000FF"/>
                <w:kern w:val="0"/>
                <w:sz w:val="24"/>
              </w:rPr>
              <w:t>质软，达不到建筑石料的要求，需做废石予以剔除，剔除量约2475</w:t>
            </w:r>
            <w:r>
              <w:rPr>
                <w:color w:val="0000FF"/>
                <w:sz w:val="24"/>
              </w:rPr>
              <w:t>m</w:t>
            </w:r>
            <w:r>
              <w:rPr>
                <w:color w:val="0000FF"/>
                <w:sz w:val="24"/>
                <w:vertAlign w:val="superscript"/>
              </w:rPr>
              <w:t>3</w:t>
            </w:r>
            <w:r>
              <w:rPr>
                <w:rFonts w:hint="eastAsia"/>
                <w:color w:val="0000FF"/>
                <w:sz w:val="24"/>
              </w:rPr>
              <w:t>，第1台阶剥离风化废石</w:t>
            </w:r>
            <w:r>
              <w:rPr>
                <w:color w:val="0000FF"/>
                <w:sz w:val="24"/>
              </w:rPr>
              <w:t>由车辆运至</w:t>
            </w:r>
            <w:r>
              <w:rPr>
                <w:rFonts w:hint="eastAsia"/>
                <w:color w:val="0000FF"/>
                <w:sz w:val="24"/>
              </w:rPr>
              <w:t>弃渣场内</w:t>
            </w:r>
            <w:r>
              <w:rPr>
                <w:color w:val="0000FF"/>
                <w:sz w:val="24"/>
              </w:rPr>
              <w:t>临时堆存</w:t>
            </w:r>
            <w:r>
              <w:rPr>
                <w:rFonts w:hint="eastAsia"/>
                <w:color w:val="0000FF"/>
                <w:sz w:val="24"/>
              </w:rPr>
              <w:t>。</w:t>
            </w:r>
            <w:r>
              <w:rPr>
                <w:rFonts w:hint="eastAsia"/>
                <w:sz w:val="24"/>
              </w:rPr>
              <w:t>第2~5台阶</w:t>
            </w:r>
            <w:r>
              <w:rPr>
                <w:rFonts w:hint="eastAsia"/>
                <w:color w:val="0000FF"/>
                <w:sz w:val="24"/>
              </w:rPr>
              <w:t>剥离风化废石均优先运至上一台阶回填，需回填至台阶最底部，余方再</w:t>
            </w:r>
            <w:r>
              <w:rPr>
                <w:color w:val="0000FF"/>
                <w:sz w:val="24"/>
              </w:rPr>
              <w:t>运至</w:t>
            </w:r>
            <w:r>
              <w:rPr>
                <w:rFonts w:hint="eastAsia"/>
                <w:color w:val="0000FF"/>
                <w:sz w:val="24"/>
              </w:rPr>
              <w:t>弃渣场内</w:t>
            </w:r>
            <w:r>
              <w:rPr>
                <w:color w:val="0000FF"/>
                <w:sz w:val="24"/>
              </w:rPr>
              <w:t>临时堆存</w:t>
            </w:r>
            <w:r>
              <w:rPr>
                <w:rFonts w:hint="eastAsia"/>
                <w:color w:val="0000FF"/>
                <w:sz w:val="24"/>
              </w:rPr>
              <w:t>。</w:t>
            </w:r>
          </w:p>
          <w:p>
            <w:pPr>
              <w:adjustRightInd w:val="0"/>
              <w:snapToGrid w:val="0"/>
              <w:spacing w:line="360" w:lineRule="auto"/>
              <w:ind w:firstLine="480" w:firstLineChars="200"/>
              <w:rPr>
                <w:sz w:val="24"/>
              </w:rPr>
            </w:pPr>
            <w:r>
              <w:rPr>
                <w:color w:val="0000FF"/>
                <w:sz w:val="24"/>
              </w:rPr>
              <w:t>项目</w:t>
            </w:r>
            <w:r>
              <w:rPr>
                <w:rFonts w:hint="eastAsia"/>
                <w:color w:val="0000FF"/>
                <w:kern w:val="0"/>
                <w:sz w:val="24"/>
              </w:rPr>
              <w:t>设排土场1</w:t>
            </w:r>
            <w:r>
              <w:rPr>
                <w:color w:val="0000FF"/>
                <w:kern w:val="0"/>
                <w:sz w:val="24"/>
              </w:rPr>
              <w:t>座，</w:t>
            </w:r>
            <w:r>
              <w:rPr>
                <w:rFonts w:hint="eastAsia"/>
                <w:color w:val="0000FF"/>
                <w:kern w:val="0"/>
                <w:sz w:val="24"/>
              </w:rPr>
              <w:t>占地2826</w:t>
            </w:r>
            <w:r>
              <w:rPr>
                <w:color w:val="0000FF"/>
                <w:kern w:val="0"/>
                <w:sz w:val="24"/>
              </w:rPr>
              <w:t>m</w:t>
            </w:r>
            <w:r>
              <w:rPr>
                <w:color w:val="0000FF"/>
                <w:kern w:val="0"/>
                <w:sz w:val="24"/>
                <w:vertAlign w:val="superscript"/>
              </w:rPr>
              <w:t>2</w:t>
            </w:r>
            <w:r>
              <w:rPr>
                <w:rFonts w:hint="eastAsia"/>
                <w:color w:val="0000FF"/>
                <w:kern w:val="0"/>
                <w:sz w:val="24"/>
              </w:rPr>
              <w:t>，设计堆存容量25147m</w:t>
            </w:r>
            <w:r>
              <w:rPr>
                <w:rFonts w:hint="eastAsia"/>
                <w:color w:val="0000FF"/>
                <w:kern w:val="0"/>
                <w:sz w:val="24"/>
                <w:vertAlign w:val="superscript"/>
              </w:rPr>
              <w:t>3</w:t>
            </w:r>
            <w:r>
              <w:rPr>
                <w:rFonts w:hint="eastAsia"/>
                <w:color w:val="0000FF"/>
                <w:kern w:val="0"/>
                <w:sz w:val="24"/>
              </w:rPr>
              <w:t>，</w:t>
            </w:r>
            <w:r>
              <w:rPr>
                <w:rFonts w:hint="eastAsia"/>
                <w:kern w:val="0"/>
                <w:sz w:val="24"/>
              </w:rPr>
              <w:t>已高于开采期间表土剥离总量（</w:t>
            </w:r>
            <w:r>
              <w:rPr>
                <w:rFonts w:hint="eastAsia"/>
                <w:sz w:val="24"/>
              </w:rPr>
              <w:t>24750</w:t>
            </w:r>
            <w:r>
              <w:rPr>
                <w:sz w:val="24"/>
              </w:rPr>
              <w:t>m</w:t>
            </w:r>
            <w:r>
              <w:rPr>
                <w:sz w:val="24"/>
                <w:vertAlign w:val="superscript"/>
              </w:rPr>
              <w:t>3</w:t>
            </w:r>
            <w:r>
              <w:rPr>
                <w:rFonts w:hint="eastAsia"/>
                <w:kern w:val="0"/>
                <w:sz w:val="24"/>
              </w:rPr>
              <w:t>）；</w:t>
            </w:r>
            <w:r>
              <w:rPr>
                <w:color w:val="0000FF"/>
                <w:sz w:val="24"/>
              </w:rPr>
              <w:t>项目</w:t>
            </w:r>
            <w:r>
              <w:rPr>
                <w:rFonts w:hint="eastAsia"/>
                <w:color w:val="0000FF"/>
                <w:kern w:val="0"/>
                <w:sz w:val="24"/>
              </w:rPr>
              <w:t>设弃渣场1</w:t>
            </w:r>
            <w:r>
              <w:rPr>
                <w:color w:val="0000FF"/>
                <w:kern w:val="0"/>
                <w:sz w:val="24"/>
              </w:rPr>
              <w:t>座，</w:t>
            </w:r>
            <w:r>
              <w:rPr>
                <w:rFonts w:hint="eastAsia"/>
                <w:color w:val="0000FF"/>
                <w:kern w:val="0"/>
                <w:sz w:val="24"/>
              </w:rPr>
              <w:t>占地1419</w:t>
            </w:r>
            <w:r>
              <w:rPr>
                <w:color w:val="0000FF"/>
                <w:kern w:val="0"/>
                <w:sz w:val="24"/>
              </w:rPr>
              <w:t>m</w:t>
            </w:r>
            <w:r>
              <w:rPr>
                <w:color w:val="0000FF"/>
                <w:kern w:val="0"/>
                <w:sz w:val="24"/>
                <w:vertAlign w:val="superscript"/>
              </w:rPr>
              <w:t>2</w:t>
            </w:r>
            <w:r>
              <w:rPr>
                <w:rFonts w:hint="eastAsia"/>
                <w:color w:val="0000FF"/>
                <w:kern w:val="0"/>
                <w:sz w:val="24"/>
              </w:rPr>
              <w:t>，设计堆存余量</w:t>
            </w:r>
            <w:r>
              <w:rPr>
                <w:color w:val="0000FF"/>
                <w:kern w:val="0"/>
                <w:sz w:val="24"/>
              </w:rPr>
              <w:t>4595</w:t>
            </w:r>
            <w:r>
              <w:rPr>
                <w:rFonts w:hint="eastAsia"/>
                <w:color w:val="0000FF"/>
                <w:kern w:val="0"/>
                <w:sz w:val="24"/>
              </w:rPr>
              <w:t>m</w:t>
            </w:r>
            <w:r>
              <w:rPr>
                <w:rFonts w:hint="eastAsia"/>
                <w:color w:val="0000FF"/>
                <w:kern w:val="0"/>
                <w:sz w:val="24"/>
                <w:vertAlign w:val="superscript"/>
              </w:rPr>
              <w:t>3</w:t>
            </w:r>
            <w:r>
              <w:rPr>
                <w:rFonts w:hint="eastAsia"/>
                <w:color w:val="0000FF"/>
                <w:kern w:val="0"/>
                <w:sz w:val="24"/>
              </w:rPr>
              <w:t>，</w:t>
            </w:r>
            <w:r>
              <w:rPr>
                <w:rFonts w:hint="eastAsia"/>
                <w:kern w:val="0"/>
                <w:sz w:val="24"/>
              </w:rPr>
              <w:t>已高于开采期间风化废石剔除总量（</w:t>
            </w:r>
            <w:r>
              <w:rPr>
                <w:rFonts w:hint="eastAsia"/>
                <w:color w:val="0000FF"/>
                <w:kern w:val="0"/>
                <w:sz w:val="24"/>
              </w:rPr>
              <w:t>2475</w:t>
            </w:r>
            <w:r>
              <w:rPr>
                <w:sz w:val="24"/>
              </w:rPr>
              <w:t>m</w:t>
            </w:r>
            <w:r>
              <w:rPr>
                <w:sz w:val="24"/>
                <w:vertAlign w:val="superscript"/>
              </w:rPr>
              <w:t>3</w:t>
            </w:r>
            <w:r>
              <w:rPr>
                <w:rFonts w:hint="eastAsia"/>
                <w:kern w:val="0"/>
                <w:sz w:val="24"/>
              </w:rPr>
              <w:t>），则项目开采期间，即使不采用</w:t>
            </w:r>
            <w:r>
              <w:rPr>
                <w:rFonts w:hint="eastAsia"/>
                <w:sz w:val="24"/>
              </w:rPr>
              <w:t>“边开采、边复垦”的方式进行开采，</w:t>
            </w:r>
            <w:r>
              <w:rPr>
                <w:sz w:val="24"/>
              </w:rPr>
              <w:t>拟建项目规划的排土场</w:t>
            </w:r>
            <w:r>
              <w:rPr>
                <w:rFonts w:hint="eastAsia"/>
                <w:sz w:val="24"/>
              </w:rPr>
              <w:t>、弃渣场</w:t>
            </w:r>
            <w:r>
              <w:rPr>
                <w:sz w:val="24"/>
              </w:rPr>
              <w:t>设计容量</w:t>
            </w:r>
            <w:r>
              <w:rPr>
                <w:rFonts w:hint="eastAsia"/>
                <w:sz w:val="24"/>
              </w:rPr>
              <w:t>也</w:t>
            </w:r>
            <w:r>
              <w:rPr>
                <w:sz w:val="24"/>
              </w:rPr>
              <w:t>满足</w:t>
            </w:r>
            <w:r>
              <w:rPr>
                <w:rFonts w:hint="eastAsia"/>
                <w:sz w:val="24"/>
              </w:rPr>
              <w:t>表土</w:t>
            </w:r>
            <w:r>
              <w:rPr>
                <w:rFonts w:hint="eastAsia"/>
                <w:color w:val="0000FF"/>
                <w:sz w:val="24"/>
              </w:rPr>
              <w:t>、风化废石</w:t>
            </w:r>
            <w:r>
              <w:rPr>
                <w:rFonts w:hint="eastAsia"/>
                <w:sz w:val="24"/>
              </w:rPr>
              <w:t>的临时暂存</w:t>
            </w:r>
            <w:r>
              <w:rPr>
                <w:sz w:val="24"/>
              </w:rPr>
              <w:t>，其暂存方案可行。</w:t>
            </w:r>
          </w:p>
          <w:p>
            <w:pPr>
              <w:adjustRightInd w:val="0"/>
              <w:snapToGrid w:val="0"/>
              <w:spacing w:line="360" w:lineRule="auto"/>
              <w:ind w:firstLine="562" w:firstLineChars="200"/>
              <w:rPr>
                <w:b/>
                <w:sz w:val="28"/>
                <w:szCs w:val="28"/>
              </w:rPr>
            </w:pPr>
            <w:r>
              <w:rPr>
                <w:b/>
                <w:sz w:val="28"/>
                <w:szCs w:val="28"/>
              </w:rPr>
              <w:t>4.6、矿区防排水方案</w:t>
            </w:r>
          </w:p>
          <w:p>
            <w:pPr>
              <w:adjustRightInd w:val="0"/>
              <w:snapToGrid w:val="0"/>
              <w:spacing w:line="360" w:lineRule="auto"/>
              <w:ind w:firstLine="480" w:firstLineChars="200"/>
              <w:rPr>
                <w:sz w:val="24"/>
              </w:rPr>
            </w:pPr>
            <w:r>
              <w:rPr>
                <w:sz w:val="24"/>
              </w:rPr>
              <w:t>所采矿石局部出露地表，表土层较薄，矿区水文地质简单，主要是防治地表大气降水。矿山开采过程中贯彻执</w:t>
            </w:r>
            <w:r>
              <w:rPr>
                <w:rFonts w:ascii="宋体" w:hAnsi="宋体"/>
                <w:sz w:val="24"/>
              </w:rPr>
              <w:t>行“以防为主、防排结合”的</w:t>
            </w:r>
            <w:r>
              <w:rPr>
                <w:sz w:val="24"/>
              </w:rPr>
              <w:t>原则，制定防排水措施，并定期检查措施执行情况。</w:t>
            </w:r>
          </w:p>
          <w:p>
            <w:pPr>
              <w:adjustRightInd w:val="0"/>
              <w:snapToGrid w:val="0"/>
              <w:spacing w:line="360" w:lineRule="auto"/>
              <w:ind w:firstLine="480" w:firstLineChars="200"/>
              <w:rPr>
                <w:sz w:val="24"/>
              </w:rPr>
            </w:pPr>
            <w:r>
              <w:rPr>
                <w:sz w:val="24"/>
              </w:rPr>
              <w:t>根据区域地势，</w:t>
            </w:r>
            <w:r>
              <w:rPr>
                <w:rFonts w:hint="eastAsia"/>
                <w:sz w:val="24"/>
              </w:rPr>
              <w:t>在矿区西北侧布设约365</w:t>
            </w:r>
            <w:r>
              <w:rPr>
                <w:bCs/>
                <w:sz w:val="24"/>
              </w:rPr>
              <w:t>m截洪沟</w:t>
            </w:r>
            <w:r>
              <w:rPr>
                <w:rFonts w:hint="eastAsia"/>
                <w:bCs/>
                <w:sz w:val="24"/>
              </w:rPr>
              <w:t>，截挡外部雨水；在矿区其他侧、场内运输道路单边、工业广场东侧及南侧共布设约9</w:t>
            </w:r>
            <w:r>
              <w:rPr>
                <w:bCs/>
                <w:sz w:val="24"/>
              </w:rPr>
              <w:t>00m排水沟</w:t>
            </w:r>
            <w:r>
              <w:rPr>
                <w:rFonts w:hint="eastAsia"/>
                <w:bCs/>
                <w:sz w:val="24"/>
              </w:rPr>
              <w:t>，</w:t>
            </w:r>
            <w:r>
              <w:rPr>
                <w:bCs/>
                <w:sz w:val="24"/>
              </w:rPr>
              <w:t>排水沟</w:t>
            </w:r>
            <w:r>
              <w:rPr>
                <w:rFonts w:hint="eastAsia"/>
                <w:bCs/>
                <w:sz w:val="24"/>
              </w:rPr>
              <w:t>末端可</w:t>
            </w:r>
            <w:r>
              <w:rPr>
                <w:rFonts w:hint="eastAsia"/>
                <w:sz w:val="24"/>
              </w:rPr>
              <w:t>设一切换阀，一端接入110m</w:t>
            </w:r>
            <w:r>
              <w:rPr>
                <w:sz w:val="24"/>
                <w:vertAlign w:val="superscript"/>
              </w:rPr>
              <w:t>3</w:t>
            </w:r>
            <w:r>
              <w:rPr>
                <w:rFonts w:hint="eastAsia"/>
                <w:sz w:val="24"/>
              </w:rPr>
              <w:t>雨水沉淀池，</w:t>
            </w:r>
            <w:r>
              <w:rPr>
                <w:rFonts w:hint="eastAsia"/>
                <w:bCs/>
                <w:sz w:val="24"/>
              </w:rPr>
              <w:t>另一端设排水沟连接至厂区外，可人工或自动化切换，以收集厂区初期雨水，导排厂区后期澄清雨水。</w:t>
            </w:r>
            <w:r>
              <w:rPr>
                <w:rFonts w:hint="eastAsia"/>
                <w:sz w:val="24"/>
              </w:rPr>
              <w:t>为更好导排雨水，沉淀泥沙，避免沟道堵塞，在截排水沟转折及交汇点共设置3个容积为1</w:t>
            </w:r>
            <w:r>
              <w:rPr>
                <w:sz w:val="24"/>
              </w:rPr>
              <w:t>m</w:t>
            </w:r>
            <w:r>
              <w:rPr>
                <w:sz w:val="24"/>
                <w:vertAlign w:val="superscript"/>
              </w:rPr>
              <w:t>3</w:t>
            </w:r>
            <w:r>
              <w:rPr>
                <w:rFonts w:hint="eastAsia"/>
                <w:sz w:val="24"/>
              </w:rPr>
              <w:t>的沉砂凼调节雨水流速并初步沉淀雨水中的泥沙。</w:t>
            </w:r>
          </w:p>
          <w:p>
            <w:pPr>
              <w:adjustRightInd w:val="0"/>
              <w:snapToGrid w:val="0"/>
              <w:spacing w:line="360" w:lineRule="auto"/>
              <w:ind w:firstLine="480" w:firstLineChars="200"/>
              <w:rPr>
                <w:sz w:val="24"/>
              </w:rPr>
            </w:pPr>
            <w:r>
              <w:rPr>
                <w:sz w:val="24"/>
              </w:rPr>
              <w:t>项目开采期间在雨季前，必须对防水、排水工程进行检查，以消除隐患。</w:t>
            </w:r>
          </w:p>
          <w:p>
            <w:pPr>
              <w:adjustRightInd w:val="0"/>
              <w:snapToGrid w:val="0"/>
              <w:spacing w:line="360" w:lineRule="auto"/>
              <w:ind w:firstLine="562" w:firstLineChars="200"/>
              <w:rPr>
                <w:b/>
                <w:sz w:val="28"/>
                <w:szCs w:val="28"/>
              </w:rPr>
            </w:pPr>
            <w:r>
              <w:rPr>
                <w:b/>
                <w:sz w:val="28"/>
                <w:szCs w:val="28"/>
              </w:rPr>
              <w:t>4.7、矿石去向及矿石加工区产排污</w:t>
            </w:r>
          </w:p>
          <w:p>
            <w:pPr>
              <w:adjustRightInd w:val="0"/>
              <w:snapToGrid w:val="0"/>
              <w:spacing w:line="360" w:lineRule="auto"/>
              <w:ind w:firstLine="480" w:firstLineChars="200"/>
              <w:rPr>
                <w:sz w:val="24"/>
              </w:rPr>
            </w:pPr>
            <w:r>
              <w:rPr>
                <w:sz w:val="24"/>
              </w:rPr>
              <w:t>拟建项目工业广场</w:t>
            </w:r>
            <w:r>
              <w:rPr>
                <w:rFonts w:hint="eastAsia"/>
                <w:sz w:val="24"/>
              </w:rPr>
              <w:t>工艺流程</w:t>
            </w:r>
            <w:r>
              <w:rPr>
                <w:sz w:val="24"/>
              </w:rPr>
              <w:t>及产污环节流程如图4-3。</w:t>
            </w:r>
          </w:p>
          <w:p>
            <w:pPr>
              <w:adjustRightInd w:val="0"/>
              <w:snapToGrid w:val="0"/>
              <w:spacing w:line="360" w:lineRule="auto"/>
              <w:rPr>
                <w:sz w:val="24"/>
              </w:rPr>
            </w:pPr>
            <w:r>
              <w:rPr>
                <w:rFonts w:hint="eastAsia"/>
              </w:rPr>
              <w:object>
                <v:shape id="_x0000_i1030" o:spt="75" type="#_x0000_t75" style="height:113.9pt;width:462.1pt;" o:ole="t" filled="f" o:preferrelative="t" stroked="f" coordsize="21600,21600">
                  <v:path/>
                  <v:fill on="f" focussize="0,0"/>
                  <v:stroke on="f" joinstyle="miter"/>
                  <v:imagedata r:id="rId31" o:title=""/>
                  <o:lock v:ext="edit" aspectratio="t"/>
                  <w10:wrap type="none"/>
                  <w10:anchorlock/>
                </v:shape>
                <o:OLEObject Type="Embed" ProgID="Visio.Drawing.15" ShapeID="_x0000_i1030" DrawAspect="Content" ObjectID="_1468075730" r:id="rId30">
                  <o:LockedField>false</o:LockedField>
                </o:OLEObject>
              </w:object>
            </w:r>
          </w:p>
          <w:p>
            <w:pPr>
              <w:adjustRightInd w:val="0"/>
              <w:snapToGrid w:val="0"/>
              <w:spacing w:line="360" w:lineRule="auto"/>
              <w:ind w:firstLine="420" w:firstLineChars="200"/>
              <w:rPr>
                <w:b/>
                <w:sz w:val="24"/>
              </w:rPr>
            </w:pPr>
            <w:r>
              <w:rPr>
                <w:szCs w:val="21"/>
              </w:rPr>
              <w:t>注：S为固废，N为噪声，G为废气。</w:t>
            </w:r>
            <w:r>
              <w:rPr>
                <w:rFonts w:hint="eastAsia"/>
                <w:szCs w:val="21"/>
              </w:rPr>
              <w:t>粒径单位：mm。</w:t>
            </w:r>
          </w:p>
          <w:p>
            <w:pPr>
              <w:adjustRightInd w:val="0"/>
              <w:snapToGrid w:val="0"/>
              <w:spacing w:line="360" w:lineRule="auto"/>
              <w:jc w:val="center"/>
              <w:rPr>
                <w:sz w:val="24"/>
              </w:rPr>
            </w:pPr>
            <w:r>
              <w:rPr>
                <w:b/>
                <w:color w:val="0000FF"/>
                <w:sz w:val="24"/>
              </w:rPr>
              <w:t xml:space="preserve">图4-3  </w:t>
            </w:r>
            <w:r>
              <w:rPr>
                <w:rFonts w:hint="eastAsia"/>
                <w:b/>
                <w:color w:val="0000FF"/>
                <w:sz w:val="24"/>
              </w:rPr>
              <w:t>工业广场</w:t>
            </w:r>
            <w:r>
              <w:rPr>
                <w:b/>
                <w:color w:val="0000FF"/>
                <w:sz w:val="24"/>
              </w:rPr>
              <w:t>工艺</w:t>
            </w:r>
            <w:r>
              <w:rPr>
                <w:rFonts w:hint="eastAsia"/>
                <w:b/>
                <w:color w:val="0000FF"/>
                <w:sz w:val="24"/>
              </w:rPr>
              <w:t>流程</w:t>
            </w:r>
            <w:r>
              <w:rPr>
                <w:b/>
                <w:color w:val="0000FF"/>
                <w:sz w:val="24"/>
              </w:rPr>
              <w:t>及产污流程图</w:t>
            </w:r>
          </w:p>
          <w:p>
            <w:pPr>
              <w:adjustRightInd w:val="0"/>
              <w:snapToGrid w:val="0"/>
              <w:spacing w:line="360" w:lineRule="auto"/>
              <w:ind w:firstLine="482" w:firstLineChars="200"/>
              <w:rPr>
                <w:b/>
                <w:sz w:val="24"/>
              </w:rPr>
            </w:pPr>
            <w:r>
              <w:rPr>
                <w:b/>
                <w:sz w:val="24"/>
              </w:rPr>
              <w:t>工艺</w:t>
            </w:r>
            <w:r>
              <w:rPr>
                <w:rFonts w:hint="eastAsia"/>
                <w:b/>
                <w:sz w:val="24"/>
              </w:rPr>
              <w:t>流程简述</w:t>
            </w:r>
            <w:r>
              <w:rPr>
                <w:b/>
                <w:sz w:val="24"/>
              </w:rPr>
              <w:t>及产污环节</w:t>
            </w:r>
            <w:r>
              <w:rPr>
                <w:rFonts w:hint="eastAsia"/>
                <w:b/>
                <w:sz w:val="24"/>
              </w:rPr>
              <w:t>：</w:t>
            </w:r>
          </w:p>
          <w:p>
            <w:pPr>
              <w:adjustRightInd w:val="0"/>
              <w:snapToGrid w:val="0"/>
              <w:spacing w:line="360" w:lineRule="auto"/>
              <w:ind w:firstLine="480" w:firstLineChars="200"/>
              <w:rPr>
                <w:sz w:val="24"/>
              </w:rPr>
            </w:pPr>
            <w:r>
              <w:rPr>
                <w:rFonts w:hint="eastAsia"/>
                <w:sz w:val="24"/>
              </w:rPr>
              <w:t>①两</w:t>
            </w:r>
            <w:r>
              <w:rPr>
                <w:sz w:val="24"/>
              </w:rPr>
              <w:t>级破碎</w:t>
            </w:r>
          </w:p>
          <w:p>
            <w:pPr>
              <w:adjustRightInd w:val="0"/>
              <w:snapToGrid w:val="0"/>
              <w:spacing w:line="360" w:lineRule="auto"/>
              <w:ind w:firstLine="480" w:firstLineChars="200"/>
              <w:rPr>
                <w:sz w:val="24"/>
              </w:rPr>
            </w:pPr>
            <w:r>
              <w:rPr>
                <w:rFonts w:hint="eastAsia"/>
                <w:sz w:val="24"/>
              </w:rPr>
              <w:t>内转汽车至卸料口卸料，通过振动给料机将</w:t>
            </w:r>
            <w:r>
              <w:rPr>
                <w:sz w:val="24"/>
              </w:rPr>
              <w:t>开采毛石料</w:t>
            </w:r>
            <w:r>
              <w:rPr>
                <w:rFonts w:hint="eastAsia"/>
                <w:sz w:val="24"/>
              </w:rPr>
              <w:t>（粒径不大于8</w:t>
            </w:r>
            <w:r>
              <w:rPr>
                <w:sz w:val="24"/>
              </w:rPr>
              <w:t>00mm</w:t>
            </w:r>
            <w:r>
              <w:rPr>
                <w:rFonts w:hint="eastAsia"/>
                <w:sz w:val="24"/>
              </w:rPr>
              <w:t>）</w:t>
            </w:r>
            <w:r>
              <w:rPr>
                <w:sz w:val="24"/>
              </w:rPr>
              <w:t>送入颚式破碎机中进行一级破碎</w:t>
            </w:r>
            <w:r>
              <w:rPr>
                <w:rFonts w:hint="eastAsia"/>
                <w:sz w:val="24"/>
              </w:rPr>
              <w:t>。</w:t>
            </w:r>
            <w:r>
              <w:rPr>
                <w:sz w:val="24"/>
              </w:rPr>
              <w:t>颚式破碎机</w:t>
            </w:r>
            <w:r>
              <w:rPr>
                <w:rFonts w:hint="eastAsia"/>
                <w:sz w:val="24"/>
              </w:rPr>
              <w:t>可</w:t>
            </w:r>
            <w:r>
              <w:rPr>
                <w:sz w:val="24"/>
              </w:rPr>
              <w:t>将开采石料破碎成0mm～</w:t>
            </w:r>
            <w:r>
              <w:rPr>
                <w:rFonts w:hint="eastAsia"/>
                <w:sz w:val="24"/>
              </w:rPr>
              <w:t>1</w:t>
            </w:r>
            <w:r>
              <w:rPr>
                <w:sz w:val="24"/>
              </w:rPr>
              <w:t>00mm石块，全部利用皮带输送至</w:t>
            </w:r>
            <w:r>
              <w:rPr>
                <w:rFonts w:hint="eastAsia"/>
                <w:sz w:val="24"/>
              </w:rPr>
              <w:t>反击式</w:t>
            </w:r>
            <w:r>
              <w:rPr>
                <w:sz w:val="24"/>
              </w:rPr>
              <w:t>破碎机中将石料进一步</w:t>
            </w:r>
            <w:r>
              <w:rPr>
                <w:rFonts w:hint="eastAsia"/>
                <w:sz w:val="24"/>
              </w:rPr>
              <w:t>破碎</w:t>
            </w:r>
            <w:r>
              <w:rPr>
                <w:sz w:val="24"/>
              </w:rPr>
              <w:t>。</w:t>
            </w:r>
          </w:p>
          <w:p>
            <w:pPr>
              <w:adjustRightInd w:val="0"/>
              <w:snapToGrid w:val="0"/>
              <w:spacing w:line="360" w:lineRule="auto"/>
              <w:ind w:firstLine="480" w:firstLineChars="200"/>
              <w:rPr>
                <w:sz w:val="24"/>
              </w:rPr>
            </w:pPr>
            <w:r>
              <w:rPr>
                <w:sz w:val="24"/>
              </w:rPr>
              <w:t>此阶段将产生</w:t>
            </w:r>
            <w:r>
              <w:rPr>
                <w:rFonts w:hint="eastAsia"/>
                <w:sz w:val="24"/>
              </w:rPr>
              <w:t>机械</w:t>
            </w:r>
            <w:r>
              <w:rPr>
                <w:sz w:val="24"/>
              </w:rPr>
              <w:t>噪声（N</w:t>
            </w:r>
            <w:r>
              <w:rPr>
                <w:rFonts w:hint="eastAsia"/>
                <w:sz w:val="24"/>
              </w:rPr>
              <w:t>1</w:t>
            </w:r>
            <w:r>
              <w:rPr>
                <w:sz w:val="24"/>
              </w:rPr>
              <w:t>）、</w:t>
            </w:r>
            <w:r>
              <w:rPr>
                <w:rFonts w:hint="eastAsia"/>
                <w:sz w:val="24"/>
              </w:rPr>
              <w:t>给料</w:t>
            </w:r>
            <w:r>
              <w:rPr>
                <w:sz w:val="24"/>
              </w:rPr>
              <w:t>粉尘（G</w:t>
            </w:r>
            <w:r>
              <w:rPr>
                <w:rFonts w:hint="eastAsia"/>
                <w:sz w:val="24"/>
              </w:rPr>
              <w:t>8</w:t>
            </w:r>
            <w:r>
              <w:rPr>
                <w:sz w:val="24"/>
              </w:rPr>
              <w:t>）</w:t>
            </w:r>
            <w:r>
              <w:rPr>
                <w:rFonts w:hint="eastAsia"/>
                <w:sz w:val="24"/>
              </w:rPr>
              <w:t>、一级破碎</w:t>
            </w:r>
            <w:r>
              <w:rPr>
                <w:sz w:val="24"/>
              </w:rPr>
              <w:t>粉尘（G</w:t>
            </w:r>
            <w:r>
              <w:rPr>
                <w:rFonts w:hint="eastAsia"/>
                <w:sz w:val="24"/>
              </w:rPr>
              <w:t>9</w:t>
            </w:r>
            <w:r>
              <w:rPr>
                <w:sz w:val="24"/>
              </w:rPr>
              <w:t>）</w:t>
            </w:r>
            <w:r>
              <w:rPr>
                <w:rFonts w:hint="eastAsia"/>
                <w:sz w:val="24"/>
              </w:rPr>
              <w:t>、二级破碎</w:t>
            </w:r>
            <w:r>
              <w:rPr>
                <w:sz w:val="24"/>
              </w:rPr>
              <w:t>粉尘（G</w:t>
            </w:r>
            <w:r>
              <w:rPr>
                <w:rFonts w:hint="eastAsia"/>
                <w:sz w:val="24"/>
              </w:rPr>
              <w:t>10</w:t>
            </w:r>
            <w:r>
              <w:rPr>
                <w:sz w:val="24"/>
              </w:rPr>
              <w:t>）。</w:t>
            </w:r>
          </w:p>
          <w:p>
            <w:pPr>
              <w:adjustRightInd w:val="0"/>
              <w:snapToGrid w:val="0"/>
              <w:spacing w:line="360" w:lineRule="auto"/>
              <w:ind w:firstLine="480" w:firstLineChars="200"/>
              <w:rPr>
                <w:sz w:val="24"/>
              </w:rPr>
            </w:pPr>
            <w:r>
              <w:rPr>
                <w:rFonts w:hint="eastAsia"/>
                <w:sz w:val="24"/>
              </w:rPr>
              <w:t>②一</w:t>
            </w:r>
            <w:r>
              <w:rPr>
                <w:sz w:val="24"/>
              </w:rPr>
              <w:t>级筛分</w:t>
            </w:r>
          </w:p>
          <w:p>
            <w:pPr>
              <w:adjustRightInd w:val="0"/>
              <w:snapToGrid w:val="0"/>
              <w:spacing w:line="360" w:lineRule="auto"/>
              <w:ind w:firstLine="480" w:firstLineChars="200"/>
              <w:rPr>
                <w:sz w:val="24"/>
              </w:rPr>
            </w:pPr>
            <w:r>
              <w:rPr>
                <w:sz w:val="24"/>
              </w:rPr>
              <w:t>二级破碎后的石料全部经传送带输送至振动筛进行分离，振动筛共</w:t>
            </w:r>
            <w:r>
              <w:rPr>
                <w:rFonts w:hint="eastAsia"/>
                <w:color w:val="0000FF"/>
                <w:sz w:val="24"/>
              </w:rPr>
              <w:t>三</w:t>
            </w:r>
            <w:r>
              <w:rPr>
                <w:sz w:val="24"/>
              </w:rPr>
              <w:t>层筛网</w:t>
            </w:r>
            <w:r>
              <w:rPr>
                <w:rFonts w:hint="eastAsia"/>
                <w:sz w:val="24"/>
              </w:rPr>
              <w:t>，</w:t>
            </w:r>
            <w:r>
              <w:rPr>
                <w:rFonts w:hint="eastAsia"/>
                <w:color w:val="0000FF"/>
                <w:sz w:val="24"/>
              </w:rPr>
              <w:t>由上至下孔隙分别为31.5</w:t>
            </w:r>
            <w:r>
              <w:rPr>
                <w:color w:val="0000FF"/>
                <w:sz w:val="24"/>
              </w:rPr>
              <w:t>mm</w:t>
            </w:r>
            <w:r>
              <w:rPr>
                <w:rFonts w:hint="eastAsia"/>
                <w:color w:val="0000FF"/>
                <w:sz w:val="24"/>
              </w:rPr>
              <w:t>、5mm、3mm</w:t>
            </w:r>
            <w:r>
              <w:rPr>
                <w:rFonts w:hint="eastAsia"/>
                <w:sz w:val="24"/>
              </w:rPr>
              <w:t>，筛上物</w:t>
            </w:r>
            <w:r>
              <w:rPr>
                <w:sz w:val="24"/>
              </w:rPr>
              <w:t>粒径</w:t>
            </w:r>
            <w:r>
              <w:rPr>
                <w:rFonts w:hint="eastAsia"/>
                <w:color w:val="0000FF"/>
                <w:sz w:val="24"/>
              </w:rPr>
              <w:t>31.5</w:t>
            </w:r>
            <w:r>
              <w:rPr>
                <w:sz w:val="24"/>
              </w:rPr>
              <w:t>mm</w:t>
            </w:r>
            <w:r>
              <w:rPr>
                <w:rFonts w:hint="eastAsia"/>
                <w:sz w:val="24"/>
              </w:rPr>
              <w:t>以上的石料全部回料至反击式破碎机中进行回破</w:t>
            </w:r>
            <w:r>
              <w:rPr>
                <w:rFonts w:hint="eastAsia"/>
                <w:color w:val="0000FF"/>
                <w:sz w:val="24"/>
              </w:rPr>
              <w:t>；中上层</w:t>
            </w:r>
            <w:r>
              <w:rPr>
                <w:color w:val="0000FF"/>
                <w:sz w:val="24"/>
              </w:rPr>
              <w:t>粒径</w:t>
            </w:r>
            <w:r>
              <w:rPr>
                <w:rFonts w:hint="eastAsia"/>
                <w:color w:val="0000FF"/>
                <w:sz w:val="24"/>
              </w:rPr>
              <w:t>为5~31.5</w:t>
            </w:r>
            <w:r>
              <w:rPr>
                <w:color w:val="0000FF"/>
                <w:sz w:val="24"/>
              </w:rPr>
              <w:t>mm</w:t>
            </w:r>
            <w:r>
              <w:rPr>
                <w:rFonts w:hint="eastAsia"/>
                <w:color w:val="0000FF"/>
                <w:sz w:val="24"/>
              </w:rPr>
              <w:t>石子、中下层</w:t>
            </w:r>
            <w:r>
              <w:rPr>
                <w:color w:val="0000FF"/>
                <w:sz w:val="24"/>
              </w:rPr>
              <w:t>粒径</w:t>
            </w:r>
            <w:r>
              <w:rPr>
                <w:rFonts w:hint="eastAsia"/>
                <w:color w:val="0000FF"/>
                <w:sz w:val="24"/>
              </w:rPr>
              <w:t>为3~5</w:t>
            </w:r>
            <w:r>
              <w:rPr>
                <w:color w:val="0000FF"/>
                <w:sz w:val="24"/>
              </w:rPr>
              <w:t>mm</w:t>
            </w:r>
            <w:r>
              <w:rPr>
                <w:rFonts w:hint="eastAsia"/>
                <w:color w:val="0000FF"/>
                <w:sz w:val="24"/>
              </w:rPr>
              <w:t>中粗砂、筛下物</w:t>
            </w:r>
            <w:r>
              <w:rPr>
                <w:color w:val="0000FF"/>
                <w:sz w:val="24"/>
              </w:rPr>
              <w:t>粒径</w:t>
            </w:r>
            <w:r>
              <w:rPr>
                <w:rFonts w:hint="eastAsia"/>
                <w:color w:val="0000FF"/>
                <w:sz w:val="24"/>
              </w:rPr>
              <w:t>为0~3</w:t>
            </w:r>
            <w:r>
              <w:rPr>
                <w:color w:val="0000FF"/>
                <w:sz w:val="24"/>
              </w:rPr>
              <w:t>mm</w:t>
            </w:r>
            <w:r>
              <w:rPr>
                <w:rFonts w:hint="eastAsia"/>
                <w:color w:val="0000FF"/>
                <w:sz w:val="24"/>
              </w:rPr>
              <w:t>粗砂均</w:t>
            </w:r>
            <w:r>
              <w:rPr>
                <w:rFonts w:hint="eastAsia"/>
                <w:sz w:val="24"/>
              </w:rPr>
              <w:t>出料，分别</w:t>
            </w:r>
            <w:r>
              <w:rPr>
                <w:sz w:val="24"/>
              </w:rPr>
              <w:t>经输送带送至</w:t>
            </w:r>
            <w:r>
              <w:rPr>
                <w:rFonts w:hint="eastAsia"/>
                <w:sz w:val="24"/>
              </w:rPr>
              <w:t>成品</w:t>
            </w:r>
            <w:r>
              <w:rPr>
                <w:sz w:val="24"/>
              </w:rPr>
              <w:t>仓库中</w:t>
            </w:r>
            <w:r>
              <w:rPr>
                <w:rFonts w:hint="eastAsia"/>
                <w:sz w:val="24"/>
              </w:rPr>
              <w:t>分区</w:t>
            </w:r>
            <w:r>
              <w:rPr>
                <w:sz w:val="24"/>
              </w:rPr>
              <w:t>暂存</w:t>
            </w:r>
            <w:r>
              <w:rPr>
                <w:rFonts w:hint="eastAsia"/>
                <w:sz w:val="24"/>
              </w:rPr>
              <w:t>。根据设备厂商试机经验数据，</w:t>
            </w:r>
            <w:r>
              <w:rPr>
                <w:rFonts w:hint="eastAsia"/>
                <w:color w:val="0000FF"/>
                <w:sz w:val="24"/>
              </w:rPr>
              <w:t>筛上物返回料约30%，</w:t>
            </w:r>
            <w:r>
              <w:rPr>
                <w:rFonts w:hint="eastAsia"/>
                <w:sz w:val="24"/>
              </w:rPr>
              <w:t>即回料率约</w:t>
            </w:r>
            <w:r>
              <w:rPr>
                <w:rFonts w:hint="eastAsia"/>
                <w:color w:val="0000FF"/>
                <w:sz w:val="24"/>
              </w:rPr>
              <w:t>30%</w:t>
            </w:r>
            <w:r>
              <w:rPr>
                <w:rFonts w:hint="eastAsia"/>
                <w:sz w:val="24"/>
              </w:rPr>
              <w:t>。</w:t>
            </w:r>
          </w:p>
          <w:p>
            <w:pPr>
              <w:adjustRightInd w:val="0"/>
              <w:snapToGrid w:val="0"/>
              <w:spacing w:line="360" w:lineRule="auto"/>
              <w:ind w:firstLine="480" w:firstLineChars="200"/>
              <w:rPr>
                <w:sz w:val="24"/>
              </w:rPr>
            </w:pPr>
            <w:r>
              <w:rPr>
                <w:sz w:val="24"/>
              </w:rPr>
              <w:t>此阶段将产生</w:t>
            </w:r>
            <w:r>
              <w:rPr>
                <w:rFonts w:hint="eastAsia"/>
                <w:sz w:val="24"/>
              </w:rPr>
              <w:t>机械</w:t>
            </w:r>
            <w:r>
              <w:rPr>
                <w:sz w:val="24"/>
              </w:rPr>
              <w:t>噪声（N</w:t>
            </w:r>
            <w:r>
              <w:rPr>
                <w:rFonts w:hint="eastAsia"/>
                <w:sz w:val="24"/>
              </w:rPr>
              <w:t>1</w:t>
            </w:r>
            <w:r>
              <w:rPr>
                <w:sz w:val="24"/>
              </w:rPr>
              <w:t>）、</w:t>
            </w:r>
            <w:r>
              <w:rPr>
                <w:rFonts w:hint="eastAsia"/>
                <w:sz w:val="24"/>
              </w:rPr>
              <w:t>一级筛分</w:t>
            </w:r>
            <w:r>
              <w:rPr>
                <w:sz w:val="24"/>
              </w:rPr>
              <w:t>粉尘（G</w:t>
            </w:r>
            <w:r>
              <w:rPr>
                <w:rFonts w:hint="eastAsia"/>
                <w:sz w:val="24"/>
              </w:rPr>
              <w:t>11</w:t>
            </w:r>
            <w:r>
              <w:rPr>
                <w:sz w:val="24"/>
              </w:rPr>
              <w:t>）。</w:t>
            </w:r>
          </w:p>
          <w:p>
            <w:pPr>
              <w:adjustRightInd w:val="0"/>
              <w:snapToGrid w:val="0"/>
              <w:spacing w:line="360" w:lineRule="auto"/>
              <w:ind w:firstLine="480" w:firstLineChars="200"/>
              <w:rPr>
                <w:sz w:val="24"/>
              </w:rPr>
            </w:pPr>
            <w:r>
              <w:rPr>
                <w:rFonts w:hint="eastAsia"/>
                <w:sz w:val="24"/>
              </w:rPr>
              <w:t>③破碎站粉尘收集</w:t>
            </w:r>
          </w:p>
          <w:p>
            <w:pPr>
              <w:adjustRightInd w:val="0"/>
              <w:snapToGrid w:val="0"/>
              <w:spacing w:line="360" w:lineRule="auto"/>
              <w:ind w:firstLine="480" w:firstLineChars="200"/>
              <w:rPr>
                <w:sz w:val="24"/>
              </w:rPr>
            </w:pPr>
            <w:r>
              <w:rPr>
                <w:sz w:val="24"/>
              </w:rPr>
              <w:t>项目对</w:t>
            </w:r>
            <w:r>
              <w:rPr>
                <w:rFonts w:hint="eastAsia"/>
                <w:sz w:val="24"/>
              </w:rPr>
              <w:t>生产线主要设备（1</w:t>
            </w:r>
            <w:r>
              <w:rPr>
                <w:sz w:val="24"/>
              </w:rPr>
              <w:t>台颚式破碎机、</w:t>
            </w:r>
            <w:r>
              <w:rPr>
                <w:rFonts w:hint="eastAsia"/>
                <w:bCs/>
                <w:spacing w:val="10"/>
                <w:sz w:val="24"/>
              </w:rPr>
              <w:t>1</w:t>
            </w:r>
            <w:r>
              <w:rPr>
                <w:bCs/>
                <w:spacing w:val="10"/>
                <w:sz w:val="24"/>
              </w:rPr>
              <w:t>台反击式破碎机</w:t>
            </w:r>
            <w:r>
              <w:rPr>
                <w:rFonts w:hint="eastAsia"/>
                <w:bCs/>
                <w:spacing w:val="10"/>
                <w:sz w:val="24"/>
              </w:rPr>
              <w:t>、</w:t>
            </w:r>
            <w:r>
              <w:rPr>
                <w:rFonts w:hint="eastAsia"/>
                <w:sz w:val="24"/>
              </w:rPr>
              <w:t>1</w:t>
            </w:r>
            <w:r>
              <w:rPr>
                <w:sz w:val="24"/>
              </w:rPr>
              <w:t>台振动筛</w:t>
            </w:r>
            <w:r>
              <w:rPr>
                <w:rFonts w:hint="eastAsia"/>
                <w:sz w:val="24"/>
              </w:rPr>
              <w:t>）</w:t>
            </w:r>
            <w:r>
              <w:rPr>
                <w:sz w:val="24"/>
              </w:rPr>
              <w:t>分别采用单钢板箱式密闭</w:t>
            </w:r>
            <w:r>
              <w:rPr>
                <w:rFonts w:hint="eastAsia"/>
                <w:sz w:val="24"/>
              </w:rPr>
              <w:t>收尘+布袋除尘+排气筒高空排放</w:t>
            </w:r>
            <w:r>
              <w:rPr>
                <w:sz w:val="24"/>
              </w:rPr>
              <w:t>，</w:t>
            </w:r>
            <w:r>
              <w:rPr>
                <w:rFonts w:hint="eastAsia"/>
                <w:sz w:val="24"/>
              </w:rPr>
              <w:t>具体为：</w:t>
            </w:r>
          </w:p>
          <w:p>
            <w:pPr>
              <w:adjustRightInd w:val="0"/>
              <w:snapToGrid w:val="0"/>
              <w:spacing w:line="360" w:lineRule="auto"/>
              <w:ind w:firstLine="480" w:firstLineChars="200"/>
              <w:rPr>
                <w:sz w:val="24"/>
              </w:rPr>
            </w:pPr>
            <w:r>
              <w:rPr>
                <w:rFonts w:hint="eastAsia"/>
                <w:sz w:val="24"/>
              </w:rPr>
              <w:t>A、设备之间采用传送带进行物料输送，传送带全部采用全密闭防尘罩；</w:t>
            </w:r>
          </w:p>
          <w:p>
            <w:pPr>
              <w:adjustRightInd w:val="0"/>
              <w:snapToGrid w:val="0"/>
              <w:spacing w:line="360" w:lineRule="auto"/>
              <w:ind w:firstLine="480" w:firstLineChars="200"/>
              <w:rPr>
                <w:sz w:val="24"/>
              </w:rPr>
            </w:pPr>
            <w:r>
              <w:rPr>
                <w:rFonts w:hint="eastAsia"/>
                <w:sz w:val="24"/>
              </w:rPr>
              <w:t>B、一级破碎设备（1</w:t>
            </w:r>
            <w:r>
              <w:rPr>
                <w:sz w:val="24"/>
              </w:rPr>
              <w:t>台颚式破碎机</w:t>
            </w:r>
            <w:r>
              <w:rPr>
                <w:rFonts w:hint="eastAsia"/>
                <w:sz w:val="24"/>
              </w:rPr>
              <w:t>）下方出料口传送带前端，二级破碎、筛分设备（</w:t>
            </w:r>
            <w:r>
              <w:rPr>
                <w:rFonts w:hint="eastAsia"/>
                <w:bCs/>
                <w:spacing w:val="10"/>
                <w:sz w:val="24"/>
              </w:rPr>
              <w:t>1</w:t>
            </w:r>
            <w:r>
              <w:rPr>
                <w:bCs/>
                <w:spacing w:val="10"/>
                <w:sz w:val="24"/>
              </w:rPr>
              <w:t>台</w:t>
            </w:r>
            <w:r>
              <w:rPr>
                <w:rFonts w:hint="eastAsia"/>
                <w:sz w:val="24"/>
              </w:rPr>
              <w:t>反击式</w:t>
            </w:r>
            <w:r>
              <w:rPr>
                <w:sz w:val="24"/>
              </w:rPr>
              <w:t>破碎机</w:t>
            </w:r>
            <w:r>
              <w:rPr>
                <w:rFonts w:hint="eastAsia"/>
                <w:sz w:val="24"/>
              </w:rPr>
              <w:t>、</w:t>
            </w:r>
            <w:r>
              <w:rPr>
                <w:rFonts w:hint="eastAsia"/>
                <w:bCs/>
                <w:spacing w:val="10"/>
                <w:sz w:val="24"/>
              </w:rPr>
              <w:t>1</w:t>
            </w:r>
            <w:r>
              <w:rPr>
                <w:bCs/>
                <w:spacing w:val="10"/>
                <w:sz w:val="24"/>
              </w:rPr>
              <w:t>台</w:t>
            </w:r>
            <w:r>
              <w:rPr>
                <w:rFonts w:hint="eastAsia"/>
                <w:bCs/>
                <w:spacing w:val="10"/>
                <w:sz w:val="24"/>
              </w:rPr>
              <w:t>振动筛</w:t>
            </w:r>
            <w:r>
              <w:rPr>
                <w:rFonts w:hint="eastAsia"/>
                <w:sz w:val="24"/>
              </w:rPr>
              <w:t>）上方落料传送带末端、下方出料口传送带前端与设备外壳支撑面衔接处均进行单钢板箱式封闭，仅留抽风口，并采用密闭管道衔接抽风口，并使用1台5</w:t>
            </w:r>
            <w:r>
              <w:rPr>
                <w:sz w:val="24"/>
              </w:rPr>
              <w:t>000</w:t>
            </w:r>
            <w:r>
              <w:rPr>
                <w:rFonts w:hint="eastAsia"/>
                <w:sz w:val="24"/>
              </w:rPr>
              <w:t>0Nm</w:t>
            </w:r>
            <w:r>
              <w:rPr>
                <w:rFonts w:hint="eastAsia"/>
                <w:sz w:val="24"/>
                <w:vertAlign w:val="superscript"/>
              </w:rPr>
              <w:t>3</w:t>
            </w:r>
            <w:r>
              <w:rPr>
                <w:rFonts w:hint="eastAsia"/>
                <w:sz w:val="24"/>
              </w:rPr>
              <w:t>/h风量引风机将</w:t>
            </w:r>
            <w:r>
              <w:rPr>
                <w:sz w:val="24"/>
              </w:rPr>
              <w:t>含尘气体集中收集至1台脉冲布袋除尘器进行净化处理后，</w:t>
            </w:r>
            <w:r>
              <w:rPr>
                <w:rFonts w:hint="eastAsia"/>
                <w:sz w:val="24"/>
              </w:rPr>
              <w:t>再</w:t>
            </w:r>
            <w:r>
              <w:rPr>
                <w:sz w:val="24"/>
              </w:rPr>
              <w:t>通过15m高</w:t>
            </w:r>
            <w:r>
              <w:rPr>
                <w:rFonts w:hint="eastAsia"/>
                <w:sz w:val="24"/>
              </w:rPr>
              <w:t>、内径1.0m的1#</w:t>
            </w:r>
            <w:r>
              <w:rPr>
                <w:sz w:val="24"/>
              </w:rPr>
              <w:t>排气筒达标排放</w:t>
            </w:r>
            <w:r>
              <w:rPr>
                <w:rFonts w:hint="eastAsia"/>
                <w:sz w:val="24"/>
              </w:rPr>
              <w:t>。</w:t>
            </w:r>
          </w:p>
          <w:p>
            <w:pPr>
              <w:adjustRightInd w:val="0"/>
              <w:snapToGrid w:val="0"/>
              <w:spacing w:line="360" w:lineRule="auto"/>
              <w:ind w:firstLine="480" w:firstLineChars="200"/>
              <w:rPr>
                <w:sz w:val="24"/>
              </w:rPr>
            </w:pPr>
            <w:r>
              <w:rPr>
                <w:sz w:val="24"/>
              </w:rPr>
              <w:t>此阶段将产生有组织粉尘（G14）、</w:t>
            </w:r>
            <w:r>
              <w:rPr>
                <w:rFonts w:hint="eastAsia"/>
                <w:sz w:val="24"/>
              </w:rPr>
              <w:t>未收集逸散粉尘（</w:t>
            </w:r>
            <w:r>
              <w:rPr>
                <w:sz w:val="24"/>
              </w:rPr>
              <w:t>G</w:t>
            </w:r>
            <w:r>
              <w:rPr>
                <w:rFonts w:hint="eastAsia"/>
                <w:sz w:val="24"/>
              </w:rPr>
              <w:t>15）、</w:t>
            </w:r>
            <w:r>
              <w:rPr>
                <w:sz w:val="24"/>
              </w:rPr>
              <w:t>除尘灰（S</w:t>
            </w:r>
            <w:r>
              <w:rPr>
                <w:rFonts w:hint="eastAsia"/>
                <w:color w:val="0000FF"/>
                <w:sz w:val="24"/>
              </w:rPr>
              <w:t>4</w:t>
            </w:r>
            <w:r>
              <w:rPr>
                <w:sz w:val="24"/>
              </w:rPr>
              <w:t>）。</w:t>
            </w:r>
          </w:p>
          <w:p>
            <w:pPr>
              <w:adjustRightInd w:val="0"/>
              <w:snapToGrid w:val="0"/>
              <w:spacing w:line="360" w:lineRule="auto"/>
              <w:ind w:firstLine="480" w:firstLineChars="200"/>
              <w:rPr>
                <w:bCs/>
                <w:sz w:val="24"/>
              </w:rPr>
            </w:pPr>
            <w:r>
              <w:rPr>
                <w:rFonts w:hint="eastAsia"/>
                <w:bCs/>
                <w:sz w:val="24"/>
              </w:rPr>
              <w:t>④</w:t>
            </w:r>
            <w:r>
              <w:rPr>
                <w:bCs/>
                <w:sz w:val="24"/>
              </w:rPr>
              <w:t>仓库</w:t>
            </w:r>
            <w:r>
              <w:rPr>
                <w:rFonts w:hint="eastAsia"/>
                <w:bCs/>
                <w:sz w:val="24"/>
              </w:rPr>
              <w:t>下料</w:t>
            </w:r>
            <w:r>
              <w:rPr>
                <w:bCs/>
                <w:sz w:val="24"/>
              </w:rPr>
              <w:t>堆存</w:t>
            </w:r>
            <w:r>
              <w:rPr>
                <w:rFonts w:hint="eastAsia"/>
                <w:bCs/>
                <w:sz w:val="24"/>
              </w:rPr>
              <w:t>、铲装上车</w:t>
            </w:r>
          </w:p>
          <w:p>
            <w:pPr>
              <w:adjustRightInd w:val="0"/>
              <w:snapToGrid w:val="0"/>
              <w:spacing w:line="360" w:lineRule="auto"/>
              <w:ind w:firstLine="480" w:firstLineChars="200"/>
              <w:rPr>
                <w:sz w:val="24"/>
              </w:rPr>
            </w:pPr>
            <w:r>
              <w:rPr>
                <w:rFonts w:hint="eastAsia"/>
                <w:sz w:val="24"/>
              </w:rPr>
              <w:t>生产线</w:t>
            </w:r>
            <w:r>
              <w:rPr>
                <w:sz w:val="24"/>
              </w:rPr>
              <w:t>产品</w:t>
            </w:r>
            <w:r>
              <w:rPr>
                <w:rFonts w:hint="eastAsia"/>
                <w:sz w:val="24"/>
              </w:rPr>
              <w:t>均</w:t>
            </w:r>
            <w:r>
              <w:rPr>
                <w:sz w:val="24"/>
              </w:rPr>
              <w:t>通过传送带</w:t>
            </w:r>
            <w:r>
              <w:rPr>
                <w:rFonts w:hint="eastAsia"/>
                <w:sz w:val="24"/>
              </w:rPr>
              <w:t>分别输送至</w:t>
            </w:r>
            <w:r>
              <w:rPr>
                <w:sz w:val="24"/>
              </w:rPr>
              <w:t>仓库堆料区</w:t>
            </w:r>
            <w:r>
              <w:rPr>
                <w:rFonts w:hint="eastAsia"/>
                <w:sz w:val="24"/>
              </w:rPr>
              <w:t>内</w:t>
            </w:r>
            <w:r>
              <w:rPr>
                <w:sz w:val="24"/>
              </w:rPr>
              <w:t>落料堆存，并</w:t>
            </w:r>
            <w:r>
              <w:rPr>
                <w:rFonts w:hint="eastAsia"/>
                <w:sz w:val="24"/>
              </w:rPr>
              <w:t>铲装外运，其</w:t>
            </w:r>
            <w:r>
              <w:rPr>
                <w:sz w:val="24"/>
              </w:rPr>
              <w:t>产品装卸过程中会产生</w:t>
            </w:r>
            <w:r>
              <w:rPr>
                <w:rFonts w:hint="eastAsia"/>
                <w:sz w:val="24"/>
              </w:rPr>
              <w:t>装卸噪声（N</w:t>
            </w:r>
            <w:r>
              <w:rPr>
                <w:sz w:val="24"/>
              </w:rPr>
              <w:t>1</w:t>
            </w:r>
            <w:r>
              <w:rPr>
                <w:rFonts w:hint="eastAsia"/>
                <w:sz w:val="24"/>
              </w:rPr>
              <w:t>）及</w:t>
            </w:r>
            <w:r>
              <w:rPr>
                <w:sz w:val="24"/>
              </w:rPr>
              <w:t>少量</w:t>
            </w:r>
            <w:r>
              <w:rPr>
                <w:rFonts w:hint="eastAsia"/>
                <w:sz w:val="24"/>
              </w:rPr>
              <w:t>成品下料</w:t>
            </w:r>
            <w:r>
              <w:rPr>
                <w:sz w:val="24"/>
              </w:rPr>
              <w:t>粉尘（G1</w:t>
            </w:r>
            <w:r>
              <w:rPr>
                <w:rFonts w:hint="eastAsia"/>
                <w:sz w:val="24"/>
              </w:rPr>
              <w:t>6</w:t>
            </w:r>
            <w:r>
              <w:rPr>
                <w:sz w:val="24"/>
              </w:rPr>
              <w:t>）</w:t>
            </w:r>
            <w:r>
              <w:rPr>
                <w:rFonts w:hint="eastAsia"/>
                <w:sz w:val="24"/>
              </w:rPr>
              <w:t>、成品装卸粉尘</w:t>
            </w:r>
            <w:r>
              <w:rPr>
                <w:sz w:val="24"/>
              </w:rPr>
              <w:t>（G1</w:t>
            </w:r>
            <w:r>
              <w:rPr>
                <w:rFonts w:hint="eastAsia"/>
                <w:sz w:val="24"/>
              </w:rPr>
              <w:t>7</w:t>
            </w:r>
            <w:r>
              <w:rPr>
                <w:sz w:val="24"/>
              </w:rPr>
              <w:t>）</w:t>
            </w:r>
            <w:r>
              <w:rPr>
                <w:rFonts w:hint="eastAsia"/>
                <w:sz w:val="24"/>
              </w:rPr>
              <w:t>。</w:t>
            </w:r>
          </w:p>
          <w:p>
            <w:pPr>
              <w:adjustRightInd w:val="0"/>
              <w:snapToGrid w:val="0"/>
              <w:spacing w:line="360" w:lineRule="auto"/>
              <w:ind w:firstLine="480" w:firstLineChars="200"/>
              <w:rPr>
                <w:bCs/>
                <w:sz w:val="24"/>
              </w:rPr>
            </w:pPr>
            <w:r>
              <w:rPr>
                <w:rFonts w:hint="eastAsia" w:ascii="宋体" w:hAnsi="宋体" w:cs="宋体"/>
                <w:bCs/>
                <w:sz w:val="24"/>
              </w:rPr>
              <w:t>⑤</w:t>
            </w:r>
            <w:r>
              <w:rPr>
                <w:bCs/>
                <w:sz w:val="24"/>
              </w:rPr>
              <w:t>成品外运</w:t>
            </w:r>
          </w:p>
          <w:p>
            <w:pPr>
              <w:adjustRightInd w:val="0"/>
              <w:snapToGrid w:val="0"/>
              <w:spacing w:line="360" w:lineRule="auto"/>
              <w:ind w:firstLine="480" w:firstLineChars="200"/>
              <w:rPr>
                <w:sz w:val="24"/>
              </w:rPr>
            </w:pPr>
            <w:r>
              <w:rPr>
                <w:sz w:val="24"/>
              </w:rPr>
              <w:t>矿石成品采用载重20吨的运输车外运，运输过程中有运输车辆噪声（N1）</w:t>
            </w:r>
            <w:r>
              <w:rPr>
                <w:rFonts w:hint="eastAsia"/>
                <w:sz w:val="24"/>
              </w:rPr>
              <w:t>、</w:t>
            </w:r>
            <w:r>
              <w:rPr>
                <w:sz w:val="24"/>
              </w:rPr>
              <w:t>燃油尾气（G</w:t>
            </w:r>
            <w:r>
              <w:rPr>
                <w:rFonts w:hint="eastAsia"/>
                <w:sz w:val="24"/>
              </w:rPr>
              <w:t>5</w:t>
            </w:r>
            <w:r>
              <w:rPr>
                <w:sz w:val="24"/>
              </w:rPr>
              <w:t>）及</w:t>
            </w:r>
            <w:r>
              <w:rPr>
                <w:rFonts w:hint="eastAsia"/>
                <w:sz w:val="24"/>
              </w:rPr>
              <w:t>车辆运输</w:t>
            </w:r>
            <w:r>
              <w:rPr>
                <w:sz w:val="24"/>
              </w:rPr>
              <w:t>粉尘（G</w:t>
            </w:r>
            <w:r>
              <w:rPr>
                <w:rFonts w:hint="eastAsia"/>
                <w:sz w:val="24"/>
              </w:rPr>
              <w:t>7</w:t>
            </w:r>
            <w:r>
              <w:rPr>
                <w:sz w:val="24"/>
              </w:rPr>
              <w:t>）产生。</w:t>
            </w:r>
          </w:p>
          <w:p>
            <w:pPr>
              <w:adjustRightInd w:val="0"/>
              <w:snapToGrid w:val="0"/>
              <w:spacing w:line="360" w:lineRule="auto"/>
              <w:ind w:firstLine="562" w:firstLineChars="200"/>
              <w:rPr>
                <w:b/>
                <w:sz w:val="28"/>
                <w:szCs w:val="28"/>
              </w:rPr>
            </w:pPr>
            <w:r>
              <w:rPr>
                <w:b/>
                <w:sz w:val="28"/>
                <w:szCs w:val="28"/>
              </w:rPr>
              <w:t>4.8、水平衡</w:t>
            </w:r>
          </w:p>
          <w:p>
            <w:pPr>
              <w:adjustRightInd w:val="0"/>
              <w:snapToGrid w:val="0"/>
              <w:spacing w:line="360" w:lineRule="auto"/>
              <w:ind w:firstLine="480" w:firstLineChars="200"/>
              <w:rPr>
                <w:sz w:val="24"/>
              </w:rPr>
            </w:pPr>
            <w:r>
              <w:rPr>
                <w:sz w:val="24"/>
              </w:rPr>
              <w:t>拟建项目运营期的供水主要为采区、</w:t>
            </w:r>
            <w:r>
              <w:rPr>
                <w:rFonts w:hint="eastAsia"/>
                <w:sz w:val="24"/>
              </w:rPr>
              <w:t>工业广场、</w:t>
            </w:r>
            <w:r>
              <w:rPr>
                <w:sz w:val="24"/>
              </w:rPr>
              <w:t>场内运输道路的生产用水和办公生活区的生活用水。项目劳动定员15人，</w:t>
            </w:r>
            <w:r>
              <w:rPr>
                <w:rFonts w:hint="eastAsia"/>
                <w:sz w:val="24"/>
              </w:rPr>
              <w:t>均不在厂区食宿。</w:t>
            </w:r>
          </w:p>
          <w:p>
            <w:pPr>
              <w:adjustRightInd w:val="0"/>
              <w:snapToGrid w:val="0"/>
              <w:spacing w:line="360" w:lineRule="auto"/>
              <w:ind w:firstLine="480" w:firstLineChars="200"/>
              <w:jc w:val="left"/>
              <w:rPr>
                <w:sz w:val="24"/>
              </w:rPr>
            </w:pPr>
            <w:r>
              <w:rPr>
                <w:sz w:val="24"/>
              </w:rPr>
              <w:t>拟建项目用水情况见表4-</w:t>
            </w:r>
            <w:r>
              <w:rPr>
                <w:rFonts w:hint="eastAsia"/>
                <w:sz w:val="24"/>
              </w:rPr>
              <w:t>3</w:t>
            </w:r>
            <w:r>
              <w:rPr>
                <w:sz w:val="24"/>
              </w:rPr>
              <w:t>。</w:t>
            </w:r>
          </w:p>
          <w:p>
            <w:pPr>
              <w:adjustRightInd w:val="0"/>
              <w:snapToGrid w:val="0"/>
              <w:jc w:val="center"/>
              <w:rPr>
                <w:b/>
                <w:sz w:val="24"/>
              </w:rPr>
            </w:pPr>
            <w:r>
              <w:rPr>
                <w:b/>
                <w:sz w:val="24"/>
              </w:rPr>
              <w:t>表4-</w:t>
            </w:r>
            <w:r>
              <w:rPr>
                <w:rFonts w:hint="eastAsia"/>
                <w:b/>
                <w:sz w:val="24"/>
              </w:rPr>
              <w:t>3</w:t>
            </w:r>
            <w:r>
              <w:rPr>
                <w:b/>
                <w:sz w:val="24"/>
              </w:rPr>
              <w:t xml:space="preserve">  拟建项目用水量</w:t>
            </w:r>
            <w:r>
              <w:rPr>
                <w:rFonts w:hint="eastAsia"/>
                <w:b/>
                <w:sz w:val="24"/>
              </w:rPr>
              <w:t>统计</w:t>
            </w:r>
            <w:r>
              <w:rPr>
                <w:b/>
                <w:sz w:val="24"/>
              </w:rPr>
              <w:t>表</w:t>
            </w:r>
          </w:p>
          <w:tbl>
            <w:tblPr>
              <w:tblStyle w:val="15"/>
              <w:tblW w:w="9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2233"/>
              <w:gridCol w:w="1589"/>
              <w:gridCol w:w="1721"/>
              <w:gridCol w:w="1221"/>
              <w:gridCol w:w="1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r>
                    <w:t>序号</w:t>
                  </w:r>
                </w:p>
              </w:tc>
              <w:tc>
                <w:tcPr>
                  <w:tcW w:w="2233" w:type="dxa"/>
                  <w:vAlign w:val="center"/>
                </w:tcPr>
                <w:p>
                  <w:pPr>
                    <w:pStyle w:val="42"/>
                  </w:pPr>
                  <w:r>
                    <w:t>用水类型</w:t>
                  </w:r>
                </w:p>
              </w:tc>
              <w:tc>
                <w:tcPr>
                  <w:tcW w:w="1589" w:type="dxa"/>
                  <w:vAlign w:val="center"/>
                </w:tcPr>
                <w:p>
                  <w:pPr>
                    <w:pStyle w:val="42"/>
                  </w:pPr>
                  <w:r>
                    <w:t>用水规模</w:t>
                  </w:r>
                </w:p>
              </w:tc>
              <w:tc>
                <w:tcPr>
                  <w:tcW w:w="1721" w:type="dxa"/>
                  <w:vAlign w:val="center"/>
                </w:tcPr>
                <w:p>
                  <w:pPr>
                    <w:pStyle w:val="42"/>
                  </w:pPr>
                  <w:r>
                    <w:t>用水标准</w:t>
                  </w:r>
                </w:p>
              </w:tc>
              <w:tc>
                <w:tcPr>
                  <w:tcW w:w="1221" w:type="dxa"/>
                  <w:vAlign w:val="center"/>
                </w:tcPr>
                <w:p>
                  <w:pPr>
                    <w:pStyle w:val="42"/>
                  </w:pPr>
                  <w:r>
                    <w:t>日用水量（m</w:t>
                  </w:r>
                  <w:r>
                    <w:rPr>
                      <w:vertAlign w:val="superscript"/>
                    </w:rPr>
                    <w:t>3</w:t>
                  </w:r>
                  <w:r>
                    <w:t>/d）</w:t>
                  </w:r>
                </w:p>
              </w:tc>
              <w:tc>
                <w:tcPr>
                  <w:tcW w:w="1823" w:type="dxa"/>
                  <w:vAlign w:val="center"/>
                </w:tcPr>
                <w:p>
                  <w:pPr>
                    <w:pStyle w:val="42"/>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r>
                    <w:t>一</w:t>
                  </w:r>
                </w:p>
              </w:tc>
              <w:tc>
                <w:tcPr>
                  <w:tcW w:w="2233" w:type="dxa"/>
                  <w:vAlign w:val="center"/>
                </w:tcPr>
                <w:p>
                  <w:pPr>
                    <w:pStyle w:val="42"/>
                  </w:pPr>
                  <w:r>
                    <w:t>生活用水</w:t>
                  </w:r>
                </w:p>
              </w:tc>
              <w:tc>
                <w:tcPr>
                  <w:tcW w:w="1589" w:type="dxa"/>
                  <w:vAlign w:val="center"/>
                </w:tcPr>
                <w:p>
                  <w:pPr>
                    <w:pStyle w:val="42"/>
                  </w:pPr>
                </w:p>
              </w:tc>
              <w:tc>
                <w:tcPr>
                  <w:tcW w:w="1721" w:type="dxa"/>
                  <w:vAlign w:val="center"/>
                </w:tcPr>
                <w:p>
                  <w:pPr>
                    <w:pStyle w:val="42"/>
                  </w:pPr>
                </w:p>
              </w:tc>
              <w:tc>
                <w:tcPr>
                  <w:tcW w:w="1221" w:type="dxa"/>
                  <w:vAlign w:val="center"/>
                </w:tcPr>
                <w:p>
                  <w:pPr>
                    <w:pStyle w:val="42"/>
                  </w:pPr>
                </w:p>
              </w:tc>
              <w:tc>
                <w:tcPr>
                  <w:tcW w:w="1823"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r>
                    <w:t>1</w:t>
                  </w:r>
                </w:p>
              </w:tc>
              <w:tc>
                <w:tcPr>
                  <w:tcW w:w="2233" w:type="dxa"/>
                  <w:vAlign w:val="center"/>
                </w:tcPr>
                <w:p>
                  <w:pPr>
                    <w:pStyle w:val="42"/>
                  </w:pPr>
                  <w:r>
                    <w:t>一般生活用水</w:t>
                  </w:r>
                </w:p>
              </w:tc>
              <w:tc>
                <w:tcPr>
                  <w:tcW w:w="1589" w:type="dxa"/>
                  <w:vAlign w:val="center"/>
                </w:tcPr>
                <w:p>
                  <w:pPr>
                    <w:pStyle w:val="42"/>
                  </w:pPr>
                  <w:r>
                    <w:t>15人</w:t>
                  </w:r>
                </w:p>
              </w:tc>
              <w:tc>
                <w:tcPr>
                  <w:tcW w:w="1721" w:type="dxa"/>
                  <w:vAlign w:val="center"/>
                </w:tcPr>
                <w:p>
                  <w:pPr>
                    <w:pStyle w:val="42"/>
                  </w:pPr>
                  <w:r>
                    <w:rPr>
                      <w:rFonts w:hint="eastAsia"/>
                    </w:rPr>
                    <w:t>非食宿6</w:t>
                  </w:r>
                  <w:r>
                    <w:t>0L/人d</w:t>
                  </w:r>
                </w:p>
              </w:tc>
              <w:tc>
                <w:tcPr>
                  <w:tcW w:w="1221" w:type="dxa"/>
                  <w:vAlign w:val="center"/>
                </w:tcPr>
                <w:p>
                  <w:pPr>
                    <w:pStyle w:val="42"/>
                  </w:pPr>
                  <w:r>
                    <w:rPr>
                      <w:rFonts w:hint="eastAsia"/>
                    </w:rPr>
                    <w:t>0.9</w:t>
                  </w:r>
                </w:p>
              </w:tc>
              <w:tc>
                <w:tcPr>
                  <w:tcW w:w="1823" w:type="dxa"/>
                  <w:vAlign w:val="center"/>
                </w:tcPr>
                <w:p>
                  <w:pPr>
                    <w:pStyle w:val="42"/>
                  </w:pPr>
                  <w:r>
                    <w:t>折污系数按0.9计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r>
                    <w:t>二</w:t>
                  </w:r>
                </w:p>
              </w:tc>
              <w:tc>
                <w:tcPr>
                  <w:tcW w:w="2233" w:type="dxa"/>
                  <w:vAlign w:val="center"/>
                </w:tcPr>
                <w:p>
                  <w:pPr>
                    <w:pStyle w:val="42"/>
                  </w:pPr>
                  <w:r>
                    <w:t>生产用水</w:t>
                  </w:r>
                </w:p>
              </w:tc>
              <w:tc>
                <w:tcPr>
                  <w:tcW w:w="1589" w:type="dxa"/>
                  <w:vAlign w:val="center"/>
                </w:tcPr>
                <w:p>
                  <w:pPr>
                    <w:pStyle w:val="42"/>
                  </w:pPr>
                </w:p>
              </w:tc>
              <w:tc>
                <w:tcPr>
                  <w:tcW w:w="1721" w:type="dxa"/>
                  <w:vAlign w:val="center"/>
                </w:tcPr>
                <w:p>
                  <w:pPr>
                    <w:pStyle w:val="42"/>
                  </w:pPr>
                </w:p>
              </w:tc>
              <w:tc>
                <w:tcPr>
                  <w:tcW w:w="1221" w:type="dxa"/>
                  <w:vAlign w:val="center"/>
                </w:tcPr>
                <w:p>
                  <w:pPr>
                    <w:pStyle w:val="42"/>
                  </w:pPr>
                </w:p>
              </w:tc>
              <w:tc>
                <w:tcPr>
                  <w:tcW w:w="1823"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r>
                    <w:t>1</w:t>
                  </w:r>
                </w:p>
              </w:tc>
              <w:tc>
                <w:tcPr>
                  <w:tcW w:w="2233" w:type="dxa"/>
                  <w:vAlign w:val="center"/>
                </w:tcPr>
                <w:p>
                  <w:pPr>
                    <w:pStyle w:val="42"/>
                  </w:pPr>
                  <w:r>
                    <w:t>采区爆破洒水</w:t>
                  </w:r>
                </w:p>
              </w:tc>
              <w:tc>
                <w:tcPr>
                  <w:tcW w:w="1589" w:type="dxa"/>
                  <w:vAlign w:val="center"/>
                </w:tcPr>
                <w:p>
                  <w:pPr>
                    <w:pStyle w:val="42"/>
                  </w:pPr>
                  <w:r>
                    <w:t>0.002m</w:t>
                  </w:r>
                  <w:r>
                    <w:rPr>
                      <w:vertAlign w:val="superscript"/>
                    </w:rPr>
                    <w:t>3</w:t>
                  </w:r>
                  <w:r>
                    <w:t>/t</w:t>
                  </w:r>
                </w:p>
              </w:tc>
              <w:tc>
                <w:tcPr>
                  <w:tcW w:w="1721" w:type="dxa"/>
                  <w:vAlign w:val="center"/>
                </w:tcPr>
                <w:p>
                  <w:pPr>
                    <w:pStyle w:val="42"/>
                  </w:pPr>
                  <w:r>
                    <w:t>开采量1700t/a</w:t>
                  </w:r>
                </w:p>
              </w:tc>
              <w:tc>
                <w:tcPr>
                  <w:tcW w:w="1221" w:type="dxa"/>
                  <w:vAlign w:val="center"/>
                </w:tcPr>
                <w:p>
                  <w:pPr>
                    <w:pStyle w:val="42"/>
                  </w:pPr>
                  <w:r>
                    <w:t>3.4</w:t>
                  </w:r>
                </w:p>
              </w:tc>
              <w:tc>
                <w:tcPr>
                  <w:tcW w:w="1823" w:type="dxa"/>
                  <w:vMerge w:val="restart"/>
                  <w:vAlign w:val="center"/>
                </w:tcPr>
                <w:p>
                  <w:pPr>
                    <w:pStyle w:val="42"/>
                  </w:pPr>
                  <w:r>
                    <w:t>高压微雾装置洒水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r>
                    <w:t>2</w:t>
                  </w:r>
                </w:p>
              </w:tc>
              <w:tc>
                <w:tcPr>
                  <w:tcW w:w="2233" w:type="dxa"/>
                  <w:vAlign w:val="center"/>
                </w:tcPr>
                <w:p>
                  <w:pPr>
                    <w:pStyle w:val="42"/>
                  </w:pPr>
                  <w:r>
                    <w:t>采区湿式钻孔洒水</w:t>
                  </w:r>
                </w:p>
              </w:tc>
              <w:tc>
                <w:tcPr>
                  <w:tcW w:w="1589" w:type="dxa"/>
                  <w:vAlign w:val="center"/>
                </w:tcPr>
                <w:p>
                  <w:pPr>
                    <w:pStyle w:val="42"/>
                  </w:pPr>
                  <w:r>
                    <w:t>0.002m</w:t>
                  </w:r>
                  <w:r>
                    <w:rPr>
                      <w:vertAlign w:val="superscript"/>
                    </w:rPr>
                    <w:t>3</w:t>
                  </w:r>
                  <w:r>
                    <w:t>/t</w:t>
                  </w:r>
                </w:p>
              </w:tc>
              <w:tc>
                <w:tcPr>
                  <w:tcW w:w="1721" w:type="dxa"/>
                  <w:vAlign w:val="center"/>
                </w:tcPr>
                <w:p>
                  <w:pPr>
                    <w:pStyle w:val="42"/>
                  </w:pPr>
                  <w:r>
                    <w:t>开采量1700t/a</w:t>
                  </w:r>
                </w:p>
              </w:tc>
              <w:tc>
                <w:tcPr>
                  <w:tcW w:w="1221" w:type="dxa"/>
                  <w:vAlign w:val="center"/>
                </w:tcPr>
                <w:p>
                  <w:pPr>
                    <w:pStyle w:val="42"/>
                  </w:pPr>
                  <w:r>
                    <w:t>3.4</w:t>
                  </w:r>
                </w:p>
              </w:tc>
              <w:tc>
                <w:tcPr>
                  <w:tcW w:w="1823" w:type="dxa"/>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r>
                    <w:t>3</w:t>
                  </w:r>
                </w:p>
              </w:tc>
              <w:tc>
                <w:tcPr>
                  <w:tcW w:w="2233" w:type="dxa"/>
                  <w:vAlign w:val="center"/>
                </w:tcPr>
                <w:p>
                  <w:pPr>
                    <w:pStyle w:val="42"/>
                  </w:pPr>
                  <w:r>
                    <w:t>采区</w:t>
                  </w:r>
                  <w:r>
                    <w:rPr>
                      <w:rFonts w:hint="eastAsia"/>
                    </w:rPr>
                    <w:t>工作面</w:t>
                  </w:r>
                  <w:r>
                    <w:t>洒水</w:t>
                  </w:r>
                </w:p>
              </w:tc>
              <w:tc>
                <w:tcPr>
                  <w:tcW w:w="1589" w:type="dxa"/>
                  <w:vAlign w:val="center"/>
                </w:tcPr>
                <w:p>
                  <w:pPr>
                    <w:pStyle w:val="42"/>
                  </w:pPr>
                  <w:r>
                    <w:t>开采平台</w:t>
                  </w:r>
                </w:p>
                <w:p>
                  <w:pPr>
                    <w:pStyle w:val="42"/>
                  </w:pPr>
                  <w:r>
                    <w:rPr>
                      <w:rFonts w:hint="eastAsia"/>
                    </w:rPr>
                    <w:t>900</w:t>
                  </w:r>
                  <w:r>
                    <w:t>m</w:t>
                  </w:r>
                  <w:r>
                    <w:rPr>
                      <w:vertAlign w:val="superscript"/>
                    </w:rPr>
                    <w:t>2</w:t>
                  </w:r>
                </w:p>
              </w:tc>
              <w:tc>
                <w:tcPr>
                  <w:tcW w:w="1721" w:type="dxa"/>
                  <w:vAlign w:val="center"/>
                </w:tcPr>
                <w:p>
                  <w:pPr>
                    <w:pStyle w:val="42"/>
                  </w:pPr>
                  <w:r>
                    <w:t>1.0L/m</w:t>
                  </w:r>
                  <w:r>
                    <w:rPr>
                      <w:vertAlign w:val="superscript"/>
                    </w:rPr>
                    <w:t>2</w:t>
                  </w:r>
                  <w:r>
                    <w:t>·d</w:t>
                  </w:r>
                </w:p>
              </w:tc>
              <w:tc>
                <w:tcPr>
                  <w:tcW w:w="1221" w:type="dxa"/>
                  <w:vAlign w:val="center"/>
                </w:tcPr>
                <w:p>
                  <w:pPr>
                    <w:pStyle w:val="42"/>
                  </w:pPr>
                  <w:r>
                    <w:rPr>
                      <w:rFonts w:hint="eastAsia"/>
                    </w:rPr>
                    <w:t>0.9</w:t>
                  </w:r>
                </w:p>
              </w:tc>
              <w:tc>
                <w:tcPr>
                  <w:tcW w:w="1823" w:type="dxa"/>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r>
                    <w:t>4</w:t>
                  </w:r>
                </w:p>
              </w:tc>
              <w:tc>
                <w:tcPr>
                  <w:tcW w:w="2233" w:type="dxa"/>
                  <w:vAlign w:val="center"/>
                </w:tcPr>
                <w:p>
                  <w:pPr>
                    <w:pStyle w:val="42"/>
                  </w:pPr>
                  <w:r>
                    <w:t>车辆清洗用水</w:t>
                  </w:r>
                </w:p>
              </w:tc>
              <w:tc>
                <w:tcPr>
                  <w:tcW w:w="1589" w:type="dxa"/>
                  <w:vAlign w:val="center"/>
                </w:tcPr>
                <w:p>
                  <w:pPr>
                    <w:pStyle w:val="42"/>
                  </w:pPr>
                  <w:r>
                    <w:t>85车次/d</w:t>
                  </w:r>
                </w:p>
              </w:tc>
              <w:tc>
                <w:tcPr>
                  <w:tcW w:w="1721" w:type="dxa"/>
                  <w:vAlign w:val="center"/>
                </w:tcPr>
                <w:p>
                  <w:pPr>
                    <w:pStyle w:val="42"/>
                  </w:pPr>
                  <w:r>
                    <w:t>50.0L/车次</w:t>
                  </w:r>
                </w:p>
              </w:tc>
              <w:tc>
                <w:tcPr>
                  <w:tcW w:w="1221" w:type="dxa"/>
                  <w:vAlign w:val="center"/>
                </w:tcPr>
                <w:p>
                  <w:pPr>
                    <w:pStyle w:val="42"/>
                  </w:pPr>
                  <w:r>
                    <w:t>4.25</w:t>
                  </w:r>
                </w:p>
              </w:tc>
              <w:tc>
                <w:tcPr>
                  <w:tcW w:w="1823" w:type="dxa"/>
                  <w:vAlign w:val="center"/>
                </w:tcPr>
                <w:p>
                  <w:pPr>
                    <w:pStyle w:val="42"/>
                  </w:pPr>
                  <w:r>
                    <w:t>回用3.4m</w:t>
                  </w:r>
                  <w:r>
                    <w:rPr>
                      <w:vertAlign w:val="superscript"/>
                    </w:rPr>
                    <w:t>3</w:t>
                  </w:r>
                  <w: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r>
                    <w:t>5</w:t>
                  </w:r>
                </w:p>
              </w:tc>
              <w:tc>
                <w:tcPr>
                  <w:tcW w:w="2233" w:type="dxa"/>
                  <w:vAlign w:val="center"/>
                </w:tcPr>
                <w:p>
                  <w:pPr>
                    <w:pStyle w:val="42"/>
                  </w:pPr>
                  <w:r>
                    <w:t>场内道路防尘洒水</w:t>
                  </w:r>
                </w:p>
              </w:tc>
              <w:tc>
                <w:tcPr>
                  <w:tcW w:w="1589" w:type="dxa"/>
                  <w:vAlign w:val="center"/>
                </w:tcPr>
                <w:p>
                  <w:pPr>
                    <w:pStyle w:val="42"/>
                  </w:pPr>
                  <w:r>
                    <w:rPr>
                      <w:rFonts w:hint="eastAsia"/>
                    </w:rPr>
                    <w:t>568</w:t>
                  </w:r>
                  <w:r>
                    <w:t>m*</w:t>
                  </w:r>
                  <w:r>
                    <w:rPr>
                      <w:rFonts w:hint="eastAsia"/>
                    </w:rPr>
                    <w:t>10</w:t>
                  </w:r>
                  <w:r>
                    <w:t>m</w:t>
                  </w:r>
                </w:p>
              </w:tc>
              <w:tc>
                <w:tcPr>
                  <w:tcW w:w="1721" w:type="dxa"/>
                  <w:vAlign w:val="center"/>
                </w:tcPr>
                <w:p>
                  <w:pPr>
                    <w:pStyle w:val="42"/>
                  </w:pPr>
                  <w:r>
                    <w:t>1.0L/m</w:t>
                  </w:r>
                  <w:r>
                    <w:rPr>
                      <w:vertAlign w:val="superscript"/>
                    </w:rPr>
                    <w:t>2</w:t>
                  </w:r>
                  <w:r>
                    <w:t>·d</w:t>
                  </w:r>
                </w:p>
              </w:tc>
              <w:tc>
                <w:tcPr>
                  <w:tcW w:w="1221" w:type="dxa"/>
                  <w:vAlign w:val="center"/>
                </w:tcPr>
                <w:p>
                  <w:pPr>
                    <w:pStyle w:val="42"/>
                  </w:pPr>
                  <w:r>
                    <w:rPr>
                      <w:rFonts w:hint="eastAsia"/>
                    </w:rPr>
                    <w:t>5.68</w:t>
                  </w:r>
                </w:p>
              </w:tc>
              <w:tc>
                <w:tcPr>
                  <w:tcW w:w="1823" w:type="dxa"/>
                  <w:vAlign w:val="center"/>
                </w:tcPr>
                <w:p>
                  <w:pPr>
                    <w:pStyle w:val="42"/>
                  </w:pPr>
                  <w:r>
                    <w:t>洒水车洒水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r>
                    <w:rPr>
                      <w:rFonts w:hint="eastAsia"/>
                    </w:rPr>
                    <w:t>6</w:t>
                  </w:r>
                </w:p>
              </w:tc>
              <w:tc>
                <w:tcPr>
                  <w:tcW w:w="2233" w:type="dxa"/>
                  <w:vAlign w:val="center"/>
                </w:tcPr>
                <w:p>
                  <w:pPr>
                    <w:pStyle w:val="42"/>
                  </w:pPr>
                  <w:r>
                    <w:t>工业广场喷雾洒水</w:t>
                  </w:r>
                </w:p>
              </w:tc>
              <w:tc>
                <w:tcPr>
                  <w:tcW w:w="1589" w:type="dxa"/>
                  <w:vAlign w:val="center"/>
                </w:tcPr>
                <w:p>
                  <w:pPr>
                    <w:pStyle w:val="42"/>
                  </w:pPr>
                  <w:r>
                    <w:rPr>
                      <w:rFonts w:hint="eastAsia"/>
                    </w:rPr>
                    <w:t>5</w:t>
                  </w:r>
                  <w:r>
                    <w:t>个喷淋点</w:t>
                  </w:r>
                </w:p>
              </w:tc>
              <w:tc>
                <w:tcPr>
                  <w:tcW w:w="1721" w:type="dxa"/>
                  <w:vAlign w:val="center"/>
                </w:tcPr>
                <w:p>
                  <w:pPr>
                    <w:pStyle w:val="42"/>
                  </w:pPr>
                  <w:r>
                    <w:t>卸料口</w:t>
                  </w:r>
                  <w:r>
                    <w:rPr>
                      <w:rFonts w:hint="eastAsia"/>
                    </w:rPr>
                    <w:t>2</w:t>
                  </w:r>
                  <w:r>
                    <w:t>.0m</w:t>
                  </w:r>
                  <w:r>
                    <w:rPr>
                      <w:vertAlign w:val="superscript"/>
                    </w:rPr>
                    <w:t>3</w:t>
                  </w:r>
                  <w:r>
                    <w:t>/d，</w:t>
                  </w:r>
                  <w:r>
                    <w:rPr>
                      <w:rFonts w:hint="eastAsia"/>
                    </w:rPr>
                    <w:t>其他1.0</w:t>
                  </w:r>
                  <w:r>
                    <w:t>m</w:t>
                  </w:r>
                  <w:r>
                    <w:rPr>
                      <w:vertAlign w:val="superscript"/>
                    </w:rPr>
                    <w:t>3</w:t>
                  </w:r>
                  <w:r>
                    <w:t>/d</w:t>
                  </w:r>
                </w:p>
              </w:tc>
              <w:tc>
                <w:tcPr>
                  <w:tcW w:w="1221" w:type="dxa"/>
                  <w:vAlign w:val="center"/>
                </w:tcPr>
                <w:p>
                  <w:pPr>
                    <w:pStyle w:val="42"/>
                  </w:pPr>
                  <w:r>
                    <w:rPr>
                      <w:rFonts w:hint="eastAsia"/>
                    </w:rPr>
                    <w:t>6</w:t>
                  </w:r>
                </w:p>
              </w:tc>
              <w:tc>
                <w:tcPr>
                  <w:tcW w:w="1823"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p>
              </w:tc>
              <w:tc>
                <w:tcPr>
                  <w:tcW w:w="2233" w:type="dxa"/>
                  <w:vAlign w:val="center"/>
                </w:tcPr>
                <w:p>
                  <w:pPr>
                    <w:pStyle w:val="42"/>
                  </w:pPr>
                  <w:r>
                    <w:t>小计</w:t>
                  </w:r>
                </w:p>
              </w:tc>
              <w:tc>
                <w:tcPr>
                  <w:tcW w:w="1589" w:type="dxa"/>
                  <w:vAlign w:val="center"/>
                </w:tcPr>
                <w:p>
                  <w:pPr>
                    <w:pStyle w:val="42"/>
                  </w:pPr>
                </w:p>
              </w:tc>
              <w:tc>
                <w:tcPr>
                  <w:tcW w:w="1721" w:type="dxa"/>
                  <w:vAlign w:val="center"/>
                </w:tcPr>
                <w:p>
                  <w:pPr>
                    <w:pStyle w:val="42"/>
                  </w:pPr>
                </w:p>
              </w:tc>
              <w:tc>
                <w:tcPr>
                  <w:tcW w:w="1221" w:type="dxa"/>
                  <w:vAlign w:val="center"/>
                </w:tcPr>
                <w:p>
                  <w:pPr>
                    <w:pStyle w:val="42"/>
                  </w:pPr>
                  <w:r>
                    <w:rPr>
                      <w:rFonts w:hint="eastAsia"/>
                    </w:rPr>
                    <w:t>23.63</w:t>
                  </w:r>
                </w:p>
              </w:tc>
              <w:tc>
                <w:tcPr>
                  <w:tcW w:w="1823"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r>
                    <w:t>三</w:t>
                  </w:r>
                </w:p>
              </w:tc>
              <w:tc>
                <w:tcPr>
                  <w:tcW w:w="2233" w:type="dxa"/>
                  <w:vAlign w:val="center"/>
                </w:tcPr>
                <w:p>
                  <w:pPr>
                    <w:pStyle w:val="42"/>
                  </w:pPr>
                  <w:r>
                    <w:t>用水量合计</w:t>
                  </w:r>
                </w:p>
              </w:tc>
              <w:tc>
                <w:tcPr>
                  <w:tcW w:w="1589" w:type="dxa"/>
                  <w:vAlign w:val="center"/>
                </w:tcPr>
                <w:p>
                  <w:pPr>
                    <w:pStyle w:val="42"/>
                  </w:pPr>
                </w:p>
              </w:tc>
              <w:tc>
                <w:tcPr>
                  <w:tcW w:w="1721" w:type="dxa"/>
                  <w:vAlign w:val="center"/>
                </w:tcPr>
                <w:p>
                  <w:pPr>
                    <w:pStyle w:val="42"/>
                  </w:pPr>
                </w:p>
              </w:tc>
              <w:tc>
                <w:tcPr>
                  <w:tcW w:w="1221" w:type="dxa"/>
                  <w:vAlign w:val="center"/>
                </w:tcPr>
                <w:p>
                  <w:pPr>
                    <w:pStyle w:val="42"/>
                  </w:pPr>
                  <w:r>
                    <w:t>24.53</w:t>
                  </w:r>
                </w:p>
              </w:tc>
              <w:tc>
                <w:tcPr>
                  <w:tcW w:w="1823" w:type="dxa"/>
                  <w:vAlign w:val="center"/>
                </w:tcPr>
                <w:p>
                  <w:pPr>
                    <w:pStyle w:val="42"/>
                  </w:pPr>
                </w:p>
              </w:tc>
            </w:tr>
          </w:tbl>
          <w:p>
            <w:pPr>
              <w:adjustRightInd w:val="0"/>
              <w:snapToGrid w:val="0"/>
              <w:spacing w:line="360" w:lineRule="auto"/>
              <w:ind w:firstLine="480" w:firstLineChars="200"/>
              <w:rPr>
                <w:sz w:val="24"/>
              </w:rPr>
            </w:pPr>
            <w:r>
              <w:rPr>
                <w:sz w:val="24"/>
              </w:rPr>
              <w:t>项目运营期用水量为24.53m</w:t>
            </w:r>
            <w:r>
              <w:rPr>
                <w:sz w:val="24"/>
                <w:vertAlign w:val="superscript"/>
              </w:rPr>
              <w:t>3</w:t>
            </w:r>
            <w:r>
              <w:rPr>
                <w:sz w:val="24"/>
              </w:rPr>
              <w:t>/d，考虑车辆清洗用水循环使用，企业实际用水量为21.13m</w:t>
            </w:r>
            <w:r>
              <w:rPr>
                <w:sz w:val="24"/>
                <w:vertAlign w:val="superscript"/>
              </w:rPr>
              <w:t>3</w:t>
            </w:r>
            <w:r>
              <w:rPr>
                <w:sz w:val="24"/>
              </w:rPr>
              <w:t>/d。</w:t>
            </w:r>
          </w:p>
          <w:p>
            <w:pPr>
              <w:adjustRightInd w:val="0"/>
              <w:snapToGrid w:val="0"/>
              <w:spacing w:line="360" w:lineRule="auto"/>
              <w:ind w:firstLine="480" w:firstLineChars="200"/>
              <w:rPr>
                <w:sz w:val="24"/>
              </w:rPr>
            </w:pPr>
            <w:r>
              <w:rPr>
                <w:sz w:val="24"/>
              </w:rPr>
              <w:t>目前，双泉乡永祥村已接通自来水管网，项目区域周边居民均使用自来水；</w:t>
            </w:r>
            <w:r>
              <w:rPr>
                <w:rFonts w:hint="eastAsia"/>
                <w:sz w:val="24"/>
              </w:rPr>
              <w:t>办公楼目前已接入区域自来水管网，生活、生产用水均采用自来水。项目沿现有给水管向破碎站给料口及生产设备喷雾洒水装置、“U型”车辆冲洗池给水；</w:t>
            </w:r>
            <w:r>
              <w:rPr>
                <w:sz w:val="24"/>
              </w:rPr>
              <w:t>使用</w:t>
            </w:r>
            <w:r>
              <w:rPr>
                <w:rFonts w:hint="eastAsia"/>
                <w:sz w:val="24"/>
              </w:rPr>
              <w:t>洒水车于给水管阀门处补水后进行场内外道路洒水，途经高压微雾装置旁时，定期补水至其蓄水箱，以维持采面开采期间喷雾洒水降尘</w:t>
            </w:r>
            <w:r>
              <w:rPr>
                <w:sz w:val="24"/>
              </w:rPr>
              <w:t>。</w:t>
            </w:r>
          </w:p>
          <w:p>
            <w:pPr>
              <w:adjustRightInd w:val="0"/>
              <w:snapToGrid w:val="0"/>
              <w:spacing w:line="360" w:lineRule="auto"/>
              <w:ind w:firstLine="480" w:firstLineChars="200"/>
              <w:rPr>
                <w:sz w:val="24"/>
              </w:rPr>
            </w:pPr>
            <w:r>
              <w:rPr>
                <w:sz w:val="24"/>
              </w:rPr>
              <w:t>拟建项目水平衡图详见图4-</w:t>
            </w:r>
            <w:r>
              <w:rPr>
                <w:rFonts w:hint="eastAsia"/>
                <w:sz w:val="24"/>
              </w:rPr>
              <w:t>4</w:t>
            </w:r>
            <w:r>
              <w:rPr>
                <w:sz w:val="24"/>
              </w:rPr>
              <w:t>。</w:t>
            </w:r>
          </w:p>
          <w:p>
            <w:pPr>
              <w:adjustRightInd w:val="0"/>
              <w:snapToGrid w:val="0"/>
              <w:jc w:val="center"/>
              <w:rPr>
                <w:sz w:val="24"/>
              </w:rPr>
            </w:pPr>
            <w:r>
              <w:rPr>
                <w:rFonts w:hint="eastAsia"/>
              </w:rPr>
              <w:object>
                <v:shape id="_x0000_i1031" o:spt="75" type="#_x0000_t75" style="height:262.75pt;width:380.95pt;" o:ole="t" filled="f" o:preferrelative="t" stroked="f" coordsize="21600,21600">
                  <v:path/>
                  <v:fill on="f" focussize="0,0"/>
                  <v:stroke on="f" joinstyle="miter"/>
                  <v:imagedata r:id="rId33" o:title=""/>
                  <o:lock v:ext="edit" aspectratio="t"/>
                  <w10:wrap type="none"/>
                  <w10:anchorlock/>
                </v:shape>
                <o:OLEObject Type="Embed" ProgID="Visio.Drawing.15" ShapeID="_x0000_i1031" DrawAspect="Content" ObjectID="_1468075731" r:id="rId32">
                  <o:LockedField>false</o:LockedField>
                </o:OLEObject>
              </w:object>
            </w:r>
          </w:p>
          <w:p>
            <w:pPr>
              <w:adjustRightInd w:val="0"/>
              <w:snapToGrid w:val="0"/>
              <w:spacing w:line="360" w:lineRule="auto"/>
              <w:jc w:val="center"/>
              <w:rPr>
                <w:b/>
                <w:sz w:val="28"/>
                <w:szCs w:val="28"/>
              </w:rPr>
            </w:pPr>
            <w:r>
              <w:rPr>
                <w:b/>
                <w:sz w:val="24"/>
              </w:rPr>
              <w:t>图4-</w:t>
            </w:r>
            <w:r>
              <w:rPr>
                <w:rFonts w:hint="eastAsia"/>
                <w:b/>
                <w:sz w:val="24"/>
              </w:rPr>
              <w:t>4</w:t>
            </w:r>
            <w:r>
              <w:rPr>
                <w:b/>
                <w:sz w:val="24"/>
              </w:rPr>
              <w:t xml:space="preserve">  拟建项目水平衡图   单位：m</w:t>
            </w:r>
            <w:r>
              <w:rPr>
                <w:b/>
                <w:sz w:val="24"/>
                <w:vertAlign w:val="superscript"/>
              </w:rPr>
              <w:t>3</w:t>
            </w:r>
            <w:r>
              <w:rPr>
                <w:b/>
                <w:sz w:val="24"/>
              </w:rPr>
              <w:t>/d</w:t>
            </w:r>
          </w:p>
          <w:p>
            <w:pPr>
              <w:adjustRightInd w:val="0"/>
              <w:snapToGrid w:val="0"/>
              <w:spacing w:line="360" w:lineRule="auto"/>
              <w:ind w:firstLine="562" w:firstLineChars="200"/>
              <w:rPr>
                <w:b/>
                <w:color w:val="0000FF"/>
                <w:sz w:val="28"/>
                <w:szCs w:val="28"/>
              </w:rPr>
            </w:pPr>
            <w:r>
              <w:rPr>
                <w:b/>
                <w:color w:val="0000FF"/>
                <w:sz w:val="28"/>
                <w:szCs w:val="28"/>
              </w:rPr>
              <w:t>4.</w:t>
            </w:r>
            <w:r>
              <w:rPr>
                <w:rFonts w:hint="eastAsia"/>
                <w:b/>
                <w:color w:val="0000FF"/>
                <w:sz w:val="28"/>
                <w:szCs w:val="28"/>
              </w:rPr>
              <w:t>9</w:t>
            </w:r>
            <w:r>
              <w:rPr>
                <w:b/>
                <w:color w:val="0000FF"/>
                <w:sz w:val="28"/>
                <w:szCs w:val="28"/>
              </w:rPr>
              <w:t>、</w:t>
            </w:r>
            <w:r>
              <w:rPr>
                <w:rFonts w:hint="eastAsia"/>
                <w:b/>
                <w:color w:val="0000FF"/>
                <w:sz w:val="28"/>
                <w:szCs w:val="28"/>
              </w:rPr>
              <w:t>物料</w:t>
            </w:r>
            <w:r>
              <w:rPr>
                <w:b/>
                <w:color w:val="0000FF"/>
                <w:sz w:val="28"/>
                <w:szCs w:val="28"/>
              </w:rPr>
              <w:t>平衡</w:t>
            </w:r>
          </w:p>
          <w:p>
            <w:pPr>
              <w:adjustRightInd w:val="0"/>
              <w:snapToGrid w:val="0"/>
              <w:spacing w:line="360" w:lineRule="auto"/>
              <w:ind w:firstLine="480" w:firstLineChars="200"/>
              <w:rPr>
                <w:color w:val="0000FF"/>
                <w:sz w:val="24"/>
              </w:rPr>
            </w:pPr>
            <w:r>
              <w:rPr>
                <w:rFonts w:hint="eastAsia"/>
                <w:color w:val="0000FF"/>
                <w:sz w:val="24"/>
              </w:rPr>
              <w:t>项目开采期物料平衡见图4-5。</w:t>
            </w:r>
          </w:p>
          <w:p>
            <w:pPr>
              <w:adjustRightInd w:val="0"/>
              <w:snapToGrid w:val="0"/>
              <w:spacing w:line="360" w:lineRule="auto"/>
            </w:pPr>
            <w:r>
              <w:rPr>
                <w:rFonts w:hint="eastAsia"/>
              </w:rPr>
              <w:object>
                <v:shape id="_x0000_i1032" o:spt="75" type="#_x0000_t75" style="height:268.65pt;width:459.95pt;" o:ole="t" filled="f" o:preferrelative="t" stroked="f" coordsize="21600,21600">
                  <v:path/>
                  <v:fill on="f" focussize="0,0"/>
                  <v:stroke on="f" joinstyle="miter"/>
                  <v:imagedata r:id="rId35" o:title=""/>
                  <o:lock v:ext="edit" aspectratio="t"/>
                  <w10:wrap type="none"/>
                  <w10:anchorlock/>
                </v:shape>
                <o:OLEObject Type="Embed" ProgID="Visio.Drawing.15" ShapeID="_x0000_i1032" DrawAspect="Content" ObjectID="_1468075732" r:id="rId34">
                  <o:LockedField>false</o:LockedField>
                </o:OLEObject>
              </w:object>
            </w:r>
          </w:p>
          <w:p>
            <w:pPr>
              <w:adjustRightInd w:val="0"/>
              <w:snapToGrid w:val="0"/>
              <w:ind w:firstLine="420" w:firstLineChars="200"/>
              <w:rPr>
                <w:color w:val="0000FF"/>
                <w:sz w:val="24"/>
              </w:rPr>
            </w:pPr>
            <w:r>
              <w:rPr>
                <w:rFonts w:hint="eastAsia"/>
                <w:color w:val="0000FF"/>
              </w:rPr>
              <w:t>注：图中蓝色、土黄色字体分别指代砂料、灰渣质量，单位为t/a；黑色数字指代石料粒径。</w:t>
            </w:r>
          </w:p>
          <w:p>
            <w:pPr>
              <w:adjustRightInd w:val="0"/>
              <w:snapToGrid w:val="0"/>
              <w:jc w:val="center"/>
              <w:rPr>
                <w:sz w:val="24"/>
              </w:rPr>
            </w:pPr>
            <w:r>
              <w:rPr>
                <w:b/>
                <w:color w:val="0000FF"/>
                <w:sz w:val="24"/>
              </w:rPr>
              <w:t>图4-</w:t>
            </w:r>
            <w:r>
              <w:rPr>
                <w:rFonts w:hint="eastAsia"/>
                <w:b/>
                <w:color w:val="0000FF"/>
                <w:sz w:val="24"/>
              </w:rPr>
              <w:t>5</w:t>
            </w:r>
            <w:r>
              <w:rPr>
                <w:b/>
                <w:color w:val="0000FF"/>
                <w:sz w:val="24"/>
              </w:rPr>
              <w:t xml:space="preserve">  项目</w:t>
            </w:r>
            <w:r>
              <w:rPr>
                <w:rFonts w:hint="eastAsia"/>
                <w:b/>
                <w:color w:val="0000FF"/>
                <w:sz w:val="24"/>
              </w:rPr>
              <w:t>开采</w:t>
            </w:r>
            <w:r>
              <w:rPr>
                <w:b/>
                <w:color w:val="0000FF"/>
                <w:sz w:val="24"/>
              </w:rPr>
              <w:t>期物料平衡图</w:t>
            </w:r>
          </w:p>
        </w:tc>
      </w:tr>
    </w:tbl>
    <w:p>
      <w:pPr>
        <w:sectPr>
          <w:pgSz w:w="11906" w:h="16838"/>
          <w:pgMar w:top="1440" w:right="1080" w:bottom="1440" w:left="1080" w:header="851" w:footer="1077" w:gutter="0"/>
          <w:cols w:space="720" w:num="1"/>
          <w:docGrid w:linePitch="312" w:charSpace="0"/>
        </w:sectPr>
      </w:pP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0"/>
        <w:gridCol w:w="92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163" w:hRule="atLeast"/>
          <w:jc w:val="center"/>
        </w:trPr>
        <w:tc>
          <w:tcPr>
            <w:tcW w:w="480" w:type="dxa"/>
            <w:vAlign w:val="center"/>
          </w:tcPr>
          <w:p>
            <w:pPr>
              <w:adjustRightInd w:val="0"/>
              <w:snapToGrid w:val="0"/>
              <w:jc w:val="center"/>
              <w:rPr>
                <w:sz w:val="24"/>
              </w:rPr>
            </w:pPr>
            <w:r>
              <w:rPr>
                <w:sz w:val="24"/>
              </w:rPr>
              <w:t>运营期生态环境影响分析</w:t>
            </w:r>
          </w:p>
        </w:tc>
        <w:tc>
          <w:tcPr>
            <w:tcW w:w="9246" w:type="dxa"/>
          </w:tcPr>
          <w:p>
            <w:pPr>
              <w:adjustRightInd w:val="0"/>
              <w:snapToGrid w:val="0"/>
              <w:spacing w:line="360" w:lineRule="auto"/>
              <w:ind w:firstLine="562" w:firstLineChars="200"/>
              <w:jc w:val="left"/>
              <w:rPr>
                <w:b/>
                <w:sz w:val="28"/>
                <w:szCs w:val="28"/>
              </w:rPr>
            </w:pPr>
            <w:r>
              <w:rPr>
                <w:b/>
                <w:sz w:val="28"/>
                <w:szCs w:val="28"/>
              </w:rPr>
              <w:t>4.10、环境影响分析</w:t>
            </w:r>
          </w:p>
          <w:p>
            <w:pPr>
              <w:adjustRightInd w:val="0"/>
              <w:snapToGrid w:val="0"/>
              <w:spacing w:line="360" w:lineRule="auto"/>
              <w:ind w:firstLine="482" w:firstLineChars="200"/>
              <w:jc w:val="left"/>
              <w:rPr>
                <w:b/>
                <w:sz w:val="24"/>
              </w:rPr>
            </w:pPr>
            <w:r>
              <w:rPr>
                <w:b/>
                <w:sz w:val="24"/>
              </w:rPr>
              <w:t>（1）大气环境</w:t>
            </w:r>
          </w:p>
          <w:p>
            <w:pPr>
              <w:adjustRightInd w:val="0"/>
              <w:snapToGrid w:val="0"/>
              <w:spacing w:line="360" w:lineRule="auto"/>
              <w:ind w:firstLine="482" w:firstLineChars="200"/>
              <w:jc w:val="left"/>
              <w:rPr>
                <w:b/>
                <w:sz w:val="24"/>
              </w:rPr>
            </w:pPr>
            <w:r>
              <w:rPr>
                <w:b/>
                <w:sz w:val="24"/>
              </w:rPr>
              <w:t>1）大气环境环境影响因素分析</w:t>
            </w:r>
          </w:p>
          <w:p>
            <w:pPr>
              <w:adjustRightInd w:val="0"/>
              <w:snapToGrid w:val="0"/>
              <w:spacing w:line="360" w:lineRule="auto"/>
              <w:ind w:firstLine="480" w:firstLineChars="200"/>
              <w:rPr>
                <w:sz w:val="24"/>
              </w:rPr>
            </w:pPr>
            <w:r>
              <w:rPr>
                <w:sz w:val="24"/>
              </w:rPr>
              <w:t>项目开采期大气污染源主要为粉尘</w:t>
            </w:r>
            <w:r>
              <w:rPr>
                <w:rFonts w:hint="eastAsia"/>
                <w:sz w:val="24"/>
              </w:rPr>
              <w:t>，主要为采区爆破开采作业、场内运输、工业广场破碎加工等环节产生。此外，还有燃油机械产生的</w:t>
            </w:r>
            <w:r>
              <w:rPr>
                <w:sz w:val="24"/>
              </w:rPr>
              <w:t>燃油废气。</w:t>
            </w:r>
          </w:p>
          <w:p>
            <w:pPr>
              <w:adjustRightInd w:val="0"/>
              <w:snapToGrid w:val="0"/>
              <w:spacing w:line="360" w:lineRule="auto"/>
              <w:ind w:firstLine="480" w:firstLineChars="200"/>
              <w:rPr>
                <w:sz w:val="24"/>
              </w:rPr>
            </w:pPr>
            <w:r>
              <w:rPr>
                <w:rFonts w:hint="eastAsia" w:ascii="宋体" w:hAnsi="宋体" w:cs="宋体"/>
                <w:sz w:val="24"/>
              </w:rPr>
              <w:t>①</w:t>
            </w:r>
            <w:r>
              <w:rPr>
                <w:sz w:val="24"/>
              </w:rPr>
              <w:t>采区</w:t>
            </w:r>
            <w:r>
              <w:rPr>
                <w:rFonts w:hint="eastAsia"/>
                <w:sz w:val="24"/>
              </w:rPr>
              <w:t>覆盖层剥离扬尘（无组织）</w:t>
            </w:r>
          </w:p>
          <w:p>
            <w:pPr>
              <w:adjustRightInd w:val="0"/>
              <w:snapToGrid w:val="0"/>
              <w:spacing w:line="360" w:lineRule="auto"/>
              <w:ind w:firstLine="480" w:firstLineChars="200"/>
              <w:rPr>
                <w:sz w:val="24"/>
              </w:rPr>
            </w:pPr>
            <w:r>
              <w:rPr>
                <w:sz w:val="24"/>
              </w:rPr>
              <w:t>矿山开采采</w:t>
            </w:r>
            <w:r>
              <w:rPr>
                <w:rFonts w:ascii="宋体" w:hAnsi="宋体"/>
                <w:sz w:val="24"/>
              </w:rPr>
              <w:t>用“采剥并进，剥离先行”的方</w:t>
            </w:r>
            <w:r>
              <w:rPr>
                <w:sz w:val="24"/>
              </w:rPr>
              <w:t>式，剥离为间断性工作。</w:t>
            </w:r>
          </w:p>
          <w:p>
            <w:pPr>
              <w:adjustRightInd w:val="0"/>
              <w:snapToGrid w:val="0"/>
              <w:spacing w:line="360" w:lineRule="auto"/>
              <w:ind w:firstLine="480" w:firstLineChars="200"/>
              <w:rPr>
                <w:sz w:val="24"/>
              </w:rPr>
            </w:pPr>
            <w:r>
              <w:rPr>
                <w:sz w:val="24"/>
              </w:rPr>
              <w:t>矿山去除覆盖层扬尘参照《逸散性工业粉尘控制技术》（中国环境科学出版社）中给出的除去覆盖层作业中的逸散尘排放系数0.0365kg/t（覆盖层），根据</w:t>
            </w:r>
            <w:r>
              <w:rPr>
                <w:rFonts w:hint="eastAsia"/>
                <w:sz w:val="24"/>
              </w:rPr>
              <w:t>前文分析</w:t>
            </w:r>
            <w:r>
              <w:rPr>
                <w:sz w:val="24"/>
              </w:rPr>
              <w:t>可知，拟建项目表土剥离量</w:t>
            </w:r>
            <w:r>
              <w:rPr>
                <w:rFonts w:hint="eastAsia"/>
                <w:sz w:val="24"/>
              </w:rPr>
              <w:t>为24750</w:t>
            </w:r>
            <w:r>
              <w:rPr>
                <w:sz w:val="24"/>
              </w:rPr>
              <w:t>m</w:t>
            </w:r>
            <w:r>
              <w:rPr>
                <w:sz w:val="24"/>
                <w:vertAlign w:val="superscript"/>
              </w:rPr>
              <w:t>3</w:t>
            </w:r>
            <w:r>
              <w:rPr>
                <w:rFonts w:hint="eastAsia"/>
                <w:sz w:val="24"/>
              </w:rPr>
              <w:t>，</w:t>
            </w:r>
            <w:r>
              <w:rPr>
                <w:sz w:val="24"/>
              </w:rPr>
              <w:t>表土</w:t>
            </w:r>
            <w:r>
              <w:rPr>
                <w:rFonts w:hint="eastAsia"/>
                <w:sz w:val="24"/>
              </w:rPr>
              <w:t>容重约为1</w:t>
            </w:r>
            <w:r>
              <w:rPr>
                <w:sz w:val="24"/>
              </w:rPr>
              <w:t>.4t/m</w:t>
            </w:r>
            <w:r>
              <w:rPr>
                <w:sz w:val="24"/>
                <w:vertAlign w:val="superscript"/>
              </w:rPr>
              <w:t>3</w:t>
            </w:r>
            <w:r>
              <w:rPr>
                <w:rFonts w:hint="eastAsia"/>
                <w:sz w:val="24"/>
              </w:rPr>
              <w:t>，则</w:t>
            </w:r>
            <w:r>
              <w:rPr>
                <w:sz w:val="24"/>
              </w:rPr>
              <w:t>表土剥离</w:t>
            </w:r>
            <w:r>
              <w:rPr>
                <w:rFonts w:hint="eastAsia"/>
                <w:sz w:val="24"/>
              </w:rPr>
              <w:t>质</w:t>
            </w:r>
            <w:r>
              <w:rPr>
                <w:sz w:val="24"/>
              </w:rPr>
              <w:t>量</w:t>
            </w:r>
            <w:r>
              <w:rPr>
                <w:rFonts w:hint="eastAsia"/>
                <w:sz w:val="24"/>
              </w:rPr>
              <w:t>为17679</w:t>
            </w:r>
            <w:r>
              <w:rPr>
                <w:sz w:val="24"/>
              </w:rPr>
              <w:t>t</w:t>
            </w:r>
            <w:r>
              <w:rPr>
                <w:rFonts w:hint="eastAsia"/>
                <w:color w:val="0000FF"/>
                <w:sz w:val="24"/>
              </w:rPr>
              <w:t>；风化废石剔除量2475</w:t>
            </w:r>
            <w:r>
              <w:rPr>
                <w:color w:val="0000FF"/>
                <w:sz w:val="24"/>
              </w:rPr>
              <w:t>m</w:t>
            </w:r>
            <w:r>
              <w:rPr>
                <w:color w:val="0000FF"/>
                <w:sz w:val="24"/>
                <w:vertAlign w:val="superscript"/>
              </w:rPr>
              <w:t>3</w:t>
            </w:r>
            <w:r>
              <w:rPr>
                <w:color w:val="0000FF"/>
                <w:sz w:val="24"/>
              </w:rPr>
              <w:t>，</w:t>
            </w:r>
            <w:r>
              <w:rPr>
                <w:rFonts w:hint="eastAsia"/>
                <w:color w:val="0000FF"/>
                <w:sz w:val="24"/>
              </w:rPr>
              <w:t>风化废石容重约为2.5</w:t>
            </w:r>
            <w:r>
              <w:rPr>
                <w:color w:val="0000FF"/>
                <w:sz w:val="24"/>
              </w:rPr>
              <w:t>t/m</w:t>
            </w:r>
            <w:r>
              <w:rPr>
                <w:color w:val="0000FF"/>
                <w:sz w:val="24"/>
                <w:vertAlign w:val="superscript"/>
              </w:rPr>
              <w:t>3</w:t>
            </w:r>
            <w:r>
              <w:rPr>
                <w:rFonts w:hint="eastAsia"/>
                <w:color w:val="0000FF"/>
                <w:sz w:val="24"/>
              </w:rPr>
              <w:t>，则风化废石</w:t>
            </w:r>
            <w:r>
              <w:rPr>
                <w:color w:val="0000FF"/>
                <w:sz w:val="24"/>
              </w:rPr>
              <w:t>剥离</w:t>
            </w:r>
            <w:r>
              <w:rPr>
                <w:rFonts w:hint="eastAsia"/>
                <w:color w:val="0000FF"/>
                <w:sz w:val="24"/>
              </w:rPr>
              <w:t>质</w:t>
            </w:r>
            <w:r>
              <w:rPr>
                <w:color w:val="0000FF"/>
                <w:sz w:val="24"/>
              </w:rPr>
              <w:t>量</w:t>
            </w:r>
            <w:r>
              <w:rPr>
                <w:rFonts w:hint="eastAsia"/>
                <w:color w:val="0000FF"/>
                <w:sz w:val="24"/>
              </w:rPr>
              <w:t>为6188</w:t>
            </w:r>
            <w:r>
              <w:rPr>
                <w:color w:val="0000FF"/>
                <w:sz w:val="24"/>
              </w:rPr>
              <w:t>t</w:t>
            </w:r>
            <w:r>
              <w:rPr>
                <w:rFonts w:hint="eastAsia"/>
                <w:color w:val="0000FF"/>
                <w:sz w:val="24"/>
              </w:rPr>
              <w:t>。由此，剥离物总量约23867</w:t>
            </w:r>
            <w:r>
              <w:rPr>
                <w:color w:val="0000FF"/>
                <w:sz w:val="24"/>
              </w:rPr>
              <w:t>t</w:t>
            </w:r>
            <w:r>
              <w:rPr>
                <w:rFonts w:hint="eastAsia"/>
                <w:color w:val="0000FF"/>
                <w:sz w:val="24"/>
              </w:rPr>
              <w:t>。</w:t>
            </w:r>
            <w:r>
              <w:rPr>
                <w:rFonts w:hint="eastAsia"/>
                <w:sz w:val="24"/>
              </w:rPr>
              <w:t>矿山服务年限为2.7a，则剥离物总量为</w:t>
            </w:r>
            <w:r>
              <w:rPr>
                <w:rFonts w:hint="eastAsia"/>
                <w:color w:val="0000FF"/>
                <w:sz w:val="24"/>
              </w:rPr>
              <w:t>8840</w:t>
            </w:r>
            <w:r>
              <w:rPr>
                <w:sz w:val="24"/>
              </w:rPr>
              <w:t>t/a</w:t>
            </w:r>
            <w:r>
              <w:rPr>
                <w:rFonts w:hint="eastAsia"/>
                <w:sz w:val="24"/>
              </w:rPr>
              <w:t>，</w:t>
            </w:r>
            <w:r>
              <w:rPr>
                <w:sz w:val="24"/>
              </w:rPr>
              <w:t>则剥离扬尘产生量为</w:t>
            </w:r>
            <w:r>
              <w:rPr>
                <w:color w:val="0000FF"/>
                <w:sz w:val="24"/>
              </w:rPr>
              <w:t>0.323</w:t>
            </w:r>
            <w:r>
              <w:rPr>
                <w:sz w:val="24"/>
              </w:rPr>
              <w:t>t/a。矿山</w:t>
            </w:r>
            <w:r>
              <w:rPr>
                <w:rFonts w:hint="eastAsia"/>
                <w:sz w:val="24"/>
              </w:rPr>
              <w:t>将</w:t>
            </w:r>
            <w:r>
              <w:rPr>
                <w:sz w:val="24"/>
              </w:rPr>
              <w:t>在开采过程中采取洒水抑尘措施，可有效抑制粉尘的产生，除尘效率达到60%以上，故剥离覆盖层粉尘排放量约</w:t>
            </w:r>
            <w:r>
              <w:rPr>
                <w:color w:val="0000FF"/>
                <w:sz w:val="24"/>
              </w:rPr>
              <w:t>0.129</w:t>
            </w:r>
            <w:r>
              <w:rPr>
                <w:sz w:val="24"/>
              </w:rPr>
              <w:t>t/a，粉尘排放地接近地面，因此只对近距离和采石工人产生影响。</w:t>
            </w:r>
          </w:p>
          <w:p>
            <w:pPr>
              <w:adjustRightInd w:val="0"/>
              <w:snapToGrid w:val="0"/>
              <w:spacing w:line="360" w:lineRule="auto"/>
              <w:ind w:firstLine="480" w:firstLineChars="200"/>
              <w:rPr>
                <w:sz w:val="24"/>
              </w:rPr>
            </w:pPr>
            <w:r>
              <w:rPr>
                <w:rFonts w:hint="eastAsia" w:ascii="宋体" w:hAnsi="宋体" w:cs="宋体"/>
                <w:sz w:val="24"/>
              </w:rPr>
              <w:t>②</w:t>
            </w:r>
            <w:r>
              <w:rPr>
                <w:sz w:val="24"/>
              </w:rPr>
              <w:t>采区钻孔粉尘</w:t>
            </w:r>
            <w:r>
              <w:rPr>
                <w:rFonts w:hint="eastAsia"/>
                <w:sz w:val="24"/>
              </w:rPr>
              <w:t>（无组织）</w:t>
            </w:r>
          </w:p>
          <w:p>
            <w:pPr>
              <w:adjustRightInd w:val="0"/>
              <w:snapToGrid w:val="0"/>
              <w:spacing w:line="360" w:lineRule="auto"/>
              <w:ind w:firstLine="480" w:firstLineChars="200"/>
              <w:rPr>
                <w:sz w:val="24"/>
              </w:rPr>
            </w:pPr>
            <w:r>
              <w:rPr>
                <w:sz w:val="24"/>
              </w:rPr>
              <w:t>参照《逸散性工业粉尘控制技术》（中国环境科学出版社）中给出的钻孔的逸散尘排放系数0.004kg/t（矿石），项目采区开采规模51万t/a，则采区钻孔过程粉尘产生量为2.04t/a。拟建项目使用自带收尘装置的钻孔设备，</w:t>
            </w:r>
            <w:r>
              <w:rPr>
                <w:rFonts w:hint="eastAsia"/>
                <w:sz w:val="24"/>
              </w:rPr>
              <w:t>并</w:t>
            </w:r>
            <w:r>
              <w:rPr>
                <w:sz w:val="24"/>
              </w:rPr>
              <w:t>采用湿式作业，加强开采区洒水抑尘，其除尘率可高达80%以上，外排粉尘量约为0.408t/a，且排放点接近地面，仅对近距离和采石工人产生影响。</w:t>
            </w:r>
          </w:p>
          <w:p>
            <w:pPr>
              <w:adjustRightInd w:val="0"/>
              <w:snapToGrid w:val="0"/>
              <w:spacing w:line="360" w:lineRule="auto"/>
              <w:ind w:firstLine="480" w:firstLineChars="200"/>
              <w:rPr>
                <w:sz w:val="24"/>
              </w:rPr>
            </w:pPr>
            <w:r>
              <w:rPr>
                <w:rFonts w:hint="eastAsia" w:ascii="宋体" w:hAnsi="宋体" w:cs="宋体"/>
                <w:sz w:val="24"/>
              </w:rPr>
              <w:t>③</w:t>
            </w:r>
            <w:r>
              <w:rPr>
                <w:sz w:val="24"/>
              </w:rPr>
              <w:t>采区爆破粉尘</w:t>
            </w:r>
            <w:r>
              <w:rPr>
                <w:rFonts w:hint="eastAsia"/>
                <w:sz w:val="24"/>
              </w:rPr>
              <w:t>及废气（无组织）</w:t>
            </w:r>
          </w:p>
          <w:p>
            <w:pPr>
              <w:adjustRightInd w:val="0"/>
              <w:snapToGrid w:val="0"/>
              <w:spacing w:line="360" w:lineRule="auto"/>
              <w:ind w:firstLine="480" w:firstLineChars="200"/>
              <w:rPr>
                <w:sz w:val="24"/>
              </w:rPr>
            </w:pPr>
            <w:r>
              <w:rPr>
                <w:sz w:val="24"/>
              </w:rPr>
              <w:t>拟建项目采区爆破采用中深孔多排微差松动爆破方法，较其他爆破工艺产生的粉尘量要小得多，</w:t>
            </w:r>
            <w:r>
              <w:rPr>
                <w:rFonts w:hint="eastAsia"/>
                <w:sz w:val="24"/>
              </w:rPr>
              <w:t>类比同行业（巫溪恒业采石场、巫溪锦通采石场、万州陈老三矿业等51万t/a灰岩矿山）经验数据，</w:t>
            </w:r>
            <w:r>
              <w:rPr>
                <w:sz w:val="24"/>
              </w:rPr>
              <w:t>按1kg炸药产生粉尘0.028kg计，根据项</w:t>
            </w:r>
            <w:r>
              <w:rPr>
                <w:rFonts w:ascii="宋体" w:hAnsi="宋体"/>
                <w:sz w:val="24"/>
              </w:rPr>
              <w:t>目“安全设施设计”</w:t>
            </w:r>
            <w:r>
              <w:rPr>
                <w:rFonts w:hint="eastAsia" w:ascii="宋体" w:hAnsi="宋体"/>
                <w:sz w:val="24"/>
              </w:rPr>
              <w:t>测算</w:t>
            </w:r>
            <w:r>
              <w:rPr>
                <w:sz w:val="24"/>
              </w:rPr>
              <w:t>，本项目</w:t>
            </w:r>
            <w:r>
              <w:rPr>
                <w:bCs/>
                <w:sz w:val="24"/>
              </w:rPr>
              <w:t>每天进行一次爆破，每次爆破最大药量为86.4kg</w:t>
            </w:r>
            <w:r>
              <w:rPr>
                <w:rFonts w:hint="eastAsia"/>
                <w:bCs/>
                <w:sz w:val="24"/>
              </w:rPr>
              <w:t>，年工作300d</w:t>
            </w:r>
            <w:r>
              <w:rPr>
                <w:rFonts w:hint="eastAsia"/>
                <w:sz w:val="24"/>
              </w:rPr>
              <w:t>，则</w:t>
            </w:r>
            <w:r>
              <w:rPr>
                <w:sz w:val="24"/>
              </w:rPr>
              <w:t>本项目产生的粉尘量为0.726t/a。在采取洒水抑尘、棕垫覆盖等措施后，除尘率可达80%以上，粉尘排放量为0.145t/a。</w:t>
            </w:r>
          </w:p>
          <w:p>
            <w:pPr>
              <w:adjustRightInd w:val="0"/>
              <w:snapToGrid w:val="0"/>
              <w:spacing w:line="360" w:lineRule="auto"/>
              <w:ind w:firstLine="480" w:firstLineChars="200"/>
              <w:rPr>
                <w:sz w:val="24"/>
              </w:rPr>
            </w:pPr>
            <w:r>
              <w:rPr>
                <w:rFonts w:hint="eastAsia"/>
                <w:sz w:val="24"/>
              </w:rPr>
              <w:t>此外，本矿山采区爆破会产生少量NO</w:t>
            </w:r>
            <w:r>
              <w:rPr>
                <w:rFonts w:hint="eastAsia"/>
                <w:sz w:val="24"/>
                <w:vertAlign w:val="subscript"/>
              </w:rPr>
              <w:t>2</w:t>
            </w:r>
            <w:r>
              <w:rPr>
                <w:rFonts w:hint="eastAsia"/>
                <w:sz w:val="24"/>
              </w:rPr>
              <w:t>、CO等污染物，但通过控制单次炸药量使用，可有效减少废气的产生量，对环境的影响有限，不再定量分析。</w:t>
            </w:r>
          </w:p>
          <w:p>
            <w:pPr>
              <w:adjustRightInd w:val="0"/>
              <w:snapToGrid w:val="0"/>
              <w:spacing w:line="360" w:lineRule="auto"/>
              <w:ind w:firstLine="480" w:firstLineChars="200"/>
              <w:rPr>
                <w:sz w:val="24"/>
              </w:rPr>
            </w:pPr>
            <w:r>
              <w:rPr>
                <w:rFonts w:hint="eastAsia" w:ascii="宋体" w:hAnsi="宋体" w:cs="宋体"/>
                <w:sz w:val="24"/>
              </w:rPr>
              <w:t>④</w:t>
            </w:r>
            <w:r>
              <w:rPr>
                <w:sz w:val="24"/>
              </w:rPr>
              <w:t>铲装扬尘</w:t>
            </w:r>
            <w:r>
              <w:rPr>
                <w:rFonts w:hint="eastAsia"/>
                <w:sz w:val="24"/>
              </w:rPr>
              <w:t>（无组织）</w:t>
            </w:r>
          </w:p>
          <w:p>
            <w:pPr>
              <w:adjustRightInd w:val="0"/>
              <w:snapToGrid w:val="0"/>
              <w:spacing w:line="360" w:lineRule="auto"/>
              <w:ind w:firstLine="480" w:firstLineChars="200"/>
              <w:rPr>
                <w:sz w:val="24"/>
              </w:rPr>
            </w:pPr>
            <w:r>
              <w:rPr>
                <w:sz w:val="24"/>
              </w:rPr>
              <w:t>采区开采毛石料采用铲装装车，石灰石矿石在铲装、倾倒时由于落差将产生的粉尘，根据《逸散性工业粉尘控制技术》，铲装粉尘量约0.025kg/t，拟建项目总开采规模51万t/a，产生量约12.75t/a。采取喷雾洒水后降低80%，排放量约2.55t/a。</w:t>
            </w:r>
          </w:p>
          <w:p>
            <w:pPr>
              <w:adjustRightInd w:val="0"/>
              <w:snapToGrid w:val="0"/>
              <w:spacing w:line="360" w:lineRule="auto"/>
              <w:ind w:firstLine="480" w:firstLineChars="200"/>
              <w:rPr>
                <w:sz w:val="24"/>
              </w:rPr>
            </w:pPr>
            <w:r>
              <w:rPr>
                <w:rFonts w:hint="eastAsia" w:ascii="宋体" w:hAnsi="宋体" w:cs="宋体"/>
                <w:sz w:val="24"/>
              </w:rPr>
              <w:t>⑤</w:t>
            </w:r>
            <w:r>
              <w:rPr>
                <w:sz w:val="24"/>
              </w:rPr>
              <w:t>风力扬尘</w:t>
            </w:r>
            <w:r>
              <w:rPr>
                <w:rFonts w:hint="eastAsia"/>
                <w:sz w:val="24"/>
              </w:rPr>
              <w:t>（无组织）</w:t>
            </w:r>
          </w:p>
          <w:p>
            <w:pPr>
              <w:adjustRightInd w:val="0"/>
              <w:snapToGrid w:val="0"/>
              <w:spacing w:line="360" w:lineRule="auto"/>
              <w:ind w:firstLine="480" w:firstLineChars="200"/>
              <w:rPr>
                <w:sz w:val="24"/>
              </w:rPr>
            </w:pPr>
            <w:r>
              <w:rPr>
                <w:sz w:val="24"/>
              </w:rPr>
              <w:t>风力扬尘主要来自于开采区、</w:t>
            </w:r>
            <w:r>
              <w:rPr>
                <w:rFonts w:hint="eastAsia"/>
                <w:sz w:val="24"/>
              </w:rPr>
              <w:t>弃渣场、</w:t>
            </w:r>
            <w:r>
              <w:rPr>
                <w:sz w:val="24"/>
              </w:rPr>
              <w:t>排土场裸露地表在风力作用下产生的扬尘。风力扬尘产生量与场区面积大小有关。</w:t>
            </w:r>
          </w:p>
          <w:p>
            <w:pPr>
              <w:adjustRightInd w:val="0"/>
              <w:snapToGrid w:val="0"/>
              <w:spacing w:line="360" w:lineRule="auto"/>
              <w:ind w:firstLine="480" w:firstLineChars="200"/>
              <w:rPr>
                <w:sz w:val="24"/>
              </w:rPr>
            </w:pPr>
            <w:r>
              <w:rPr>
                <w:sz w:val="24"/>
              </w:rPr>
              <w:t>参照《逸散性工业粉尘控制技术》（中国环境科学出版社）挖掘过的粗糙地面风蚀扬尘排放系数为74t/（km</w:t>
            </w:r>
            <w:r>
              <w:rPr>
                <w:sz w:val="24"/>
                <w:vertAlign w:val="superscript"/>
              </w:rPr>
              <w:t>2</w:t>
            </w:r>
            <w:r>
              <w:rPr>
                <w:sz w:val="24"/>
              </w:rPr>
              <w:t>·a）。</w:t>
            </w:r>
            <w:r>
              <w:rPr>
                <w:rFonts w:hint="eastAsia"/>
                <w:sz w:val="24"/>
              </w:rPr>
              <w:t>项目虽采用边开采、边复垦的方式进行开采，但随着开采深度的不断加深，其涉及的开采裸露面会越来越大，根据“开发利用方案”，在开采+795m台阶时其开采裸露面最大，为21403</w:t>
            </w:r>
            <w:r>
              <w:rPr>
                <w:sz w:val="24"/>
              </w:rPr>
              <w:t>m</w:t>
            </w:r>
            <w:r>
              <w:rPr>
                <w:sz w:val="24"/>
                <w:vertAlign w:val="superscript"/>
              </w:rPr>
              <w:t>2</w:t>
            </w:r>
            <w:r>
              <w:rPr>
                <w:rFonts w:hint="eastAsia"/>
                <w:sz w:val="24"/>
              </w:rPr>
              <w:t>，</w:t>
            </w:r>
            <w:r>
              <w:rPr>
                <w:sz w:val="24"/>
              </w:rPr>
              <w:t>排土场</w:t>
            </w:r>
            <w:r>
              <w:rPr>
                <w:rFonts w:hint="eastAsia"/>
                <w:sz w:val="24"/>
              </w:rPr>
              <w:t>总占地</w:t>
            </w:r>
            <w:r>
              <w:rPr>
                <w:sz w:val="24"/>
              </w:rPr>
              <w:t>4245</w:t>
            </w:r>
            <w:r>
              <w:rPr>
                <w:rFonts w:hint="eastAsia"/>
                <w:sz w:val="24"/>
              </w:rPr>
              <w:t>m</w:t>
            </w:r>
            <w:r>
              <w:rPr>
                <w:sz w:val="24"/>
                <w:vertAlign w:val="superscript"/>
              </w:rPr>
              <w:t>2</w:t>
            </w:r>
            <w:r>
              <w:rPr>
                <w:rFonts w:hint="eastAsia"/>
                <w:sz w:val="24"/>
              </w:rPr>
              <w:t>，则采区、排土场风</w:t>
            </w:r>
            <w:r>
              <w:rPr>
                <w:sz w:val="24"/>
              </w:rPr>
              <w:t>蚀扬尘产生量</w:t>
            </w:r>
            <w:r>
              <w:rPr>
                <w:rFonts w:hint="eastAsia"/>
                <w:sz w:val="24"/>
              </w:rPr>
              <w:t>分别</w:t>
            </w:r>
            <w:r>
              <w:rPr>
                <w:sz w:val="24"/>
              </w:rPr>
              <w:t>为</w:t>
            </w:r>
            <w:r>
              <w:rPr>
                <w:rFonts w:hint="eastAsia"/>
                <w:sz w:val="24"/>
              </w:rPr>
              <w:t>1.584</w:t>
            </w:r>
            <w:r>
              <w:rPr>
                <w:sz w:val="24"/>
              </w:rPr>
              <w:t>t/a</w:t>
            </w:r>
            <w:r>
              <w:rPr>
                <w:rFonts w:hint="eastAsia"/>
                <w:sz w:val="24"/>
              </w:rPr>
              <w:t>、0.314</w:t>
            </w:r>
            <w:r>
              <w:rPr>
                <w:sz w:val="24"/>
              </w:rPr>
              <w:t>t/a</w:t>
            </w:r>
            <w:r>
              <w:rPr>
                <w:rFonts w:hint="eastAsia"/>
                <w:sz w:val="24"/>
              </w:rPr>
              <w:t>，则厂区</w:t>
            </w:r>
            <w:r>
              <w:rPr>
                <w:sz w:val="24"/>
              </w:rPr>
              <w:t>风蚀扬尘</w:t>
            </w:r>
            <w:r>
              <w:rPr>
                <w:rFonts w:hint="eastAsia"/>
                <w:sz w:val="24"/>
              </w:rPr>
              <w:t>总</w:t>
            </w:r>
            <w:r>
              <w:rPr>
                <w:sz w:val="24"/>
              </w:rPr>
              <w:t>产生量为</w:t>
            </w:r>
            <w:r>
              <w:rPr>
                <w:rFonts w:hint="eastAsia"/>
                <w:sz w:val="24"/>
              </w:rPr>
              <w:t>1.898</w:t>
            </w:r>
            <w:r>
              <w:rPr>
                <w:sz w:val="24"/>
              </w:rPr>
              <w:t>t/a。风蚀扬尘的粒径较大，粉尘大多在短时间内近距离内（</w:t>
            </w:r>
            <w:r>
              <w:rPr>
                <w:rFonts w:hint="eastAsia"/>
                <w:sz w:val="24"/>
              </w:rPr>
              <w:t>厂</w:t>
            </w:r>
            <w:r>
              <w:rPr>
                <w:sz w:val="24"/>
              </w:rPr>
              <w:t>区内）沉降，其粒径小的不易沉降的粉尘占比较小，其场界外粉尘的排放量比较小，矿山在非雨天采取定期洒水作业降尘，降尘效率按照80%计，则</w:t>
            </w:r>
            <w:r>
              <w:rPr>
                <w:rFonts w:hint="eastAsia"/>
                <w:sz w:val="24"/>
              </w:rPr>
              <w:t>采区、排土场风</w:t>
            </w:r>
            <w:r>
              <w:rPr>
                <w:sz w:val="24"/>
              </w:rPr>
              <w:t>蚀扬尘排放量</w:t>
            </w:r>
            <w:r>
              <w:rPr>
                <w:rFonts w:hint="eastAsia"/>
                <w:sz w:val="24"/>
              </w:rPr>
              <w:t>分别</w:t>
            </w:r>
            <w:r>
              <w:rPr>
                <w:sz w:val="24"/>
              </w:rPr>
              <w:t>为</w:t>
            </w:r>
            <w:r>
              <w:rPr>
                <w:rFonts w:hint="eastAsia"/>
                <w:sz w:val="24"/>
              </w:rPr>
              <w:t>0.317</w:t>
            </w:r>
            <w:r>
              <w:rPr>
                <w:sz w:val="24"/>
              </w:rPr>
              <w:t>t/a</w:t>
            </w:r>
            <w:r>
              <w:rPr>
                <w:rFonts w:hint="eastAsia"/>
                <w:sz w:val="24"/>
              </w:rPr>
              <w:t>、0.063</w:t>
            </w:r>
            <w:r>
              <w:rPr>
                <w:sz w:val="24"/>
              </w:rPr>
              <w:t>t/a</w:t>
            </w:r>
            <w:r>
              <w:rPr>
                <w:rFonts w:hint="eastAsia"/>
                <w:sz w:val="24"/>
              </w:rPr>
              <w:t>，厂区</w:t>
            </w:r>
            <w:r>
              <w:rPr>
                <w:sz w:val="24"/>
              </w:rPr>
              <w:t>风蚀扬尘排放</w:t>
            </w:r>
            <w:r>
              <w:rPr>
                <w:rFonts w:hint="eastAsia"/>
                <w:sz w:val="24"/>
              </w:rPr>
              <w:t>总</w:t>
            </w:r>
            <w:r>
              <w:rPr>
                <w:sz w:val="24"/>
              </w:rPr>
              <w:t>量为0.38</w:t>
            </w:r>
            <w:r>
              <w:rPr>
                <w:rFonts w:hint="eastAsia"/>
                <w:sz w:val="24"/>
              </w:rPr>
              <w:t>0</w:t>
            </w:r>
            <w:r>
              <w:rPr>
                <w:sz w:val="24"/>
              </w:rPr>
              <w:t>t/a</w:t>
            </w:r>
            <w:r>
              <w:rPr>
                <w:rFonts w:hint="eastAsia"/>
                <w:sz w:val="24"/>
              </w:rPr>
              <w:t>。</w:t>
            </w:r>
          </w:p>
          <w:p>
            <w:pPr>
              <w:adjustRightInd w:val="0"/>
              <w:snapToGrid w:val="0"/>
              <w:spacing w:line="360" w:lineRule="auto"/>
              <w:ind w:firstLine="480" w:firstLineChars="200"/>
              <w:rPr>
                <w:sz w:val="24"/>
              </w:rPr>
            </w:pPr>
            <w:r>
              <w:rPr>
                <w:rFonts w:hint="eastAsia" w:ascii="宋体" w:hAnsi="宋体" w:cs="宋体"/>
                <w:sz w:val="24"/>
              </w:rPr>
              <w:t>⑥</w:t>
            </w:r>
            <w:r>
              <w:rPr>
                <w:sz w:val="24"/>
              </w:rPr>
              <w:t>场内运输扬尘</w:t>
            </w:r>
            <w:r>
              <w:rPr>
                <w:rFonts w:hint="eastAsia"/>
                <w:sz w:val="24"/>
              </w:rPr>
              <w:t>（无组织）</w:t>
            </w:r>
          </w:p>
          <w:p>
            <w:pPr>
              <w:adjustRightInd w:val="0"/>
              <w:snapToGrid w:val="0"/>
              <w:spacing w:line="360" w:lineRule="auto"/>
              <w:ind w:firstLine="480" w:firstLineChars="200"/>
              <w:rPr>
                <w:sz w:val="24"/>
              </w:rPr>
            </w:pPr>
            <w:r>
              <w:rPr>
                <w:sz w:val="24"/>
              </w:rPr>
              <w:t>自卸式载重汽车运输过程中将产生一定的扬尘，其产尘强度与路面种类、季节干湿以及汽车运行速度等因素有关。场区道路上所产生的扬尘采用经验公式，即：</w:t>
            </w:r>
          </w:p>
          <w:p>
            <w:pPr>
              <w:adjustRightInd w:val="0"/>
              <w:snapToGrid w:val="0"/>
              <w:spacing w:line="360" w:lineRule="auto"/>
              <w:jc w:val="center"/>
              <w:rPr>
                <w:sz w:val="24"/>
              </w:rPr>
            </w:pPr>
            <w:r>
              <w:rPr>
                <w:position w:val="-24"/>
              </w:rPr>
              <w:object>
                <v:shape id="_x0000_i1033" o:spt="75" type="#_x0000_t75" style="height:30.1pt;width:183.75pt;" o:ole="t" filled="f" o:preferrelative="t" stroked="f" coordsize="21600,21600">
                  <v:path/>
                  <v:fill on="f" focussize="0,0"/>
                  <v:stroke on="f" joinstyle="miter"/>
                  <v:imagedata r:id="rId37" o:title=""/>
                  <o:lock v:ext="edit" aspectratio="t"/>
                  <w10:wrap type="none"/>
                  <w10:anchorlock/>
                </v:shape>
                <o:OLEObject Type="Embed" ProgID="Equation.3" ShapeID="_x0000_i1033" DrawAspect="Content" ObjectID="_1468075733" r:id="rId36">
                  <o:LockedField>false</o:LockedField>
                </o:OLEObject>
              </w:object>
            </w:r>
          </w:p>
          <w:p>
            <w:pPr>
              <w:adjustRightInd w:val="0"/>
              <w:snapToGrid w:val="0"/>
              <w:spacing w:line="360" w:lineRule="auto"/>
              <w:ind w:firstLine="2730" w:firstLineChars="1300"/>
              <w:jc w:val="left"/>
              <w:rPr>
                <w:sz w:val="24"/>
              </w:rPr>
            </w:pPr>
            <w:r>
              <w:rPr>
                <w:position w:val="-12"/>
              </w:rPr>
              <w:object>
                <v:shape id="_x0000_i1034" o:spt="75" type="#_x0000_t75" style="height:17.2pt;width:47.3pt;" o:ole="t" filled="f" o:preferrelative="t" stroked="f" coordsize="21600,21600">
                  <v:path/>
                  <v:fill on="f" focussize="0,0"/>
                  <v:stroke on="f" joinstyle="miter"/>
                  <v:imagedata r:id="rId39" o:title=""/>
                  <o:lock v:ext="edit" aspectratio="t"/>
                  <w10:wrap type="none"/>
                  <w10:anchorlock/>
                </v:shape>
                <o:OLEObject Type="Embed" ProgID="Equation.3" ShapeID="_x0000_i1034" DrawAspect="Content" ObjectID="_1468075734" r:id="rId38">
                  <o:LockedField>false</o:LockedField>
                </o:OLEObject>
              </w:object>
            </w:r>
          </w:p>
          <w:p>
            <w:pPr>
              <w:adjustRightInd w:val="0"/>
              <w:snapToGrid w:val="0"/>
              <w:spacing w:line="360" w:lineRule="auto"/>
              <w:ind w:firstLine="480" w:firstLineChars="200"/>
              <w:jc w:val="left"/>
              <w:rPr>
                <w:sz w:val="24"/>
              </w:rPr>
            </w:pPr>
            <w:r>
              <w:rPr>
                <w:sz w:val="24"/>
              </w:rPr>
              <w:t>式中：Qi——每辆汽车行驶扬尘量，kg/km•辆；</w:t>
            </w:r>
          </w:p>
          <w:p>
            <w:pPr>
              <w:adjustRightInd w:val="0"/>
              <w:snapToGrid w:val="0"/>
              <w:spacing w:line="360" w:lineRule="auto"/>
              <w:ind w:firstLine="1200" w:firstLineChars="500"/>
              <w:jc w:val="left"/>
              <w:rPr>
                <w:sz w:val="24"/>
              </w:rPr>
            </w:pPr>
            <w:r>
              <w:rPr>
                <w:sz w:val="24"/>
              </w:rPr>
              <w:t>Q——汽车运输总扬尘量；</w:t>
            </w:r>
          </w:p>
          <w:p>
            <w:pPr>
              <w:adjustRightInd w:val="0"/>
              <w:snapToGrid w:val="0"/>
              <w:spacing w:line="360" w:lineRule="auto"/>
              <w:ind w:firstLine="1200" w:firstLineChars="500"/>
              <w:jc w:val="left"/>
              <w:rPr>
                <w:sz w:val="24"/>
              </w:rPr>
            </w:pPr>
            <w:r>
              <w:rPr>
                <w:sz w:val="24"/>
              </w:rPr>
              <w:t>V——汽车行驶速度，km/h；</w:t>
            </w:r>
          </w:p>
          <w:p>
            <w:pPr>
              <w:adjustRightInd w:val="0"/>
              <w:snapToGrid w:val="0"/>
              <w:spacing w:line="360" w:lineRule="auto"/>
              <w:ind w:firstLine="1200" w:firstLineChars="500"/>
              <w:jc w:val="left"/>
              <w:rPr>
                <w:sz w:val="24"/>
              </w:rPr>
            </w:pPr>
            <w:r>
              <w:rPr>
                <w:sz w:val="24"/>
              </w:rPr>
              <w:t>W——汽车重量，t/辆；</w:t>
            </w:r>
          </w:p>
          <w:p>
            <w:pPr>
              <w:adjustRightInd w:val="0"/>
              <w:snapToGrid w:val="0"/>
              <w:spacing w:line="360" w:lineRule="auto"/>
              <w:ind w:firstLine="1200" w:firstLineChars="500"/>
              <w:jc w:val="left"/>
              <w:rPr>
                <w:sz w:val="24"/>
              </w:rPr>
            </w:pPr>
            <w:r>
              <w:rPr>
                <w:sz w:val="24"/>
              </w:rPr>
              <w:t>P——路面灰尘覆盖率，kg/m</w:t>
            </w:r>
            <w:r>
              <w:rPr>
                <w:sz w:val="24"/>
                <w:vertAlign w:val="superscript"/>
              </w:rPr>
              <w:t>2</w:t>
            </w:r>
            <w:r>
              <w:rPr>
                <w:sz w:val="24"/>
              </w:rPr>
              <w:t>。</w:t>
            </w:r>
          </w:p>
          <w:p>
            <w:pPr>
              <w:adjustRightInd w:val="0"/>
              <w:snapToGrid w:val="0"/>
              <w:spacing w:line="360" w:lineRule="auto"/>
              <w:ind w:firstLine="480" w:firstLineChars="200"/>
              <w:rPr>
                <w:sz w:val="24"/>
              </w:rPr>
            </w:pPr>
            <w:r>
              <w:rPr>
                <w:sz w:val="24"/>
              </w:rPr>
              <w:t>拟建项目平均每天发空车、重车85辆•次，空车约重10t，重车约重30t，以行驶速度20km/h行驶，在不同路面清洁度情况下的扬尘量如下：</w:t>
            </w:r>
          </w:p>
          <w:p>
            <w:pPr>
              <w:adjustRightInd w:val="0"/>
              <w:snapToGrid w:val="0"/>
              <w:jc w:val="center"/>
              <w:rPr>
                <w:b/>
                <w:sz w:val="24"/>
              </w:rPr>
            </w:pPr>
            <w:r>
              <w:rPr>
                <w:b/>
                <w:sz w:val="24"/>
              </w:rPr>
              <w:t>表4-</w:t>
            </w:r>
            <w:r>
              <w:rPr>
                <w:rFonts w:hint="eastAsia"/>
                <w:b/>
                <w:sz w:val="24"/>
              </w:rPr>
              <w:t>4</w:t>
            </w:r>
            <w:r>
              <w:rPr>
                <w:b/>
                <w:sz w:val="24"/>
              </w:rPr>
              <w:t xml:space="preserve">  矿车运输扬尘量   单位：kg/km•辆</w:t>
            </w:r>
          </w:p>
          <w:tbl>
            <w:tblPr>
              <w:tblStyle w:val="15"/>
              <w:tblW w:w="9010"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88"/>
              <w:gridCol w:w="1562"/>
              <w:gridCol w:w="1564"/>
              <w:gridCol w:w="1564"/>
              <w:gridCol w:w="1566"/>
              <w:gridCol w:w="156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1188" w:type="dxa"/>
                  <w:tcBorders>
                    <w:tl2br w:val="single" w:color="auto" w:sz="4" w:space="0"/>
                  </w:tcBorders>
                  <w:vAlign w:val="center"/>
                </w:tcPr>
                <w:p>
                  <w:pPr>
                    <w:pStyle w:val="42"/>
                    <w:jc w:val="right"/>
                  </w:pPr>
                  <w:r>
                    <w:t>路况</w:t>
                  </w:r>
                </w:p>
                <w:p>
                  <w:pPr>
                    <w:pStyle w:val="42"/>
                    <w:jc w:val="left"/>
                  </w:pPr>
                  <w:r>
                    <w:t>车况</w:t>
                  </w:r>
                </w:p>
              </w:tc>
              <w:tc>
                <w:tcPr>
                  <w:tcW w:w="1562" w:type="dxa"/>
                  <w:vAlign w:val="center"/>
                </w:tcPr>
                <w:p>
                  <w:pPr>
                    <w:pStyle w:val="42"/>
                  </w:pPr>
                  <w:r>
                    <w:t>0.01</w:t>
                  </w:r>
                </w:p>
                <w:p>
                  <w:pPr>
                    <w:pStyle w:val="42"/>
                  </w:pPr>
                  <w:r>
                    <w:t>（kg/m</w:t>
                  </w:r>
                  <w:r>
                    <w:rPr>
                      <w:vertAlign w:val="superscript"/>
                    </w:rPr>
                    <w:t>2</w:t>
                  </w:r>
                  <w:r>
                    <w:t>）</w:t>
                  </w:r>
                </w:p>
              </w:tc>
              <w:tc>
                <w:tcPr>
                  <w:tcW w:w="1564" w:type="dxa"/>
                  <w:vAlign w:val="center"/>
                </w:tcPr>
                <w:p>
                  <w:pPr>
                    <w:pStyle w:val="42"/>
                  </w:pPr>
                  <w:r>
                    <w:t>0.1</w:t>
                  </w:r>
                </w:p>
                <w:p>
                  <w:pPr>
                    <w:pStyle w:val="42"/>
                  </w:pPr>
                  <w:r>
                    <w:t>（kg/m</w:t>
                  </w:r>
                  <w:r>
                    <w:rPr>
                      <w:vertAlign w:val="superscript"/>
                    </w:rPr>
                    <w:t>2</w:t>
                  </w:r>
                  <w:r>
                    <w:t>）</w:t>
                  </w:r>
                </w:p>
              </w:tc>
              <w:tc>
                <w:tcPr>
                  <w:tcW w:w="1564" w:type="dxa"/>
                  <w:vAlign w:val="center"/>
                </w:tcPr>
                <w:p>
                  <w:pPr>
                    <w:pStyle w:val="42"/>
                  </w:pPr>
                  <w:r>
                    <w:t>0.2</w:t>
                  </w:r>
                </w:p>
                <w:p>
                  <w:pPr>
                    <w:pStyle w:val="42"/>
                  </w:pPr>
                  <w:r>
                    <w:t>（kg/m</w:t>
                  </w:r>
                  <w:r>
                    <w:rPr>
                      <w:vertAlign w:val="superscript"/>
                    </w:rPr>
                    <w:t>2</w:t>
                  </w:r>
                  <w:r>
                    <w:t>）</w:t>
                  </w:r>
                </w:p>
              </w:tc>
              <w:tc>
                <w:tcPr>
                  <w:tcW w:w="1566" w:type="dxa"/>
                  <w:vAlign w:val="center"/>
                </w:tcPr>
                <w:p>
                  <w:pPr>
                    <w:pStyle w:val="42"/>
                  </w:pPr>
                  <w:r>
                    <w:t>0.3</w:t>
                  </w:r>
                </w:p>
                <w:p>
                  <w:pPr>
                    <w:pStyle w:val="42"/>
                  </w:pPr>
                  <w:r>
                    <w:t>（kg/m</w:t>
                  </w:r>
                  <w:r>
                    <w:rPr>
                      <w:vertAlign w:val="superscript"/>
                    </w:rPr>
                    <w:t>2</w:t>
                  </w:r>
                  <w:r>
                    <w:t>）</w:t>
                  </w:r>
                </w:p>
              </w:tc>
              <w:tc>
                <w:tcPr>
                  <w:tcW w:w="1566" w:type="dxa"/>
                  <w:vAlign w:val="center"/>
                </w:tcPr>
                <w:p>
                  <w:pPr>
                    <w:pStyle w:val="42"/>
                  </w:pPr>
                  <w:r>
                    <w:t>0.4</w:t>
                  </w:r>
                </w:p>
                <w:p>
                  <w:pPr>
                    <w:pStyle w:val="42"/>
                  </w:pPr>
                  <w:r>
                    <w:t>（kg/m</w:t>
                  </w:r>
                  <w:r>
                    <w:rPr>
                      <w:vertAlign w:val="superscript"/>
                    </w:rPr>
                    <w:t>2</w:t>
                  </w:r>
                  <w: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1188" w:type="dxa"/>
                  <w:vAlign w:val="center"/>
                </w:tcPr>
                <w:p>
                  <w:pPr>
                    <w:pStyle w:val="42"/>
                  </w:pPr>
                  <w:r>
                    <w:t>空车</w:t>
                  </w:r>
                </w:p>
              </w:tc>
              <w:tc>
                <w:tcPr>
                  <w:tcW w:w="1562" w:type="dxa"/>
                  <w:vAlign w:val="center"/>
                </w:tcPr>
                <w:p>
                  <w:pPr>
                    <w:pStyle w:val="42"/>
                  </w:pPr>
                  <w:r>
                    <w:t>0.04</w:t>
                  </w:r>
                </w:p>
              </w:tc>
              <w:tc>
                <w:tcPr>
                  <w:tcW w:w="1564" w:type="dxa"/>
                  <w:vAlign w:val="center"/>
                </w:tcPr>
                <w:p>
                  <w:pPr>
                    <w:pStyle w:val="42"/>
                  </w:pPr>
                  <w:r>
                    <w:t>0.21</w:t>
                  </w:r>
                </w:p>
              </w:tc>
              <w:tc>
                <w:tcPr>
                  <w:tcW w:w="1564" w:type="dxa"/>
                  <w:vAlign w:val="center"/>
                </w:tcPr>
                <w:p>
                  <w:pPr>
                    <w:pStyle w:val="42"/>
                  </w:pPr>
                  <w:r>
                    <w:t>0.34</w:t>
                  </w:r>
                </w:p>
              </w:tc>
              <w:tc>
                <w:tcPr>
                  <w:tcW w:w="1566" w:type="dxa"/>
                  <w:vAlign w:val="center"/>
                </w:tcPr>
                <w:p>
                  <w:pPr>
                    <w:pStyle w:val="42"/>
                  </w:pPr>
                  <w:r>
                    <w:t>0.47</w:t>
                  </w:r>
                </w:p>
              </w:tc>
              <w:tc>
                <w:tcPr>
                  <w:tcW w:w="1566" w:type="dxa"/>
                  <w:vAlign w:val="center"/>
                </w:tcPr>
                <w:p>
                  <w:pPr>
                    <w:pStyle w:val="42"/>
                  </w:pPr>
                  <w:r>
                    <w:t>0.58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1188" w:type="dxa"/>
                  <w:vAlign w:val="center"/>
                </w:tcPr>
                <w:p>
                  <w:pPr>
                    <w:pStyle w:val="42"/>
                  </w:pPr>
                  <w:r>
                    <w:t>重车</w:t>
                  </w:r>
                </w:p>
              </w:tc>
              <w:tc>
                <w:tcPr>
                  <w:tcW w:w="1562" w:type="dxa"/>
                  <w:vAlign w:val="center"/>
                </w:tcPr>
                <w:p>
                  <w:pPr>
                    <w:pStyle w:val="42"/>
                  </w:pPr>
                  <w:r>
                    <w:t>0.09</w:t>
                  </w:r>
                </w:p>
              </w:tc>
              <w:tc>
                <w:tcPr>
                  <w:tcW w:w="1564" w:type="dxa"/>
                  <w:vAlign w:val="center"/>
                </w:tcPr>
                <w:p>
                  <w:pPr>
                    <w:pStyle w:val="42"/>
                  </w:pPr>
                  <w:r>
                    <w:t>0.39</w:t>
                  </w:r>
                </w:p>
              </w:tc>
              <w:tc>
                <w:tcPr>
                  <w:tcW w:w="1564" w:type="dxa"/>
                  <w:vAlign w:val="center"/>
                </w:tcPr>
                <w:p>
                  <w:pPr>
                    <w:pStyle w:val="42"/>
                  </w:pPr>
                  <w:r>
                    <w:t>0.87</w:t>
                  </w:r>
                </w:p>
              </w:tc>
              <w:tc>
                <w:tcPr>
                  <w:tcW w:w="1566" w:type="dxa"/>
                  <w:vAlign w:val="center"/>
                </w:tcPr>
                <w:p>
                  <w:pPr>
                    <w:pStyle w:val="42"/>
                  </w:pPr>
                  <w:r>
                    <w:t>1.18</w:t>
                  </w:r>
                </w:p>
              </w:tc>
              <w:tc>
                <w:tcPr>
                  <w:tcW w:w="1566" w:type="dxa"/>
                  <w:vAlign w:val="center"/>
                </w:tcPr>
                <w:p>
                  <w:pPr>
                    <w:pStyle w:val="42"/>
                  </w:pPr>
                  <w:r>
                    <w:t>1.47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1188" w:type="dxa"/>
                  <w:vAlign w:val="center"/>
                </w:tcPr>
                <w:p>
                  <w:pPr>
                    <w:pStyle w:val="42"/>
                  </w:pPr>
                  <w:r>
                    <w:t>合计</w:t>
                  </w:r>
                </w:p>
              </w:tc>
              <w:tc>
                <w:tcPr>
                  <w:tcW w:w="1562" w:type="dxa"/>
                  <w:vAlign w:val="center"/>
                </w:tcPr>
                <w:p>
                  <w:pPr>
                    <w:pStyle w:val="42"/>
                  </w:pPr>
                  <w:r>
                    <w:t>0.13</w:t>
                  </w:r>
                </w:p>
              </w:tc>
              <w:tc>
                <w:tcPr>
                  <w:tcW w:w="1564" w:type="dxa"/>
                  <w:vAlign w:val="center"/>
                </w:tcPr>
                <w:p>
                  <w:pPr>
                    <w:pStyle w:val="42"/>
                  </w:pPr>
                  <w:r>
                    <w:t>0.60</w:t>
                  </w:r>
                </w:p>
              </w:tc>
              <w:tc>
                <w:tcPr>
                  <w:tcW w:w="1564" w:type="dxa"/>
                  <w:vAlign w:val="center"/>
                </w:tcPr>
                <w:p>
                  <w:pPr>
                    <w:pStyle w:val="42"/>
                  </w:pPr>
                  <w:r>
                    <w:t>1.21</w:t>
                  </w:r>
                </w:p>
              </w:tc>
              <w:tc>
                <w:tcPr>
                  <w:tcW w:w="1566" w:type="dxa"/>
                  <w:vAlign w:val="center"/>
                </w:tcPr>
                <w:p>
                  <w:pPr>
                    <w:pStyle w:val="42"/>
                  </w:pPr>
                  <w:r>
                    <w:t>1.65</w:t>
                  </w:r>
                </w:p>
              </w:tc>
              <w:tc>
                <w:tcPr>
                  <w:tcW w:w="1566" w:type="dxa"/>
                  <w:vAlign w:val="center"/>
                </w:tcPr>
                <w:p>
                  <w:pPr>
                    <w:pStyle w:val="42"/>
                  </w:pPr>
                  <w:r>
                    <w:t>2.05</w:t>
                  </w:r>
                </w:p>
              </w:tc>
            </w:tr>
          </w:tbl>
          <w:p>
            <w:pPr>
              <w:adjustRightInd w:val="0"/>
              <w:snapToGrid w:val="0"/>
              <w:spacing w:line="360" w:lineRule="auto"/>
              <w:ind w:firstLine="480" w:firstLineChars="200"/>
              <w:rPr>
                <w:sz w:val="24"/>
              </w:rPr>
            </w:pPr>
            <w:r>
              <w:rPr>
                <w:sz w:val="24"/>
              </w:rPr>
              <w:t>本次评价场内运输道路按568m计算，对道路路况以0.01kg/m</w:t>
            </w:r>
            <w:r>
              <w:rPr>
                <w:sz w:val="24"/>
                <w:vertAlign w:val="superscript"/>
              </w:rPr>
              <w:t>2</w:t>
            </w:r>
            <w:r>
              <w:rPr>
                <w:sz w:val="24"/>
              </w:rPr>
              <w:t>计，经计算，车辆在道路上产生的二次扬尘分别为空车0.04kg/km•辆，重车0.09kg/km•辆，即道路二次扬尘1.883t/a。通过道路洒水及加篷布遮盖、于场地进出口设置轮胎冲洗点等措施后，其扬尘量较小，除尘效率按80%计，可将粉尘降低至0.377t/a。</w:t>
            </w:r>
          </w:p>
          <w:p>
            <w:pPr>
              <w:adjustRightInd w:val="0"/>
              <w:snapToGrid w:val="0"/>
              <w:spacing w:line="360" w:lineRule="auto"/>
              <w:ind w:firstLine="480" w:firstLineChars="200"/>
              <w:rPr>
                <w:sz w:val="24"/>
              </w:rPr>
            </w:pPr>
            <w:r>
              <w:rPr>
                <w:rFonts w:hint="eastAsia" w:ascii="宋体" w:hAnsi="宋体" w:cs="宋体"/>
                <w:sz w:val="24"/>
              </w:rPr>
              <w:t>⑦</w:t>
            </w:r>
            <w:r>
              <w:rPr>
                <w:sz w:val="24"/>
              </w:rPr>
              <w:t>燃油废气</w:t>
            </w:r>
            <w:r>
              <w:rPr>
                <w:rFonts w:hint="eastAsia"/>
                <w:sz w:val="24"/>
              </w:rPr>
              <w:t>（无组织）</w:t>
            </w:r>
          </w:p>
          <w:p>
            <w:pPr>
              <w:adjustRightInd w:val="0"/>
              <w:snapToGrid w:val="0"/>
              <w:spacing w:line="360" w:lineRule="auto"/>
              <w:ind w:firstLine="480" w:firstLineChars="200"/>
              <w:rPr>
                <w:sz w:val="24"/>
              </w:rPr>
            </w:pPr>
            <w:r>
              <w:rPr>
                <w:sz w:val="24"/>
              </w:rPr>
              <w:t>燃油废气主要来自采区各类燃油机械如铲车、挖掘机、运输汽车等燃油产生的废气，主要含CH</w:t>
            </w:r>
            <w:r>
              <w:rPr>
                <w:sz w:val="24"/>
                <w:vertAlign w:val="subscript"/>
              </w:rPr>
              <w:t>4</w:t>
            </w:r>
            <w:r>
              <w:rPr>
                <w:sz w:val="24"/>
              </w:rPr>
              <w:t>、NOx、CO等。矿山地处山区，在露天条件下，极易稀释扩散，污染物浓度很低，产生量很小，对周围大气环境的影响小。</w:t>
            </w:r>
          </w:p>
          <w:p>
            <w:pPr>
              <w:adjustRightInd w:val="0"/>
              <w:snapToGrid w:val="0"/>
              <w:spacing w:line="360" w:lineRule="auto"/>
              <w:ind w:firstLine="480" w:firstLineChars="200"/>
              <w:rPr>
                <w:sz w:val="24"/>
              </w:rPr>
            </w:pPr>
            <w:r>
              <w:rPr>
                <w:rFonts w:hint="eastAsia" w:ascii="宋体" w:hAnsi="宋体" w:cs="宋体"/>
                <w:sz w:val="24"/>
              </w:rPr>
              <w:t>⑧</w:t>
            </w:r>
            <w:r>
              <w:rPr>
                <w:rFonts w:hint="eastAsia"/>
                <w:sz w:val="24"/>
              </w:rPr>
              <w:t>工业广场碎石加工粉尘</w:t>
            </w:r>
          </w:p>
          <w:p>
            <w:pPr>
              <w:adjustRightInd w:val="0"/>
              <w:snapToGrid w:val="0"/>
              <w:spacing w:line="360" w:lineRule="auto"/>
              <w:ind w:firstLine="480" w:firstLineChars="200"/>
              <w:rPr>
                <w:sz w:val="24"/>
              </w:rPr>
            </w:pPr>
            <w:r>
              <w:rPr>
                <w:rFonts w:hint="eastAsia"/>
                <w:sz w:val="24"/>
              </w:rPr>
              <w:t>A、给料粉尘（无组织）</w:t>
            </w:r>
          </w:p>
          <w:p>
            <w:pPr>
              <w:adjustRightInd w:val="0"/>
              <w:snapToGrid w:val="0"/>
              <w:spacing w:line="360" w:lineRule="auto"/>
              <w:ind w:firstLine="480" w:firstLineChars="200"/>
              <w:rPr>
                <w:sz w:val="24"/>
              </w:rPr>
            </w:pPr>
            <w:r>
              <w:rPr>
                <w:rFonts w:hint="eastAsia"/>
                <w:sz w:val="24"/>
              </w:rPr>
              <w:t>项目毛石料使用给料机给料，给料过程均会产生给料粉尘。根据《逸散性工业粉尘控制技术》和相关类比调查，给料过程中颗粒物排放量在无控制措施情况产率为</w:t>
            </w:r>
            <w:r>
              <w:rPr>
                <w:sz w:val="24"/>
              </w:rPr>
              <w:t>0.00115kg/t</w:t>
            </w:r>
            <w:r>
              <w:rPr>
                <w:rFonts w:hint="eastAsia"/>
                <w:sz w:val="24"/>
              </w:rPr>
              <w:t>原料，生产线产能为5</w:t>
            </w:r>
            <w:r>
              <w:rPr>
                <w:sz w:val="24"/>
              </w:rPr>
              <w:t>1</w:t>
            </w:r>
            <w:r>
              <w:rPr>
                <w:rFonts w:hint="eastAsia"/>
                <w:sz w:val="24"/>
              </w:rPr>
              <w:t>万t</w:t>
            </w:r>
            <w:r>
              <w:rPr>
                <w:sz w:val="24"/>
              </w:rPr>
              <w:t>/a</w:t>
            </w:r>
            <w:r>
              <w:rPr>
                <w:rFonts w:hint="eastAsia"/>
                <w:sz w:val="24"/>
              </w:rPr>
              <w:t>，则给料粉尘产生量分别为</w:t>
            </w:r>
            <w:r>
              <w:rPr>
                <w:sz w:val="24"/>
              </w:rPr>
              <w:t>0.587t/a</w:t>
            </w:r>
            <w:r>
              <w:rPr>
                <w:rFonts w:hint="eastAsia"/>
                <w:sz w:val="24"/>
              </w:rPr>
              <w:t>。项目卸料口</w:t>
            </w:r>
            <w:r>
              <w:rPr>
                <w:rFonts w:hint="eastAsia"/>
                <w:bCs/>
                <w:sz w:val="24"/>
              </w:rPr>
              <w:t>为半封闭状态，卸料车辆左、右及上方均设置有围挡，围挡上方均设置了1个喷淋洒水装置，给料时实时洒水，</w:t>
            </w:r>
            <w:r>
              <w:rPr>
                <w:rFonts w:hint="eastAsia"/>
                <w:sz w:val="24"/>
              </w:rPr>
              <w:t>进行降尘，约</w:t>
            </w:r>
            <w:r>
              <w:rPr>
                <w:sz w:val="24"/>
              </w:rPr>
              <w:t>80%</w:t>
            </w:r>
            <w:r>
              <w:rPr>
                <w:rFonts w:hint="eastAsia"/>
                <w:sz w:val="24"/>
              </w:rPr>
              <w:t>逸散粉尘可沉降于厂区，未沉降的粉尘无组织排放，则给料粉尘无组织排放量为</w:t>
            </w:r>
            <w:r>
              <w:rPr>
                <w:sz w:val="24"/>
              </w:rPr>
              <w:t>0.117t/a</w:t>
            </w:r>
            <w:r>
              <w:rPr>
                <w:rFonts w:hint="eastAsia"/>
                <w:sz w:val="24"/>
              </w:rPr>
              <w:t>。</w:t>
            </w:r>
          </w:p>
          <w:p>
            <w:pPr>
              <w:adjustRightInd w:val="0"/>
              <w:snapToGrid w:val="0"/>
              <w:spacing w:line="360" w:lineRule="auto"/>
              <w:ind w:firstLine="480" w:firstLineChars="200"/>
              <w:rPr>
                <w:sz w:val="24"/>
              </w:rPr>
            </w:pPr>
            <w:r>
              <w:rPr>
                <w:rFonts w:hint="eastAsia"/>
                <w:sz w:val="24"/>
              </w:rPr>
              <w:t>B、破碎筛分粉尘</w:t>
            </w:r>
          </w:p>
          <w:p>
            <w:pPr>
              <w:adjustRightInd w:val="0"/>
              <w:snapToGrid w:val="0"/>
              <w:spacing w:line="360" w:lineRule="auto"/>
              <w:ind w:firstLine="480" w:firstLineChars="200"/>
              <w:rPr>
                <w:sz w:val="24"/>
              </w:rPr>
            </w:pPr>
            <w:r>
              <w:rPr>
                <w:sz w:val="24"/>
              </w:rPr>
              <w:t>矿石在矿山破碎、筛分过程中产生大量粉尘。</w:t>
            </w:r>
          </w:p>
          <w:p>
            <w:pPr>
              <w:adjustRightInd w:val="0"/>
              <w:snapToGrid w:val="0"/>
              <w:spacing w:line="360" w:lineRule="auto"/>
              <w:ind w:firstLine="480" w:firstLineChars="200"/>
              <w:rPr>
                <w:color w:val="0000FF"/>
                <w:sz w:val="24"/>
              </w:rPr>
            </w:pPr>
            <w:r>
              <w:rPr>
                <w:color w:val="0000FF"/>
                <w:sz w:val="24"/>
              </w:rPr>
              <w:t>根据《排放源统计调查产排污核算方法和系数手册》中《1011石灰石石膏开采行业系数手册》，矿石筛分破碎处理过程中TSP排放量在无控制情况产率为：破碎0.0307kg/t、多级筛分0.4kg/t</w:t>
            </w:r>
            <w:r>
              <w:rPr>
                <w:rFonts w:hint="eastAsia"/>
                <w:color w:val="0000FF"/>
                <w:sz w:val="24"/>
              </w:rPr>
              <w:t>；废气量</w:t>
            </w:r>
            <w:r>
              <w:rPr>
                <w:color w:val="0000FF"/>
                <w:sz w:val="24"/>
              </w:rPr>
              <w:t>在无控制情况产率为：破碎</w:t>
            </w:r>
            <w:r>
              <w:rPr>
                <w:rFonts w:hint="eastAsia"/>
                <w:color w:val="0000FF"/>
                <w:sz w:val="24"/>
              </w:rPr>
              <w:t>5</w:t>
            </w:r>
            <w:r>
              <w:rPr>
                <w:color w:val="0000FF"/>
                <w:sz w:val="24"/>
              </w:rPr>
              <w:t>6.9Nm</w:t>
            </w:r>
            <w:r>
              <w:rPr>
                <w:color w:val="0000FF"/>
                <w:sz w:val="24"/>
                <w:vertAlign w:val="superscript"/>
              </w:rPr>
              <w:t>3</w:t>
            </w:r>
            <w:r>
              <w:rPr>
                <w:color w:val="0000FF"/>
                <w:sz w:val="24"/>
              </w:rPr>
              <w:t>/t·</w:t>
            </w:r>
            <w:r>
              <w:rPr>
                <w:rFonts w:hint="eastAsia"/>
                <w:color w:val="0000FF"/>
                <w:sz w:val="24"/>
              </w:rPr>
              <w:t>产品、</w:t>
            </w:r>
            <w:r>
              <w:rPr>
                <w:color w:val="0000FF"/>
                <w:sz w:val="24"/>
              </w:rPr>
              <w:t>多级筛分</w:t>
            </w:r>
            <w:r>
              <w:rPr>
                <w:rFonts w:hint="eastAsia"/>
                <w:color w:val="0000FF"/>
                <w:sz w:val="24"/>
              </w:rPr>
              <w:t>6</w:t>
            </w:r>
            <w:r>
              <w:rPr>
                <w:color w:val="0000FF"/>
                <w:sz w:val="24"/>
              </w:rPr>
              <w:t>0Nm</w:t>
            </w:r>
            <w:r>
              <w:rPr>
                <w:color w:val="0000FF"/>
                <w:sz w:val="24"/>
                <w:vertAlign w:val="superscript"/>
              </w:rPr>
              <w:t>3</w:t>
            </w:r>
            <w:r>
              <w:rPr>
                <w:color w:val="0000FF"/>
                <w:sz w:val="24"/>
              </w:rPr>
              <w:t>/t·</w:t>
            </w:r>
            <w:r>
              <w:rPr>
                <w:rFonts w:hint="eastAsia"/>
                <w:color w:val="0000FF"/>
                <w:sz w:val="24"/>
              </w:rPr>
              <w:t>产品</w:t>
            </w:r>
            <w:r>
              <w:rPr>
                <w:color w:val="0000FF"/>
                <w:sz w:val="24"/>
              </w:rPr>
              <w:t>。</w:t>
            </w:r>
          </w:p>
          <w:p>
            <w:pPr>
              <w:adjustRightInd w:val="0"/>
              <w:snapToGrid w:val="0"/>
              <w:spacing w:line="360" w:lineRule="auto"/>
              <w:ind w:firstLine="480" w:firstLineChars="200"/>
              <w:rPr>
                <w:sz w:val="24"/>
              </w:rPr>
            </w:pPr>
            <w:r>
              <w:rPr>
                <w:rFonts w:hint="eastAsia"/>
                <w:sz w:val="24"/>
              </w:rPr>
              <w:t>根据前文分析，</w:t>
            </w:r>
            <w:r>
              <w:rPr>
                <w:sz w:val="24"/>
              </w:rPr>
              <w:t>一级破碎、二级破碎</w:t>
            </w:r>
            <w:r>
              <w:rPr>
                <w:rFonts w:hint="eastAsia"/>
                <w:sz w:val="24"/>
              </w:rPr>
              <w:t>、一级筛分工序的</w:t>
            </w:r>
            <w:r>
              <w:rPr>
                <w:sz w:val="24"/>
              </w:rPr>
              <w:t>生产规模</w:t>
            </w:r>
            <w:r>
              <w:rPr>
                <w:rFonts w:hint="eastAsia"/>
                <w:sz w:val="24"/>
              </w:rPr>
              <w:t>分别为51</w:t>
            </w:r>
            <w:r>
              <w:rPr>
                <w:sz w:val="24"/>
              </w:rPr>
              <w:t>万t/a</w:t>
            </w:r>
            <w:r>
              <w:rPr>
                <w:rFonts w:hint="eastAsia"/>
                <w:sz w:val="24"/>
              </w:rPr>
              <w:t>、</w:t>
            </w:r>
            <w:r>
              <w:rPr>
                <w:rFonts w:hint="eastAsia"/>
                <w:color w:val="0000FF"/>
                <w:sz w:val="24"/>
              </w:rPr>
              <w:t>66.3</w:t>
            </w:r>
            <w:r>
              <w:rPr>
                <w:sz w:val="24"/>
              </w:rPr>
              <w:t>万t/a</w:t>
            </w:r>
            <w:r>
              <w:rPr>
                <w:rFonts w:hint="eastAsia"/>
                <w:sz w:val="24"/>
              </w:rPr>
              <w:t>、</w:t>
            </w:r>
            <w:r>
              <w:rPr>
                <w:rFonts w:hint="eastAsia"/>
                <w:color w:val="0000FF"/>
                <w:sz w:val="24"/>
              </w:rPr>
              <w:t>66.3</w:t>
            </w:r>
            <w:r>
              <w:rPr>
                <w:sz w:val="24"/>
              </w:rPr>
              <w:t>万t/a</w:t>
            </w:r>
            <w:r>
              <w:rPr>
                <w:rFonts w:hint="eastAsia"/>
                <w:sz w:val="24"/>
              </w:rPr>
              <w:t>。</w:t>
            </w:r>
          </w:p>
          <w:p>
            <w:pPr>
              <w:adjustRightInd w:val="0"/>
              <w:snapToGrid w:val="0"/>
              <w:spacing w:line="360" w:lineRule="auto"/>
              <w:ind w:firstLine="480" w:firstLineChars="200"/>
              <w:rPr>
                <w:sz w:val="24"/>
              </w:rPr>
            </w:pPr>
            <w:r>
              <w:rPr>
                <w:sz w:val="24"/>
              </w:rPr>
              <w:t>由于</w:t>
            </w:r>
            <w:r>
              <w:rPr>
                <w:rFonts w:hint="eastAsia"/>
                <w:sz w:val="24"/>
              </w:rPr>
              <w:t>中</w:t>
            </w:r>
            <w:r>
              <w:rPr>
                <w:sz w:val="24"/>
              </w:rPr>
              <w:t>型矿山配套破碎站生产期间产排污较大，单位时间产尘速率较高。针对破碎站，建设单位拟采取如下措施：</w:t>
            </w:r>
          </w:p>
          <w:p>
            <w:pPr>
              <w:adjustRightInd w:val="0"/>
              <w:snapToGrid w:val="0"/>
              <w:spacing w:line="360" w:lineRule="auto"/>
              <w:ind w:firstLine="480" w:firstLineChars="200"/>
              <w:rPr>
                <w:sz w:val="24"/>
              </w:rPr>
            </w:pPr>
            <w:r>
              <w:rPr>
                <w:sz w:val="24"/>
              </w:rPr>
              <w:t>Ⅰ、将破碎站</w:t>
            </w:r>
            <w:r>
              <w:rPr>
                <w:rFonts w:hint="eastAsia"/>
                <w:sz w:val="24"/>
              </w:rPr>
              <w:t>内</w:t>
            </w:r>
            <w:r>
              <w:rPr>
                <w:sz w:val="24"/>
              </w:rPr>
              <w:t>破碎、筛分</w:t>
            </w:r>
            <w:r>
              <w:rPr>
                <w:rFonts w:hint="eastAsia"/>
                <w:sz w:val="24"/>
              </w:rPr>
              <w:t>等</w:t>
            </w:r>
            <w:r>
              <w:rPr>
                <w:sz w:val="24"/>
              </w:rPr>
              <w:t>设备</w:t>
            </w:r>
            <w:r>
              <w:rPr>
                <w:rFonts w:hint="eastAsia"/>
                <w:sz w:val="24"/>
              </w:rPr>
              <w:t>与</w:t>
            </w:r>
            <w:r>
              <w:rPr>
                <w:sz w:val="24"/>
              </w:rPr>
              <w:t>仓库整体搭建钢架密闭厂房，</w:t>
            </w:r>
            <w:r>
              <w:rPr>
                <w:rFonts w:hint="eastAsia"/>
                <w:sz w:val="24"/>
              </w:rPr>
              <w:t>仅留运料进出口，</w:t>
            </w:r>
            <w:r>
              <w:rPr>
                <w:sz w:val="24"/>
              </w:rPr>
              <w:t>减少无组织粉尘外逸</w:t>
            </w:r>
            <w:r>
              <w:rPr>
                <w:rFonts w:hint="eastAsia"/>
                <w:sz w:val="24"/>
              </w:rPr>
              <w:t>；并</w:t>
            </w:r>
            <w:r>
              <w:rPr>
                <w:sz w:val="24"/>
              </w:rPr>
              <w:t>在破碎站</w:t>
            </w:r>
            <w:r>
              <w:rPr>
                <w:rFonts w:hint="eastAsia"/>
                <w:sz w:val="24"/>
              </w:rPr>
              <w:t>设备</w:t>
            </w:r>
            <w:r>
              <w:rPr>
                <w:sz w:val="24"/>
              </w:rPr>
              <w:t>进</w:t>
            </w:r>
            <w:r>
              <w:rPr>
                <w:rFonts w:hint="eastAsia"/>
                <w:sz w:val="24"/>
              </w:rPr>
              <w:t>出</w:t>
            </w:r>
            <w:r>
              <w:rPr>
                <w:sz w:val="24"/>
              </w:rPr>
              <w:t>料口、成品仓库下料区（装车点）等区域设置单点喷淋（雾）装置</w:t>
            </w:r>
            <w:r>
              <w:rPr>
                <w:rFonts w:hint="eastAsia"/>
                <w:sz w:val="24"/>
              </w:rPr>
              <w:t>，生产期间实时降尘；</w:t>
            </w:r>
          </w:p>
          <w:p>
            <w:pPr>
              <w:adjustRightInd w:val="0"/>
              <w:snapToGrid w:val="0"/>
              <w:spacing w:line="360" w:lineRule="auto"/>
              <w:ind w:firstLine="480" w:firstLineChars="200"/>
              <w:rPr>
                <w:sz w:val="24"/>
              </w:rPr>
            </w:pPr>
            <w:r>
              <w:rPr>
                <w:sz w:val="24"/>
              </w:rPr>
              <w:t>Ⅱ、</w:t>
            </w:r>
            <w:r>
              <w:rPr>
                <w:rFonts w:hint="eastAsia"/>
                <w:sz w:val="24"/>
              </w:rPr>
              <w:t>设备之间采用传送带进行物料输送，传送带全部采用全密闭防尘罩；</w:t>
            </w:r>
            <w:r>
              <w:rPr>
                <w:sz w:val="24"/>
              </w:rPr>
              <w:t>对</w:t>
            </w:r>
            <w:r>
              <w:rPr>
                <w:rFonts w:hint="eastAsia"/>
                <w:sz w:val="24"/>
              </w:rPr>
              <w:t>破碎机</w:t>
            </w:r>
            <w:r>
              <w:rPr>
                <w:sz w:val="24"/>
              </w:rPr>
              <w:t>、振动筛分别采用单钢板箱式密闭，设备与输送带衔接处均密闭处理，实行密闭收尘，含尘废气经布袋除尘器处理后，有组织达标排放。</w:t>
            </w:r>
          </w:p>
          <w:p>
            <w:pPr>
              <w:adjustRightInd w:val="0"/>
              <w:snapToGrid w:val="0"/>
              <w:spacing w:line="360" w:lineRule="auto"/>
              <w:ind w:firstLine="480" w:firstLineChars="200"/>
              <w:rPr>
                <w:sz w:val="24"/>
              </w:rPr>
            </w:pPr>
            <w:r>
              <w:rPr>
                <w:rFonts w:hint="eastAsia"/>
                <w:sz w:val="24"/>
              </w:rPr>
              <w:t>破碎机</w:t>
            </w:r>
            <w:r>
              <w:rPr>
                <w:sz w:val="24"/>
              </w:rPr>
              <w:t>、振动筛</w:t>
            </w:r>
            <w:r>
              <w:rPr>
                <w:rFonts w:hint="eastAsia"/>
                <w:sz w:val="24"/>
              </w:rPr>
              <w:t>在</w:t>
            </w:r>
            <w:r>
              <w:rPr>
                <w:sz w:val="24"/>
              </w:rPr>
              <w:t>进行箱式密闭后生产阶段几乎无无组织粉尘外逸，本次环评粉尘收集效率按</w:t>
            </w:r>
            <w:r>
              <w:rPr>
                <w:rFonts w:hint="eastAsia"/>
                <w:color w:val="0000FF"/>
                <w:sz w:val="24"/>
              </w:rPr>
              <w:t>95</w:t>
            </w:r>
            <w:r>
              <w:rPr>
                <w:sz w:val="24"/>
              </w:rPr>
              <w:t>%计算；项目选用国内高效脉冲式布袋除尘器，除尘效率可达到</w:t>
            </w:r>
            <w:r>
              <w:rPr>
                <w:color w:val="0000FF"/>
                <w:sz w:val="24"/>
              </w:rPr>
              <w:t>99</w:t>
            </w:r>
            <w:r>
              <w:rPr>
                <w:sz w:val="24"/>
              </w:rPr>
              <w:t>%（本次环评按</w:t>
            </w:r>
            <w:r>
              <w:rPr>
                <w:color w:val="0000FF"/>
                <w:sz w:val="24"/>
              </w:rPr>
              <w:t>99</w:t>
            </w:r>
            <w:r>
              <w:rPr>
                <w:sz w:val="24"/>
              </w:rPr>
              <w:t>%计算）。项目破碎站采用密闭厂房结构，考虑50%粉尘的静置沉降，生产设备厂房内整体喷雾降尘，除尘效率按80%计。通过采取以上降尘措施后，车间内未收集的无组织粉尘的除尘效率可达到90%以上（本次环评除尘效率按90%计算）。</w:t>
            </w:r>
          </w:p>
          <w:p>
            <w:pPr>
              <w:adjustRightInd w:val="0"/>
              <w:snapToGrid w:val="0"/>
              <w:spacing w:line="360" w:lineRule="auto"/>
              <w:ind w:firstLine="480" w:firstLineChars="200"/>
              <w:jc w:val="left"/>
              <w:rPr>
                <w:sz w:val="24"/>
              </w:rPr>
            </w:pPr>
            <w:r>
              <w:rPr>
                <w:rFonts w:hint="eastAsia"/>
                <w:sz w:val="24"/>
              </w:rPr>
              <w:t>由此，项目破碎站粉尘产排情况见表4</w:t>
            </w:r>
            <w:r>
              <w:rPr>
                <w:sz w:val="24"/>
              </w:rPr>
              <w:t>-</w:t>
            </w:r>
            <w:r>
              <w:rPr>
                <w:rFonts w:hint="eastAsia"/>
                <w:sz w:val="24"/>
              </w:rPr>
              <w:t>5。</w:t>
            </w:r>
          </w:p>
          <w:p>
            <w:pPr>
              <w:adjustRightInd w:val="0"/>
              <w:snapToGrid w:val="0"/>
              <w:jc w:val="center"/>
              <w:rPr>
                <w:b/>
                <w:sz w:val="24"/>
              </w:rPr>
            </w:pPr>
            <w:r>
              <w:rPr>
                <w:b/>
                <w:sz w:val="24"/>
              </w:rPr>
              <w:t>表4-</w:t>
            </w:r>
            <w:r>
              <w:rPr>
                <w:rFonts w:hint="eastAsia"/>
                <w:b/>
                <w:sz w:val="24"/>
              </w:rPr>
              <w:t>5</w:t>
            </w:r>
            <w:r>
              <w:rPr>
                <w:b/>
                <w:sz w:val="24"/>
              </w:rPr>
              <w:t xml:space="preserve">  破碎站粉尘产排情况</w:t>
            </w:r>
          </w:p>
          <w:tbl>
            <w:tblPr>
              <w:tblStyle w:val="15"/>
              <w:tblW w:w="9010"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77"/>
              <w:gridCol w:w="1254"/>
              <w:gridCol w:w="1126"/>
              <w:gridCol w:w="1267"/>
              <w:gridCol w:w="1186"/>
              <w:gridCol w:w="1402"/>
              <w:gridCol w:w="139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1377" w:type="dxa"/>
                  <w:vAlign w:val="center"/>
                </w:tcPr>
                <w:p>
                  <w:pPr>
                    <w:pStyle w:val="42"/>
                  </w:pPr>
                  <w:r>
                    <w:t>生产线</w:t>
                  </w:r>
                </w:p>
              </w:tc>
              <w:tc>
                <w:tcPr>
                  <w:tcW w:w="1254" w:type="dxa"/>
                  <w:vAlign w:val="center"/>
                </w:tcPr>
                <w:p>
                  <w:pPr>
                    <w:pStyle w:val="42"/>
                  </w:pPr>
                  <w:r>
                    <w:t>粉尘产生量（t/a）</w:t>
                  </w:r>
                </w:p>
              </w:tc>
              <w:tc>
                <w:tcPr>
                  <w:tcW w:w="1126" w:type="dxa"/>
                  <w:vAlign w:val="center"/>
                </w:tcPr>
                <w:p>
                  <w:pPr>
                    <w:pStyle w:val="42"/>
                  </w:pPr>
                  <w:r>
                    <w:t>粉尘收集量（t/a）</w:t>
                  </w:r>
                </w:p>
              </w:tc>
              <w:tc>
                <w:tcPr>
                  <w:tcW w:w="1267" w:type="dxa"/>
                  <w:tcBorders>
                    <w:right w:val="single" w:color="auto" w:sz="4" w:space="0"/>
                  </w:tcBorders>
                  <w:vAlign w:val="center"/>
                </w:tcPr>
                <w:p>
                  <w:pPr>
                    <w:pStyle w:val="42"/>
                  </w:pPr>
                  <w:r>
                    <w:t>有组织排放量（t/a）</w:t>
                  </w:r>
                </w:p>
              </w:tc>
              <w:tc>
                <w:tcPr>
                  <w:tcW w:w="1186" w:type="dxa"/>
                  <w:tcBorders>
                    <w:left w:val="single" w:color="auto" w:sz="4" w:space="0"/>
                  </w:tcBorders>
                  <w:vAlign w:val="center"/>
                </w:tcPr>
                <w:p>
                  <w:pPr>
                    <w:pStyle w:val="42"/>
                  </w:pPr>
                  <w:r>
                    <w:rPr>
                      <w:rFonts w:hint="eastAsia"/>
                    </w:rPr>
                    <w:t>废气量</w:t>
                  </w:r>
                </w:p>
                <w:p>
                  <w:pPr>
                    <w:pStyle w:val="42"/>
                  </w:pPr>
                  <w:r>
                    <w:rPr>
                      <w:rFonts w:hint="eastAsia"/>
                    </w:rPr>
                    <w:t>（</w:t>
                  </w:r>
                  <w:r>
                    <w:t>Nm</w:t>
                  </w:r>
                  <w:r>
                    <w:rPr>
                      <w:vertAlign w:val="superscript"/>
                    </w:rPr>
                    <w:t>3</w:t>
                  </w:r>
                  <w:r>
                    <w:t>/h</w:t>
                  </w:r>
                  <w:r>
                    <w:rPr>
                      <w:rFonts w:hint="eastAsia"/>
                    </w:rPr>
                    <w:t>）</w:t>
                  </w:r>
                </w:p>
              </w:tc>
              <w:tc>
                <w:tcPr>
                  <w:tcW w:w="1402" w:type="dxa"/>
                  <w:vAlign w:val="center"/>
                </w:tcPr>
                <w:p>
                  <w:pPr>
                    <w:pStyle w:val="42"/>
                  </w:pPr>
                  <w:r>
                    <w:t>无组织产生量（t/a）</w:t>
                  </w:r>
                </w:p>
              </w:tc>
              <w:tc>
                <w:tcPr>
                  <w:tcW w:w="1398" w:type="dxa"/>
                  <w:vAlign w:val="center"/>
                </w:tcPr>
                <w:p>
                  <w:pPr>
                    <w:pStyle w:val="42"/>
                  </w:pPr>
                  <w:r>
                    <w:t>无组织排放量（t/a）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1377" w:type="dxa"/>
                  <w:vAlign w:val="center"/>
                </w:tcPr>
                <w:p>
                  <w:pPr>
                    <w:pStyle w:val="42"/>
                  </w:pPr>
                  <w:r>
                    <w:rPr>
                      <w:rFonts w:hint="eastAsia"/>
                    </w:rPr>
                    <w:t>破碎环节</w:t>
                  </w:r>
                </w:p>
              </w:tc>
              <w:tc>
                <w:tcPr>
                  <w:tcW w:w="1254" w:type="dxa"/>
                  <w:vAlign w:val="center"/>
                </w:tcPr>
                <w:p>
                  <w:pPr>
                    <w:widowControl/>
                    <w:jc w:val="center"/>
                    <w:rPr>
                      <w:rFonts w:eastAsia="等线"/>
                      <w:color w:val="0000FF"/>
                      <w:kern w:val="0"/>
                      <w:szCs w:val="21"/>
                    </w:rPr>
                  </w:pPr>
                  <w:r>
                    <w:rPr>
                      <w:rFonts w:eastAsia="等线"/>
                      <w:color w:val="0000FF"/>
                      <w:szCs w:val="21"/>
                    </w:rPr>
                    <w:t>36.011</w:t>
                  </w:r>
                </w:p>
              </w:tc>
              <w:tc>
                <w:tcPr>
                  <w:tcW w:w="1126" w:type="dxa"/>
                  <w:vAlign w:val="center"/>
                </w:tcPr>
                <w:p>
                  <w:pPr>
                    <w:jc w:val="center"/>
                    <w:rPr>
                      <w:rFonts w:eastAsia="等线"/>
                      <w:color w:val="0000FF"/>
                      <w:szCs w:val="21"/>
                    </w:rPr>
                  </w:pPr>
                  <w:r>
                    <w:rPr>
                      <w:rFonts w:eastAsia="等线"/>
                      <w:color w:val="0000FF"/>
                      <w:szCs w:val="21"/>
                    </w:rPr>
                    <w:t>34.211</w:t>
                  </w:r>
                </w:p>
              </w:tc>
              <w:tc>
                <w:tcPr>
                  <w:tcW w:w="1267" w:type="dxa"/>
                  <w:tcBorders>
                    <w:right w:val="single" w:color="auto" w:sz="4" w:space="0"/>
                  </w:tcBorders>
                  <w:vAlign w:val="center"/>
                </w:tcPr>
                <w:p>
                  <w:pPr>
                    <w:jc w:val="center"/>
                    <w:rPr>
                      <w:rFonts w:eastAsia="等线"/>
                      <w:color w:val="0000FF"/>
                      <w:szCs w:val="21"/>
                    </w:rPr>
                  </w:pPr>
                  <w:r>
                    <w:rPr>
                      <w:rFonts w:eastAsia="等线"/>
                      <w:color w:val="0000FF"/>
                      <w:szCs w:val="21"/>
                    </w:rPr>
                    <w:t>0.342</w:t>
                  </w:r>
                </w:p>
              </w:tc>
              <w:tc>
                <w:tcPr>
                  <w:tcW w:w="1186" w:type="dxa"/>
                  <w:tcBorders>
                    <w:left w:val="single" w:color="auto" w:sz="4" w:space="0"/>
                  </w:tcBorders>
                  <w:vAlign w:val="center"/>
                </w:tcPr>
                <w:p>
                  <w:pPr>
                    <w:jc w:val="center"/>
                    <w:rPr>
                      <w:rFonts w:eastAsia="等线"/>
                      <w:color w:val="0000FF"/>
                      <w:szCs w:val="21"/>
                    </w:rPr>
                  </w:pPr>
                  <w:r>
                    <w:rPr>
                      <w:rFonts w:eastAsia="等线"/>
                      <w:color w:val="0000FF"/>
                      <w:szCs w:val="21"/>
                    </w:rPr>
                    <w:t>27810</w:t>
                  </w:r>
                </w:p>
              </w:tc>
              <w:tc>
                <w:tcPr>
                  <w:tcW w:w="1402" w:type="dxa"/>
                  <w:vAlign w:val="center"/>
                </w:tcPr>
                <w:p>
                  <w:pPr>
                    <w:jc w:val="center"/>
                    <w:rPr>
                      <w:rFonts w:eastAsia="等线"/>
                      <w:color w:val="0000FF"/>
                      <w:szCs w:val="21"/>
                    </w:rPr>
                  </w:pPr>
                  <w:r>
                    <w:rPr>
                      <w:rFonts w:eastAsia="等线"/>
                      <w:color w:val="0000FF"/>
                      <w:szCs w:val="21"/>
                    </w:rPr>
                    <w:t>1.800</w:t>
                  </w:r>
                </w:p>
              </w:tc>
              <w:tc>
                <w:tcPr>
                  <w:tcW w:w="1398" w:type="dxa"/>
                  <w:vAlign w:val="center"/>
                </w:tcPr>
                <w:p>
                  <w:pPr>
                    <w:jc w:val="center"/>
                    <w:rPr>
                      <w:rFonts w:eastAsia="等线"/>
                      <w:color w:val="0000FF"/>
                      <w:szCs w:val="21"/>
                    </w:rPr>
                  </w:pPr>
                  <w:r>
                    <w:rPr>
                      <w:rFonts w:eastAsia="等线"/>
                      <w:color w:val="0000FF"/>
                      <w:szCs w:val="21"/>
                    </w:rPr>
                    <w:t>0.180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1377" w:type="dxa"/>
                  <w:vAlign w:val="center"/>
                </w:tcPr>
                <w:p>
                  <w:pPr>
                    <w:pStyle w:val="42"/>
                  </w:pPr>
                  <w:r>
                    <w:rPr>
                      <w:rFonts w:hint="eastAsia"/>
                    </w:rPr>
                    <w:t>筛分环节</w:t>
                  </w:r>
                </w:p>
              </w:tc>
              <w:tc>
                <w:tcPr>
                  <w:tcW w:w="1254" w:type="dxa"/>
                  <w:vAlign w:val="center"/>
                </w:tcPr>
                <w:p>
                  <w:pPr>
                    <w:widowControl/>
                    <w:jc w:val="center"/>
                    <w:rPr>
                      <w:rFonts w:eastAsia="等线"/>
                      <w:color w:val="0000FF"/>
                      <w:kern w:val="0"/>
                      <w:szCs w:val="21"/>
                    </w:rPr>
                  </w:pPr>
                  <w:r>
                    <w:rPr>
                      <w:rFonts w:eastAsia="等线"/>
                      <w:color w:val="0000FF"/>
                      <w:szCs w:val="21"/>
                    </w:rPr>
                    <w:t>265.200</w:t>
                  </w:r>
                </w:p>
              </w:tc>
              <w:tc>
                <w:tcPr>
                  <w:tcW w:w="1126" w:type="dxa"/>
                  <w:vAlign w:val="center"/>
                </w:tcPr>
                <w:p>
                  <w:pPr>
                    <w:jc w:val="center"/>
                    <w:rPr>
                      <w:rFonts w:eastAsia="等线"/>
                      <w:color w:val="0000FF"/>
                      <w:szCs w:val="21"/>
                    </w:rPr>
                  </w:pPr>
                  <w:r>
                    <w:rPr>
                      <w:rFonts w:eastAsia="等线"/>
                      <w:color w:val="0000FF"/>
                      <w:szCs w:val="21"/>
                    </w:rPr>
                    <w:t>251.940</w:t>
                  </w:r>
                </w:p>
              </w:tc>
              <w:tc>
                <w:tcPr>
                  <w:tcW w:w="1267" w:type="dxa"/>
                  <w:tcBorders>
                    <w:right w:val="single" w:color="auto" w:sz="4" w:space="0"/>
                  </w:tcBorders>
                  <w:vAlign w:val="center"/>
                </w:tcPr>
                <w:p>
                  <w:pPr>
                    <w:jc w:val="center"/>
                    <w:rPr>
                      <w:rFonts w:eastAsia="等线"/>
                      <w:color w:val="0000FF"/>
                      <w:szCs w:val="21"/>
                    </w:rPr>
                  </w:pPr>
                  <w:r>
                    <w:rPr>
                      <w:rFonts w:eastAsia="等线"/>
                      <w:color w:val="0000FF"/>
                      <w:szCs w:val="21"/>
                    </w:rPr>
                    <w:t>2.519</w:t>
                  </w:r>
                </w:p>
              </w:tc>
              <w:tc>
                <w:tcPr>
                  <w:tcW w:w="1186" w:type="dxa"/>
                  <w:tcBorders>
                    <w:left w:val="single" w:color="auto" w:sz="4" w:space="0"/>
                  </w:tcBorders>
                  <w:vAlign w:val="center"/>
                </w:tcPr>
                <w:p>
                  <w:pPr>
                    <w:jc w:val="center"/>
                    <w:rPr>
                      <w:rFonts w:eastAsia="等线"/>
                      <w:color w:val="0000FF"/>
                      <w:szCs w:val="21"/>
                    </w:rPr>
                  </w:pPr>
                  <w:r>
                    <w:rPr>
                      <w:rFonts w:eastAsia="等线"/>
                      <w:color w:val="0000FF"/>
                      <w:szCs w:val="21"/>
                    </w:rPr>
                    <w:t>16575</w:t>
                  </w:r>
                </w:p>
              </w:tc>
              <w:tc>
                <w:tcPr>
                  <w:tcW w:w="1402" w:type="dxa"/>
                  <w:vAlign w:val="center"/>
                </w:tcPr>
                <w:p>
                  <w:pPr>
                    <w:jc w:val="center"/>
                    <w:rPr>
                      <w:rFonts w:eastAsia="等线"/>
                      <w:color w:val="0000FF"/>
                      <w:szCs w:val="21"/>
                    </w:rPr>
                  </w:pPr>
                  <w:r>
                    <w:rPr>
                      <w:rFonts w:eastAsia="等线"/>
                      <w:color w:val="0000FF"/>
                      <w:szCs w:val="21"/>
                    </w:rPr>
                    <w:t>13.260</w:t>
                  </w:r>
                </w:p>
              </w:tc>
              <w:tc>
                <w:tcPr>
                  <w:tcW w:w="1398" w:type="dxa"/>
                  <w:vAlign w:val="center"/>
                </w:tcPr>
                <w:p>
                  <w:pPr>
                    <w:jc w:val="center"/>
                    <w:rPr>
                      <w:rFonts w:eastAsia="等线"/>
                      <w:color w:val="0000FF"/>
                      <w:szCs w:val="21"/>
                    </w:rPr>
                  </w:pPr>
                  <w:r>
                    <w:rPr>
                      <w:rFonts w:eastAsia="等线"/>
                      <w:color w:val="0000FF"/>
                      <w:szCs w:val="21"/>
                    </w:rPr>
                    <w:t>1.326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1377" w:type="dxa"/>
                  <w:vAlign w:val="center"/>
                </w:tcPr>
                <w:p>
                  <w:pPr>
                    <w:pStyle w:val="42"/>
                  </w:pPr>
                  <w:r>
                    <w:rPr>
                      <w:rFonts w:hint="eastAsia"/>
                    </w:rPr>
                    <w:t>合计</w:t>
                  </w:r>
                </w:p>
              </w:tc>
              <w:tc>
                <w:tcPr>
                  <w:tcW w:w="1254" w:type="dxa"/>
                  <w:vAlign w:val="center"/>
                </w:tcPr>
                <w:p>
                  <w:pPr>
                    <w:jc w:val="center"/>
                    <w:rPr>
                      <w:rFonts w:eastAsia="等线"/>
                      <w:color w:val="0000FF"/>
                      <w:szCs w:val="21"/>
                    </w:rPr>
                  </w:pPr>
                  <w:r>
                    <w:rPr>
                      <w:rFonts w:eastAsia="等线"/>
                      <w:color w:val="0000FF"/>
                      <w:szCs w:val="21"/>
                    </w:rPr>
                    <w:t>301.211</w:t>
                  </w:r>
                </w:p>
              </w:tc>
              <w:tc>
                <w:tcPr>
                  <w:tcW w:w="1126" w:type="dxa"/>
                  <w:vAlign w:val="center"/>
                </w:tcPr>
                <w:p>
                  <w:pPr>
                    <w:jc w:val="center"/>
                    <w:rPr>
                      <w:rFonts w:eastAsia="等线"/>
                      <w:color w:val="0000FF"/>
                      <w:szCs w:val="21"/>
                    </w:rPr>
                  </w:pPr>
                  <w:r>
                    <w:rPr>
                      <w:rFonts w:eastAsia="等线"/>
                      <w:color w:val="0000FF"/>
                      <w:szCs w:val="21"/>
                    </w:rPr>
                    <w:t>286.151</w:t>
                  </w:r>
                </w:p>
              </w:tc>
              <w:tc>
                <w:tcPr>
                  <w:tcW w:w="1267" w:type="dxa"/>
                  <w:tcBorders>
                    <w:right w:val="single" w:color="auto" w:sz="4" w:space="0"/>
                  </w:tcBorders>
                  <w:vAlign w:val="center"/>
                </w:tcPr>
                <w:p>
                  <w:pPr>
                    <w:jc w:val="center"/>
                    <w:rPr>
                      <w:rFonts w:eastAsia="等线"/>
                      <w:color w:val="0000FF"/>
                      <w:szCs w:val="21"/>
                    </w:rPr>
                  </w:pPr>
                  <w:r>
                    <w:rPr>
                      <w:rFonts w:eastAsia="等线"/>
                      <w:color w:val="0000FF"/>
                      <w:szCs w:val="21"/>
                    </w:rPr>
                    <w:t>2.861</w:t>
                  </w:r>
                </w:p>
              </w:tc>
              <w:tc>
                <w:tcPr>
                  <w:tcW w:w="1186" w:type="dxa"/>
                  <w:tcBorders>
                    <w:left w:val="single" w:color="auto" w:sz="4" w:space="0"/>
                  </w:tcBorders>
                  <w:vAlign w:val="center"/>
                </w:tcPr>
                <w:p>
                  <w:pPr>
                    <w:jc w:val="center"/>
                    <w:rPr>
                      <w:rFonts w:eastAsia="等线"/>
                      <w:color w:val="0000FF"/>
                      <w:szCs w:val="21"/>
                    </w:rPr>
                  </w:pPr>
                  <w:r>
                    <w:rPr>
                      <w:rFonts w:eastAsia="等线"/>
                      <w:color w:val="0000FF"/>
                      <w:szCs w:val="21"/>
                    </w:rPr>
                    <w:t>44385</w:t>
                  </w:r>
                </w:p>
              </w:tc>
              <w:tc>
                <w:tcPr>
                  <w:tcW w:w="1402" w:type="dxa"/>
                  <w:vAlign w:val="center"/>
                </w:tcPr>
                <w:p>
                  <w:pPr>
                    <w:jc w:val="center"/>
                    <w:rPr>
                      <w:rFonts w:eastAsia="等线"/>
                      <w:color w:val="0000FF"/>
                      <w:szCs w:val="21"/>
                    </w:rPr>
                  </w:pPr>
                  <w:r>
                    <w:rPr>
                      <w:rFonts w:eastAsia="等线"/>
                      <w:color w:val="0000FF"/>
                      <w:szCs w:val="21"/>
                    </w:rPr>
                    <w:t>15.060</w:t>
                  </w:r>
                </w:p>
              </w:tc>
              <w:tc>
                <w:tcPr>
                  <w:tcW w:w="1398" w:type="dxa"/>
                  <w:vAlign w:val="center"/>
                </w:tcPr>
                <w:p>
                  <w:pPr>
                    <w:jc w:val="center"/>
                    <w:rPr>
                      <w:rFonts w:eastAsia="等线"/>
                      <w:color w:val="0000FF"/>
                      <w:szCs w:val="21"/>
                    </w:rPr>
                  </w:pPr>
                  <w:r>
                    <w:rPr>
                      <w:rFonts w:eastAsia="等线"/>
                      <w:color w:val="0000FF"/>
                      <w:szCs w:val="21"/>
                    </w:rPr>
                    <w:t>1.506</w:t>
                  </w:r>
                </w:p>
              </w:tc>
            </w:tr>
          </w:tbl>
          <w:p>
            <w:pPr>
              <w:adjustRightInd w:val="0"/>
              <w:snapToGrid w:val="0"/>
              <w:spacing w:line="360" w:lineRule="auto"/>
              <w:ind w:firstLine="480" w:firstLineChars="200"/>
              <w:jc w:val="left"/>
              <w:rPr>
                <w:sz w:val="24"/>
              </w:rPr>
            </w:pPr>
            <w:r>
              <w:rPr>
                <w:rFonts w:hint="eastAsia"/>
                <w:sz w:val="24"/>
              </w:rPr>
              <w:t>破碎站年工作3</w:t>
            </w:r>
            <w:r>
              <w:rPr>
                <w:sz w:val="24"/>
              </w:rPr>
              <w:t>00</w:t>
            </w:r>
            <w:r>
              <w:rPr>
                <w:rFonts w:hint="eastAsia"/>
                <w:sz w:val="24"/>
              </w:rPr>
              <w:t>d，8</w:t>
            </w:r>
            <w:r>
              <w:rPr>
                <w:sz w:val="24"/>
              </w:rPr>
              <w:t>h/d</w:t>
            </w:r>
            <w:r>
              <w:rPr>
                <w:rFonts w:hint="eastAsia"/>
                <w:sz w:val="24"/>
              </w:rPr>
              <w:t>，则生产线工作时长为2</w:t>
            </w:r>
            <w:r>
              <w:rPr>
                <w:sz w:val="24"/>
              </w:rPr>
              <w:t>400h/a</w:t>
            </w:r>
            <w:r>
              <w:rPr>
                <w:rFonts w:hint="eastAsia"/>
                <w:sz w:val="24"/>
              </w:rPr>
              <w:t>。</w:t>
            </w:r>
            <w:r>
              <w:rPr>
                <w:sz w:val="24"/>
              </w:rPr>
              <w:t>有组织粉尘产生和排放量详见表4-</w:t>
            </w:r>
            <w:r>
              <w:rPr>
                <w:rFonts w:hint="eastAsia"/>
                <w:sz w:val="24"/>
              </w:rPr>
              <w:t>6。</w:t>
            </w:r>
          </w:p>
          <w:p>
            <w:pPr>
              <w:adjustRightInd w:val="0"/>
              <w:snapToGrid w:val="0"/>
              <w:jc w:val="center"/>
              <w:rPr>
                <w:sz w:val="24"/>
              </w:rPr>
            </w:pPr>
            <w:r>
              <w:rPr>
                <w:b/>
                <w:sz w:val="24"/>
              </w:rPr>
              <w:t>表4-</w:t>
            </w:r>
            <w:r>
              <w:rPr>
                <w:rFonts w:hint="eastAsia"/>
                <w:b/>
                <w:sz w:val="24"/>
              </w:rPr>
              <w:t>6</w:t>
            </w:r>
            <w:r>
              <w:rPr>
                <w:b/>
                <w:sz w:val="24"/>
              </w:rPr>
              <w:t xml:space="preserve">  破碎站有组织粉尘产排情况</w:t>
            </w:r>
          </w:p>
          <w:tbl>
            <w:tblPr>
              <w:tblStyle w:val="15"/>
              <w:tblW w:w="9010"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47"/>
              <w:gridCol w:w="1278"/>
              <w:gridCol w:w="851"/>
              <w:gridCol w:w="1135"/>
              <w:gridCol w:w="1133"/>
              <w:gridCol w:w="708"/>
              <w:gridCol w:w="993"/>
              <w:gridCol w:w="851"/>
              <w:gridCol w:w="111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47" w:type="dxa"/>
                  <w:vMerge w:val="restart"/>
                  <w:vAlign w:val="center"/>
                </w:tcPr>
                <w:p>
                  <w:pPr>
                    <w:pStyle w:val="42"/>
                  </w:pPr>
                  <w:r>
                    <w:t>污染源</w:t>
                  </w:r>
                </w:p>
              </w:tc>
              <w:tc>
                <w:tcPr>
                  <w:tcW w:w="1278" w:type="dxa"/>
                  <w:vMerge w:val="restart"/>
                  <w:vAlign w:val="center"/>
                </w:tcPr>
                <w:p>
                  <w:pPr>
                    <w:pStyle w:val="42"/>
                  </w:pPr>
                  <w:r>
                    <w:t>排气筒</w:t>
                  </w:r>
                </w:p>
                <w:p>
                  <w:pPr>
                    <w:pStyle w:val="42"/>
                  </w:pPr>
                  <w:r>
                    <w:t>H×Ф</w:t>
                  </w:r>
                </w:p>
                <w:p>
                  <w:pPr>
                    <w:pStyle w:val="42"/>
                  </w:pPr>
                  <w:r>
                    <w:t>(m×m)</w:t>
                  </w:r>
                </w:p>
              </w:tc>
              <w:tc>
                <w:tcPr>
                  <w:tcW w:w="851" w:type="dxa"/>
                  <w:vMerge w:val="restart"/>
                  <w:vAlign w:val="center"/>
                </w:tcPr>
                <w:p>
                  <w:pPr>
                    <w:pStyle w:val="42"/>
                  </w:pPr>
                  <w:r>
                    <w:t>设计风量(m</w:t>
                  </w:r>
                  <w:r>
                    <w:rPr>
                      <w:vertAlign w:val="superscript"/>
                    </w:rPr>
                    <w:t>3</w:t>
                  </w:r>
                  <w:r>
                    <w:t>/h)</w:t>
                  </w:r>
                </w:p>
              </w:tc>
              <w:tc>
                <w:tcPr>
                  <w:tcW w:w="2268" w:type="dxa"/>
                  <w:gridSpan w:val="2"/>
                  <w:vAlign w:val="center"/>
                </w:tcPr>
                <w:p>
                  <w:pPr>
                    <w:pStyle w:val="42"/>
                  </w:pPr>
                  <w:r>
                    <w:t>污染物</w:t>
                  </w:r>
                  <w:r>
                    <w:rPr>
                      <w:rFonts w:hint="eastAsia"/>
                    </w:rPr>
                    <w:t>收集</w:t>
                  </w:r>
                  <w:r>
                    <w:t>情况</w:t>
                  </w:r>
                </w:p>
              </w:tc>
              <w:tc>
                <w:tcPr>
                  <w:tcW w:w="708" w:type="dxa"/>
                  <w:vMerge w:val="restart"/>
                  <w:vAlign w:val="center"/>
                </w:tcPr>
                <w:p>
                  <w:pPr>
                    <w:pStyle w:val="42"/>
                  </w:pPr>
                  <w:r>
                    <w:t>采取</w:t>
                  </w:r>
                </w:p>
                <w:p>
                  <w:pPr>
                    <w:pStyle w:val="42"/>
                  </w:pPr>
                  <w:r>
                    <w:t>措施</w:t>
                  </w:r>
                </w:p>
              </w:tc>
              <w:tc>
                <w:tcPr>
                  <w:tcW w:w="2958" w:type="dxa"/>
                  <w:gridSpan w:val="3"/>
                  <w:vAlign w:val="center"/>
                </w:tcPr>
                <w:p>
                  <w:pPr>
                    <w:pStyle w:val="42"/>
                  </w:pPr>
                  <w:r>
                    <w:t>污染物排放情况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947" w:type="dxa"/>
                  <w:vMerge w:val="continue"/>
                  <w:vAlign w:val="center"/>
                </w:tcPr>
                <w:p>
                  <w:pPr>
                    <w:pStyle w:val="42"/>
                  </w:pPr>
                </w:p>
              </w:tc>
              <w:tc>
                <w:tcPr>
                  <w:tcW w:w="1278" w:type="dxa"/>
                  <w:vMerge w:val="continue"/>
                  <w:vAlign w:val="center"/>
                </w:tcPr>
                <w:p>
                  <w:pPr>
                    <w:pStyle w:val="42"/>
                  </w:pPr>
                </w:p>
              </w:tc>
              <w:tc>
                <w:tcPr>
                  <w:tcW w:w="851" w:type="dxa"/>
                  <w:vMerge w:val="continue"/>
                  <w:vAlign w:val="center"/>
                </w:tcPr>
                <w:p>
                  <w:pPr>
                    <w:pStyle w:val="42"/>
                  </w:pPr>
                </w:p>
              </w:tc>
              <w:tc>
                <w:tcPr>
                  <w:tcW w:w="1135" w:type="dxa"/>
                  <w:vAlign w:val="center"/>
                </w:tcPr>
                <w:p>
                  <w:pPr>
                    <w:pStyle w:val="42"/>
                  </w:pPr>
                  <w:r>
                    <w:t>浓度</w:t>
                  </w:r>
                </w:p>
                <w:p>
                  <w:pPr>
                    <w:pStyle w:val="42"/>
                  </w:pPr>
                  <w:r>
                    <w:t>(mg/m</w:t>
                  </w:r>
                  <w:r>
                    <w:rPr>
                      <w:vertAlign w:val="superscript"/>
                    </w:rPr>
                    <w:t>3</w:t>
                  </w:r>
                  <w:r>
                    <w:t>)</w:t>
                  </w:r>
                </w:p>
              </w:tc>
              <w:tc>
                <w:tcPr>
                  <w:tcW w:w="1133" w:type="dxa"/>
                  <w:vAlign w:val="center"/>
                </w:tcPr>
                <w:p>
                  <w:pPr>
                    <w:pStyle w:val="42"/>
                    <w:rPr>
                      <w:color w:val="0000FF"/>
                    </w:rPr>
                  </w:pPr>
                  <w:r>
                    <w:rPr>
                      <w:rFonts w:hint="eastAsia"/>
                    </w:rPr>
                    <w:t>收集</w:t>
                  </w:r>
                  <w:r>
                    <w:rPr>
                      <w:rFonts w:hint="eastAsia"/>
                      <w:color w:val="0000FF"/>
                    </w:rPr>
                    <w:t>速率</w:t>
                  </w:r>
                </w:p>
                <w:p>
                  <w:pPr>
                    <w:pStyle w:val="42"/>
                  </w:pPr>
                  <w:r>
                    <w:t>（kg/h）</w:t>
                  </w:r>
                </w:p>
              </w:tc>
              <w:tc>
                <w:tcPr>
                  <w:tcW w:w="708" w:type="dxa"/>
                  <w:vMerge w:val="continue"/>
                  <w:vAlign w:val="center"/>
                </w:tcPr>
                <w:p>
                  <w:pPr>
                    <w:pStyle w:val="42"/>
                  </w:pPr>
                </w:p>
              </w:tc>
              <w:tc>
                <w:tcPr>
                  <w:tcW w:w="993" w:type="dxa"/>
                  <w:vAlign w:val="center"/>
                </w:tcPr>
                <w:p>
                  <w:pPr>
                    <w:pStyle w:val="42"/>
                  </w:pPr>
                  <w:r>
                    <w:t>浓度</w:t>
                  </w:r>
                </w:p>
                <w:p>
                  <w:pPr>
                    <w:pStyle w:val="42"/>
                  </w:pPr>
                  <w:r>
                    <w:t>(mg/m</w:t>
                  </w:r>
                  <w:r>
                    <w:rPr>
                      <w:vertAlign w:val="superscript"/>
                    </w:rPr>
                    <w:t>3</w:t>
                  </w:r>
                  <w:r>
                    <w:t>)</w:t>
                  </w:r>
                </w:p>
              </w:tc>
              <w:tc>
                <w:tcPr>
                  <w:tcW w:w="851" w:type="dxa"/>
                  <w:vAlign w:val="center"/>
                </w:tcPr>
                <w:p>
                  <w:pPr>
                    <w:pStyle w:val="42"/>
                  </w:pPr>
                  <w:r>
                    <w:t>达标情况</w:t>
                  </w:r>
                </w:p>
              </w:tc>
              <w:tc>
                <w:tcPr>
                  <w:tcW w:w="1114" w:type="dxa"/>
                  <w:vAlign w:val="center"/>
                </w:tcPr>
                <w:p>
                  <w:pPr>
                    <w:pStyle w:val="42"/>
                    <w:rPr>
                      <w:color w:val="0000FF"/>
                    </w:rPr>
                  </w:pPr>
                  <w:r>
                    <w:t>排放</w:t>
                  </w:r>
                  <w:r>
                    <w:rPr>
                      <w:rFonts w:hint="eastAsia"/>
                      <w:color w:val="0000FF"/>
                    </w:rPr>
                    <w:t>速率</w:t>
                  </w:r>
                </w:p>
                <w:p>
                  <w:pPr>
                    <w:pStyle w:val="42"/>
                  </w:pPr>
                  <w:r>
                    <w:t>(kg/h)</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76" w:hRule="atLeast"/>
                <w:jc w:val="center"/>
              </w:trPr>
              <w:tc>
                <w:tcPr>
                  <w:tcW w:w="947" w:type="dxa"/>
                  <w:vAlign w:val="center"/>
                </w:tcPr>
                <w:p>
                  <w:pPr>
                    <w:pStyle w:val="42"/>
                  </w:pPr>
                  <w:r>
                    <w:rPr>
                      <w:rFonts w:hint="eastAsia"/>
                    </w:rPr>
                    <w:t>破碎筛分环节</w:t>
                  </w:r>
                </w:p>
              </w:tc>
              <w:tc>
                <w:tcPr>
                  <w:tcW w:w="1278" w:type="dxa"/>
                  <w:vAlign w:val="center"/>
                </w:tcPr>
                <w:p>
                  <w:pPr>
                    <w:pStyle w:val="42"/>
                  </w:pPr>
                  <w:r>
                    <w:t>15×</w:t>
                  </w:r>
                  <w:r>
                    <w:rPr>
                      <w:rFonts w:hint="eastAsia"/>
                    </w:rPr>
                    <w:t>1.0</w:t>
                  </w:r>
                </w:p>
                <w:p>
                  <w:pPr>
                    <w:pStyle w:val="42"/>
                  </w:pPr>
                  <w:r>
                    <w:t>（1#排气筒）</w:t>
                  </w:r>
                </w:p>
              </w:tc>
              <w:tc>
                <w:tcPr>
                  <w:tcW w:w="851" w:type="dxa"/>
                  <w:vAlign w:val="center"/>
                </w:tcPr>
                <w:p>
                  <w:pPr>
                    <w:pStyle w:val="42"/>
                  </w:pPr>
                  <w:r>
                    <w:rPr>
                      <w:rFonts w:hint="eastAsia"/>
                    </w:rPr>
                    <w:t>5</w:t>
                  </w:r>
                  <w:r>
                    <w:t>0000</w:t>
                  </w:r>
                </w:p>
              </w:tc>
              <w:tc>
                <w:tcPr>
                  <w:tcW w:w="1135" w:type="dxa"/>
                  <w:vAlign w:val="center"/>
                </w:tcPr>
                <w:p>
                  <w:pPr>
                    <w:pStyle w:val="42"/>
                  </w:pPr>
                  <w:r>
                    <w:rPr>
                      <w:rFonts w:hint="eastAsia"/>
                      <w:color w:val="0000FF"/>
                    </w:rPr>
                    <w:t>2385</w:t>
                  </w:r>
                </w:p>
              </w:tc>
              <w:tc>
                <w:tcPr>
                  <w:tcW w:w="1133" w:type="dxa"/>
                  <w:vAlign w:val="center"/>
                </w:tcPr>
                <w:p>
                  <w:pPr>
                    <w:pStyle w:val="42"/>
                  </w:pPr>
                  <w:r>
                    <w:rPr>
                      <w:rFonts w:hint="eastAsia"/>
                      <w:color w:val="0000FF"/>
                    </w:rPr>
                    <w:t>119.2</w:t>
                  </w:r>
                </w:p>
              </w:tc>
              <w:tc>
                <w:tcPr>
                  <w:tcW w:w="708" w:type="dxa"/>
                  <w:vAlign w:val="center"/>
                </w:tcPr>
                <w:p>
                  <w:pPr>
                    <w:pStyle w:val="42"/>
                  </w:pPr>
                  <w:r>
                    <w:t>布袋除尘</w:t>
                  </w:r>
                </w:p>
              </w:tc>
              <w:tc>
                <w:tcPr>
                  <w:tcW w:w="993" w:type="dxa"/>
                  <w:vAlign w:val="center"/>
                </w:tcPr>
                <w:p>
                  <w:pPr>
                    <w:pStyle w:val="42"/>
                  </w:pPr>
                  <w:r>
                    <w:rPr>
                      <w:rFonts w:hint="eastAsia"/>
                      <w:color w:val="0000FF"/>
                    </w:rPr>
                    <w:t>23.85</w:t>
                  </w:r>
                </w:p>
              </w:tc>
              <w:tc>
                <w:tcPr>
                  <w:tcW w:w="851" w:type="dxa"/>
                  <w:vAlign w:val="center"/>
                </w:tcPr>
                <w:p>
                  <w:pPr>
                    <w:pStyle w:val="42"/>
                  </w:pPr>
                  <w:r>
                    <w:t>达标</w:t>
                  </w:r>
                </w:p>
              </w:tc>
              <w:tc>
                <w:tcPr>
                  <w:tcW w:w="1114" w:type="dxa"/>
                  <w:vAlign w:val="center"/>
                </w:tcPr>
                <w:p>
                  <w:pPr>
                    <w:pStyle w:val="42"/>
                  </w:pPr>
                  <w:r>
                    <w:rPr>
                      <w:rFonts w:hint="eastAsia"/>
                      <w:color w:val="0000FF"/>
                    </w:rPr>
                    <w:t>1.192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76" w:hRule="atLeast"/>
                <w:jc w:val="center"/>
              </w:trPr>
              <w:tc>
                <w:tcPr>
                  <w:tcW w:w="9010" w:type="dxa"/>
                  <w:gridSpan w:val="9"/>
                  <w:vAlign w:val="center"/>
                </w:tcPr>
                <w:p>
                  <w:pPr>
                    <w:pStyle w:val="42"/>
                    <w:ind w:firstLine="420" w:firstLineChars="200"/>
                    <w:jc w:val="both"/>
                  </w:pPr>
                  <w:r>
                    <w:rPr>
                      <w:rFonts w:hint="eastAsia"/>
                    </w:rPr>
                    <w:t>注：由于项目为密闭式负压集气，为确保废气充分收集，同时保证收集废气的浓度以便于布袋除尘器过滤，建设单位拟采用市场上略高于生产线废气产生量的风机及布袋除尘器。</w:t>
                  </w:r>
                </w:p>
              </w:tc>
            </w:tr>
          </w:tbl>
          <w:p>
            <w:pPr>
              <w:adjustRightInd w:val="0"/>
              <w:snapToGrid w:val="0"/>
              <w:spacing w:line="360" w:lineRule="auto"/>
              <w:ind w:firstLine="480" w:firstLineChars="200"/>
              <w:rPr>
                <w:sz w:val="24"/>
              </w:rPr>
            </w:pPr>
            <w:r>
              <w:rPr>
                <w:rFonts w:hint="eastAsia"/>
                <w:sz w:val="24"/>
              </w:rPr>
              <w:t>C、</w:t>
            </w:r>
            <w:r>
              <w:rPr>
                <w:sz w:val="24"/>
              </w:rPr>
              <w:t>皮带输送、成品下料粉尘</w:t>
            </w:r>
            <w:r>
              <w:rPr>
                <w:rFonts w:hint="eastAsia"/>
                <w:sz w:val="24"/>
              </w:rPr>
              <w:t>（无组织）</w:t>
            </w:r>
          </w:p>
          <w:p>
            <w:pPr>
              <w:adjustRightInd w:val="0"/>
              <w:snapToGrid w:val="0"/>
              <w:spacing w:line="360" w:lineRule="auto"/>
              <w:ind w:firstLine="480" w:firstLineChars="200"/>
              <w:rPr>
                <w:sz w:val="24"/>
              </w:rPr>
            </w:pPr>
            <w:r>
              <w:rPr>
                <w:rFonts w:hint="eastAsia"/>
                <w:sz w:val="24"/>
              </w:rPr>
              <w:t>矿石在加工区采用皮带输送，破碎筛分后的成品直接输送至堆料场。皮带输送过程中矿石与皮带保持相对静止，产生的粉尘量很少，且破碎站设备之间传送带全部采用全密闭防尘罩，从而减少粉尘外逸量。类比同类项目皮带传输粉尘的产生情况，预计本项目的皮带输送过程中粉尘排放总量约为0.100t/a</w:t>
            </w:r>
            <w:r>
              <w:rPr>
                <w:sz w:val="24"/>
              </w:rPr>
              <w:t>。</w:t>
            </w:r>
          </w:p>
          <w:p>
            <w:pPr>
              <w:adjustRightInd w:val="0"/>
              <w:snapToGrid w:val="0"/>
              <w:spacing w:line="360" w:lineRule="auto"/>
              <w:ind w:firstLine="480" w:firstLineChars="200"/>
              <w:rPr>
                <w:sz w:val="24"/>
              </w:rPr>
            </w:pPr>
            <w:r>
              <w:rPr>
                <w:rFonts w:hint="eastAsia"/>
                <w:sz w:val="24"/>
              </w:rPr>
              <w:t>根据《工业逸散性粉尘控制技术》中粒料加工的相关内容和相关类比调查，粒料进堆时TSP产生量为0.0006kg/t，生产线成品落料量为51万t/a，则仓库下料产尘量为0.306t/a；成品仓库采用堆场堆存，通过在下料口（装车点）采取洒水喷淋措施后，扬尘量能降低80%左右，则仓库落料粉尘排放量为0.061t/a。</w:t>
            </w:r>
          </w:p>
          <w:p>
            <w:pPr>
              <w:adjustRightInd w:val="0"/>
              <w:snapToGrid w:val="0"/>
              <w:spacing w:line="360" w:lineRule="auto"/>
              <w:ind w:firstLine="480" w:firstLineChars="200"/>
              <w:rPr>
                <w:sz w:val="24"/>
              </w:rPr>
            </w:pPr>
            <w:r>
              <w:rPr>
                <w:rFonts w:hint="eastAsia"/>
                <w:sz w:val="24"/>
              </w:rPr>
              <w:t>D、成品装卸粉尘（无组织）</w:t>
            </w:r>
          </w:p>
          <w:p>
            <w:pPr>
              <w:adjustRightInd w:val="0"/>
              <w:snapToGrid w:val="0"/>
              <w:spacing w:line="360" w:lineRule="auto"/>
              <w:ind w:firstLine="480" w:firstLineChars="200"/>
              <w:rPr>
                <w:sz w:val="24"/>
              </w:rPr>
            </w:pPr>
            <w:r>
              <w:rPr>
                <w:rFonts w:hint="eastAsia"/>
                <w:sz w:val="24"/>
              </w:rPr>
              <w:t>仓库内成品矿石</w:t>
            </w:r>
            <w:r>
              <w:rPr>
                <w:sz w:val="24"/>
              </w:rPr>
              <w:t>采用铲装装车，石灰石矿石在铲装、倾倒时由于落差将产生的粉尘，根据《逸散性工业粉尘控制技术》，铲装粉尘量约0.025kg/t，</w:t>
            </w:r>
            <w:r>
              <w:rPr>
                <w:rFonts w:hint="eastAsia"/>
                <w:sz w:val="24"/>
              </w:rPr>
              <w:t>仓库内矿石装车量为51</w:t>
            </w:r>
            <w:r>
              <w:rPr>
                <w:sz w:val="24"/>
              </w:rPr>
              <w:t>万t/a，产生量约12.75t/a。采取喷雾洒水后降低80%，排放量约2.55t/a。</w:t>
            </w:r>
          </w:p>
          <w:p>
            <w:pPr>
              <w:adjustRightInd w:val="0"/>
              <w:snapToGrid w:val="0"/>
              <w:spacing w:line="360" w:lineRule="auto"/>
              <w:ind w:firstLine="480" w:firstLineChars="200"/>
              <w:rPr>
                <w:sz w:val="24"/>
              </w:rPr>
            </w:pPr>
            <w:r>
              <w:rPr>
                <w:sz w:val="24"/>
              </w:rPr>
              <w:t>经</w:t>
            </w:r>
            <w:r>
              <w:rPr>
                <w:rFonts w:hint="eastAsia" w:ascii="宋体" w:hAnsi="宋体" w:cs="宋体"/>
                <w:sz w:val="24"/>
              </w:rPr>
              <w:t>①</w:t>
            </w:r>
            <w:r>
              <w:rPr>
                <w:sz w:val="24"/>
              </w:rPr>
              <w:t>~</w:t>
            </w:r>
            <w:r>
              <w:rPr>
                <w:rFonts w:hint="eastAsia" w:ascii="宋体" w:hAnsi="宋体" w:cs="宋体"/>
                <w:sz w:val="24"/>
              </w:rPr>
              <w:t>⑧</w:t>
            </w:r>
            <w:r>
              <w:rPr>
                <w:sz w:val="24"/>
              </w:rPr>
              <w:t>项分析，拟建项目大气污染物产排污分区核算情况见表4-</w:t>
            </w:r>
            <w:r>
              <w:rPr>
                <w:rFonts w:hint="eastAsia"/>
                <w:sz w:val="24"/>
              </w:rPr>
              <w:t>7</w:t>
            </w:r>
            <w:r>
              <w:rPr>
                <w:sz w:val="24"/>
              </w:rPr>
              <w:t>。</w:t>
            </w:r>
          </w:p>
          <w:p>
            <w:pPr>
              <w:adjustRightInd w:val="0"/>
              <w:snapToGrid w:val="0"/>
              <w:jc w:val="center"/>
              <w:rPr>
                <w:b/>
                <w:sz w:val="24"/>
              </w:rPr>
            </w:pPr>
            <w:r>
              <w:rPr>
                <w:b/>
                <w:sz w:val="24"/>
              </w:rPr>
              <w:t>表4-</w:t>
            </w:r>
            <w:r>
              <w:rPr>
                <w:rFonts w:hint="eastAsia"/>
                <w:b/>
                <w:sz w:val="24"/>
              </w:rPr>
              <w:t>7</w:t>
            </w:r>
            <w:r>
              <w:rPr>
                <w:b/>
                <w:sz w:val="24"/>
              </w:rPr>
              <w:t xml:space="preserve">  开采期间产排污分区核算情况一览表</w:t>
            </w:r>
          </w:p>
          <w:tbl>
            <w:tblPr>
              <w:tblStyle w:val="15"/>
              <w:tblW w:w="9010"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96"/>
              <w:gridCol w:w="1469"/>
              <w:gridCol w:w="1303"/>
              <w:gridCol w:w="1467"/>
              <w:gridCol w:w="1243"/>
              <w:gridCol w:w="1380"/>
              <w:gridCol w:w="105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565" w:type="dxa"/>
                  <w:gridSpan w:val="2"/>
                  <w:vMerge w:val="restart"/>
                  <w:vAlign w:val="center"/>
                </w:tcPr>
                <w:p>
                  <w:pPr>
                    <w:pStyle w:val="42"/>
                  </w:pPr>
                  <w:r>
                    <w:t>排放源</w:t>
                  </w:r>
                </w:p>
              </w:tc>
              <w:tc>
                <w:tcPr>
                  <w:tcW w:w="1303" w:type="dxa"/>
                  <w:vMerge w:val="restart"/>
                  <w:vAlign w:val="center"/>
                </w:tcPr>
                <w:p>
                  <w:pPr>
                    <w:pStyle w:val="42"/>
                  </w:pPr>
                  <w:r>
                    <w:t>污染</w:t>
                  </w:r>
                  <w:r>
                    <w:rPr>
                      <w:rFonts w:hint="eastAsia"/>
                    </w:rPr>
                    <w:t>因子</w:t>
                  </w:r>
                </w:p>
              </w:tc>
              <w:tc>
                <w:tcPr>
                  <w:tcW w:w="2710" w:type="dxa"/>
                  <w:gridSpan w:val="2"/>
                  <w:vAlign w:val="center"/>
                </w:tcPr>
                <w:p>
                  <w:pPr>
                    <w:pStyle w:val="42"/>
                  </w:pPr>
                  <w:r>
                    <w:t>产生情况</w:t>
                  </w:r>
                </w:p>
              </w:tc>
              <w:tc>
                <w:tcPr>
                  <w:tcW w:w="2432" w:type="dxa"/>
                  <w:gridSpan w:val="2"/>
                  <w:vAlign w:val="center"/>
                </w:tcPr>
                <w:p>
                  <w:pPr>
                    <w:pStyle w:val="42"/>
                  </w:pPr>
                  <w:r>
                    <w:t>排放情况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565" w:type="dxa"/>
                  <w:gridSpan w:val="2"/>
                  <w:vMerge w:val="continue"/>
                  <w:vAlign w:val="center"/>
                </w:tcPr>
                <w:p>
                  <w:pPr>
                    <w:pStyle w:val="42"/>
                  </w:pPr>
                </w:p>
              </w:tc>
              <w:tc>
                <w:tcPr>
                  <w:tcW w:w="1303" w:type="dxa"/>
                  <w:vMerge w:val="continue"/>
                  <w:vAlign w:val="center"/>
                </w:tcPr>
                <w:p>
                  <w:pPr>
                    <w:pStyle w:val="42"/>
                  </w:pPr>
                </w:p>
              </w:tc>
              <w:tc>
                <w:tcPr>
                  <w:tcW w:w="1467" w:type="dxa"/>
                  <w:vAlign w:val="center"/>
                </w:tcPr>
                <w:p>
                  <w:pPr>
                    <w:pStyle w:val="42"/>
                  </w:pPr>
                  <w:r>
                    <w:t>浓度</w:t>
                  </w:r>
                </w:p>
                <w:p>
                  <w:pPr>
                    <w:pStyle w:val="42"/>
                  </w:pPr>
                  <w:r>
                    <w:rPr>
                      <w:rFonts w:hint="eastAsia"/>
                    </w:rPr>
                    <w:t>（</w:t>
                  </w:r>
                  <w:r>
                    <w:t>mg/m</w:t>
                  </w:r>
                  <w:r>
                    <w:rPr>
                      <w:vertAlign w:val="superscript"/>
                    </w:rPr>
                    <w:t>3</w:t>
                  </w:r>
                  <w:r>
                    <w:rPr>
                      <w:rFonts w:hint="eastAsia"/>
                    </w:rPr>
                    <w:t>）</w:t>
                  </w:r>
                </w:p>
              </w:tc>
              <w:tc>
                <w:tcPr>
                  <w:tcW w:w="1243" w:type="dxa"/>
                  <w:vAlign w:val="center"/>
                </w:tcPr>
                <w:p>
                  <w:pPr>
                    <w:pStyle w:val="42"/>
                  </w:pPr>
                  <w:r>
                    <w:t>产生量</w:t>
                  </w:r>
                </w:p>
                <w:p>
                  <w:pPr>
                    <w:pStyle w:val="42"/>
                  </w:pPr>
                  <w:r>
                    <w:rPr>
                      <w:rFonts w:hint="eastAsia"/>
                    </w:rPr>
                    <w:t>（</w:t>
                  </w:r>
                  <w:r>
                    <w:rPr>
                      <w:szCs w:val="21"/>
                    </w:rPr>
                    <w:t>t/a</w:t>
                  </w:r>
                  <w:r>
                    <w:rPr>
                      <w:rFonts w:hint="eastAsia"/>
                    </w:rPr>
                    <w:t>）</w:t>
                  </w:r>
                </w:p>
              </w:tc>
              <w:tc>
                <w:tcPr>
                  <w:tcW w:w="1380" w:type="dxa"/>
                  <w:vAlign w:val="center"/>
                </w:tcPr>
                <w:p>
                  <w:pPr>
                    <w:pStyle w:val="42"/>
                  </w:pPr>
                  <w:r>
                    <w:t>浓度</w:t>
                  </w:r>
                </w:p>
                <w:p>
                  <w:pPr>
                    <w:pStyle w:val="42"/>
                  </w:pPr>
                  <w:r>
                    <w:rPr>
                      <w:rFonts w:hint="eastAsia"/>
                    </w:rPr>
                    <w:t>（</w:t>
                  </w:r>
                  <w:r>
                    <w:t>mg/m</w:t>
                  </w:r>
                  <w:r>
                    <w:rPr>
                      <w:vertAlign w:val="superscript"/>
                    </w:rPr>
                    <w:t>3</w:t>
                  </w:r>
                  <w:r>
                    <w:rPr>
                      <w:rFonts w:hint="eastAsia"/>
                    </w:rPr>
                    <w:t>）</w:t>
                  </w:r>
                </w:p>
              </w:tc>
              <w:tc>
                <w:tcPr>
                  <w:tcW w:w="1052" w:type="dxa"/>
                  <w:vAlign w:val="center"/>
                </w:tcPr>
                <w:p>
                  <w:pPr>
                    <w:pStyle w:val="42"/>
                  </w:pPr>
                  <w:r>
                    <w:t>产生量</w:t>
                  </w:r>
                </w:p>
                <w:p>
                  <w:pPr>
                    <w:pStyle w:val="42"/>
                  </w:pPr>
                  <w:r>
                    <w:rPr>
                      <w:rFonts w:hint="eastAsia"/>
                    </w:rPr>
                    <w:t>（</w:t>
                  </w:r>
                  <w:r>
                    <w:rPr>
                      <w:szCs w:val="21"/>
                    </w:rPr>
                    <w:t>t/a</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Merge w:val="restart"/>
                  <w:vAlign w:val="center"/>
                </w:tcPr>
                <w:p>
                  <w:pPr>
                    <w:pStyle w:val="42"/>
                  </w:pPr>
                  <w:r>
                    <w:t>采区</w:t>
                  </w:r>
                </w:p>
              </w:tc>
              <w:tc>
                <w:tcPr>
                  <w:tcW w:w="1469" w:type="dxa"/>
                  <w:vAlign w:val="center"/>
                </w:tcPr>
                <w:p>
                  <w:pPr>
                    <w:pStyle w:val="42"/>
                  </w:pPr>
                  <w:r>
                    <w:t>采区</w:t>
                  </w:r>
                  <w:r>
                    <w:rPr>
                      <w:rFonts w:hint="eastAsia"/>
                    </w:rPr>
                    <w:t>覆盖层剥离扬尘</w:t>
                  </w:r>
                </w:p>
              </w:tc>
              <w:tc>
                <w:tcPr>
                  <w:tcW w:w="1303" w:type="dxa"/>
                  <w:vAlign w:val="center"/>
                </w:tcPr>
                <w:p>
                  <w:pPr>
                    <w:pStyle w:val="42"/>
                  </w:pPr>
                  <w:r>
                    <w:t>TSP</w:t>
                  </w:r>
                </w:p>
              </w:tc>
              <w:tc>
                <w:tcPr>
                  <w:tcW w:w="1467" w:type="dxa"/>
                  <w:vAlign w:val="center"/>
                </w:tcPr>
                <w:p>
                  <w:pPr>
                    <w:pStyle w:val="42"/>
                  </w:pPr>
                  <w:r>
                    <w:t>/</w:t>
                  </w:r>
                </w:p>
              </w:tc>
              <w:tc>
                <w:tcPr>
                  <w:tcW w:w="1243" w:type="dxa"/>
                  <w:vAlign w:val="center"/>
                </w:tcPr>
                <w:p>
                  <w:pPr>
                    <w:pStyle w:val="42"/>
                  </w:pPr>
                  <w:r>
                    <w:rPr>
                      <w:color w:val="0000FF"/>
                    </w:rPr>
                    <w:t>0.323</w:t>
                  </w:r>
                </w:p>
              </w:tc>
              <w:tc>
                <w:tcPr>
                  <w:tcW w:w="1380" w:type="dxa"/>
                  <w:vAlign w:val="center"/>
                </w:tcPr>
                <w:p>
                  <w:pPr>
                    <w:pStyle w:val="42"/>
                  </w:pPr>
                  <w:r>
                    <w:t>/</w:t>
                  </w:r>
                </w:p>
              </w:tc>
              <w:tc>
                <w:tcPr>
                  <w:tcW w:w="1052" w:type="dxa"/>
                  <w:vAlign w:val="center"/>
                </w:tcPr>
                <w:p>
                  <w:pPr>
                    <w:pStyle w:val="42"/>
                  </w:pPr>
                  <w:r>
                    <w:rPr>
                      <w:color w:val="0000FF"/>
                    </w:rPr>
                    <w:t>0.129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Merge w:val="continue"/>
                  <w:vAlign w:val="center"/>
                </w:tcPr>
                <w:p>
                  <w:pPr>
                    <w:pStyle w:val="42"/>
                  </w:pPr>
                </w:p>
              </w:tc>
              <w:tc>
                <w:tcPr>
                  <w:tcW w:w="1469" w:type="dxa"/>
                  <w:vAlign w:val="center"/>
                </w:tcPr>
                <w:p>
                  <w:pPr>
                    <w:pStyle w:val="42"/>
                  </w:pPr>
                  <w:r>
                    <w:t>采区钻孔粉尘</w:t>
                  </w:r>
                </w:p>
              </w:tc>
              <w:tc>
                <w:tcPr>
                  <w:tcW w:w="1303" w:type="dxa"/>
                  <w:vAlign w:val="center"/>
                </w:tcPr>
                <w:p>
                  <w:pPr>
                    <w:pStyle w:val="42"/>
                  </w:pPr>
                  <w:r>
                    <w:t>TSP</w:t>
                  </w:r>
                </w:p>
              </w:tc>
              <w:tc>
                <w:tcPr>
                  <w:tcW w:w="1467" w:type="dxa"/>
                  <w:vAlign w:val="center"/>
                </w:tcPr>
                <w:p>
                  <w:pPr>
                    <w:pStyle w:val="42"/>
                  </w:pPr>
                  <w:r>
                    <w:t>/</w:t>
                  </w:r>
                </w:p>
              </w:tc>
              <w:tc>
                <w:tcPr>
                  <w:tcW w:w="1243" w:type="dxa"/>
                  <w:vAlign w:val="center"/>
                </w:tcPr>
                <w:p>
                  <w:pPr>
                    <w:pStyle w:val="42"/>
                  </w:pPr>
                  <w:r>
                    <w:t>2.04</w:t>
                  </w:r>
                </w:p>
              </w:tc>
              <w:tc>
                <w:tcPr>
                  <w:tcW w:w="1380" w:type="dxa"/>
                  <w:vAlign w:val="center"/>
                </w:tcPr>
                <w:p>
                  <w:pPr>
                    <w:pStyle w:val="42"/>
                  </w:pPr>
                  <w:r>
                    <w:t>/</w:t>
                  </w:r>
                </w:p>
              </w:tc>
              <w:tc>
                <w:tcPr>
                  <w:tcW w:w="1052" w:type="dxa"/>
                  <w:vAlign w:val="center"/>
                </w:tcPr>
                <w:p>
                  <w:pPr>
                    <w:pStyle w:val="42"/>
                  </w:pPr>
                  <w:r>
                    <w:t>0.408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Merge w:val="continue"/>
                  <w:vAlign w:val="center"/>
                </w:tcPr>
                <w:p>
                  <w:pPr>
                    <w:pStyle w:val="42"/>
                  </w:pPr>
                </w:p>
              </w:tc>
              <w:tc>
                <w:tcPr>
                  <w:tcW w:w="1469" w:type="dxa"/>
                  <w:vAlign w:val="center"/>
                </w:tcPr>
                <w:p>
                  <w:pPr>
                    <w:pStyle w:val="42"/>
                  </w:pPr>
                  <w:r>
                    <w:t>采区爆破粉尘</w:t>
                  </w:r>
                </w:p>
              </w:tc>
              <w:tc>
                <w:tcPr>
                  <w:tcW w:w="1303" w:type="dxa"/>
                  <w:vAlign w:val="center"/>
                </w:tcPr>
                <w:p>
                  <w:pPr>
                    <w:pStyle w:val="42"/>
                  </w:pPr>
                  <w:r>
                    <w:t>TSP</w:t>
                  </w:r>
                </w:p>
              </w:tc>
              <w:tc>
                <w:tcPr>
                  <w:tcW w:w="1467" w:type="dxa"/>
                  <w:vAlign w:val="center"/>
                </w:tcPr>
                <w:p>
                  <w:pPr>
                    <w:pStyle w:val="42"/>
                  </w:pPr>
                  <w:r>
                    <w:t>/</w:t>
                  </w:r>
                </w:p>
              </w:tc>
              <w:tc>
                <w:tcPr>
                  <w:tcW w:w="1243" w:type="dxa"/>
                  <w:vAlign w:val="center"/>
                </w:tcPr>
                <w:p>
                  <w:pPr>
                    <w:pStyle w:val="42"/>
                  </w:pPr>
                  <w:r>
                    <w:t>0.726</w:t>
                  </w:r>
                </w:p>
              </w:tc>
              <w:tc>
                <w:tcPr>
                  <w:tcW w:w="1380" w:type="dxa"/>
                  <w:vAlign w:val="center"/>
                </w:tcPr>
                <w:p>
                  <w:pPr>
                    <w:pStyle w:val="42"/>
                  </w:pPr>
                  <w:r>
                    <w:t>/</w:t>
                  </w:r>
                </w:p>
              </w:tc>
              <w:tc>
                <w:tcPr>
                  <w:tcW w:w="1052" w:type="dxa"/>
                  <w:vAlign w:val="center"/>
                </w:tcPr>
                <w:p>
                  <w:pPr>
                    <w:pStyle w:val="42"/>
                  </w:pPr>
                  <w:r>
                    <w:t>0.145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Merge w:val="continue"/>
                  <w:vAlign w:val="center"/>
                </w:tcPr>
                <w:p>
                  <w:pPr>
                    <w:pStyle w:val="42"/>
                  </w:pPr>
                </w:p>
              </w:tc>
              <w:tc>
                <w:tcPr>
                  <w:tcW w:w="1469" w:type="dxa"/>
                  <w:vAlign w:val="center"/>
                </w:tcPr>
                <w:p>
                  <w:pPr>
                    <w:pStyle w:val="42"/>
                  </w:pPr>
                  <w:r>
                    <w:t>铲装扬尘</w:t>
                  </w:r>
                </w:p>
              </w:tc>
              <w:tc>
                <w:tcPr>
                  <w:tcW w:w="1303" w:type="dxa"/>
                  <w:vAlign w:val="center"/>
                </w:tcPr>
                <w:p>
                  <w:pPr>
                    <w:pStyle w:val="42"/>
                  </w:pPr>
                  <w:r>
                    <w:t>TSP</w:t>
                  </w:r>
                </w:p>
              </w:tc>
              <w:tc>
                <w:tcPr>
                  <w:tcW w:w="1467" w:type="dxa"/>
                  <w:vAlign w:val="center"/>
                </w:tcPr>
                <w:p>
                  <w:pPr>
                    <w:pStyle w:val="42"/>
                  </w:pPr>
                </w:p>
              </w:tc>
              <w:tc>
                <w:tcPr>
                  <w:tcW w:w="1243" w:type="dxa"/>
                  <w:vAlign w:val="center"/>
                </w:tcPr>
                <w:p>
                  <w:pPr>
                    <w:pStyle w:val="42"/>
                  </w:pPr>
                  <w:r>
                    <w:t>12.75</w:t>
                  </w:r>
                </w:p>
              </w:tc>
              <w:tc>
                <w:tcPr>
                  <w:tcW w:w="1380" w:type="dxa"/>
                  <w:vAlign w:val="center"/>
                </w:tcPr>
                <w:p>
                  <w:pPr>
                    <w:pStyle w:val="42"/>
                  </w:pPr>
                </w:p>
              </w:tc>
              <w:tc>
                <w:tcPr>
                  <w:tcW w:w="1052" w:type="dxa"/>
                  <w:vAlign w:val="center"/>
                </w:tcPr>
                <w:p>
                  <w:pPr>
                    <w:pStyle w:val="42"/>
                  </w:pPr>
                  <w:r>
                    <w:t>2.55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Merge w:val="continue"/>
                  <w:vAlign w:val="center"/>
                </w:tcPr>
                <w:p>
                  <w:pPr>
                    <w:pStyle w:val="42"/>
                  </w:pPr>
                </w:p>
              </w:tc>
              <w:tc>
                <w:tcPr>
                  <w:tcW w:w="1469" w:type="dxa"/>
                  <w:vAlign w:val="center"/>
                </w:tcPr>
                <w:p>
                  <w:pPr>
                    <w:pStyle w:val="42"/>
                  </w:pPr>
                  <w:r>
                    <w:rPr>
                      <w:rFonts w:hint="eastAsia"/>
                    </w:rPr>
                    <w:t>爆破废气</w:t>
                  </w:r>
                </w:p>
              </w:tc>
              <w:tc>
                <w:tcPr>
                  <w:tcW w:w="1303" w:type="dxa"/>
                  <w:vAlign w:val="center"/>
                </w:tcPr>
                <w:p>
                  <w:pPr>
                    <w:pStyle w:val="42"/>
                  </w:pPr>
                  <w:r>
                    <w:rPr>
                      <w:rFonts w:hint="eastAsia"/>
                    </w:rPr>
                    <w:t>NO</w:t>
                  </w:r>
                  <w:r>
                    <w:rPr>
                      <w:rFonts w:hint="eastAsia"/>
                      <w:vertAlign w:val="subscript"/>
                    </w:rPr>
                    <w:t>2</w:t>
                  </w:r>
                  <w:r>
                    <w:rPr>
                      <w:rFonts w:hint="eastAsia"/>
                    </w:rPr>
                    <w:t>、CO</w:t>
                  </w:r>
                </w:p>
              </w:tc>
              <w:tc>
                <w:tcPr>
                  <w:tcW w:w="1467" w:type="dxa"/>
                  <w:vAlign w:val="center"/>
                </w:tcPr>
                <w:p>
                  <w:pPr>
                    <w:pStyle w:val="42"/>
                  </w:pPr>
                  <w:r>
                    <w:t>/</w:t>
                  </w:r>
                </w:p>
              </w:tc>
              <w:tc>
                <w:tcPr>
                  <w:tcW w:w="1243" w:type="dxa"/>
                  <w:vAlign w:val="center"/>
                </w:tcPr>
                <w:p>
                  <w:pPr>
                    <w:pStyle w:val="42"/>
                  </w:pPr>
                  <w:r>
                    <w:t>少量</w:t>
                  </w:r>
                </w:p>
              </w:tc>
              <w:tc>
                <w:tcPr>
                  <w:tcW w:w="1380" w:type="dxa"/>
                  <w:vAlign w:val="center"/>
                </w:tcPr>
                <w:p>
                  <w:pPr>
                    <w:pStyle w:val="42"/>
                  </w:pPr>
                  <w:r>
                    <w:t>/</w:t>
                  </w:r>
                </w:p>
              </w:tc>
              <w:tc>
                <w:tcPr>
                  <w:tcW w:w="1052" w:type="dxa"/>
                  <w:vAlign w:val="center"/>
                </w:tcPr>
                <w:p>
                  <w:pPr>
                    <w:pStyle w:val="42"/>
                  </w:pPr>
                  <w:r>
                    <w:t>少量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Merge w:val="continue"/>
                  <w:tcBorders>
                    <w:bottom w:val="single" w:color="auto" w:sz="4" w:space="0"/>
                  </w:tcBorders>
                  <w:vAlign w:val="center"/>
                </w:tcPr>
                <w:p>
                  <w:pPr>
                    <w:pStyle w:val="42"/>
                  </w:pPr>
                </w:p>
              </w:tc>
              <w:tc>
                <w:tcPr>
                  <w:tcW w:w="1469" w:type="dxa"/>
                  <w:vAlign w:val="center"/>
                </w:tcPr>
                <w:p>
                  <w:pPr>
                    <w:pStyle w:val="42"/>
                  </w:pPr>
                  <w:r>
                    <w:t>燃油废气</w:t>
                  </w:r>
                </w:p>
              </w:tc>
              <w:tc>
                <w:tcPr>
                  <w:tcW w:w="1303" w:type="dxa"/>
                  <w:vAlign w:val="center"/>
                </w:tcPr>
                <w:p>
                  <w:pPr>
                    <w:pStyle w:val="42"/>
                  </w:pPr>
                  <w:r>
                    <w:t>CH</w:t>
                  </w:r>
                  <w:r>
                    <w:rPr>
                      <w:vertAlign w:val="subscript"/>
                    </w:rPr>
                    <w:t>4</w:t>
                  </w:r>
                  <w:r>
                    <w:t>、NOx、CO</w:t>
                  </w:r>
                </w:p>
              </w:tc>
              <w:tc>
                <w:tcPr>
                  <w:tcW w:w="1467" w:type="dxa"/>
                  <w:vAlign w:val="center"/>
                </w:tcPr>
                <w:p>
                  <w:pPr>
                    <w:pStyle w:val="42"/>
                  </w:pPr>
                  <w:r>
                    <w:t>/</w:t>
                  </w:r>
                </w:p>
              </w:tc>
              <w:tc>
                <w:tcPr>
                  <w:tcW w:w="1243" w:type="dxa"/>
                  <w:vAlign w:val="center"/>
                </w:tcPr>
                <w:p>
                  <w:pPr>
                    <w:pStyle w:val="42"/>
                  </w:pPr>
                  <w:r>
                    <w:t>少量</w:t>
                  </w:r>
                </w:p>
              </w:tc>
              <w:tc>
                <w:tcPr>
                  <w:tcW w:w="1380" w:type="dxa"/>
                  <w:vAlign w:val="center"/>
                </w:tcPr>
                <w:p>
                  <w:pPr>
                    <w:pStyle w:val="42"/>
                  </w:pPr>
                  <w:r>
                    <w:t>/</w:t>
                  </w:r>
                </w:p>
              </w:tc>
              <w:tc>
                <w:tcPr>
                  <w:tcW w:w="1052" w:type="dxa"/>
                  <w:vAlign w:val="center"/>
                </w:tcPr>
                <w:p>
                  <w:pPr>
                    <w:pStyle w:val="42"/>
                  </w:pPr>
                  <w:r>
                    <w:t>少量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tcBorders>
                    <w:top w:val="single" w:color="auto" w:sz="4" w:space="0"/>
                  </w:tcBorders>
                  <w:vAlign w:val="center"/>
                </w:tcPr>
                <w:p>
                  <w:pPr>
                    <w:pStyle w:val="42"/>
                  </w:pPr>
                  <w:r>
                    <w:rPr>
                      <w:rFonts w:hint="eastAsia"/>
                    </w:rPr>
                    <w:t>场内运输道路</w:t>
                  </w:r>
                </w:p>
              </w:tc>
              <w:tc>
                <w:tcPr>
                  <w:tcW w:w="1469" w:type="dxa"/>
                  <w:vAlign w:val="center"/>
                </w:tcPr>
                <w:p>
                  <w:pPr>
                    <w:pStyle w:val="42"/>
                    <w:rPr>
                      <w:szCs w:val="21"/>
                    </w:rPr>
                  </w:pPr>
                  <w:r>
                    <w:t>运输扬尘</w:t>
                  </w:r>
                </w:p>
              </w:tc>
              <w:tc>
                <w:tcPr>
                  <w:tcW w:w="1303" w:type="dxa"/>
                  <w:vAlign w:val="center"/>
                </w:tcPr>
                <w:p>
                  <w:pPr>
                    <w:pStyle w:val="42"/>
                  </w:pPr>
                  <w:r>
                    <w:t>TSP</w:t>
                  </w:r>
                </w:p>
              </w:tc>
              <w:tc>
                <w:tcPr>
                  <w:tcW w:w="1467" w:type="dxa"/>
                  <w:vAlign w:val="center"/>
                </w:tcPr>
                <w:p>
                  <w:pPr>
                    <w:pStyle w:val="42"/>
                  </w:pPr>
                  <w:r>
                    <w:t>/</w:t>
                  </w:r>
                </w:p>
              </w:tc>
              <w:tc>
                <w:tcPr>
                  <w:tcW w:w="1243" w:type="dxa"/>
                  <w:vAlign w:val="center"/>
                </w:tcPr>
                <w:p>
                  <w:pPr>
                    <w:pStyle w:val="42"/>
                  </w:pPr>
                  <w:r>
                    <w:t>1.883</w:t>
                  </w:r>
                </w:p>
              </w:tc>
              <w:tc>
                <w:tcPr>
                  <w:tcW w:w="1380" w:type="dxa"/>
                  <w:vAlign w:val="center"/>
                </w:tcPr>
                <w:p>
                  <w:pPr>
                    <w:pStyle w:val="42"/>
                  </w:pPr>
                  <w:r>
                    <w:t>/</w:t>
                  </w:r>
                </w:p>
              </w:tc>
              <w:tc>
                <w:tcPr>
                  <w:tcW w:w="1052" w:type="dxa"/>
                  <w:vAlign w:val="center"/>
                </w:tcPr>
                <w:p>
                  <w:pPr>
                    <w:pStyle w:val="42"/>
                  </w:pPr>
                  <w:r>
                    <w:t>0.377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Align w:val="center"/>
                </w:tcPr>
                <w:p>
                  <w:pPr>
                    <w:pStyle w:val="42"/>
                  </w:pPr>
                  <w:r>
                    <w:rPr>
                      <w:rFonts w:hint="eastAsia"/>
                    </w:rPr>
                    <w:t>采区、排土场</w:t>
                  </w:r>
                </w:p>
              </w:tc>
              <w:tc>
                <w:tcPr>
                  <w:tcW w:w="1469" w:type="dxa"/>
                  <w:vAlign w:val="center"/>
                </w:tcPr>
                <w:p>
                  <w:pPr>
                    <w:pStyle w:val="42"/>
                  </w:pPr>
                  <w:r>
                    <w:t>风力扬尘</w:t>
                  </w:r>
                </w:p>
              </w:tc>
              <w:tc>
                <w:tcPr>
                  <w:tcW w:w="1303" w:type="dxa"/>
                  <w:vAlign w:val="center"/>
                </w:tcPr>
                <w:p>
                  <w:pPr>
                    <w:pStyle w:val="42"/>
                  </w:pPr>
                  <w:r>
                    <w:t>TSP</w:t>
                  </w:r>
                </w:p>
              </w:tc>
              <w:tc>
                <w:tcPr>
                  <w:tcW w:w="1467" w:type="dxa"/>
                  <w:vAlign w:val="center"/>
                </w:tcPr>
                <w:p>
                  <w:pPr>
                    <w:pStyle w:val="42"/>
                  </w:pPr>
                  <w:r>
                    <w:t>/</w:t>
                  </w:r>
                </w:p>
              </w:tc>
              <w:tc>
                <w:tcPr>
                  <w:tcW w:w="1243" w:type="dxa"/>
                  <w:vAlign w:val="center"/>
                </w:tcPr>
                <w:p>
                  <w:pPr>
                    <w:pStyle w:val="42"/>
                  </w:pPr>
                  <w:r>
                    <w:t>1.898</w:t>
                  </w:r>
                </w:p>
              </w:tc>
              <w:tc>
                <w:tcPr>
                  <w:tcW w:w="1380" w:type="dxa"/>
                  <w:vAlign w:val="center"/>
                </w:tcPr>
                <w:p>
                  <w:pPr>
                    <w:pStyle w:val="42"/>
                  </w:pPr>
                  <w:r>
                    <w:t>/</w:t>
                  </w:r>
                </w:p>
              </w:tc>
              <w:tc>
                <w:tcPr>
                  <w:tcW w:w="1052" w:type="dxa"/>
                  <w:vAlign w:val="center"/>
                </w:tcPr>
                <w:p>
                  <w:pPr>
                    <w:pStyle w:val="42"/>
                  </w:pPr>
                  <w:r>
                    <w:t>0.380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Merge w:val="restart"/>
                  <w:vAlign w:val="center"/>
                </w:tcPr>
                <w:p>
                  <w:pPr>
                    <w:pStyle w:val="42"/>
                  </w:pPr>
                  <w:r>
                    <w:t>工业广场</w:t>
                  </w:r>
                </w:p>
              </w:tc>
              <w:tc>
                <w:tcPr>
                  <w:tcW w:w="1469" w:type="dxa"/>
                  <w:vAlign w:val="center"/>
                </w:tcPr>
                <w:p>
                  <w:pPr>
                    <w:pStyle w:val="42"/>
                  </w:pPr>
                  <w:r>
                    <w:t>破碎站有组织</w:t>
                  </w:r>
                  <w:r>
                    <w:rPr>
                      <w:rFonts w:hint="eastAsia"/>
                    </w:rPr>
                    <w:t>粉尘</w:t>
                  </w:r>
                </w:p>
              </w:tc>
              <w:tc>
                <w:tcPr>
                  <w:tcW w:w="1303" w:type="dxa"/>
                  <w:vAlign w:val="center"/>
                </w:tcPr>
                <w:p>
                  <w:pPr>
                    <w:pStyle w:val="42"/>
                  </w:pPr>
                  <w:r>
                    <w:t>PM</w:t>
                  </w:r>
                  <w:r>
                    <w:rPr>
                      <w:vertAlign w:val="subscript"/>
                    </w:rPr>
                    <w:t>10</w:t>
                  </w:r>
                </w:p>
              </w:tc>
              <w:tc>
                <w:tcPr>
                  <w:tcW w:w="1467" w:type="dxa"/>
                  <w:vAlign w:val="center"/>
                </w:tcPr>
                <w:p>
                  <w:pPr>
                    <w:pStyle w:val="42"/>
                  </w:pPr>
                  <w:r>
                    <w:rPr>
                      <w:rFonts w:hint="eastAsia"/>
                      <w:color w:val="0000FF"/>
                    </w:rPr>
                    <w:t>2385</w:t>
                  </w:r>
                </w:p>
              </w:tc>
              <w:tc>
                <w:tcPr>
                  <w:tcW w:w="1243" w:type="dxa"/>
                  <w:vAlign w:val="center"/>
                </w:tcPr>
                <w:p>
                  <w:pPr>
                    <w:pStyle w:val="42"/>
                  </w:pPr>
                  <w:r>
                    <w:rPr>
                      <w:color w:val="0000FF"/>
                    </w:rPr>
                    <w:t>286.151</w:t>
                  </w:r>
                </w:p>
              </w:tc>
              <w:tc>
                <w:tcPr>
                  <w:tcW w:w="1380" w:type="dxa"/>
                  <w:vAlign w:val="center"/>
                </w:tcPr>
                <w:p>
                  <w:pPr>
                    <w:pStyle w:val="42"/>
                  </w:pPr>
                  <w:r>
                    <w:rPr>
                      <w:rFonts w:hint="eastAsia"/>
                      <w:color w:val="0000FF"/>
                    </w:rPr>
                    <w:t>23.85</w:t>
                  </w:r>
                </w:p>
              </w:tc>
              <w:tc>
                <w:tcPr>
                  <w:tcW w:w="1052" w:type="dxa"/>
                  <w:vAlign w:val="center"/>
                </w:tcPr>
                <w:p>
                  <w:pPr>
                    <w:pStyle w:val="42"/>
                  </w:pPr>
                  <w:r>
                    <w:rPr>
                      <w:color w:val="0000FF"/>
                    </w:rPr>
                    <w:t>2.861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Merge w:val="continue"/>
                  <w:vAlign w:val="center"/>
                </w:tcPr>
                <w:p>
                  <w:pPr>
                    <w:pStyle w:val="42"/>
                  </w:pPr>
                </w:p>
              </w:tc>
              <w:tc>
                <w:tcPr>
                  <w:tcW w:w="1469" w:type="dxa"/>
                  <w:vAlign w:val="center"/>
                </w:tcPr>
                <w:p>
                  <w:pPr>
                    <w:pStyle w:val="42"/>
                  </w:pPr>
                  <w:r>
                    <w:t>破碎站无组织</w:t>
                  </w:r>
                  <w:r>
                    <w:rPr>
                      <w:rFonts w:hint="eastAsia"/>
                    </w:rPr>
                    <w:t>粉尘</w:t>
                  </w:r>
                </w:p>
              </w:tc>
              <w:tc>
                <w:tcPr>
                  <w:tcW w:w="1303" w:type="dxa"/>
                  <w:vAlign w:val="center"/>
                </w:tcPr>
                <w:p>
                  <w:pPr>
                    <w:pStyle w:val="42"/>
                  </w:pPr>
                  <w:r>
                    <w:t>TSP</w:t>
                  </w:r>
                </w:p>
              </w:tc>
              <w:tc>
                <w:tcPr>
                  <w:tcW w:w="1467" w:type="dxa"/>
                  <w:vAlign w:val="center"/>
                </w:tcPr>
                <w:p>
                  <w:pPr>
                    <w:pStyle w:val="42"/>
                  </w:pPr>
                  <w:r>
                    <w:t>/</w:t>
                  </w:r>
                </w:p>
              </w:tc>
              <w:tc>
                <w:tcPr>
                  <w:tcW w:w="1243" w:type="dxa"/>
                  <w:vAlign w:val="center"/>
                </w:tcPr>
                <w:p>
                  <w:pPr>
                    <w:pStyle w:val="42"/>
                  </w:pPr>
                  <w:r>
                    <w:rPr>
                      <w:color w:val="0000FF"/>
                    </w:rPr>
                    <w:t>15.060</w:t>
                  </w:r>
                </w:p>
              </w:tc>
              <w:tc>
                <w:tcPr>
                  <w:tcW w:w="1380" w:type="dxa"/>
                  <w:vAlign w:val="center"/>
                </w:tcPr>
                <w:p>
                  <w:pPr>
                    <w:pStyle w:val="42"/>
                  </w:pPr>
                  <w:r>
                    <w:t>/</w:t>
                  </w:r>
                </w:p>
              </w:tc>
              <w:tc>
                <w:tcPr>
                  <w:tcW w:w="1052" w:type="dxa"/>
                  <w:vAlign w:val="center"/>
                </w:tcPr>
                <w:p>
                  <w:pPr>
                    <w:pStyle w:val="42"/>
                  </w:pPr>
                  <w:r>
                    <w:rPr>
                      <w:color w:val="0000FF"/>
                    </w:rPr>
                    <w:t>1.506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Merge w:val="continue"/>
                  <w:vAlign w:val="center"/>
                </w:tcPr>
                <w:p>
                  <w:pPr>
                    <w:pStyle w:val="42"/>
                  </w:pPr>
                </w:p>
              </w:tc>
              <w:tc>
                <w:tcPr>
                  <w:tcW w:w="1469" w:type="dxa"/>
                  <w:vAlign w:val="center"/>
                </w:tcPr>
                <w:p>
                  <w:pPr>
                    <w:pStyle w:val="42"/>
                  </w:pPr>
                  <w:r>
                    <w:rPr>
                      <w:rFonts w:hint="eastAsia"/>
                    </w:rPr>
                    <w:t>给料粉尘</w:t>
                  </w:r>
                </w:p>
              </w:tc>
              <w:tc>
                <w:tcPr>
                  <w:tcW w:w="1303" w:type="dxa"/>
                  <w:vAlign w:val="center"/>
                </w:tcPr>
                <w:p>
                  <w:pPr>
                    <w:pStyle w:val="42"/>
                  </w:pPr>
                  <w:r>
                    <w:t>TSP</w:t>
                  </w:r>
                </w:p>
              </w:tc>
              <w:tc>
                <w:tcPr>
                  <w:tcW w:w="1467" w:type="dxa"/>
                  <w:vAlign w:val="center"/>
                </w:tcPr>
                <w:p>
                  <w:pPr>
                    <w:pStyle w:val="42"/>
                  </w:pPr>
                  <w:r>
                    <w:t>/</w:t>
                  </w:r>
                </w:p>
              </w:tc>
              <w:tc>
                <w:tcPr>
                  <w:tcW w:w="1243" w:type="dxa"/>
                  <w:vAlign w:val="center"/>
                </w:tcPr>
                <w:p>
                  <w:pPr>
                    <w:pStyle w:val="42"/>
                  </w:pPr>
                  <w:r>
                    <w:t>0.587</w:t>
                  </w:r>
                </w:p>
              </w:tc>
              <w:tc>
                <w:tcPr>
                  <w:tcW w:w="1380" w:type="dxa"/>
                  <w:vAlign w:val="center"/>
                </w:tcPr>
                <w:p>
                  <w:pPr>
                    <w:pStyle w:val="42"/>
                  </w:pPr>
                  <w:r>
                    <w:t>/</w:t>
                  </w:r>
                </w:p>
              </w:tc>
              <w:tc>
                <w:tcPr>
                  <w:tcW w:w="1052" w:type="dxa"/>
                  <w:vAlign w:val="center"/>
                </w:tcPr>
                <w:p>
                  <w:pPr>
                    <w:pStyle w:val="42"/>
                  </w:pPr>
                  <w:r>
                    <w:t>0.117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Merge w:val="continue"/>
                  <w:vAlign w:val="center"/>
                </w:tcPr>
                <w:p>
                  <w:pPr>
                    <w:pStyle w:val="42"/>
                  </w:pPr>
                </w:p>
              </w:tc>
              <w:tc>
                <w:tcPr>
                  <w:tcW w:w="1469" w:type="dxa"/>
                  <w:vAlign w:val="center"/>
                </w:tcPr>
                <w:p>
                  <w:pPr>
                    <w:pStyle w:val="42"/>
                  </w:pPr>
                  <w:r>
                    <w:t>皮带输送、成品下料粉尘</w:t>
                  </w:r>
                </w:p>
              </w:tc>
              <w:tc>
                <w:tcPr>
                  <w:tcW w:w="1303" w:type="dxa"/>
                  <w:vAlign w:val="center"/>
                </w:tcPr>
                <w:p>
                  <w:pPr>
                    <w:pStyle w:val="42"/>
                  </w:pPr>
                  <w:r>
                    <w:t>TSP</w:t>
                  </w:r>
                </w:p>
              </w:tc>
              <w:tc>
                <w:tcPr>
                  <w:tcW w:w="1467" w:type="dxa"/>
                  <w:vAlign w:val="center"/>
                </w:tcPr>
                <w:p>
                  <w:pPr>
                    <w:pStyle w:val="42"/>
                  </w:pPr>
                  <w:r>
                    <w:t>/</w:t>
                  </w:r>
                </w:p>
              </w:tc>
              <w:tc>
                <w:tcPr>
                  <w:tcW w:w="1243" w:type="dxa"/>
                  <w:vAlign w:val="center"/>
                </w:tcPr>
                <w:p>
                  <w:pPr>
                    <w:pStyle w:val="42"/>
                  </w:pPr>
                  <w:r>
                    <w:rPr>
                      <w:rFonts w:hint="eastAsia"/>
                    </w:rPr>
                    <w:t>0.406</w:t>
                  </w:r>
                </w:p>
              </w:tc>
              <w:tc>
                <w:tcPr>
                  <w:tcW w:w="1380" w:type="dxa"/>
                  <w:vAlign w:val="center"/>
                </w:tcPr>
                <w:p>
                  <w:pPr>
                    <w:pStyle w:val="42"/>
                  </w:pPr>
                  <w:r>
                    <w:t>/</w:t>
                  </w:r>
                </w:p>
              </w:tc>
              <w:tc>
                <w:tcPr>
                  <w:tcW w:w="1052" w:type="dxa"/>
                  <w:vAlign w:val="center"/>
                </w:tcPr>
                <w:p>
                  <w:pPr>
                    <w:pStyle w:val="42"/>
                  </w:pPr>
                  <w:r>
                    <w:rPr>
                      <w:rFonts w:hint="eastAsia"/>
                    </w:rPr>
                    <w:t>0.161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Merge w:val="continue"/>
                  <w:vAlign w:val="center"/>
                </w:tcPr>
                <w:p>
                  <w:pPr>
                    <w:pStyle w:val="42"/>
                  </w:pPr>
                </w:p>
              </w:tc>
              <w:tc>
                <w:tcPr>
                  <w:tcW w:w="1469" w:type="dxa"/>
                  <w:vAlign w:val="center"/>
                </w:tcPr>
                <w:p>
                  <w:pPr>
                    <w:pStyle w:val="42"/>
                  </w:pPr>
                  <w:r>
                    <w:rPr>
                      <w:rFonts w:hint="eastAsia"/>
                    </w:rPr>
                    <w:t>成品装卸粉尘</w:t>
                  </w:r>
                </w:p>
              </w:tc>
              <w:tc>
                <w:tcPr>
                  <w:tcW w:w="1303" w:type="dxa"/>
                  <w:vAlign w:val="center"/>
                </w:tcPr>
                <w:p>
                  <w:pPr>
                    <w:pStyle w:val="42"/>
                  </w:pPr>
                  <w:r>
                    <w:t>TSP</w:t>
                  </w:r>
                </w:p>
              </w:tc>
              <w:tc>
                <w:tcPr>
                  <w:tcW w:w="1467" w:type="dxa"/>
                  <w:vAlign w:val="center"/>
                </w:tcPr>
                <w:p>
                  <w:pPr>
                    <w:pStyle w:val="42"/>
                  </w:pPr>
                  <w:r>
                    <w:t>/</w:t>
                  </w:r>
                </w:p>
              </w:tc>
              <w:tc>
                <w:tcPr>
                  <w:tcW w:w="1243" w:type="dxa"/>
                  <w:vAlign w:val="center"/>
                </w:tcPr>
                <w:p>
                  <w:pPr>
                    <w:pStyle w:val="42"/>
                  </w:pPr>
                  <w:r>
                    <w:t>12.75</w:t>
                  </w:r>
                </w:p>
              </w:tc>
              <w:tc>
                <w:tcPr>
                  <w:tcW w:w="1380" w:type="dxa"/>
                  <w:vAlign w:val="center"/>
                </w:tcPr>
                <w:p>
                  <w:pPr>
                    <w:pStyle w:val="42"/>
                  </w:pPr>
                  <w:r>
                    <w:t>/</w:t>
                  </w:r>
                </w:p>
              </w:tc>
              <w:tc>
                <w:tcPr>
                  <w:tcW w:w="1052" w:type="dxa"/>
                  <w:vAlign w:val="center"/>
                </w:tcPr>
                <w:p>
                  <w:pPr>
                    <w:pStyle w:val="42"/>
                  </w:pPr>
                  <w:r>
                    <w:t>2.55</w:t>
                  </w:r>
                </w:p>
              </w:tc>
            </w:tr>
          </w:tbl>
          <w:p>
            <w:pPr>
              <w:adjustRightInd w:val="0"/>
              <w:snapToGrid w:val="0"/>
              <w:spacing w:line="360" w:lineRule="auto"/>
              <w:ind w:firstLine="482" w:firstLineChars="200"/>
              <w:jc w:val="left"/>
              <w:rPr>
                <w:b/>
                <w:sz w:val="24"/>
              </w:rPr>
            </w:pPr>
            <w:r>
              <w:rPr>
                <w:b/>
                <w:sz w:val="24"/>
              </w:rPr>
              <w:t>2）</w:t>
            </w:r>
            <w:r>
              <w:rPr>
                <w:b/>
                <w:bCs/>
                <w:sz w:val="24"/>
              </w:rPr>
              <w:t>建设项目废气污染物排放信息</w:t>
            </w:r>
          </w:p>
          <w:p>
            <w:pPr>
              <w:adjustRightInd w:val="0"/>
              <w:snapToGrid w:val="0"/>
              <w:spacing w:line="360" w:lineRule="auto"/>
              <w:ind w:firstLine="480" w:firstLineChars="200"/>
              <w:jc w:val="left"/>
              <w:rPr>
                <w:sz w:val="24"/>
              </w:rPr>
            </w:pPr>
            <w:r>
              <w:rPr>
                <w:rFonts w:hint="eastAsia" w:ascii="宋体" w:hAnsi="宋体" w:cs="宋体"/>
                <w:sz w:val="24"/>
              </w:rPr>
              <w:t>①</w:t>
            </w:r>
            <w:r>
              <w:rPr>
                <w:sz w:val="24"/>
              </w:rPr>
              <w:t>拟建项目废气污染源源强核算结果及相关参数详见表4-</w:t>
            </w:r>
            <w:r>
              <w:rPr>
                <w:rFonts w:hint="eastAsia"/>
                <w:sz w:val="24"/>
              </w:rPr>
              <w:t>8</w:t>
            </w:r>
            <w:r>
              <w:rPr>
                <w:sz w:val="24"/>
              </w:rPr>
              <w:t>。</w:t>
            </w:r>
          </w:p>
        </w:tc>
      </w:tr>
    </w:tbl>
    <w:p/>
    <w:p>
      <w:pPr>
        <w:sectPr>
          <w:pgSz w:w="11906" w:h="16838"/>
          <w:pgMar w:top="1440" w:right="1080" w:bottom="1440" w:left="1080" w:header="851" w:footer="1077" w:gutter="0"/>
          <w:cols w:space="720" w:num="1"/>
          <w:docGrid w:linePitch="312" w:charSpace="0"/>
        </w:sectPr>
      </w:pPr>
    </w:p>
    <w:tbl>
      <w:tblPr>
        <w:tblStyle w:val="15"/>
        <w:tblW w:w="1465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41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rHeight w:val="7493" w:hRule="atLeast"/>
          <w:jc w:val="center"/>
        </w:trPr>
        <w:tc>
          <w:tcPr>
            <w:tcW w:w="472" w:type="dxa"/>
            <w:vAlign w:val="center"/>
          </w:tcPr>
          <w:p>
            <w:pPr>
              <w:adjustRightInd w:val="0"/>
              <w:snapToGrid w:val="0"/>
              <w:jc w:val="center"/>
              <w:rPr>
                <w:sz w:val="24"/>
              </w:rPr>
            </w:pPr>
            <w:r>
              <w:rPr>
                <w:sz w:val="24"/>
              </w:rPr>
              <w:t>运营期生态环境影响分析</w:t>
            </w:r>
          </w:p>
        </w:tc>
        <w:tc>
          <w:tcPr>
            <w:tcW w:w="14186" w:type="dxa"/>
          </w:tcPr>
          <w:p>
            <w:pPr>
              <w:adjustRightInd w:val="0"/>
              <w:snapToGrid w:val="0"/>
              <w:jc w:val="center"/>
              <w:rPr>
                <w:b/>
                <w:sz w:val="24"/>
              </w:rPr>
            </w:pPr>
            <w:r>
              <w:rPr>
                <w:b/>
                <w:sz w:val="24"/>
              </w:rPr>
              <w:t>表4-</w:t>
            </w:r>
            <w:r>
              <w:rPr>
                <w:rFonts w:hint="eastAsia"/>
                <w:b/>
                <w:sz w:val="24"/>
              </w:rPr>
              <w:t>8</w:t>
            </w:r>
            <w:r>
              <w:rPr>
                <w:b/>
                <w:sz w:val="24"/>
              </w:rPr>
              <w:t xml:space="preserve">  废气污染源源强核算结果及相关参数一览表</w:t>
            </w:r>
          </w:p>
          <w:tbl>
            <w:tblPr>
              <w:tblStyle w:val="15"/>
              <w:tblW w:w="13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703"/>
              <w:gridCol w:w="705"/>
              <w:gridCol w:w="427"/>
              <w:gridCol w:w="556"/>
              <w:gridCol w:w="704"/>
              <w:gridCol w:w="1011"/>
              <w:gridCol w:w="1198"/>
              <w:gridCol w:w="899"/>
              <w:gridCol w:w="1100"/>
              <w:gridCol w:w="824"/>
              <w:gridCol w:w="812"/>
              <w:gridCol w:w="698"/>
              <w:gridCol w:w="1011"/>
              <w:gridCol w:w="1198"/>
              <w:gridCol w:w="846"/>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527" w:type="dxa"/>
                  <w:vMerge w:val="restart"/>
                  <w:vAlign w:val="center"/>
                </w:tcPr>
                <w:p>
                  <w:pPr>
                    <w:pStyle w:val="42"/>
                  </w:pPr>
                  <w:r>
                    <w:t>工序/生产线</w:t>
                  </w:r>
                </w:p>
              </w:tc>
              <w:tc>
                <w:tcPr>
                  <w:tcW w:w="703" w:type="dxa"/>
                  <w:vMerge w:val="restart"/>
                  <w:vAlign w:val="center"/>
                </w:tcPr>
                <w:p>
                  <w:pPr>
                    <w:pStyle w:val="42"/>
                  </w:pPr>
                  <w:r>
                    <w:t>装置</w:t>
                  </w:r>
                </w:p>
              </w:tc>
              <w:tc>
                <w:tcPr>
                  <w:tcW w:w="705" w:type="dxa"/>
                  <w:vMerge w:val="restart"/>
                  <w:vAlign w:val="center"/>
                </w:tcPr>
                <w:p>
                  <w:pPr>
                    <w:pStyle w:val="42"/>
                  </w:pPr>
                  <w:r>
                    <w:t>污染源</w:t>
                  </w:r>
                </w:p>
              </w:tc>
              <w:tc>
                <w:tcPr>
                  <w:tcW w:w="983" w:type="dxa"/>
                  <w:gridSpan w:val="2"/>
                  <w:vMerge w:val="restart"/>
                  <w:vAlign w:val="center"/>
                </w:tcPr>
                <w:p>
                  <w:pPr>
                    <w:pStyle w:val="42"/>
                  </w:pPr>
                  <w:r>
                    <w:t>污染物</w:t>
                  </w:r>
                </w:p>
              </w:tc>
              <w:tc>
                <w:tcPr>
                  <w:tcW w:w="3812" w:type="dxa"/>
                  <w:gridSpan w:val="4"/>
                  <w:vAlign w:val="center"/>
                </w:tcPr>
                <w:p>
                  <w:pPr>
                    <w:pStyle w:val="42"/>
                  </w:pPr>
                  <w:r>
                    <w:t>污染物产生量</w:t>
                  </w:r>
                </w:p>
              </w:tc>
              <w:tc>
                <w:tcPr>
                  <w:tcW w:w="2736" w:type="dxa"/>
                  <w:gridSpan w:val="3"/>
                  <w:vAlign w:val="center"/>
                </w:tcPr>
                <w:p>
                  <w:pPr>
                    <w:pStyle w:val="42"/>
                  </w:pPr>
                  <w:r>
                    <w:t>治理措施</w:t>
                  </w:r>
                </w:p>
              </w:tc>
              <w:tc>
                <w:tcPr>
                  <w:tcW w:w="3753" w:type="dxa"/>
                  <w:gridSpan w:val="4"/>
                  <w:vAlign w:val="center"/>
                </w:tcPr>
                <w:p>
                  <w:pPr>
                    <w:pStyle w:val="42"/>
                  </w:pPr>
                  <w:r>
                    <w:t>污染物排放量</w:t>
                  </w:r>
                </w:p>
              </w:tc>
              <w:tc>
                <w:tcPr>
                  <w:tcW w:w="741" w:type="dxa"/>
                  <w:vMerge w:val="restart"/>
                  <w:vAlign w:val="center"/>
                </w:tcPr>
                <w:p>
                  <w:pPr>
                    <w:pStyle w:val="42"/>
                  </w:pPr>
                  <w: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trPr>
              <w:tc>
                <w:tcPr>
                  <w:tcW w:w="527" w:type="dxa"/>
                  <w:vMerge w:val="continue"/>
                  <w:vAlign w:val="center"/>
                </w:tcPr>
                <w:p>
                  <w:pPr>
                    <w:pStyle w:val="42"/>
                  </w:pPr>
                </w:p>
              </w:tc>
              <w:tc>
                <w:tcPr>
                  <w:tcW w:w="703" w:type="dxa"/>
                  <w:vMerge w:val="continue"/>
                  <w:vAlign w:val="center"/>
                </w:tcPr>
                <w:p>
                  <w:pPr>
                    <w:pStyle w:val="42"/>
                  </w:pPr>
                </w:p>
              </w:tc>
              <w:tc>
                <w:tcPr>
                  <w:tcW w:w="705" w:type="dxa"/>
                  <w:vMerge w:val="continue"/>
                  <w:vAlign w:val="center"/>
                </w:tcPr>
                <w:p>
                  <w:pPr>
                    <w:pStyle w:val="42"/>
                  </w:pPr>
                </w:p>
              </w:tc>
              <w:tc>
                <w:tcPr>
                  <w:tcW w:w="983" w:type="dxa"/>
                  <w:gridSpan w:val="2"/>
                  <w:vMerge w:val="continue"/>
                  <w:vAlign w:val="center"/>
                </w:tcPr>
                <w:p>
                  <w:pPr>
                    <w:pStyle w:val="42"/>
                  </w:pPr>
                </w:p>
              </w:tc>
              <w:tc>
                <w:tcPr>
                  <w:tcW w:w="704" w:type="dxa"/>
                  <w:vAlign w:val="center"/>
                </w:tcPr>
                <w:p>
                  <w:pPr>
                    <w:pStyle w:val="42"/>
                  </w:pPr>
                  <w:r>
                    <w:t>核算方法</w:t>
                  </w:r>
                </w:p>
              </w:tc>
              <w:tc>
                <w:tcPr>
                  <w:tcW w:w="1011" w:type="dxa"/>
                  <w:vAlign w:val="center"/>
                </w:tcPr>
                <w:p>
                  <w:pPr>
                    <w:pStyle w:val="42"/>
                  </w:pPr>
                  <w:r>
                    <w:t>产生速率（kg/h）</w:t>
                  </w:r>
                </w:p>
              </w:tc>
              <w:tc>
                <w:tcPr>
                  <w:tcW w:w="1198" w:type="dxa"/>
                  <w:vAlign w:val="center"/>
                </w:tcPr>
                <w:p>
                  <w:pPr>
                    <w:pStyle w:val="42"/>
                  </w:pPr>
                  <w:r>
                    <w:t>产生浓度（mg/m</w:t>
                  </w:r>
                  <w:r>
                    <w:rPr>
                      <w:vertAlign w:val="superscript"/>
                    </w:rPr>
                    <w:t>3</w:t>
                  </w:r>
                  <w:r>
                    <w:t>）</w:t>
                  </w:r>
                </w:p>
              </w:tc>
              <w:tc>
                <w:tcPr>
                  <w:tcW w:w="899" w:type="dxa"/>
                  <w:vAlign w:val="center"/>
                </w:tcPr>
                <w:p>
                  <w:pPr>
                    <w:pStyle w:val="42"/>
                  </w:pPr>
                  <w:r>
                    <w:t>产生量（t/a）</w:t>
                  </w:r>
                </w:p>
              </w:tc>
              <w:tc>
                <w:tcPr>
                  <w:tcW w:w="1100" w:type="dxa"/>
                  <w:vAlign w:val="center"/>
                </w:tcPr>
                <w:p>
                  <w:pPr>
                    <w:pStyle w:val="42"/>
                  </w:pPr>
                  <w:r>
                    <w:t>工艺</w:t>
                  </w:r>
                </w:p>
              </w:tc>
              <w:tc>
                <w:tcPr>
                  <w:tcW w:w="824" w:type="dxa"/>
                  <w:vAlign w:val="center"/>
                </w:tcPr>
                <w:p>
                  <w:pPr>
                    <w:pStyle w:val="42"/>
                  </w:pPr>
                  <w:r>
                    <w:t>是否为可行工艺</w:t>
                  </w:r>
                </w:p>
              </w:tc>
              <w:tc>
                <w:tcPr>
                  <w:tcW w:w="812" w:type="dxa"/>
                  <w:vAlign w:val="center"/>
                </w:tcPr>
                <w:p>
                  <w:pPr>
                    <w:pStyle w:val="42"/>
                  </w:pPr>
                  <w:r>
                    <w:t>效率（%）</w:t>
                  </w:r>
                </w:p>
              </w:tc>
              <w:tc>
                <w:tcPr>
                  <w:tcW w:w="698" w:type="dxa"/>
                  <w:vAlign w:val="center"/>
                </w:tcPr>
                <w:p>
                  <w:pPr>
                    <w:pStyle w:val="42"/>
                  </w:pPr>
                  <w:r>
                    <w:t>核算方法</w:t>
                  </w:r>
                </w:p>
              </w:tc>
              <w:tc>
                <w:tcPr>
                  <w:tcW w:w="1011" w:type="dxa"/>
                  <w:vAlign w:val="center"/>
                </w:tcPr>
                <w:p>
                  <w:pPr>
                    <w:pStyle w:val="42"/>
                  </w:pPr>
                  <w:r>
                    <w:t>排放速率（kg/h）</w:t>
                  </w:r>
                </w:p>
              </w:tc>
              <w:tc>
                <w:tcPr>
                  <w:tcW w:w="1198" w:type="dxa"/>
                  <w:vAlign w:val="center"/>
                </w:tcPr>
                <w:p>
                  <w:pPr>
                    <w:pStyle w:val="42"/>
                  </w:pPr>
                  <w:r>
                    <w:t>排放浓度（mg/m</w:t>
                  </w:r>
                  <w:r>
                    <w:rPr>
                      <w:vertAlign w:val="superscript"/>
                    </w:rPr>
                    <w:t>3</w:t>
                  </w:r>
                  <w:r>
                    <w:t>）</w:t>
                  </w:r>
                </w:p>
              </w:tc>
              <w:tc>
                <w:tcPr>
                  <w:tcW w:w="846" w:type="dxa"/>
                  <w:vAlign w:val="center"/>
                </w:tcPr>
                <w:p>
                  <w:pPr>
                    <w:pStyle w:val="42"/>
                  </w:pPr>
                  <w:r>
                    <w:t>排放量（t/a）</w:t>
                  </w:r>
                </w:p>
              </w:tc>
              <w:tc>
                <w:tcPr>
                  <w:tcW w:w="741" w:type="dxa"/>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27" w:type="dxa"/>
                  <w:vMerge w:val="restart"/>
                  <w:vAlign w:val="center"/>
                </w:tcPr>
                <w:p>
                  <w:pPr>
                    <w:pStyle w:val="42"/>
                  </w:pPr>
                  <w:r>
                    <w:t>采区开采</w:t>
                  </w:r>
                </w:p>
              </w:tc>
              <w:tc>
                <w:tcPr>
                  <w:tcW w:w="703" w:type="dxa"/>
                  <w:vMerge w:val="restart"/>
                  <w:vAlign w:val="center"/>
                </w:tcPr>
                <w:p>
                  <w:pPr>
                    <w:pStyle w:val="42"/>
                  </w:pPr>
                  <w:r>
                    <w:t>采区</w:t>
                  </w:r>
                </w:p>
              </w:tc>
              <w:tc>
                <w:tcPr>
                  <w:tcW w:w="705" w:type="dxa"/>
                  <w:vAlign w:val="center"/>
                </w:tcPr>
                <w:p>
                  <w:pPr>
                    <w:pStyle w:val="42"/>
                  </w:pPr>
                  <w:r>
                    <w:rPr>
                      <w:rFonts w:hint="eastAsia"/>
                    </w:rPr>
                    <w:t>覆盖层剥离扬尘</w:t>
                  </w:r>
                </w:p>
              </w:tc>
              <w:tc>
                <w:tcPr>
                  <w:tcW w:w="983" w:type="dxa"/>
                  <w:gridSpan w:val="2"/>
                  <w:vAlign w:val="center"/>
                </w:tcPr>
                <w:p>
                  <w:pPr>
                    <w:pStyle w:val="42"/>
                  </w:pPr>
                  <w:r>
                    <w:t>颗粒物</w:t>
                  </w:r>
                </w:p>
              </w:tc>
              <w:tc>
                <w:tcPr>
                  <w:tcW w:w="704" w:type="dxa"/>
                  <w:vAlign w:val="center"/>
                </w:tcPr>
                <w:p>
                  <w:pPr>
                    <w:pStyle w:val="42"/>
                  </w:pPr>
                  <w:r>
                    <w:t>产污系数法</w:t>
                  </w:r>
                </w:p>
              </w:tc>
              <w:tc>
                <w:tcPr>
                  <w:tcW w:w="1011" w:type="dxa"/>
                  <w:vAlign w:val="center"/>
                </w:tcPr>
                <w:p>
                  <w:pPr>
                    <w:pStyle w:val="42"/>
                  </w:pPr>
                  <w:r>
                    <w:rPr>
                      <w:rFonts w:hint="eastAsia"/>
                      <w:color w:val="0000FF"/>
                    </w:rPr>
                    <w:t>0.135</w:t>
                  </w:r>
                </w:p>
              </w:tc>
              <w:tc>
                <w:tcPr>
                  <w:tcW w:w="1198" w:type="dxa"/>
                  <w:vAlign w:val="center"/>
                </w:tcPr>
                <w:p>
                  <w:pPr>
                    <w:pStyle w:val="42"/>
                  </w:pPr>
                  <w:r>
                    <w:t>/</w:t>
                  </w:r>
                </w:p>
              </w:tc>
              <w:tc>
                <w:tcPr>
                  <w:tcW w:w="899" w:type="dxa"/>
                  <w:vAlign w:val="center"/>
                </w:tcPr>
                <w:p>
                  <w:pPr>
                    <w:pStyle w:val="42"/>
                  </w:pPr>
                  <w:r>
                    <w:rPr>
                      <w:color w:val="0000FF"/>
                    </w:rPr>
                    <w:t>0.323</w:t>
                  </w:r>
                </w:p>
              </w:tc>
              <w:tc>
                <w:tcPr>
                  <w:tcW w:w="1100" w:type="dxa"/>
                  <w:vAlign w:val="center"/>
                </w:tcPr>
                <w:p>
                  <w:pPr>
                    <w:pStyle w:val="42"/>
                  </w:pPr>
                  <w:r>
                    <w:t>洒水降尘</w:t>
                  </w:r>
                </w:p>
              </w:tc>
              <w:tc>
                <w:tcPr>
                  <w:tcW w:w="824" w:type="dxa"/>
                  <w:vAlign w:val="center"/>
                </w:tcPr>
                <w:p>
                  <w:pPr>
                    <w:pStyle w:val="42"/>
                  </w:pPr>
                  <w:r>
                    <w:t>是</w:t>
                  </w:r>
                </w:p>
              </w:tc>
              <w:tc>
                <w:tcPr>
                  <w:tcW w:w="812" w:type="dxa"/>
                  <w:vAlign w:val="center"/>
                </w:tcPr>
                <w:p>
                  <w:pPr>
                    <w:pStyle w:val="42"/>
                  </w:pPr>
                  <w:r>
                    <w:t>60</w:t>
                  </w:r>
                </w:p>
              </w:tc>
              <w:tc>
                <w:tcPr>
                  <w:tcW w:w="698" w:type="dxa"/>
                  <w:vAlign w:val="center"/>
                </w:tcPr>
                <w:p>
                  <w:pPr>
                    <w:pStyle w:val="42"/>
                  </w:pPr>
                  <w:r>
                    <w:t>产污系数法</w:t>
                  </w:r>
                </w:p>
              </w:tc>
              <w:tc>
                <w:tcPr>
                  <w:tcW w:w="1011" w:type="dxa"/>
                  <w:vAlign w:val="center"/>
                </w:tcPr>
                <w:p>
                  <w:pPr>
                    <w:pStyle w:val="42"/>
                  </w:pPr>
                  <w:r>
                    <w:rPr>
                      <w:rFonts w:hint="eastAsia"/>
                      <w:color w:val="0000FF"/>
                    </w:rPr>
                    <w:t>0.054</w:t>
                  </w:r>
                </w:p>
              </w:tc>
              <w:tc>
                <w:tcPr>
                  <w:tcW w:w="1198" w:type="dxa"/>
                  <w:vAlign w:val="center"/>
                </w:tcPr>
                <w:p>
                  <w:pPr>
                    <w:pStyle w:val="42"/>
                  </w:pPr>
                  <w:r>
                    <w:t>/</w:t>
                  </w:r>
                </w:p>
              </w:tc>
              <w:tc>
                <w:tcPr>
                  <w:tcW w:w="846" w:type="dxa"/>
                  <w:vAlign w:val="center"/>
                </w:tcPr>
                <w:p>
                  <w:pPr>
                    <w:pStyle w:val="42"/>
                  </w:pPr>
                  <w:r>
                    <w:rPr>
                      <w:color w:val="0000FF"/>
                    </w:rPr>
                    <w:t>0.129</w:t>
                  </w:r>
                </w:p>
              </w:tc>
              <w:tc>
                <w:tcPr>
                  <w:tcW w:w="741" w:type="dxa"/>
                  <w:vAlign w:val="center"/>
                </w:tcPr>
                <w:p>
                  <w:pPr>
                    <w:pStyle w:val="42"/>
                  </w:pPr>
                  <w: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27" w:type="dxa"/>
                  <w:vMerge w:val="continue"/>
                  <w:vAlign w:val="center"/>
                </w:tcPr>
                <w:p>
                  <w:pPr>
                    <w:pStyle w:val="42"/>
                  </w:pPr>
                </w:p>
              </w:tc>
              <w:tc>
                <w:tcPr>
                  <w:tcW w:w="703" w:type="dxa"/>
                  <w:vMerge w:val="continue"/>
                  <w:vAlign w:val="center"/>
                </w:tcPr>
                <w:p>
                  <w:pPr>
                    <w:pStyle w:val="42"/>
                  </w:pPr>
                </w:p>
              </w:tc>
              <w:tc>
                <w:tcPr>
                  <w:tcW w:w="705" w:type="dxa"/>
                  <w:vAlign w:val="center"/>
                </w:tcPr>
                <w:p>
                  <w:pPr>
                    <w:pStyle w:val="42"/>
                  </w:pPr>
                  <w:r>
                    <w:t>钻孔粉尘</w:t>
                  </w:r>
                </w:p>
              </w:tc>
              <w:tc>
                <w:tcPr>
                  <w:tcW w:w="983" w:type="dxa"/>
                  <w:gridSpan w:val="2"/>
                  <w:vAlign w:val="center"/>
                </w:tcPr>
                <w:p>
                  <w:pPr>
                    <w:pStyle w:val="42"/>
                  </w:pPr>
                  <w:r>
                    <w:t>颗粒物</w:t>
                  </w:r>
                </w:p>
              </w:tc>
              <w:tc>
                <w:tcPr>
                  <w:tcW w:w="704" w:type="dxa"/>
                  <w:vAlign w:val="center"/>
                </w:tcPr>
                <w:p>
                  <w:pPr>
                    <w:pStyle w:val="42"/>
                  </w:pPr>
                  <w:r>
                    <w:t>产污系数法</w:t>
                  </w:r>
                </w:p>
              </w:tc>
              <w:tc>
                <w:tcPr>
                  <w:tcW w:w="1011" w:type="dxa"/>
                  <w:vAlign w:val="center"/>
                </w:tcPr>
                <w:p>
                  <w:pPr>
                    <w:pStyle w:val="42"/>
                  </w:pPr>
                  <w:r>
                    <w:rPr>
                      <w:rFonts w:hint="eastAsia"/>
                    </w:rPr>
                    <w:t>0</w:t>
                  </w:r>
                  <w:r>
                    <w:t>.85</w:t>
                  </w:r>
                </w:p>
              </w:tc>
              <w:tc>
                <w:tcPr>
                  <w:tcW w:w="1198" w:type="dxa"/>
                  <w:vAlign w:val="center"/>
                </w:tcPr>
                <w:p>
                  <w:pPr>
                    <w:pStyle w:val="42"/>
                  </w:pPr>
                  <w:r>
                    <w:t>/</w:t>
                  </w:r>
                </w:p>
              </w:tc>
              <w:tc>
                <w:tcPr>
                  <w:tcW w:w="899" w:type="dxa"/>
                  <w:vAlign w:val="center"/>
                </w:tcPr>
                <w:p>
                  <w:pPr>
                    <w:pStyle w:val="42"/>
                  </w:pPr>
                  <w:r>
                    <w:t>2.04</w:t>
                  </w:r>
                </w:p>
              </w:tc>
              <w:tc>
                <w:tcPr>
                  <w:tcW w:w="1100" w:type="dxa"/>
                  <w:vAlign w:val="center"/>
                </w:tcPr>
                <w:p>
                  <w:pPr>
                    <w:pStyle w:val="42"/>
                  </w:pPr>
                  <w:r>
                    <w:t>洒水降尘</w:t>
                  </w:r>
                  <w:r>
                    <w:rPr>
                      <w:rFonts w:hint="eastAsia"/>
                    </w:rPr>
                    <w:t>，钻机自带收尘</w:t>
                  </w:r>
                </w:p>
              </w:tc>
              <w:tc>
                <w:tcPr>
                  <w:tcW w:w="824" w:type="dxa"/>
                  <w:vAlign w:val="center"/>
                </w:tcPr>
                <w:p>
                  <w:pPr>
                    <w:pStyle w:val="42"/>
                  </w:pPr>
                  <w:r>
                    <w:t>是</w:t>
                  </w:r>
                </w:p>
              </w:tc>
              <w:tc>
                <w:tcPr>
                  <w:tcW w:w="812" w:type="dxa"/>
                  <w:vAlign w:val="center"/>
                </w:tcPr>
                <w:p>
                  <w:pPr>
                    <w:pStyle w:val="42"/>
                  </w:pPr>
                  <w:r>
                    <w:rPr>
                      <w:rFonts w:hint="eastAsia"/>
                    </w:rPr>
                    <w:t>8</w:t>
                  </w:r>
                  <w:r>
                    <w:t>0</w:t>
                  </w:r>
                </w:p>
              </w:tc>
              <w:tc>
                <w:tcPr>
                  <w:tcW w:w="698" w:type="dxa"/>
                  <w:vAlign w:val="center"/>
                </w:tcPr>
                <w:p>
                  <w:pPr>
                    <w:pStyle w:val="42"/>
                  </w:pPr>
                  <w:r>
                    <w:t>产污系数法</w:t>
                  </w:r>
                </w:p>
              </w:tc>
              <w:tc>
                <w:tcPr>
                  <w:tcW w:w="1011" w:type="dxa"/>
                  <w:vAlign w:val="center"/>
                </w:tcPr>
                <w:p>
                  <w:pPr>
                    <w:pStyle w:val="42"/>
                  </w:pPr>
                  <w:r>
                    <w:rPr>
                      <w:rFonts w:hint="eastAsia"/>
                    </w:rPr>
                    <w:t>0.</w:t>
                  </w:r>
                  <w:r>
                    <w:t>17</w:t>
                  </w:r>
                </w:p>
              </w:tc>
              <w:tc>
                <w:tcPr>
                  <w:tcW w:w="1198" w:type="dxa"/>
                  <w:vAlign w:val="center"/>
                </w:tcPr>
                <w:p>
                  <w:pPr>
                    <w:pStyle w:val="42"/>
                  </w:pPr>
                  <w:r>
                    <w:t>/</w:t>
                  </w:r>
                </w:p>
              </w:tc>
              <w:tc>
                <w:tcPr>
                  <w:tcW w:w="846" w:type="dxa"/>
                  <w:vAlign w:val="center"/>
                </w:tcPr>
                <w:p>
                  <w:pPr>
                    <w:pStyle w:val="42"/>
                  </w:pPr>
                  <w:r>
                    <w:t>0.408</w:t>
                  </w:r>
                </w:p>
              </w:tc>
              <w:tc>
                <w:tcPr>
                  <w:tcW w:w="741" w:type="dxa"/>
                  <w:vAlign w:val="center"/>
                </w:tcPr>
                <w:p>
                  <w:pPr>
                    <w:pStyle w:val="42"/>
                  </w:pPr>
                  <w:r>
                    <w:rPr>
                      <w:rFonts w:hint="eastAsia"/>
                    </w:rPr>
                    <w:t>240</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27" w:type="dxa"/>
                  <w:vMerge w:val="continue"/>
                  <w:vAlign w:val="center"/>
                </w:tcPr>
                <w:p>
                  <w:pPr>
                    <w:pStyle w:val="42"/>
                  </w:pPr>
                </w:p>
              </w:tc>
              <w:tc>
                <w:tcPr>
                  <w:tcW w:w="703" w:type="dxa"/>
                  <w:vMerge w:val="continue"/>
                  <w:vAlign w:val="center"/>
                </w:tcPr>
                <w:p>
                  <w:pPr>
                    <w:pStyle w:val="42"/>
                  </w:pPr>
                </w:p>
              </w:tc>
              <w:tc>
                <w:tcPr>
                  <w:tcW w:w="705" w:type="dxa"/>
                  <w:vAlign w:val="center"/>
                </w:tcPr>
                <w:p>
                  <w:pPr>
                    <w:pStyle w:val="42"/>
                  </w:pPr>
                  <w:r>
                    <w:t>爆破粉尘</w:t>
                  </w:r>
                </w:p>
              </w:tc>
              <w:tc>
                <w:tcPr>
                  <w:tcW w:w="983" w:type="dxa"/>
                  <w:gridSpan w:val="2"/>
                  <w:vAlign w:val="center"/>
                </w:tcPr>
                <w:p>
                  <w:pPr>
                    <w:pStyle w:val="42"/>
                  </w:pPr>
                  <w:r>
                    <w:t>颗粒物</w:t>
                  </w:r>
                </w:p>
              </w:tc>
              <w:tc>
                <w:tcPr>
                  <w:tcW w:w="704" w:type="dxa"/>
                  <w:vAlign w:val="center"/>
                </w:tcPr>
                <w:p>
                  <w:pPr>
                    <w:pStyle w:val="42"/>
                  </w:pPr>
                  <w:r>
                    <w:t>产污系数法</w:t>
                  </w:r>
                </w:p>
              </w:tc>
              <w:tc>
                <w:tcPr>
                  <w:tcW w:w="1011" w:type="dxa"/>
                  <w:vAlign w:val="center"/>
                </w:tcPr>
                <w:p>
                  <w:pPr>
                    <w:pStyle w:val="42"/>
                  </w:pPr>
                  <w:r>
                    <w:rPr>
                      <w:rFonts w:hint="eastAsia"/>
                    </w:rPr>
                    <w:t>/</w:t>
                  </w:r>
                </w:p>
              </w:tc>
              <w:tc>
                <w:tcPr>
                  <w:tcW w:w="1198" w:type="dxa"/>
                  <w:vAlign w:val="center"/>
                </w:tcPr>
                <w:p>
                  <w:pPr>
                    <w:pStyle w:val="42"/>
                  </w:pPr>
                  <w:r>
                    <w:t>/</w:t>
                  </w:r>
                </w:p>
              </w:tc>
              <w:tc>
                <w:tcPr>
                  <w:tcW w:w="899" w:type="dxa"/>
                  <w:vAlign w:val="center"/>
                </w:tcPr>
                <w:p>
                  <w:pPr>
                    <w:pStyle w:val="42"/>
                  </w:pPr>
                  <w:r>
                    <w:t>0.726</w:t>
                  </w:r>
                </w:p>
              </w:tc>
              <w:tc>
                <w:tcPr>
                  <w:tcW w:w="1100" w:type="dxa"/>
                  <w:vAlign w:val="center"/>
                </w:tcPr>
                <w:p>
                  <w:pPr>
                    <w:pStyle w:val="42"/>
                  </w:pPr>
                  <w:r>
                    <w:t>洒水抑尘、棕垫覆盖</w:t>
                  </w:r>
                </w:p>
              </w:tc>
              <w:tc>
                <w:tcPr>
                  <w:tcW w:w="824" w:type="dxa"/>
                  <w:vAlign w:val="center"/>
                </w:tcPr>
                <w:p>
                  <w:pPr>
                    <w:pStyle w:val="42"/>
                  </w:pPr>
                  <w:r>
                    <w:t>是</w:t>
                  </w:r>
                </w:p>
              </w:tc>
              <w:tc>
                <w:tcPr>
                  <w:tcW w:w="812" w:type="dxa"/>
                  <w:vAlign w:val="center"/>
                </w:tcPr>
                <w:p>
                  <w:pPr>
                    <w:pStyle w:val="42"/>
                  </w:pPr>
                  <w:r>
                    <w:rPr>
                      <w:rFonts w:hint="eastAsia"/>
                    </w:rPr>
                    <w:t>80</w:t>
                  </w:r>
                </w:p>
              </w:tc>
              <w:tc>
                <w:tcPr>
                  <w:tcW w:w="698" w:type="dxa"/>
                  <w:vAlign w:val="center"/>
                </w:tcPr>
                <w:p>
                  <w:pPr>
                    <w:pStyle w:val="42"/>
                  </w:pPr>
                  <w:r>
                    <w:t>产污系数法</w:t>
                  </w:r>
                </w:p>
              </w:tc>
              <w:tc>
                <w:tcPr>
                  <w:tcW w:w="1011" w:type="dxa"/>
                  <w:vAlign w:val="center"/>
                </w:tcPr>
                <w:p>
                  <w:pPr>
                    <w:pStyle w:val="42"/>
                  </w:pPr>
                  <w:r>
                    <w:rPr>
                      <w:rFonts w:hint="eastAsia"/>
                    </w:rPr>
                    <w:t>/</w:t>
                  </w:r>
                </w:p>
              </w:tc>
              <w:tc>
                <w:tcPr>
                  <w:tcW w:w="1198" w:type="dxa"/>
                  <w:vAlign w:val="center"/>
                </w:tcPr>
                <w:p>
                  <w:pPr>
                    <w:pStyle w:val="42"/>
                  </w:pPr>
                  <w:r>
                    <w:t>/</w:t>
                  </w:r>
                </w:p>
              </w:tc>
              <w:tc>
                <w:tcPr>
                  <w:tcW w:w="846" w:type="dxa"/>
                  <w:vAlign w:val="center"/>
                </w:tcPr>
                <w:p>
                  <w:pPr>
                    <w:pStyle w:val="42"/>
                  </w:pPr>
                  <w:r>
                    <w:t>0.145</w:t>
                  </w:r>
                </w:p>
              </w:tc>
              <w:tc>
                <w:tcPr>
                  <w:tcW w:w="741" w:type="dxa"/>
                  <w:vAlign w:val="center"/>
                </w:tcPr>
                <w:p>
                  <w:pPr>
                    <w:pStyle w:val="42"/>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27" w:type="dxa"/>
                  <w:vMerge w:val="continue"/>
                  <w:vAlign w:val="center"/>
                </w:tcPr>
                <w:p>
                  <w:pPr>
                    <w:pStyle w:val="42"/>
                  </w:pPr>
                </w:p>
              </w:tc>
              <w:tc>
                <w:tcPr>
                  <w:tcW w:w="703" w:type="dxa"/>
                  <w:vMerge w:val="continue"/>
                  <w:vAlign w:val="center"/>
                </w:tcPr>
                <w:p>
                  <w:pPr>
                    <w:pStyle w:val="42"/>
                  </w:pPr>
                </w:p>
              </w:tc>
              <w:tc>
                <w:tcPr>
                  <w:tcW w:w="705" w:type="dxa"/>
                  <w:vAlign w:val="center"/>
                </w:tcPr>
                <w:p>
                  <w:pPr>
                    <w:pStyle w:val="42"/>
                  </w:pPr>
                  <w:r>
                    <w:t>铲装扬尘</w:t>
                  </w:r>
                </w:p>
              </w:tc>
              <w:tc>
                <w:tcPr>
                  <w:tcW w:w="983" w:type="dxa"/>
                  <w:gridSpan w:val="2"/>
                  <w:vAlign w:val="center"/>
                </w:tcPr>
                <w:p>
                  <w:pPr>
                    <w:pStyle w:val="42"/>
                  </w:pPr>
                  <w:r>
                    <w:t>颗粒物</w:t>
                  </w:r>
                </w:p>
              </w:tc>
              <w:tc>
                <w:tcPr>
                  <w:tcW w:w="704" w:type="dxa"/>
                  <w:vAlign w:val="center"/>
                </w:tcPr>
                <w:p>
                  <w:pPr>
                    <w:pStyle w:val="42"/>
                  </w:pPr>
                  <w:r>
                    <w:t>产污系数法</w:t>
                  </w:r>
                </w:p>
              </w:tc>
              <w:tc>
                <w:tcPr>
                  <w:tcW w:w="1011" w:type="dxa"/>
                  <w:vAlign w:val="center"/>
                </w:tcPr>
                <w:p>
                  <w:pPr>
                    <w:pStyle w:val="42"/>
                  </w:pPr>
                  <w:r>
                    <w:rPr>
                      <w:rFonts w:hint="eastAsia"/>
                    </w:rPr>
                    <w:t>5</w:t>
                  </w:r>
                  <w:r>
                    <w:t>.313</w:t>
                  </w:r>
                </w:p>
              </w:tc>
              <w:tc>
                <w:tcPr>
                  <w:tcW w:w="1198" w:type="dxa"/>
                  <w:vAlign w:val="center"/>
                </w:tcPr>
                <w:p>
                  <w:pPr>
                    <w:pStyle w:val="42"/>
                  </w:pPr>
                  <w:r>
                    <w:t>/</w:t>
                  </w:r>
                </w:p>
              </w:tc>
              <w:tc>
                <w:tcPr>
                  <w:tcW w:w="899" w:type="dxa"/>
                  <w:vAlign w:val="center"/>
                </w:tcPr>
                <w:p>
                  <w:pPr>
                    <w:pStyle w:val="42"/>
                  </w:pPr>
                  <w:r>
                    <w:t>12.75</w:t>
                  </w:r>
                </w:p>
              </w:tc>
              <w:tc>
                <w:tcPr>
                  <w:tcW w:w="1100" w:type="dxa"/>
                  <w:vAlign w:val="center"/>
                </w:tcPr>
                <w:p>
                  <w:pPr>
                    <w:pStyle w:val="42"/>
                  </w:pPr>
                  <w:r>
                    <w:t>洒水降尘</w:t>
                  </w:r>
                </w:p>
              </w:tc>
              <w:tc>
                <w:tcPr>
                  <w:tcW w:w="824" w:type="dxa"/>
                  <w:vAlign w:val="center"/>
                </w:tcPr>
                <w:p>
                  <w:pPr>
                    <w:pStyle w:val="42"/>
                  </w:pPr>
                  <w:r>
                    <w:t>是</w:t>
                  </w:r>
                </w:p>
              </w:tc>
              <w:tc>
                <w:tcPr>
                  <w:tcW w:w="812" w:type="dxa"/>
                  <w:vAlign w:val="center"/>
                </w:tcPr>
                <w:p>
                  <w:pPr>
                    <w:pStyle w:val="42"/>
                  </w:pPr>
                  <w:r>
                    <w:rPr>
                      <w:rFonts w:hint="eastAsia"/>
                    </w:rPr>
                    <w:t>80</w:t>
                  </w:r>
                </w:p>
              </w:tc>
              <w:tc>
                <w:tcPr>
                  <w:tcW w:w="698" w:type="dxa"/>
                  <w:vAlign w:val="center"/>
                </w:tcPr>
                <w:p>
                  <w:pPr>
                    <w:pStyle w:val="42"/>
                  </w:pPr>
                  <w:r>
                    <w:t>产污系数法</w:t>
                  </w:r>
                </w:p>
              </w:tc>
              <w:tc>
                <w:tcPr>
                  <w:tcW w:w="1011" w:type="dxa"/>
                  <w:vAlign w:val="center"/>
                </w:tcPr>
                <w:p>
                  <w:pPr>
                    <w:pStyle w:val="42"/>
                  </w:pPr>
                  <w:r>
                    <w:rPr>
                      <w:rFonts w:hint="eastAsia"/>
                    </w:rPr>
                    <w:t>1</w:t>
                  </w:r>
                  <w:r>
                    <w:t>.042</w:t>
                  </w:r>
                </w:p>
              </w:tc>
              <w:tc>
                <w:tcPr>
                  <w:tcW w:w="1198" w:type="dxa"/>
                  <w:vAlign w:val="center"/>
                </w:tcPr>
                <w:p>
                  <w:pPr>
                    <w:pStyle w:val="42"/>
                  </w:pPr>
                  <w:r>
                    <w:t>/</w:t>
                  </w:r>
                </w:p>
              </w:tc>
              <w:tc>
                <w:tcPr>
                  <w:tcW w:w="846" w:type="dxa"/>
                  <w:vAlign w:val="center"/>
                </w:tcPr>
                <w:p>
                  <w:pPr>
                    <w:pStyle w:val="42"/>
                  </w:pPr>
                  <w:r>
                    <w:t>2.5</w:t>
                  </w:r>
                  <w:r>
                    <w:rPr>
                      <w:rFonts w:hint="eastAsia"/>
                    </w:rPr>
                    <w:t>5</w:t>
                  </w:r>
                </w:p>
              </w:tc>
              <w:tc>
                <w:tcPr>
                  <w:tcW w:w="741" w:type="dxa"/>
                  <w:vAlign w:val="center"/>
                </w:tcPr>
                <w:p>
                  <w:pPr>
                    <w:pStyle w:val="42"/>
                  </w:pPr>
                  <w:r>
                    <w:rPr>
                      <w:rFonts w:hint="eastAsia"/>
                    </w:rPr>
                    <w:t>240</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27" w:type="dxa"/>
                  <w:vMerge w:val="continue"/>
                  <w:vAlign w:val="center"/>
                </w:tcPr>
                <w:p>
                  <w:pPr>
                    <w:pStyle w:val="42"/>
                  </w:pPr>
                </w:p>
              </w:tc>
              <w:tc>
                <w:tcPr>
                  <w:tcW w:w="703" w:type="dxa"/>
                  <w:vMerge w:val="continue"/>
                  <w:vAlign w:val="center"/>
                </w:tcPr>
                <w:p>
                  <w:pPr>
                    <w:pStyle w:val="42"/>
                  </w:pPr>
                </w:p>
              </w:tc>
              <w:tc>
                <w:tcPr>
                  <w:tcW w:w="705" w:type="dxa"/>
                  <w:vAlign w:val="center"/>
                </w:tcPr>
                <w:p>
                  <w:pPr>
                    <w:pStyle w:val="42"/>
                  </w:pPr>
                  <w:r>
                    <w:rPr>
                      <w:rFonts w:hint="eastAsia"/>
                    </w:rPr>
                    <w:t>爆破废气</w:t>
                  </w:r>
                </w:p>
              </w:tc>
              <w:tc>
                <w:tcPr>
                  <w:tcW w:w="983" w:type="dxa"/>
                  <w:gridSpan w:val="2"/>
                  <w:vAlign w:val="center"/>
                </w:tcPr>
                <w:p>
                  <w:pPr>
                    <w:pStyle w:val="42"/>
                  </w:pPr>
                  <w:r>
                    <w:rPr>
                      <w:rFonts w:hint="eastAsia"/>
                    </w:rPr>
                    <w:t>NO</w:t>
                  </w:r>
                  <w:r>
                    <w:rPr>
                      <w:rFonts w:hint="eastAsia"/>
                      <w:vertAlign w:val="subscript"/>
                    </w:rPr>
                    <w:t>2</w:t>
                  </w:r>
                  <w:r>
                    <w:rPr>
                      <w:rFonts w:hint="eastAsia"/>
                    </w:rPr>
                    <w:t>、CO</w:t>
                  </w:r>
                </w:p>
              </w:tc>
              <w:tc>
                <w:tcPr>
                  <w:tcW w:w="704" w:type="dxa"/>
                  <w:vAlign w:val="center"/>
                </w:tcPr>
                <w:p>
                  <w:pPr>
                    <w:pStyle w:val="42"/>
                  </w:pPr>
                  <w:r>
                    <w:t>/</w:t>
                  </w:r>
                </w:p>
              </w:tc>
              <w:tc>
                <w:tcPr>
                  <w:tcW w:w="1011" w:type="dxa"/>
                  <w:vAlign w:val="center"/>
                </w:tcPr>
                <w:p>
                  <w:pPr>
                    <w:pStyle w:val="42"/>
                  </w:pPr>
                  <w:r>
                    <w:t>/</w:t>
                  </w:r>
                </w:p>
              </w:tc>
              <w:tc>
                <w:tcPr>
                  <w:tcW w:w="1198" w:type="dxa"/>
                  <w:vAlign w:val="center"/>
                </w:tcPr>
                <w:p>
                  <w:pPr>
                    <w:pStyle w:val="42"/>
                  </w:pPr>
                  <w:r>
                    <w:t>/</w:t>
                  </w:r>
                </w:p>
              </w:tc>
              <w:tc>
                <w:tcPr>
                  <w:tcW w:w="899" w:type="dxa"/>
                  <w:vAlign w:val="center"/>
                </w:tcPr>
                <w:p>
                  <w:pPr>
                    <w:pStyle w:val="42"/>
                  </w:pPr>
                  <w:r>
                    <w:t>少量</w:t>
                  </w:r>
                </w:p>
              </w:tc>
              <w:tc>
                <w:tcPr>
                  <w:tcW w:w="1100" w:type="dxa"/>
                  <w:vAlign w:val="center"/>
                </w:tcPr>
                <w:p>
                  <w:pPr>
                    <w:pStyle w:val="42"/>
                  </w:pPr>
                  <w:r>
                    <w:t>/</w:t>
                  </w:r>
                </w:p>
              </w:tc>
              <w:tc>
                <w:tcPr>
                  <w:tcW w:w="824" w:type="dxa"/>
                  <w:vAlign w:val="center"/>
                </w:tcPr>
                <w:p>
                  <w:pPr>
                    <w:pStyle w:val="42"/>
                  </w:pPr>
                  <w:r>
                    <w:t>/</w:t>
                  </w:r>
                </w:p>
              </w:tc>
              <w:tc>
                <w:tcPr>
                  <w:tcW w:w="812" w:type="dxa"/>
                  <w:vAlign w:val="center"/>
                </w:tcPr>
                <w:p>
                  <w:pPr>
                    <w:pStyle w:val="42"/>
                  </w:pPr>
                  <w:r>
                    <w:t>/</w:t>
                  </w:r>
                </w:p>
              </w:tc>
              <w:tc>
                <w:tcPr>
                  <w:tcW w:w="698" w:type="dxa"/>
                  <w:vAlign w:val="center"/>
                </w:tcPr>
                <w:p>
                  <w:pPr>
                    <w:pStyle w:val="42"/>
                  </w:pPr>
                  <w:r>
                    <w:t>/</w:t>
                  </w:r>
                </w:p>
              </w:tc>
              <w:tc>
                <w:tcPr>
                  <w:tcW w:w="1011" w:type="dxa"/>
                  <w:vAlign w:val="center"/>
                </w:tcPr>
                <w:p>
                  <w:pPr>
                    <w:pStyle w:val="42"/>
                  </w:pPr>
                  <w:r>
                    <w:t>/</w:t>
                  </w:r>
                </w:p>
              </w:tc>
              <w:tc>
                <w:tcPr>
                  <w:tcW w:w="1198" w:type="dxa"/>
                  <w:vAlign w:val="center"/>
                </w:tcPr>
                <w:p>
                  <w:pPr>
                    <w:pStyle w:val="42"/>
                  </w:pPr>
                  <w:r>
                    <w:t>/</w:t>
                  </w:r>
                </w:p>
              </w:tc>
              <w:tc>
                <w:tcPr>
                  <w:tcW w:w="846" w:type="dxa"/>
                  <w:vAlign w:val="center"/>
                </w:tcPr>
                <w:p>
                  <w:pPr>
                    <w:pStyle w:val="42"/>
                    <w:rPr>
                      <w:rFonts w:eastAsia="等线"/>
                    </w:rPr>
                  </w:pPr>
                  <w:r>
                    <w:t>少量</w:t>
                  </w:r>
                </w:p>
              </w:tc>
              <w:tc>
                <w:tcPr>
                  <w:tcW w:w="741" w:type="dxa"/>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27" w:type="dxa"/>
                  <w:vMerge w:val="continue"/>
                  <w:vAlign w:val="center"/>
                </w:tcPr>
                <w:p>
                  <w:pPr>
                    <w:pStyle w:val="42"/>
                  </w:pPr>
                </w:p>
              </w:tc>
              <w:tc>
                <w:tcPr>
                  <w:tcW w:w="703" w:type="dxa"/>
                  <w:vMerge w:val="continue"/>
                  <w:vAlign w:val="center"/>
                </w:tcPr>
                <w:p>
                  <w:pPr>
                    <w:pStyle w:val="42"/>
                  </w:pPr>
                </w:p>
              </w:tc>
              <w:tc>
                <w:tcPr>
                  <w:tcW w:w="705" w:type="dxa"/>
                  <w:vAlign w:val="center"/>
                </w:tcPr>
                <w:p>
                  <w:pPr>
                    <w:pStyle w:val="42"/>
                  </w:pPr>
                  <w:r>
                    <w:t>燃油废气</w:t>
                  </w:r>
                </w:p>
              </w:tc>
              <w:tc>
                <w:tcPr>
                  <w:tcW w:w="983" w:type="dxa"/>
                  <w:gridSpan w:val="2"/>
                  <w:vAlign w:val="center"/>
                </w:tcPr>
                <w:p>
                  <w:pPr>
                    <w:pStyle w:val="42"/>
                  </w:pPr>
                  <w:r>
                    <w:t>CH</w:t>
                  </w:r>
                  <w:r>
                    <w:rPr>
                      <w:vertAlign w:val="subscript"/>
                    </w:rPr>
                    <w:t>4</w:t>
                  </w:r>
                  <w:r>
                    <w:t>、NOx、CO</w:t>
                  </w:r>
                </w:p>
              </w:tc>
              <w:tc>
                <w:tcPr>
                  <w:tcW w:w="704" w:type="dxa"/>
                  <w:vAlign w:val="center"/>
                </w:tcPr>
                <w:p>
                  <w:pPr>
                    <w:pStyle w:val="42"/>
                  </w:pPr>
                  <w:r>
                    <w:t>/</w:t>
                  </w:r>
                </w:p>
              </w:tc>
              <w:tc>
                <w:tcPr>
                  <w:tcW w:w="1011" w:type="dxa"/>
                  <w:vAlign w:val="center"/>
                </w:tcPr>
                <w:p>
                  <w:pPr>
                    <w:pStyle w:val="42"/>
                  </w:pPr>
                  <w:r>
                    <w:t>/</w:t>
                  </w:r>
                </w:p>
              </w:tc>
              <w:tc>
                <w:tcPr>
                  <w:tcW w:w="1198" w:type="dxa"/>
                  <w:vAlign w:val="center"/>
                </w:tcPr>
                <w:p>
                  <w:pPr>
                    <w:pStyle w:val="42"/>
                  </w:pPr>
                  <w:r>
                    <w:t>/</w:t>
                  </w:r>
                </w:p>
              </w:tc>
              <w:tc>
                <w:tcPr>
                  <w:tcW w:w="899" w:type="dxa"/>
                  <w:vAlign w:val="center"/>
                </w:tcPr>
                <w:p>
                  <w:pPr>
                    <w:pStyle w:val="42"/>
                  </w:pPr>
                  <w:r>
                    <w:t>少量</w:t>
                  </w:r>
                </w:p>
              </w:tc>
              <w:tc>
                <w:tcPr>
                  <w:tcW w:w="1100" w:type="dxa"/>
                  <w:vAlign w:val="center"/>
                </w:tcPr>
                <w:p>
                  <w:pPr>
                    <w:pStyle w:val="42"/>
                  </w:pPr>
                  <w:r>
                    <w:t>/</w:t>
                  </w:r>
                </w:p>
              </w:tc>
              <w:tc>
                <w:tcPr>
                  <w:tcW w:w="824" w:type="dxa"/>
                  <w:vAlign w:val="center"/>
                </w:tcPr>
                <w:p>
                  <w:pPr>
                    <w:pStyle w:val="42"/>
                  </w:pPr>
                  <w:r>
                    <w:t>/</w:t>
                  </w:r>
                </w:p>
              </w:tc>
              <w:tc>
                <w:tcPr>
                  <w:tcW w:w="812" w:type="dxa"/>
                  <w:vAlign w:val="center"/>
                </w:tcPr>
                <w:p>
                  <w:pPr>
                    <w:pStyle w:val="42"/>
                  </w:pPr>
                  <w:r>
                    <w:t>/</w:t>
                  </w:r>
                </w:p>
              </w:tc>
              <w:tc>
                <w:tcPr>
                  <w:tcW w:w="698" w:type="dxa"/>
                  <w:vAlign w:val="center"/>
                </w:tcPr>
                <w:p>
                  <w:pPr>
                    <w:pStyle w:val="42"/>
                  </w:pPr>
                  <w:r>
                    <w:t>/</w:t>
                  </w:r>
                </w:p>
              </w:tc>
              <w:tc>
                <w:tcPr>
                  <w:tcW w:w="1011" w:type="dxa"/>
                  <w:vAlign w:val="center"/>
                </w:tcPr>
                <w:p>
                  <w:pPr>
                    <w:pStyle w:val="42"/>
                  </w:pPr>
                  <w:r>
                    <w:t>/</w:t>
                  </w:r>
                </w:p>
              </w:tc>
              <w:tc>
                <w:tcPr>
                  <w:tcW w:w="1198" w:type="dxa"/>
                  <w:vAlign w:val="center"/>
                </w:tcPr>
                <w:p>
                  <w:pPr>
                    <w:pStyle w:val="42"/>
                  </w:pPr>
                  <w:r>
                    <w:t>/</w:t>
                  </w:r>
                </w:p>
              </w:tc>
              <w:tc>
                <w:tcPr>
                  <w:tcW w:w="846" w:type="dxa"/>
                  <w:vAlign w:val="center"/>
                </w:tcPr>
                <w:p>
                  <w:pPr>
                    <w:pStyle w:val="42"/>
                    <w:rPr>
                      <w:rFonts w:eastAsia="等线"/>
                    </w:rPr>
                  </w:pPr>
                  <w:r>
                    <w:t>少量</w:t>
                  </w:r>
                </w:p>
              </w:tc>
              <w:tc>
                <w:tcPr>
                  <w:tcW w:w="741" w:type="dxa"/>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27" w:type="dxa"/>
                  <w:vAlign w:val="center"/>
                </w:tcPr>
                <w:p>
                  <w:pPr>
                    <w:pStyle w:val="42"/>
                  </w:pPr>
                  <w:r>
                    <w:t>/</w:t>
                  </w:r>
                </w:p>
              </w:tc>
              <w:tc>
                <w:tcPr>
                  <w:tcW w:w="703" w:type="dxa"/>
                  <w:vAlign w:val="center"/>
                </w:tcPr>
                <w:p>
                  <w:pPr>
                    <w:pStyle w:val="42"/>
                  </w:pPr>
                  <w:r>
                    <w:t>采区、排土场</w:t>
                  </w:r>
                </w:p>
              </w:tc>
              <w:tc>
                <w:tcPr>
                  <w:tcW w:w="705" w:type="dxa"/>
                  <w:vAlign w:val="center"/>
                </w:tcPr>
                <w:p>
                  <w:pPr>
                    <w:pStyle w:val="42"/>
                  </w:pPr>
                  <w:r>
                    <w:t>风力扬尘</w:t>
                  </w:r>
                </w:p>
              </w:tc>
              <w:tc>
                <w:tcPr>
                  <w:tcW w:w="983" w:type="dxa"/>
                  <w:gridSpan w:val="2"/>
                  <w:vAlign w:val="center"/>
                </w:tcPr>
                <w:p>
                  <w:pPr>
                    <w:pStyle w:val="42"/>
                  </w:pPr>
                  <w:r>
                    <w:t>颗粒物</w:t>
                  </w:r>
                </w:p>
              </w:tc>
              <w:tc>
                <w:tcPr>
                  <w:tcW w:w="704" w:type="dxa"/>
                  <w:vAlign w:val="center"/>
                </w:tcPr>
                <w:p>
                  <w:pPr>
                    <w:pStyle w:val="42"/>
                  </w:pPr>
                  <w:r>
                    <w:t>产污系数法</w:t>
                  </w:r>
                </w:p>
              </w:tc>
              <w:tc>
                <w:tcPr>
                  <w:tcW w:w="1011" w:type="dxa"/>
                  <w:vAlign w:val="center"/>
                </w:tcPr>
                <w:p>
                  <w:pPr>
                    <w:pStyle w:val="42"/>
                  </w:pPr>
                  <w:r>
                    <w:rPr>
                      <w:rFonts w:hint="eastAsia"/>
                    </w:rPr>
                    <w:t>0.217</w:t>
                  </w:r>
                </w:p>
              </w:tc>
              <w:tc>
                <w:tcPr>
                  <w:tcW w:w="1198" w:type="dxa"/>
                  <w:vAlign w:val="center"/>
                </w:tcPr>
                <w:p>
                  <w:pPr>
                    <w:pStyle w:val="42"/>
                  </w:pPr>
                  <w:r>
                    <w:t>/</w:t>
                  </w:r>
                </w:p>
              </w:tc>
              <w:tc>
                <w:tcPr>
                  <w:tcW w:w="899" w:type="dxa"/>
                  <w:vAlign w:val="center"/>
                </w:tcPr>
                <w:p>
                  <w:pPr>
                    <w:pStyle w:val="42"/>
                  </w:pPr>
                  <w:r>
                    <w:t>1.898</w:t>
                  </w:r>
                </w:p>
              </w:tc>
              <w:tc>
                <w:tcPr>
                  <w:tcW w:w="1100" w:type="dxa"/>
                  <w:vAlign w:val="center"/>
                </w:tcPr>
                <w:p>
                  <w:pPr>
                    <w:pStyle w:val="42"/>
                  </w:pPr>
                  <w:r>
                    <w:t>洒水降尘、排土场露土帆布覆盖</w:t>
                  </w:r>
                </w:p>
              </w:tc>
              <w:tc>
                <w:tcPr>
                  <w:tcW w:w="824" w:type="dxa"/>
                  <w:vAlign w:val="center"/>
                </w:tcPr>
                <w:p>
                  <w:pPr>
                    <w:pStyle w:val="42"/>
                  </w:pPr>
                  <w:r>
                    <w:t>是</w:t>
                  </w:r>
                </w:p>
              </w:tc>
              <w:tc>
                <w:tcPr>
                  <w:tcW w:w="812" w:type="dxa"/>
                  <w:vAlign w:val="center"/>
                </w:tcPr>
                <w:p>
                  <w:pPr>
                    <w:pStyle w:val="42"/>
                  </w:pPr>
                  <w:r>
                    <w:t>80</w:t>
                  </w:r>
                </w:p>
              </w:tc>
              <w:tc>
                <w:tcPr>
                  <w:tcW w:w="698" w:type="dxa"/>
                  <w:vAlign w:val="center"/>
                </w:tcPr>
                <w:p>
                  <w:pPr>
                    <w:pStyle w:val="42"/>
                  </w:pPr>
                  <w:r>
                    <w:t>产污系数法</w:t>
                  </w:r>
                </w:p>
              </w:tc>
              <w:tc>
                <w:tcPr>
                  <w:tcW w:w="1011" w:type="dxa"/>
                  <w:vAlign w:val="center"/>
                </w:tcPr>
                <w:p>
                  <w:pPr>
                    <w:pStyle w:val="42"/>
                  </w:pPr>
                  <w:r>
                    <w:t>0.0</w:t>
                  </w:r>
                  <w:r>
                    <w:rPr>
                      <w:rFonts w:hint="eastAsia"/>
                    </w:rPr>
                    <w:t>43</w:t>
                  </w:r>
                </w:p>
              </w:tc>
              <w:tc>
                <w:tcPr>
                  <w:tcW w:w="1198" w:type="dxa"/>
                  <w:vAlign w:val="center"/>
                </w:tcPr>
                <w:p>
                  <w:pPr>
                    <w:pStyle w:val="42"/>
                  </w:pPr>
                  <w:r>
                    <w:t>/</w:t>
                  </w:r>
                </w:p>
              </w:tc>
              <w:tc>
                <w:tcPr>
                  <w:tcW w:w="846" w:type="dxa"/>
                  <w:vAlign w:val="center"/>
                </w:tcPr>
                <w:p>
                  <w:pPr>
                    <w:pStyle w:val="42"/>
                    <w:rPr>
                      <w:rFonts w:eastAsia="等线"/>
                    </w:rPr>
                  </w:pPr>
                  <w:r>
                    <w:t>0.380</w:t>
                  </w:r>
                </w:p>
              </w:tc>
              <w:tc>
                <w:tcPr>
                  <w:tcW w:w="741" w:type="dxa"/>
                  <w:vAlign w:val="center"/>
                </w:tcPr>
                <w:p>
                  <w:pPr>
                    <w:pStyle w:val="42"/>
                  </w:pPr>
                  <w: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27" w:type="dxa"/>
                  <w:vAlign w:val="center"/>
                </w:tcPr>
                <w:p>
                  <w:pPr>
                    <w:pStyle w:val="42"/>
                  </w:pPr>
                  <w:r>
                    <w:t>场内毛石料运输</w:t>
                  </w:r>
                </w:p>
              </w:tc>
              <w:tc>
                <w:tcPr>
                  <w:tcW w:w="703" w:type="dxa"/>
                  <w:vAlign w:val="center"/>
                </w:tcPr>
                <w:p>
                  <w:pPr>
                    <w:pStyle w:val="42"/>
                  </w:pPr>
                  <w:r>
                    <w:t>场内运输道路</w:t>
                  </w:r>
                </w:p>
              </w:tc>
              <w:tc>
                <w:tcPr>
                  <w:tcW w:w="705" w:type="dxa"/>
                  <w:vAlign w:val="center"/>
                </w:tcPr>
                <w:p>
                  <w:pPr>
                    <w:pStyle w:val="42"/>
                  </w:pPr>
                  <w:r>
                    <w:t>场内运输扬尘</w:t>
                  </w:r>
                </w:p>
              </w:tc>
              <w:tc>
                <w:tcPr>
                  <w:tcW w:w="983" w:type="dxa"/>
                  <w:gridSpan w:val="2"/>
                  <w:vAlign w:val="center"/>
                </w:tcPr>
                <w:p>
                  <w:pPr>
                    <w:pStyle w:val="42"/>
                  </w:pPr>
                  <w:r>
                    <w:t>颗粒物</w:t>
                  </w:r>
                </w:p>
              </w:tc>
              <w:tc>
                <w:tcPr>
                  <w:tcW w:w="704" w:type="dxa"/>
                  <w:vAlign w:val="center"/>
                </w:tcPr>
                <w:p>
                  <w:pPr>
                    <w:pStyle w:val="42"/>
                  </w:pPr>
                  <w:r>
                    <w:t>产污系数法</w:t>
                  </w:r>
                </w:p>
              </w:tc>
              <w:tc>
                <w:tcPr>
                  <w:tcW w:w="1011" w:type="dxa"/>
                  <w:vAlign w:val="center"/>
                </w:tcPr>
                <w:p>
                  <w:pPr>
                    <w:pStyle w:val="42"/>
                  </w:pPr>
                  <w:r>
                    <w:rPr>
                      <w:rFonts w:hint="eastAsia"/>
                    </w:rPr>
                    <w:t>0.785</w:t>
                  </w:r>
                </w:p>
              </w:tc>
              <w:tc>
                <w:tcPr>
                  <w:tcW w:w="1198" w:type="dxa"/>
                  <w:vAlign w:val="center"/>
                </w:tcPr>
                <w:p>
                  <w:pPr>
                    <w:pStyle w:val="42"/>
                  </w:pPr>
                  <w:r>
                    <w:t>/</w:t>
                  </w:r>
                </w:p>
              </w:tc>
              <w:tc>
                <w:tcPr>
                  <w:tcW w:w="899" w:type="dxa"/>
                  <w:vAlign w:val="center"/>
                </w:tcPr>
                <w:p>
                  <w:pPr>
                    <w:pStyle w:val="42"/>
                  </w:pPr>
                  <w:r>
                    <w:t>1.883</w:t>
                  </w:r>
                </w:p>
              </w:tc>
              <w:tc>
                <w:tcPr>
                  <w:tcW w:w="1100" w:type="dxa"/>
                  <w:vAlign w:val="center"/>
                </w:tcPr>
                <w:p>
                  <w:pPr>
                    <w:pStyle w:val="42"/>
                  </w:pPr>
                  <w:r>
                    <w:t>洒水降尘、车辆冲洗</w:t>
                  </w:r>
                </w:p>
              </w:tc>
              <w:tc>
                <w:tcPr>
                  <w:tcW w:w="824" w:type="dxa"/>
                  <w:vAlign w:val="center"/>
                </w:tcPr>
                <w:p>
                  <w:pPr>
                    <w:pStyle w:val="42"/>
                  </w:pPr>
                  <w:r>
                    <w:t>是</w:t>
                  </w:r>
                </w:p>
              </w:tc>
              <w:tc>
                <w:tcPr>
                  <w:tcW w:w="812" w:type="dxa"/>
                  <w:vAlign w:val="center"/>
                </w:tcPr>
                <w:p>
                  <w:pPr>
                    <w:pStyle w:val="42"/>
                  </w:pPr>
                  <w:r>
                    <w:t>80</w:t>
                  </w:r>
                </w:p>
              </w:tc>
              <w:tc>
                <w:tcPr>
                  <w:tcW w:w="698" w:type="dxa"/>
                  <w:vAlign w:val="center"/>
                </w:tcPr>
                <w:p>
                  <w:pPr>
                    <w:pStyle w:val="42"/>
                  </w:pPr>
                  <w:r>
                    <w:t>产污系数法</w:t>
                  </w:r>
                </w:p>
              </w:tc>
              <w:tc>
                <w:tcPr>
                  <w:tcW w:w="1011" w:type="dxa"/>
                  <w:vAlign w:val="center"/>
                </w:tcPr>
                <w:p>
                  <w:pPr>
                    <w:pStyle w:val="42"/>
                  </w:pPr>
                  <w:r>
                    <w:rPr>
                      <w:rFonts w:hint="eastAsia"/>
                    </w:rPr>
                    <w:t>0.157</w:t>
                  </w:r>
                </w:p>
              </w:tc>
              <w:tc>
                <w:tcPr>
                  <w:tcW w:w="1198" w:type="dxa"/>
                  <w:vAlign w:val="center"/>
                </w:tcPr>
                <w:p>
                  <w:pPr>
                    <w:pStyle w:val="42"/>
                  </w:pPr>
                  <w:r>
                    <w:t>/</w:t>
                  </w:r>
                </w:p>
              </w:tc>
              <w:tc>
                <w:tcPr>
                  <w:tcW w:w="846" w:type="dxa"/>
                  <w:vAlign w:val="center"/>
                </w:tcPr>
                <w:p>
                  <w:pPr>
                    <w:pStyle w:val="42"/>
                    <w:rPr>
                      <w:rFonts w:eastAsia="等线"/>
                    </w:rPr>
                  </w:pPr>
                  <w:r>
                    <w:t>0.377</w:t>
                  </w:r>
                </w:p>
              </w:tc>
              <w:tc>
                <w:tcPr>
                  <w:tcW w:w="741" w:type="dxa"/>
                  <w:vAlign w:val="center"/>
                </w:tcPr>
                <w:p>
                  <w:pPr>
                    <w:pStyle w:val="42"/>
                  </w:pPr>
                  <w: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trPr>
              <w:tc>
                <w:tcPr>
                  <w:tcW w:w="527" w:type="dxa"/>
                  <w:vAlign w:val="center"/>
                </w:tcPr>
                <w:p>
                  <w:pPr>
                    <w:pStyle w:val="42"/>
                  </w:pPr>
                  <w:r>
                    <w:rPr>
                      <w:rFonts w:hint="eastAsia"/>
                    </w:rPr>
                    <w:t>给料</w:t>
                  </w:r>
                </w:p>
              </w:tc>
              <w:tc>
                <w:tcPr>
                  <w:tcW w:w="703" w:type="dxa"/>
                  <w:vAlign w:val="center"/>
                </w:tcPr>
                <w:p>
                  <w:pPr>
                    <w:pStyle w:val="42"/>
                  </w:pPr>
                  <w:r>
                    <w:rPr>
                      <w:rFonts w:hint="eastAsia"/>
                    </w:rPr>
                    <w:t>破碎站</w:t>
                  </w:r>
                </w:p>
              </w:tc>
              <w:tc>
                <w:tcPr>
                  <w:tcW w:w="705" w:type="dxa"/>
                  <w:vAlign w:val="center"/>
                </w:tcPr>
                <w:p>
                  <w:pPr>
                    <w:pStyle w:val="42"/>
                  </w:pPr>
                  <w:r>
                    <w:rPr>
                      <w:rFonts w:hint="eastAsia"/>
                    </w:rPr>
                    <w:t>给料粉尘</w:t>
                  </w:r>
                </w:p>
              </w:tc>
              <w:tc>
                <w:tcPr>
                  <w:tcW w:w="983" w:type="dxa"/>
                  <w:gridSpan w:val="2"/>
                  <w:vAlign w:val="center"/>
                </w:tcPr>
                <w:p>
                  <w:pPr>
                    <w:pStyle w:val="42"/>
                  </w:pPr>
                  <w:r>
                    <w:t>颗粒物</w:t>
                  </w:r>
                </w:p>
              </w:tc>
              <w:tc>
                <w:tcPr>
                  <w:tcW w:w="704" w:type="dxa"/>
                  <w:vAlign w:val="center"/>
                </w:tcPr>
                <w:p>
                  <w:pPr>
                    <w:pStyle w:val="42"/>
                  </w:pPr>
                  <w:r>
                    <w:t>产污系数法</w:t>
                  </w:r>
                </w:p>
              </w:tc>
              <w:tc>
                <w:tcPr>
                  <w:tcW w:w="1011" w:type="dxa"/>
                  <w:vAlign w:val="center"/>
                </w:tcPr>
                <w:p>
                  <w:pPr>
                    <w:pStyle w:val="42"/>
                  </w:pPr>
                  <w:r>
                    <w:rPr>
                      <w:rFonts w:hint="eastAsia"/>
                    </w:rPr>
                    <w:t>0.245</w:t>
                  </w:r>
                </w:p>
              </w:tc>
              <w:tc>
                <w:tcPr>
                  <w:tcW w:w="1198" w:type="dxa"/>
                  <w:vAlign w:val="center"/>
                </w:tcPr>
                <w:p>
                  <w:pPr>
                    <w:pStyle w:val="42"/>
                  </w:pPr>
                  <w:r>
                    <w:t>/</w:t>
                  </w:r>
                </w:p>
              </w:tc>
              <w:tc>
                <w:tcPr>
                  <w:tcW w:w="899" w:type="dxa"/>
                  <w:vAlign w:val="center"/>
                </w:tcPr>
                <w:p>
                  <w:pPr>
                    <w:pStyle w:val="42"/>
                  </w:pPr>
                  <w:r>
                    <w:t>0.587</w:t>
                  </w:r>
                </w:p>
              </w:tc>
              <w:tc>
                <w:tcPr>
                  <w:tcW w:w="1100" w:type="dxa"/>
                  <w:vAlign w:val="center"/>
                </w:tcPr>
                <w:p>
                  <w:pPr>
                    <w:pStyle w:val="42"/>
                  </w:pPr>
                  <w:r>
                    <w:t>洒水降尘</w:t>
                  </w:r>
                  <w:r>
                    <w:rPr>
                      <w:rFonts w:hint="eastAsia"/>
                    </w:rPr>
                    <w:t>、卸料口三面围挡</w:t>
                  </w:r>
                </w:p>
              </w:tc>
              <w:tc>
                <w:tcPr>
                  <w:tcW w:w="824" w:type="dxa"/>
                  <w:vAlign w:val="center"/>
                </w:tcPr>
                <w:p>
                  <w:pPr>
                    <w:pStyle w:val="42"/>
                  </w:pPr>
                  <w:r>
                    <w:t>是</w:t>
                  </w:r>
                </w:p>
              </w:tc>
              <w:tc>
                <w:tcPr>
                  <w:tcW w:w="812" w:type="dxa"/>
                  <w:vAlign w:val="center"/>
                </w:tcPr>
                <w:p>
                  <w:pPr>
                    <w:pStyle w:val="42"/>
                  </w:pPr>
                  <w:r>
                    <w:t>80</w:t>
                  </w:r>
                </w:p>
              </w:tc>
              <w:tc>
                <w:tcPr>
                  <w:tcW w:w="698" w:type="dxa"/>
                  <w:vAlign w:val="center"/>
                </w:tcPr>
                <w:p>
                  <w:pPr>
                    <w:pStyle w:val="42"/>
                  </w:pPr>
                  <w:r>
                    <w:t>产污系数法</w:t>
                  </w:r>
                </w:p>
              </w:tc>
              <w:tc>
                <w:tcPr>
                  <w:tcW w:w="1011" w:type="dxa"/>
                  <w:vAlign w:val="center"/>
                </w:tcPr>
                <w:p>
                  <w:pPr>
                    <w:pStyle w:val="42"/>
                  </w:pPr>
                  <w:r>
                    <w:rPr>
                      <w:rFonts w:hint="eastAsia"/>
                    </w:rPr>
                    <w:t>0.049</w:t>
                  </w:r>
                </w:p>
              </w:tc>
              <w:tc>
                <w:tcPr>
                  <w:tcW w:w="1198" w:type="dxa"/>
                  <w:vAlign w:val="center"/>
                </w:tcPr>
                <w:p>
                  <w:pPr>
                    <w:pStyle w:val="42"/>
                  </w:pPr>
                  <w:r>
                    <w:t>/</w:t>
                  </w:r>
                </w:p>
              </w:tc>
              <w:tc>
                <w:tcPr>
                  <w:tcW w:w="846" w:type="dxa"/>
                  <w:vAlign w:val="center"/>
                </w:tcPr>
                <w:p>
                  <w:pPr>
                    <w:pStyle w:val="42"/>
                    <w:rPr>
                      <w:rFonts w:eastAsia="等线"/>
                    </w:rPr>
                  </w:pPr>
                  <w:r>
                    <w:t>0.117</w:t>
                  </w:r>
                </w:p>
              </w:tc>
              <w:tc>
                <w:tcPr>
                  <w:tcW w:w="741" w:type="dxa"/>
                  <w:vAlign w:val="center"/>
                </w:tcPr>
                <w:p>
                  <w:pPr>
                    <w:pStyle w:val="42"/>
                  </w:pPr>
                  <w: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527" w:type="dxa"/>
                  <w:vAlign w:val="center"/>
                </w:tcPr>
                <w:p>
                  <w:pPr>
                    <w:pStyle w:val="42"/>
                  </w:pPr>
                  <w:r>
                    <w:rPr>
                      <w:rFonts w:hint="eastAsia"/>
                    </w:rPr>
                    <w:t>物料输送</w:t>
                  </w:r>
                </w:p>
              </w:tc>
              <w:tc>
                <w:tcPr>
                  <w:tcW w:w="703" w:type="dxa"/>
                  <w:vAlign w:val="center"/>
                </w:tcPr>
                <w:p>
                  <w:pPr>
                    <w:pStyle w:val="42"/>
                  </w:pPr>
                  <w:r>
                    <w:rPr>
                      <w:rFonts w:hint="eastAsia"/>
                    </w:rPr>
                    <w:t>破碎站、仓库</w:t>
                  </w:r>
                </w:p>
              </w:tc>
              <w:tc>
                <w:tcPr>
                  <w:tcW w:w="705" w:type="dxa"/>
                  <w:vAlign w:val="center"/>
                </w:tcPr>
                <w:p>
                  <w:pPr>
                    <w:pStyle w:val="42"/>
                  </w:pPr>
                  <w:r>
                    <w:rPr>
                      <w:rFonts w:hint="eastAsia"/>
                    </w:rPr>
                    <w:t>皮带输送、成品下料粉尘</w:t>
                  </w:r>
                </w:p>
              </w:tc>
              <w:tc>
                <w:tcPr>
                  <w:tcW w:w="983" w:type="dxa"/>
                  <w:gridSpan w:val="2"/>
                  <w:vAlign w:val="center"/>
                </w:tcPr>
                <w:p>
                  <w:pPr>
                    <w:pStyle w:val="42"/>
                  </w:pPr>
                  <w:r>
                    <w:t>颗粒物</w:t>
                  </w:r>
                </w:p>
              </w:tc>
              <w:tc>
                <w:tcPr>
                  <w:tcW w:w="704" w:type="dxa"/>
                  <w:vAlign w:val="center"/>
                </w:tcPr>
                <w:p>
                  <w:pPr>
                    <w:pStyle w:val="42"/>
                  </w:pPr>
                  <w:r>
                    <w:t>产污系数法</w:t>
                  </w:r>
                </w:p>
              </w:tc>
              <w:tc>
                <w:tcPr>
                  <w:tcW w:w="1011" w:type="dxa"/>
                  <w:vAlign w:val="center"/>
                </w:tcPr>
                <w:p>
                  <w:pPr>
                    <w:pStyle w:val="42"/>
                  </w:pPr>
                  <w:r>
                    <w:rPr>
                      <w:rFonts w:hint="eastAsia"/>
                    </w:rPr>
                    <w:t>0.169</w:t>
                  </w:r>
                </w:p>
              </w:tc>
              <w:tc>
                <w:tcPr>
                  <w:tcW w:w="1198" w:type="dxa"/>
                  <w:vAlign w:val="center"/>
                </w:tcPr>
                <w:p>
                  <w:pPr>
                    <w:pStyle w:val="42"/>
                  </w:pPr>
                  <w:r>
                    <w:t>/</w:t>
                  </w:r>
                </w:p>
              </w:tc>
              <w:tc>
                <w:tcPr>
                  <w:tcW w:w="899" w:type="dxa"/>
                  <w:vAlign w:val="center"/>
                </w:tcPr>
                <w:p>
                  <w:pPr>
                    <w:pStyle w:val="42"/>
                  </w:pPr>
                  <w:r>
                    <w:t>0.406</w:t>
                  </w:r>
                </w:p>
              </w:tc>
              <w:tc>
                <w:tcPr>
                  <w:tcW w:w="1100" w:type="dxa"/>
                  <w:vAlign w:val="center"/>
                </w:tcPr>
                <w:p>
                  <w:pPr>
                    <w:pStyle w:val="42"/>
                  </w:pPr>
                  <w:r>
                    <w:t>洒水降尘</w:t>
                  </w:r>
                  <w:r>
                    <w:rPr>
                      <w:rFonts w:hint="eastAsia"/>
                    </w:rPr>
                    <w:t>、输送带密闭、厂房密闭</w:t>
                  </w:r>
                </w:p>
              </w:tc>
              <w:tc>
                <w:tcPr>
                  <w:tcW w:w="824" w:type="dxa"/>
                  <w:vAlign w:val="center"/>
                </w:tcPr>
                <w:p>
                  <w:pPr>
                    <w:pStyle w:val="42"/>
                  </w:pPr>
                  <w:r>
                    <w:t>是</w:t>
                  </w:r>
                </w:p>
              </w:tc>
              <w:tc>
                <w:tcPr>
                  <w:tcW w:w="812" w:type="dxa"/>
                  <w:vAlign w:val="center"/>
                </w:tcPr>
                <w:p>
                  <w:pPr>
                    <w:pStyle w:val="42"/>
                  </w:pPr>
                  <w:r>
                    <w:t>80</w:t>
                  </w:r>
                </w:p>
              </w:tc>
              <w:tc>
                <w:tcPr>
                  <w:tcW w:w="698" w:type="dxa"/>
                  <w:vAlign w:val="center"/>
                </w:tcPr>
                <w:p>
                  <w:pPr>
                    <w:pStyle w:val="42"/>
                  </w:pPr>
                  <w:r>
                    <w:t>产污系数法</w:t>
                  </w:r>
                </w:p>
              </w:tc>
              <w:tc>
                <w:tcPr>
                  <w:tcW w:w="1011" w:type="dxa"/>
                  <w:vAlign w:val="center"/>
                </w:tcPr>
                <w:p>
                  <w:pPr>
                    <w:pStyle w:val="42"/>
                  </w:pPr>
                  <w:r>
                    <w:rPr>
                      <w:rFonts w:hint="eastAsia"/>
                    </w:rPr>
                    <w:t>0.067</w:t>
                  </w:r>
                </w:p>
              </w:tc>
              <w:tc>
                <w:tcPr>
                  <w:tcW w:w="1198" w:type="dxa"/>
                  <w:vAlign w:val="center"/>
                </w:tcPr>
                <w:p>
                  <w:pPr>
                    <w:pStyle w:val="42"/>
                  </w:pPr>
                  <w:r>
                    <w:t>/</w:t>
                  </w:r>
                </w:p>
              </w:tc>
              <w:tc>
                <w:tcPr>
                  <w:tcW w:w="846" w:type="dxa"/>
                  <w:vAlign w:val="center"/>
                </w:tcPr>
                <w:p>
                  <w:pPr>
                    <w:pStyle w:val="42"/>
                  </w:pPr>
                  <w:r>
                    <w:t>0.161</w:t>
                  </w:r>
                </w:p>
              </w:tc>
              <w:tc>
                <w:tcPr>
                  <w:tcW w:w="741" w:type="dxa"/>
                  <w:vAlign w:val="center"/>
                </w:tcPr>
                <w:p>
                  <w:pPr>
                    <w:pStyle w:val="42"/>
                  </w:pPr>
                  <w:r>
                    <w:rPr>
                      <w:rFonts w:hint="eastAsia"/>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527" w:type="dxa"/>
                  <w:vAlign w:val="center"/>
                </w:tcPr>
                <w:p>
                  <w:pPr>
                    <w:pStyle w:val="42"/>
                  </w:pPr>
                  <w:r>
                    <w:rPr>
                      <w:rFonts w:hint="eastAsia"/>
                    </w:rPr>
                    <w:t>装卸</w:t>
                  </w:r>
                </w:p>
              </w:tc>
              <w:tc>
                <w:tcPr>
                  <w:tcW w:w="703" w:type="dxa"/>
                  <w:vAlign w:val="center"/>
                </w:tcPr>
                <w:p>
                  <w:pPr>
                    <w:pStyle w:val="42"/>
                  </w:pPr>
                  <w:r>
                    <w:rPr>
                      <w:rFonts w:hint="eastAsia"/>
                    </w:rPr>
                    <w:t>仓库</w:t>
                  </w:r>
                </w:p>
              </w:tc>
              <w:tc>
                <w:tcPr>
                  <w:tcW w:w="705" w:type="dxa"/>
                  <w:vAlign w:val="center"/>
                </w:tcPr>
                <w:p>
                  <w:pPr>
                    <w:pStyle w:val="42"/>
                  </w:pPr>
                  <w:r>
                    <w:rPr>
                      <w:rFonts w:hint="eastAsia"/>
                    </w:rPr>
                    <w:t>成品装卸粉尘</w:t>
                  </w:r>
                </w:p>
              </w:tc>
              <w:tc>
                <w:tcPr>
                  <w:tcW w:w="983" w:type="dxa"/>
                  <w:gridSpan w:val="2"/>
                  <w:vAlign w:val="center"/>
                </w:tcPr>
                <w:p>
                  <w:pPr>
                    <w:pStyle w:val="42"/>
                  </w:pPr>
                  <w:r>
                    <w:t>颗粒物</w:t>
                  </w:r>
                </w:p>
              </w:tc>
              <w:tc>
                <w:tcPr>
                  <w:tcW w:w="704" w:type="dxa"/>
                  <w:vAlign w:val="center"/>
                </w:tcPr>
                <w:p>
                  <w:pPr>
                    <w:pStyle w:val="42"/>
                  </w:pPr>
                  <w:r>
                    <w:t>产污系数法</w:t>
                  </w:r>
                </w:p>
              </w:tc>
              <w:tc>
                <w:tcPr>
                  <w:tcW w:w="1011" w:type="dxa"/>
                  <w:vAlign w:val="center"/>
                </w:tcPr>
                <w:p>
                  <w:pPr>
                    <w:pStyle w:val="42"/>
                  </w:pPr>
                  <w:r>
                    <w:rPr>
                      <w:rFonts w:hint="eastAsia"/>
                    </w:rPr>
                    <w:t>5</w:t>
                  </w:r>
                  <w:r>
                    <w:t>.313</w:t>
                  </w:r>
                </w:p>
              </w:tc>
              <w:tc>
                <w:tcPr>
                  <w:tcW w:w="1198" w:type="dxa"/>
                  <w:vAlign w:val="center"/>
                </w:tcPr>
                <w:p>
                  <w:pPr>
                    <w:pStyle w:val="42"/>
                  </w:pPr>
                  <w:r>
                    <w:t>/</w:t>
                  </w:r>
                </w:p>
              </w:tc>
              <w:tc>
                <w:tcPr>
                  <w:tcW w:w="899" w:type="dxa"/>
                  <w:vAlign w:val="center"/>
                </w:tcPr>
                <w:p>
                  <w:pPr>
                    <w:pStyle w:val="42"/>
                  </w:pPr>
                  <w:r>
                    <w:rPr>
                      <w:rFonts w:hint="eastAsia"/>
                    </w:rPr>
                    <w:t>12.75</w:t>
                  </w:r>
                </w:p>
              </w:tc>
              <w:tc>
                <w:tcPr>
                  <w:tcW w:w="1100" w:type="dxa"/>
                  <w:vAlign w:val="center"/>
                </w:tcPr>
                <w:p>
                  <w:pPr>
                    <w:pStyle w:val="42"/>
                  </w:pPr>
                  <w:r>
                    <w:t>洒水降尘</w:t>
                  </w:r>
                  <w:r>
                    <w:rPr>
                      <w:rFonts w:hint="eastAsia"/>
                    </w:rPr>
                    <w:t>、厂房密闭</w:t>
                  </w:r>
                </w:p>
              </w:tc>
              <w:tc>
                <w:tcPr>
                  <w:tcW w:w="824" w:type="dxa"/>
                  <w:vAlign w:val="center"/>
                </w:tcPr>
                <w:p>
                  <w:pPr>
                    <w:pStyle w:val="42"/>
                  </w:pPr>
                  <w:r>
                    <w:t>是</w:t>
                  </w:r>
                </w:p>
              </w:tc>
              <w:tc>
                <w:tcPr>
                  <w:tcW w:w="812" w:type="dxa"/>
                  <w:vAlign w:val="center"/>
                </w:tcPr>
                <w:p>
                  <w:pPr>
                    <w:pStyle w:val="42"/>
                  </w:pPr>
                  <w:r>
                    <w:t>80</w:t>
                  </w:r>
                </w:p>
              </w:tc>
              <w:tc>
                <w:tcPr>
                  <w:tcW w:w="698" w:type="dxa"/>
                  <w:vAlign w:val="center"/>
                </w:tcPr>
                <w:p>
                  <w:pPr>
                    <w:pStyle w:val="42"/>
                  </w:pPr>
                  <w:r>
                    <w:t>产污系数法</w:t>
                  </w:r>
                </w:p>
              </w:tc>
              <w:tc>
                <w:tcPr>
                  <w:tcW w:w="1011" w:type="dxa"/>
                  <w:vAlign w:val="center"/>
                </w:tcPr>
                <w:p>
                  <w:pPr>
                    <w:pStyle w:val="42"/>
                  </w:pPr>
                  <w:r>
                    <w:rPr>
                      <w:rFonts w:hint="eastAsia"/>
                    </w:rPr>
                    <w:t>1</w:t>
                  </w:r>
                  <w:r>
                    <w:t>.042</w:t>
                  </w:r>
                </w:p>
              </w:tc>
              <w:tc>
                <w:tcPr>
                  <w:tcW w:w="1198" w:type="dxa"/>
                  <w:vAlign w:val="center"/>
                </w:tcPr>
                <w:p>
                  <w:pPr>
                    <w:pStyle w:val="42"/>
                  </w:pPr>
                  <w:r>
                    <w:t>/</w:t>
                  </w:r>
                </w:p>
              </w:tc>
              <w:tc>
                <w:tcPr>
                  <w:tcW w:w="846" w:type="dxa"/>
                  <w:vAlign w:val="center"/>
                </w:tcPr>
                <w:p>
                  <w:pPr>
                    <w:pStyle w:val="42"/>
                  </w:pPr>
                  <w:r>
                    <w:t>2.55</w:t>
                  </w:r>
                </w:p>
              </w:tc>
              <w:tc>
                <w:tcPr>
                  <w:tcW w:w="741" w:type="dxa"/>
                  <w:vAlign w:val="center"/>
                </w:tcPr>
                <w:p>
                  <w:pPr>
                    <w:pStyle w:val="42"/>
                  </w:pPr>
                  <w: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27" w:type="dxa"/>
                  <w:vMerge w:val="restart"/>
                  <w:vAlign w:val="center"/>
                </w:tcPr>
                <w:p>
                  <w:pPr>
                    <w:pStyle w:val="42"/>
                  </w:pPr>
                  <w:r>
                    <w:rPr>
                      <w:rFonts w:hint="eastAsia"/>
                    </w:rPr>
                    <w:t>破碎筛分</w:t>
                  </w:r>
                </w:p>
              </w:tc>
              <w:tc>
                <w:tcPr>
                  <w:tcW w:w="703" w:type="dxa"/>
                  <w:vMerge w:val="restart"/>
                  <w:vAlign w:val="center"/>
                </w:tcPr>
                <w:p>
                  <w:pPr>
                    <w:pStyle w:val="42"/>
                  </w:pPr>
                  <w:r>
                    <w:rPr>
                      <w:rFonts w:hint="eastAsia"/>
                    </w:rPr>
                    <w:t>破碎站</w:t>
                  </w:r>
                </w:p>
              </w:tc>
              <w:tc>
                <w:tcPr>
                  <w:tcW w:w="705" w:type="dxa"/>
                  <w:vMerge w:val="restart"/>
                  <w:vAlign w:val="center"/>
                </w:tcPr>
                <w:p>
                  <w:pPr>
                    <w:pStyle w:val="42"/>
                  </w:pPr>
                  <w:r>
                    <w:rPr>
                      <w:rFonts w:hint="eastAsia"/>
                    </w:rPr>
                    <w:t>破碎筛分粉尘</w:t>
                  </w:r>
                </w:p>
              </w:tc>
              <w:tc>
                <w:tcPr>
                  <w:tcW w:w="427" w:type="dxa"/>
                  <w:vMerge w:val="restart"/>
                  <w:vAlign w:val="center"/>
                </w:tcPr>
                <w:p>
                  <w:pPr>
                    <w:pStyle w:val="42"/>
                  </w:pPr>
                  <w:r>
                    <w:t>颗粒物</w:t>
                  </w:r>
                </w:p>
              </w:tc>
              <w:tc>
                <w:tcPr>
                  <w:tcW w:w="556" w:type="dxa"/>
                  <w:vAlign w:val="center"/>
                </w:tcPr>
                <w:p>
                  <w:pPr>
                    <w:pStyle w:val="42"/>
                  </w:pPr>
                  <w:r>
                    <w:rPr>
                      <w:rFonts w:hint="eastAsia"/>
                    </w:rPr>
                    <w:t>有组织</w:t>
                  </w:r>
                </w:p>
              </w:tc>
              <w:tc>
                <w:tcPr>
                  <w:tcW w:w="704" w:type="dxa"/>
                  <w:vAlign w:val="center"/>
                </w:tcPr>
                <w:p>
                  <w:pPr>
                    <w:pStyle w:val="42"/>
                  </w:pPr>
                  <w:r>
                    <w:t>产污系数法</w:t>
                  </w:r>
                </w:p>
              </w:tc>
              <w:tc>
                <w:tcPr>
                  <w:tcW w:w="1011" w:type="dxa"/>
                  <w:vAlign w:val="center"/>
                </w:tcPr>
                <w:p>
                  <w:pPr>
                    <w:pStyle w:val="42"/>
                  </w:pPr>
                  <w:r>
                    <w:rPr>
                      <w:rFonts w:hint="eastAsia"/>
                      <w:color w:val="0000FF"/>
                    </w:rPr>
                    <w:t>119.2</w:t>
                  </w:r>
                </w:p>
              </w:tc>
              <w:tc>
                <w:tcPr>
                  <w:tcW w:w="1198" w:type="dxa"/>
                  <w:vAlign w:val="center"/>
                </w:tcPr>
                <w:p>
                  <w:pPr>
                    <w:pStyle w:val="42"/>
                  </w:pPr>
                  <w:r>
                    <w:rPr>
                      <w:rFonts w:hint="eastAsia"/>
                      <w:color w:val="0000FF"/>
                    </w:rPr>
                    <w:t>2385</w:t>
                  </w:r>
                </w:p>
              </w:tc>
              <w:tc>
                <w:tcPr>
                  <w:tcW w:w="899" w:type="dxa"/>
                  <w:vAlign w:val="center"/>
                </w:tcPr>
                <w:p>
                  <w:pPr>
                    <w:pStyle w:val="42"/>
                  </w:pPr>
                  <w:r>
                    <w:rPr>
                      <w:rFonts w:hint="eastAsia"/>
                      <w:color w:val="0000FF"/>
                    </w:rPr>
                    <w:t>286.151</w:t>
                  </w:r>
                </w:p>
              </w:tc>
              <w:tc>
                <w:tcPr>
                  <w:tcW w:w="1100" w:type="dxa"/>
                  <w:vMerge w:val="restart"/>
                  <w:vAlign w:val="center"/>
                </w:tcPr>
                <w:p>
                  <w:pPr>
                    <w:pStyle w:val="42"/>
                  </w:pPr>
                  <w:r>
                    <w:t>布袋除尘器+15m高排气筒</w:t>
                  </w:r>
                  <w:r>
                    <w:rPr>
                      <w:rFonts w:hint="eastAsia"/>
                    </w:rPr>
                    <w:t>、洒水降尘、厂房密闭</w:t>
                  </w:r>
                </w:p>
              </w:tc>
              <w:tc>
                <w:tcPr>
                  <w:tcW w:w="824" w:type="dxa"/>
                  <w:vAlign w:val="center"/>
                </w:tcPr>
                <w:p>
                  <w:pPr>
                    <w:pStyle w:val="42"/>
                  </w:pPr>
                  <w:r>
                    <w:t>是</w:t>
                  </w:r>
                </w:p>
              </w:tc>
              <w:tc>
                <w:tcPr>
                  <w:tcW w:w="812" w:type="dxa"/>
                  <w:vAlign w:val="center"/>
                </w:tcPr>
                <w:p>
                  <w:pPr>
                    <w:pStyle w:val="42"/>
                  </w:pPr>
                  <w:r>
                    <w:rPr>
                      <w:color w:val="0000FF"/>
                    </w:rPr>
                    <w:t>99</w:t>
                  </w:r>
                </w:p>
              </w:tc>
              <w:tc>
                <w:tcPr>
                  <w:tcW w:w="698" w:type="dxa"/>
                  <w:vAlign w:val="center"/>
                </w:tcPr>
                <w:p>
                  <w:pPr>
                    <w:pStyle w:val="42"/>
                  </w:pPr>
                  <w:r>
                    <w:t>产污系数法</w:t>
                  </w:r>
                </w:p>
              </w:tc>
              <w:tc>
                <w:tcPr>
                  <w:tcW w:w="1011" w:type="dxa"/>
                  <w:vAlign w:val="center"/>
                </w:tcPr>
                <w:p>
                  <w:pPr>
                    <w:pStyle w:val="42"/>
                  </w:pPr>
                  <w:r>
                    <w:rPr>
                      <w:rFonts w:hint="eastAsia"/>
                      <w:color w:val="0000FF"/>
                    </w:rPr>
                    <w:t>1.192</w:t>
                  </w:r>
                </w:p>
              </w:tc>
              <w:tc>
                <w:tcPr>
                  <w:tcW w:w="1198" w:type="dxa"/>
                  <w:vAlign w:val="center"/>
                </w:tcPr>
                <w:p>
                  <w:pPr>
                    <w:pStyle w:val="42"/>
                  </w:pPr>
                  <w:r>
                    <w:rPr>
                      <w:rFonts w:hint="eastAsia"/>
                      <w:color w:val="0000FF"/>
                    </w:rPr>
                    <w:t>23.85</w:t>
                  </w:r>
                </w:p>
              </w:tc>
              <w:tc>
                <w:tcPr>
                  <w:tcW w:w="846" w:type="dxa"/>
                  <w:vAlign w:val="center"/>
                </w:tcPr>
                <w:p>
                  <w:pPr>
                    <w:pStyle w:val="42"/>
                  </w:pPr>
                  <w:r>
                    <w:rPr>
                      <w:rFonts w:hint="eastAsia"/>
                      <w:color w:val="0000FF"/>
                    </w:rPr>
                    <w:t>2.861</w:t>
                  </w:r>
                </w:p>
              </w:tc>
              <w:tc>
                <w:tcPr>
                  <w:tcW w:w="741" w:type="dxa"/>
                  <w:vAlign w:val="center"/>
                </w:tcPr>
                <w:p>
                  <w:pPr>
                    <w:pStyle w:val="42"/>
                  </w:pPr>
                  <w:r>
                    <w:rPr>
                      <w:rFonts w:hint="eastAsia"/>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27" w:type="dxa"/>
                  <w:vMerge w:val="continue"/>
                  <w:vAlign w:val="center"/>
                </w:tcPr>
                <w:p>
                  <w:pPr>
                    <w:pStyle w:val="42"/>
                  </w:pPr>
                </w:p>
              </w:tc>
              <w:tc>
                <w:tcPr>
                  <w:tcW w:w="703" w:type="dxa"/>
                  <w:vMerge w:val="continue"/>
                  <w:vAlign w:val="center"/>
                </w:tcPr>
                <w:p>
                  <w:pPr>
                    <w:pStyle w:val="42"/>
                  </w:pPr>
                </w:p>
              </w:tc>
              <w:tc>
                <w:tcPr>
                  <w:tcW w:w="705" w:type="dxa"/>
                  <w:vMerge w:val="continue"/>
                  <w:vAlign w:val="center"/>
                </w:tcPr>
                <w:p>
                  <w:pPr>
                    <w:pStyle w:val="42"/>
                  </w:pPr>
                </w:p>
              </w:tc>
              <w:tc>
                <w:tcPr>
                  <w:tcW w:w="427" w:type="dxa"/>
                  <w:vMerge w:val="continue"/>
                  <w:vAlign w:val="center"/>
                </w:tcPr>
                <w:p>
                  <w:pPr>
                    <w:pStyle w:val="42"/>
                  </w:pPr>
                </w:p>
              </w:tc>
              <w:tc>
                <w:tcPr>
                  <w:tcW w:w="556" w:type="dxa"/>
                  <w:vAlign w:val="center"/>
                </w:tcPr>
                <w:p>
                  <w:pPr>
                    <w:pStyle w:val="42"/>
                  </w:pPr>
                  <w:r>
                    <w:rPr>
                      <w:rFonts w:hint="eastAsia"/>
                    </w:rPr>
                    <w:t>无组织</w:t>
                  </w:r>
                </w:p>
              </w:tc>
              <w:tc>
                <w:tcPr>
                  <w:tcW w:w="704" w:type="dxa"/>
                  <w:vAlign w:val="center"/>
                </w:tcPr>
                <w:p>
                  <w:pPr>
                    <w:pStyle w:val="42"/>
                  </w:pPr>
                  <w:r>
                    <w:t>产污系数法</w:t>
                  </w:r>
                </w:p>
              </w:tc>
              <w:tc>
                <w:tcPr>
                  <w:tcW w:w="1011" w:type="dxa"/>
                  <w:vAlign w:val="center"/>
                </w:tcPr>
                <w:p>
                  <w:pPr>
                    <w:pStyle w:val="42"/>
                  </w:pPr>
                  <w:r>
                    <w:rPr>
                      <w:rFonts w:hint="eastAsia"/>
                      <w:color w:val="0000FF"/>
                    </w:rPr>
                    <w:t>6.275</w:t>
                  </w:r>
                </w:p>
              </w:tc>
              <w:tc>
                <w:tcPr>
                  <w:tcW w:w="1198" w:type="dxa"/>
                  <w:vAlign w:val="center"/>
                </w:tcPr>
                <w:p>
                  <w:pPr>
                    <w:pStyle w:val="42"/>
                  </w:pPr>
                  <w:r>
                    <w:t>/</w:t>
                  </w:r>
                </w:p>
              </w:tc>
              <w:tc>
                <w:tcPr>
                  <w:tcW w:w="899" w:type="dxa"/>
                  <w:vAlign w:val="center"/>
                </w:tcPr>
                <w:p>
                  <w:pPr>
                    <w:pStyle w:val="42"/>
                  </w:pPr>
                  <w:r>
                    <w:rPr>
                      <w:color w:val="0000FF"/>
                    </w:rPr>
                    <w:t>15.060</w:t>
                  </w:r>
                </w:p>
              </w:tc>
              <w:tc>
                <w:tcPr>
                  <w:tcW w:w="1100" w:type="dxa"/>
                  <w:vMerge w:val="continue"/>
                  <w:vAlign w:val="center"/>
                </w:tcPr>
                <w:p>
                  <w:pPr>
                    <w:pStyle w:val="42"/>
                  </w:pPr>
                </w:p>
              </w:tc>
              <w:tc>
                <w:tcPr>
                  <w:tcW w:w="824" w:type="dxa"/>
                  <w:vAlign w:val="center"/>
                </w:tcPr>
                <w:p>
                  <w:pPr>
                    <w:pStyle w:val="42"/>
                  </w:pPr>
                  <w:r>
                    <w:t>是</w:t>
                  </w:r>
                </w:p>
              </w:tc>
              <w:tc>
                <w:tcPr>
                  <w:tcW w:w="812" w:type="dxa"/>
                  <w:vAlign w:val="center"/>
                </w:tcPr>
                <w:p>
                  <w:pPr>
                    <w:pStyle w:val="42"/>
                  </w:pPr>
                  <w:r>
                    <w:t>90</w:t>
                  </w:r>
                </w:p>
              </w:tc>
              <w:tc>
                <w:tcPr>
                  <w:tcW w:w="698" w:type="dxa"/>
                  <w:vAlign w:val="center"/>
                </w:tcPr>
                <w:p>
                  <w:pPr>
                    <w:pStyle w:val="42"/>
                  </w:pPr>
                  <w:r>
                    <w:t>产污系数法</w:t>
                  </w:r>
                </w:p>
              </w:tc>
              <w:tc>
                <w:tcPr>
                  <w:tcW w:w="1011" w:type="dxa"/>
                  <w:vAlign w:val="center"/>
                </w:tcPr>
                <w:p>
                  <w:pPr>
                    <w:pStyle w:val="42"/>
                  </w:pPr>
                  <w:r>
                    <w:rPr>
                      <w:rFonts w:hint="eastAsia"/>
                      <w:color w:val="0000FF"/>
                    </w:rPr>
                    <w:t>0.628</w:t>
                  </w:r>
                </w:p>
              </w:tc>
              <w:tc>
                <w:tcPr>
                  <w:tcW w:w="1198" w:type="dxa"/>
                  <w:vAlign w:val="center"/>
                </w:tcPr>
                <w:p>
                  <w:pPr>
                    <w:pStyle w:val="42"/>
                  </w:pPr>
                  <w:r>
                    <w:t>/</w:t>
                  </w:r>
                </w:p>
              </w:tc>
              <w:tc>
                <w:tcPr>
                  <w:tcW w:w="846" w:type="dxa"/>
                  <w:vAlign w:val="center"/>
                </w:tcPr>
                <w:p>
                  <w:pPr>
                    <w:pStyle w:val="42"/>
                  </w:pPr>
                  <w:r>
                    <w:rPr>
                      <w:color w:val="0000FF"/>
                    </w:rPr>
                    <w:t>1.506</w:t>
                  </w:r>
                </w:p>
              </w:tc>
              <w:tc>
                <w:tcPr>
                  <w:tcW w:w="741" w:type="dxa"/>
                  <w:vAlign w:val="center"/>
                </w:tcPr>
                <w:p>
                  <w:pPr>
                    <w:pStyle w:val="42"/>
                  </w:pPr>
                  <w:r>
                    <w:rPr>
                      <w:rFonts w:hint="eastAsia"/>
                    </w:rPr>
                    <w:t>2400</w:t>
                  </w:r>
                </w:p>
              </w:tc>
            </w:tr>
          </w:tbl>
          <w:p>
            <w:pPr>
              <w:adjustRightInd w:val="0"/>
              <w:snapToGrid w:val="0"/>
              <w:spacing w:line="360" w:lineRule="auto"/>
              <w:ind w:firstLine="480" w:firstLineChars="200"/>
              <w:jc w:val="left"/>
              <w:rPr>
                <w:sz w:val="24"/>
              </w:rPr>
            </w:pPr>
            <w:r>
              <w:rPr>
                <w:rFonts w:hint="eastAsia"/>
                <w:sz w:val="24"/>
              </w:rPr>
              <w:t>②</w:t>
            </w:r>
            <w:r>
              <w:rPr>
                <w:sz w:val="24"/>
              </w:rPr>
              <w:t>拟建项目大气排放口情况见表4-</w:t>
            </w:r>
            <w:r>
              <w:rPr>
                <w:rFonts w:hint="eastAsia"/>
                <w:sz w:val="24"/>
              </w:rPr>
              <w:t>9</w:t>
            </w:r>
            <w:r>
              <w:rPr>
                <w:sz w:val="24"/>
              </w:rPr>
              <w:t>。</w:t>
            </w:r>
          </w:p>
          <w:p>
            <w:pPr>
              <w:adjustRightInd w:val="0"/>
              <w:snapToGrid w:val="0"/>
              <w:jc w:val="center"/>
              <w:rPr>
                <w:b/>
                <w:sz w:val="24"/>
              </w:rPr>
            </w:pPr>
            <w:r>
              <w:rPr>
                <w:b/>
                <w:sz w:val="24"/>
              </w:rPr>
              <w:t>表4-</w:t>
            </w:r>
            <w:r>
              <w:rPr>
                <w:rFonts w:hint="eastAsia"/>
                <w:b/>
                <w:sz w:val="24"/>
              </w:rPr>
              <w:t>9</w:t>
            </w:r>
            <w:r>
              <w:rPr>
                <w:b/>
                <w:sz w:val="24"/>
              </w:rPr>
              <w:t xml:space="preserve">  大气排放口基本情况表</w:t>
            </w:r>
          </w:p>
          <w:tbl>
            <w:tblPr>
              <w:tblStyle w:val="15"/>
              <w:tblW w:w="13960" w:type="dxa"/>
              <w:jc w:val="center"/>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439"/>
              <w:gridCol w:w="899"/>
              <w:gridCol w:w="1011"/>
              <w:gridCol w:w="692"/>
              <w:gridCol w:w="1896"/>
              <w:gridCol w:w="1558"/>
              <w:gridCol w:w="1150"/>
              <w:gridCol w:w="1055"/>
              <w:gridCol w:w="1290"/>
              <w:gridCol w:w="812"/>
              <w:gridCol w:w="765"/>
              <w:gridCol w:w="1097"/>
              <w:gridCol w:w="754"/>
              <w:gridCol w:w="542"/>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343" w:hRule="atLeast"/>
                <w:jc w:val="center"/>
              </w:trPr>
              <w:tc>
                <w:tcPr>
                  <w:tcW w:w="439" w:type="dxa"/>
                  <w:vMerge w:val="restart"/>
                  <w:vAlign w:val="center"/>
                </w:tcPr>
                <w:p>
                  <w:pPr>
                    <w:spacing w:line="240" w:lineRule="atLeast"/>
                    <w:jc w:val="center"/>
                    <w:rPr>
                      <w:sz w:val="20"/>
                      <w:szCs w:val="20"/>
                    </w:rPr>
                  </w:pPr>
                  <w:r>
                    <w:rPr>
                      <w:sz w:val="20"/>
                      <w:szCs w:val="20"/>
                    </w:rPr>
                    <w:t>序号</w:t>
                  </w:r>
                </w:p>
              </w:tc>
              <w:tc>
                <w:tcPr>
                  <w:tcW w:w="899" w:type="dxa"/>
                  <w:vMerge w:val="restart"/>
                  <w:vAlign w:val="center"/>
                </w:tcPr>
                <w:p>
                  <w:pPr>
                    <w:spacing w:line="240" w:lineRule="atLeast"/>
                    <w:jc w:val="center"/>
                    <w:rPr>
                      <w:sz w:val="20"/>
                      <w:szCs w:val="20"/>
                    </w:rPr>
                  </w:pPr>
                  <w:r>
                    <w:rPr>
                      <w:sz w:val="20"/>
                      <w:szCs w:val="20"/>
                    </w:rPr>
                    <w:t>排放口编号</w:t>
                  </w:r>
                </w:p>
              </w:tc>
              <w:tc>
                <w:tcPr>
                  <w:tcW w:w="1011" w:type="dxa"/>
                  <w:vMerge w:val="restart"/>
                  <w:vAlign w:val="center"/>
                </w:tcPr>
                <w:p>
                  <w:pPr>
                    <w:spacing w:line="240" w:lineRule="atLeast"/>
                    <w:jc w:val="center"/>
                    <w:rPr>
                      <w:sz w:val="20"/>
                      <w:szCs w:val="20"/>
                    </w:rPr>
                  </w:pPr>
                  <w:r>
                    <w:rPr>
                      <w:sz w:val="20"/>
                      <w:szCs w:val="20"/>
                    </w:rPr>
                    <w:t>排放口名称</w:t>
                  </w:r>
                </w:p>
              </w:tc>
              <w:tc>
                <w:tcPr>
                  <w:tcW w:w="692" w:type="dxa"/>
                  <w:vMerge w:val="restart"/>
                  <w:vAlign w:val="center"/>
                </w:tcPr>
                <w:p>
                  <w:pPr>
                    <w:spacing w:line="240" w:lineRule="atLeast"/>
                    <w:jc w:val="center"/>
                    <w:rPr>
                      <w:sz w:val="20"/>
                      <w:szCs w:val="20"/>
                    </w:rPr>
                  </w:pPr>
                  <w:r>
                    <w:rPr>
                      <w:sz w:val="20"/>
                      <w:szCs w:val="20"/>
                    </w:rPr>
                    <w:t>污染物种类</w:t>
                  </w:r>
                </w:p>
              </w:tc>
              <w:tc>
                <w:tcPr>
                  <w:tcW w:w="4604" w:type="dxa"/>
                  <w:gridSpan w:val="3"/>
                  <w:vAlign w:val="center"/>
                </w:tcPr>
                <w:p>
                  <w:pPr>
                    <w:spacing w:line="240" w:lineRule="atLeast"/>
                    <w:jc w:val="center"/>
                    <w:rPr>
                      <w:sz w:val="20"/>
                      <w:szCs w:val="20"/>
                    </w:rPr>
                  </w:pPr>
                  <w:r>
                    <w:rPr>
                      <w:sz w:val="20"/>
                      <w:szCs w:val="20"/>
                    </w:rPr>
                    <w:t>国家或地方污染物排放标准</w:t>
                  </w:r>
                </w:p>
              </w:tc>
              <w:tc>
                <w:tcPr>
                  <w:tcW w:w="2345" w:type="dxa"/>
                  <w:gridSpan w:val="2"/>
                  <w:vAlign w:val="center"/>
                </w:tcPr>
                <w:p>
                  <w:pPr>
                    <w:spacing w:line="240" w:lineRule="atLeast"/>
                    <w:jc w:val="center"/>
                    <w:rPr>
                      <w:sz w:val="20"/>
                      <w:szCs w:val="20"/>
                    </w:rPr>
                  </w:pPr>
                  <w:r>
                    <w:rPr>
                      <w:sz w:val="20"/>
                      <w:szCs w:val="20"/>
                    </w:rPr>
                    <w:t>排放口地理坐标</w:t>
                  </w:r>
                </w:p>
              </w:tc>
              <w:tc>
                <w:tcPr>
                  <w:tcW w:w="812" w:type="dxa"/>
                  <w:vMerge w:val="restart"/>
                  <w:vAlign w:val="center"/>
                </w:tcPr>
                <w:p>
                  <w:pPr>
                    <w:spacing w:line="240" w:lineRule="atLeast"/>
                    <w:jc w:val="center"/>
                    <w:rPr>
                      <w:sz w:val="20"/>
                      <w:szCs w:val="20"/>
                    </w:rPr>
                  </w:pPr>
                  <w:r>
                    <w:rPr>
                      <w:sz w:val="20"/>
                      <w:szCs w:val="20"/>
                    </w:rPr>
                    <w:t>排放量（t/a）</w:t>
                  </w:r>
                </w:p>
              </w:tc>
              <w:tc>
                <w:tcPr>
                  <w:tcW w:w="765" w:type="dxa"/>
                  <w:vMerge w:val="restart"/>
                  <w:vAlign w:val="center"/>
                </w:tcPr>
                <w:p>
                  <w:pPr>
                    <w:spacing w:line="240" w:lineRule="atLeast"/>
                    <w:jc w:val="center"/>
                    <w:rPr>
                      <w:sz w:val="20"/>
                      <w:szCs w:val="20"/>
                    </w:rPr>
                  </w:pPr>
                  <w:r>
                    <w:rPr>
                      <w:sz w:val="20"/>
                      <w:szCs w:val="20"/>
                    </w:rPr>
                    <w:t>排气筒高度（m）</w:t>
                  </w:r>
                </w:p>
              </w:tc>
              <w:tc>
                <w:tcPr>
                  <w:tcW w:w="1097" w:type="dxa"/>
                  <w:vMerge w:val="restart"/>
                  <w:vAlign w:val="center"/>
                </w:tcPr>
                <w:p>
                  <w:pPr>
                    <w:spacing w:line="240" w:lineRule="atLeast"/>
                    <w:jc w:val="center"/>
                    <w:rPr>
                      <w:sz w:val="20"/>
                      <w:szCs w:val="20"/>
                    </w:rPr>
                  </w:pPr>
                  <w:r>
                    <w:rPr>
                      <w:sz w:val="20"/>
                      <w:szCs w:val="20"/>
                    </w:rPr>
                    <w:t>排气筒出口内径（m）</w:t>
                  </w:r>
                </w:p>
              </w:tc>
              <w:tc>
                <w:tcPr>
                  <w:tcW w:w="754" w:type="dxa"/>
                  <w:vMerge w:val="restart"/>
                  <w:vAlign w:val="center"/>
                </w:tcPr>
                <w:p>
                  <w:pPr>
                    <w:spacing w:line="240" w:lineRule="atLeast"/>
                    <w:jc w:val="center"/>
                    <w:rPr>
                      <w:sz w:val="20"/>
                      <w:szCs w:val="20"/>
                    </w:rPr>
                  </w:pPr>
                  <w:r>
                    <w:rPr>
                      <w:sz w:val="20"/>
                      <w:szCs w:val="20"/>
                    </w:rPr>
                    <w:t>排气温度（℃）</w:t>
                  </w:r>
                </w:p>
              </w:tc>
              <w:tc>
                <w:tcPr>
                  <w:tcW w:w="542" w:type="dxa"/>
                  <w:vMerge w:val="restart"/>
                  <w:vAlign w:val="center"/>
                </w:tcPr>
                <w:p>
                  <w:pPr>
                    <w:spacing w:line="240" w:lineRule="atLeast"/>
                    <w:jc w:val="center"/>
                    <w:rPr>
                      <w:sz w:val="20"/>
                      <w:szCs w:val="20"/>
                    </w:rPr>
                  </w:pPr>
                  <w:r>
                    <w:rPr>
                      <w:sz w:val="20"/>
                      <w:szCs w:val="20"/>
                    </w:rPr>
                    <w:t>备注</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338" w:hRule="atLeast"/>
                <w:jc w:val="center"/>
              </w:trPr>
              <w:tc>
                <w:tcPr>
                  <w:tcW w:w="439" w:type="dxa"/>
                  <w:vMerge w:val="continue"/>
                  <w:vAlign w:val="center"/>
                </w:tcPr>
                <w:p>
                  <w:pPr>
                    <w:pStyle w:val="47"/>
                  </w:pPr>
                </w:p>
              </w:tc>
              <w:tc>
                <w:tcPr>
                  <w:tcW w:w="899" w:type="dxa"/>
                  <w:vMerge w:val="continue"/>
                  <w:vAlign w:val="center"/>
                </w:tcPr>
                <w:p>
                  <w:pPr>
                    <w:pStyle w:val="47"/>
                  </w:pPr>
                </w:p>
              </w:tc>
              <w:tc>
                <w:tcPr>
                  <w:tcW w:w="1011" w:type="dxa"/>
                  <w:vMerge w:val="continue"/>
                  <w:vAlign w:val="center"/>
                </w:tcPr>
                <w:p>
                  <w:pPr>
                    <w:pStyle w:val="47"/>
                  </w:pPr>
                </w:p>
              </w:tc>
              <w:tc>
                <w:tcPr>
                  <w:tcW w:w="692" w:type="dxa"/>
                  <w:vMerge w:val="continue"/>
                  <w:vAlign w:val="center"/>
                </w:tcPr>
                <w:p>
                  <w:pPr>
                    <w:pStyle w:val="47"/>
                  </w:pPr>
                </w:p>
              </w:tc>
              <w:tc>
                <w:tcPr>
                  <w:tcW w:w="1896" w:type="dxa"/>
                  <w:vAlign w:val="center"/>
                </w:tcPr>
                <w:p>
                  <w:pPr>
                    <w:spacing w:line="240" w:lineRule="atLeast"/>
                    <w:jc w:val="center"/>
                    <w:rPr>
                      <w:sz w:val="20"/>
                      <w:szCs w:val="20"/>
                    </w:rPr>
                  </w:pPr>
                  <w:r>
                    <w:rPr>
                      <w:sz w:val="20"/>
                      <w:szCs w:val="20"/>
                    </w:rPr>
                    <w:t>名称</w:t>
                  </w:r>
                </w:p>
              </w:tc>
              <w:tc>
                <w:tcPr>
                  <w:tcW w:w="1558" w:type="dxa"/>
                  <w:tcBorders>
                    <w:right w:val="single" w:color="auto" w:sz="4" w:space="0"/>
                  </w:tcBorders>
                  <w:vAlign w:val="center"/>
                </w:tcPr>
                <w:p>
                  <w:pPr>
                    <w:spacing w:line="240" w:lineRule="atLeast"/>
                    <w:jc w:val="center"/>
                    <w:rPr>
                      <w:sz w:val="20"/>
                      <w:szCs w:val="20"/>
                    </w:rPr>
                  </w:pPr>
                  <w:r>
                    <w:rPr>
                      <w:sz w:val="20"/>
                      <w:szCs w:val="20"/>
                    </w:rPr>
                    <w:t>浓度限值</w:t>
                  </w:r>
                </w:p>
                <w:p>
                  <w:pPr>
                    <w:spacing w:line="240" w:lineRule="atLeast"/>
                    <w:jc w:val="center"/>
                    <w:rPr>
                      <w:sz w:val="20"/>
                      <w:szCs w:val="20"/>
                    </w:rPr>
                  </w:pPr>
                  <w:r>
                    <w:rPr>
                      <w:rFonts w:hint="eastAsia"/>
                      <w:sz w:val="20"/>
                      <w:szCs w:val="20"/>
                    </w:rPr>
                    <w:t>（</w:t>
                  </w:r>
                  <w:r>
                    <w:rPr>
                      <w:sz w:val="20"/>
                      <w:szCs w:val="20"/>
                    </w:rPr>
                    <w:t>mg/Nm</w:t>
                  </w:r>
                  <w:r>
                    <w:rPr>
                      <w:sz w:val="20"/>
                      <w:szCs w:val="20"/>
                      <w:vertAlign w:val="superscript"/>
                    </w:rPr>
                    <w:t>3</w:t>
                  </w:r>
                  <w:r>
                    <w:rPr>
                      <w:rFonts w:hint="eastAsia"/>
                      <w:sz w:val="20"/>
                      <w:szCs w:val="20"/>
                    </w:rPr>
                    <w:t>）</w:t>
                  </w:r>
                </w:p>
              </w:tc>
              <w:tc>
                <w:tcPr>
                  <w:tcW w:w="1150" w:type="dxa"/>
                  <w:tcBorders>
                    <w:left w:val="single" w:color="auto" w:sz="4" w:space="0"/>
                  </w:tcBorders>
                  <w:vAlign w:val="center"/>
                </w:tcPr>
                <w:p>
                  <w:pPr>
                    <w:spacing w:line="240" w:lineRule="atLeast"/>
                    <w:jc w:val="center"/>
                    <w:rPr>
                      <w:color w:val="0000FF"/>
                      <w:sz w:val="20"/>
                      <w:szCs w:val="20"/>
                    </w:rPr>
                  </w:pPr>
                  <w:r>
                    <w:rPr>
                      <w:color w:val="0000FF"/>
                      <w:sz w:val="20"/>
                      <w:szCs w:val="20"/>
                    </w:rPr>
                    <w:t>速率限值</w:t>
                  </w:r>
                </w:p>
                <w:p>
                  <w:pPr>
                    <w:spacing w:line="240" w:lineRule="atLeast"/>
                    <w:jc w:val="center"/>
                    <w:rPr>
                      <w:color w:val="0000FF"/>
                      <w:sz w:val="20"/>
                      <w:szCs w:val="20"/>
                    </w:rPr>
                  </w:pPr>
                  <w:r>
                    <w:rPr>
                      <w:color w:val="0000FF"/>
                      <w:sz w:val="20"/>
                      <w:szCs w:val="20"/>
                    </w:rPr>
                    <w:t>(kg/h)</w:t>
                  </w:r>
                </w:p>
              </w:tc>
              <w:tc>
                <w:tcPr>
                  <w:tcW w:w="1055" w:type="dxa"/>
                  <w:vAlign w:val="center"/>
                </w:tcPr>
                <w:p>
                  <w:pPr>
                    <w:spacing w:line="240" w:lineRule="atLeast"/>
                    <w:jc w:val="center"/>
                    <w:rPr>
                      <w:sz w:val="20"/>
                      <w:szCs w:val="20"/>
                    </w:rPr>
                  </w:pPr>
                  <w:r>
                    <w:rPr>
                      <w:sz w:val="20"/>
                      <w:szCs w:val="20"/>
                    </w:rPr>
                    <w:t>经度</w:t>
                  </w:r>
                </w:p>
              </w:tc>
              <w:tc>
                <w:tcPr>
                  <w:tcW w:w="1290" w:type="dxa"/>
                  <w:vAlign w:val="center"/>
                </w:tcPr>
                <w:p>
                  <w:pPr>
                    <w:spacing w:line="240" w:lineRule="atLeast"/>
                    <w:jc w:val="center"/>
                    <w:rPr>
                      <w:sz w:val="20"/>
                      <w:szCs w:val="20"/>
                    </w:rPr>
                  </w:pPr>
                  <w:r>
                    <w:rPr>
                      <w:sz w:val="20"/>
                      <w:szCs w:val="20"/>
                    </w:rPr>
                    <w:t>纬度</w:t>
                  </w:r>
                </w:p>
              </w:tc>
              <w:tc>
                <w:tcPr>
                  <w:tcW w:w="812" w:type="dxa"/>
                  <w:vMerge w:val="continue"/>
                  <w:vAlign w:val="center"/>
                </w:tcPr>
                <w:p>
                  <w:pPr>
                    <w:pStyle w:val="47"/>
                  </w:pPr>
                </w:p>
              </w:tc>
              <w:tc>
                <w:tcPr>
                  <w:tcW w:w="765" w:type="dxa"/>
                  <w:vMerge w:val="continue"/>
                  <w:vAlign w:val="center"/>
                </w:tcPr>
                <w:p>
                  <w:pPr>
                    <w:pStyle w:val="47"/>
                  </w:pPr>
                </w:p>
              </w:tc>
              <w:tc>
                <w:tcPr>
                  <w:tcW w:w="1097" w:type="dxa"/>
                  <w:vMerge w:val="continue"/>
                  <w:vAlign w:val="center"/>
                </w:tcPr>
                <w:p>
                  <w:pPr>
                    <w:pStyle w:val="47"/>
                  </w:pPr>
                </w:p>
              </w:tc>
              <w:tc>
                <w:tcPr>
                  <w:tcW w:w="754" w:type="dxa"/>
                  <w:vMerge w:val="continue"/>
                  <w:vAlign w:val="center"/>
                </w:tcPr>
                <w:p>
                  <w:pPr>
                    <w:pStyle w:val="47"/>
                  </w:pPr>
                </w:p>
              </w:tc>
              <w:tc>
                <w:tcPr>
                  <w:tcW w:w="542" w:type="dxa"/>
                  <w:vMerge w:val="continue"/>
                  <w:vAlign w:val="center"/>
                </w:tcPr>
                <w:p>
                  <w:pPr>
                    <w:pStyle w:val="47"/>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338" w:hRule="atLeast"/>
                <w:jc w:val="center"/>
              </w:trPr>
              <w:tc>
                <w:tcPr>
                  <w:tcW w:w="439" w:type="dxa"/>
                  <w:vAlign w:val="center"/>
                </w:tcPr>
                <w:p>
                  <w:pPr>
                    <w:spacing w:line="240" w:lineRule="atLeast"/>
                    <w:jc w:val="center"/>
                    <w:rPr>
                      <w:sz w:val="20"/>
                      <w:szCs w:val="20"/>
                    </w:rPr>
                  </w:pPr>
                  <w:r>
                    <w:rPr>
                      <w:sz w:val="20"/>
                      <w:szCs w:val="20"/>
                    </w:rPr>
                    <w:t>1</w:t>
                  </w:r>
                </w:p>
              </w:tc>
              <w:tc>
                <w:tcPr>
                  <w:tcW w:w="899" w:type="dxa"/>
                  <w:vAlign w:val="center"/>
                </w:tcPr>
                <w:p>
                  <w:pPr>
                    <w:spacing w:line="240" w:lineRule="atLeast"/>
                    <w:jc w:val="center"/>
                    <w:rPr>
                      <w:sz w:val="20"/>
                      <w:szCs w:val="20"/>
                    </w:rPr>
                  </w:pPr>
                  <w:r>
                    <w:rPr>
                      <w:sz w:val="20"/>
                      <w:szCs w:val="20"/>
                    </w:rPr>
                    <w:t>DA001</w:t>
                  </w:r>
                </w:p>
              </w:tc>
              <w:tc>
                <w:tcPr>
                  <w:tcW w:w="1011" w:type="dxa"/>
                  <w:vAlign w:val="center"/>
                </w:tcPr>
                <w:p>
                  <w:pPr>
                    <w:spacing w:line="240" w:lineRule="atLeast"/>
                    <w:jc w:val="center"/>
                    <w:rPr>
                      <w:sz w:val="20"/>
                      <w:szCs w:val="20"/>
                    </w:rPr>
                  </w:pPr>
                  <w:r>
                    <w:rPr>
                      <w:sz w:val="20"/>
                      <w:szCs w:val="20"/>
                    </w:rPr>
                    <w:t>1#</w:t>
                  </w:r>
                  <w:r>
                    <w:t>排气筒</w:t>
                  </w:r>
                </w:p>
              </w:tc>
              <w:tc>
                <w:tcPr>
                  <w:tcW w:w="692" w:type="dxa"/>
                  <w:vAlign w:val="center"/>
                </w:tcPr>
                <w:p>
                  <w:pPr>
                    <w:spacing w:line="240" w:lineRule="atLeast"/>
                    <w:jc w:val="center"/>
                    <w:rPr>
                      <w:sz w:val="20"/>
                      <w:szCs w:val="20"/>
                    </w:rPr>
                  </w:pPr>
                  <w:r>
                    <w:rPr>
                      <w:sz w:val="20"/>
                      <w:szCs w:val="20"/>
                    </w:rPr>
                    <w:t>颗粒物</w:t>
                  </w:r>
                </w:p>
              </w:tc>
              <w:tc>
                <w:tcPr>
                  <w:tcW w:w="1896" w:type="dxa"/>
                  <w:vAlign w:val="center"/>
                </w:tcPr>
                <w:p>
                  <w:pPr>
                    <w:spacing w:line="240" w:lineRule="atLeast"/>
                    <w:jc w:val="center"/>
                    <w:rPr>
                      <w:sz w:val="20"/>
                      <w:szCs w:val="20"/>
                    </w:rPr>
                  </w:pPr>
                  <w:r>
                    <w:rPr>
                      <w:rFonts w:hint="eastAsia"/>
                      <w:color w:val="0000FF"/>
                      <w:sz w:val="20"/>
                      <w:szCs w:val="20"/>
                    </w:rPr>
                    <w:t>《大气污染物综合排放标准》（DB 50/418-2016）</w:t>
                  </w:r>
                </w:p>
              </w:tc>
              <w:tc>
                <w:tcPr>
                  <w:tcW w:w="1558" w:type="dxa"/>
                  <w:tcBorders>
                    <w:right w:val="single" w:color="auto" w:sz="4" w:space="0"/>
                  </w:tcBorders>
                  <w:vAlign w:val="center"/>
                </w:tcPr>
                <w:p>
                  <w:pPr>
                    <w:spacing w:line="240" w:lineRule="atLeast"/>
                    <w:jc w:val="center"/>
                    <w:rPr>
                      <w:sz w:val="20"/>
                      <w:szCs w:val="20"/>
                    </w:rPr>
                  </w:pPr>
                  <w:r>
                    <w:rPr>
                      <w:rFonts w:hint="eastAsia"/>
                      <w:color w:val="0000FF"/>
                      <w:sz w:val="20"/>
                      <w:szCs w:val="20"/>
                    </w:rPr>
                    <w:t>120</w:t>
                  </w:r>
                </w:p>
              </w:tc>
              <w:tc>
                <w:tcPr>
                  <w:tcW w:w="1150" w:type="dxa"/>
                  <w:tcBorders>
                    <w:left w:val="single" w:color="auto" w:sz="4" w:space="0"/>
                  </w:tcBorders>
                  <w:vAlign w:val="center"/>
                </w:tcPr>
                <w:p>
                  <w:pPr>
                    <w:spacing w:line="240" w:lineRule="atLeast"/>
                    <w:jc w:val="center"/>
                    <w:rPr>
                      <w:color w:val="0000FF"/>
                      <w:sz w:val="20"/>
                      <w:szCs w:val="20"/>
                    </w:rPr>
                  </w:pPr>
                  <w:r>
                    <w:rPr>
                      <w:color w:val="0000FF"/>
                      <w:sz w:val="20"/>
                      <w:szCs w:val="20"/>
                    </w:rPr>
                    <w:t>3.5</w:t>
                  </w:r>
                </w:p>
              </w:tc>
              <w:tc>
                <w:tcPr>
                  <w:tcW w:w="1055" w:type="dxa"/>
                  <w:vAlign w:val="center"/>
                </w:tcPr>
                <w:p>
                  <w:pPr>
                    <w:spacing w:line="240" w:lineRule="atLeast"/>
                    <w:jc w:val="center"/>
                    <w:rPr>
                      <w:sz w:val="20"/>
                      <w:szCs w:val="20"/>
                    </w:rPr>
                  </w:pPr>
                  <w:r>
                    <w:rPr>
                      <w:rFonts w:hint="eastAsia"/>
                      <w:sz w:val="20"/>
                      <w:szCs w:val="20"/>
                    </w:rPr>
                    <w:t>108°39′17.693″</w:t>
                  </w:r>
                </w:p>
              </w:tc>
              <w:tc>
                <w:tcPr>
                  <w:tcW w:w="1290" w:type="dxa"/>
                  <w:vAlign w:val="center"/>
                </w:tcPr>
                <w:p>
                  <w:pPr>
                    <w:spacing w:line="240" w:lineRule="atLeast"/>
                    <w:jc w:val="center"/>
                    <w:rPr>
                      <w:sz w:val="20"/>
                      <w:szCs w:val="20"/>
                    </w:rPr>
                  </w:pPr>
                  <w:r>
                    <w:rPr>
                      <w:rFonts w:hint="eastAsia"/>
                      <w:sz w:val="20"/>
                      <w:szCs w:val="20"/>
                    </w:rPr>
                    <w:t>29°2′11.148″</w:t>
                  </w:r>
                </w:p>
              </w:tc>
              <w:tc>
                <w:tcPr>
                  <w:tcW w:w="812" w:type="dxa"/>
                  <w:vAlign w:val="center"/>
                </w:tcPr>
                <w:p>
                  <w:pPr>
                    <w:spacing w:line="240" w:lineRule="atLeast"/>
                    <w:jc w:val="center"/>
                    <w:rPr>
                      <w:sz w:val="20"/>
                      <w:szCs w:val="20"/>
                    </w:rPr>
                  </w:pPr>
                  <w:r>
                    <w:rPr>
                      <w:rFonts w:hint="eastAsia"/>
                      <w:color w:val="0000FF"/>
                    </w:rPr>
                    <w:t>2.861</w:t>
                  </w:r>
                </w:p>
              </w:tc>
              <w:tc>
                <w:tcPr>
                  <w:tcW w:w="765" w:type="dxa"/>
                  <w:vAlign w:val="center"/>
                </w:tcPr>
                <w:p>
                  <w:pPr>
                    <w:spacing w:line="240" w:lineRule="atLeast"/>
                    <w:jc w:val="center"/>
                    <w:rPr>
                      <w:sz w:val="20"/>
                      <w:szCs w:val="20"/>
                    </w:rPr>
                  </w:pPr>
                  <w:r>
                    <w:rPr>
                      <w:sz w:val="20"/>
                      <w:szCs w:val="20"/>
                    </w:rPr>
                    <w:t>15</w:t>
                  </w:r>
                </w:p>
              </w:tc>
              <w:tc>
                <w:tcPr>
                  <w:tcW w:w="1097" w:type="dxa"/>
                  <w:vAlign w:val="center"/>
                </w:tcPr>
                <w:p>
                  <w:pPr>
                    <w:spacing w:line="240" w:lineRule="atLeast"/>
                    <w:jc w:val="center"/>
                    <w:rPr>
                      <w:sz w:val="20"/>
                      <w:szCs w:val="20"/>
                    </w:rPr>
                  </w:pPr>
                  <w:r>
                    <w:rPr>
                      <w:rFonts w:hint="eastAsia"/>
                      <w:sz w:val="20"/>
                      <w:szCs w:val="20"/>
                    </w:rPr>
                    <w:t>1.0</w:t>
                  </w:r>
                </w:p>
              </w:tc>
              <w:tc>
                <w:tcPr>
                  <w:tcW w:w="754" w:type="dxa"/>
                  <w:vAlign w:val="center"/>
                </w:tcPr>
                <w:p>
                  <w:pPr>
                    <w:spacing w:line="240" w:lineRule="atLeast"/>
                    <w:jc w:val="center"/>
                    <w:rPr>
                      <w:sz w:val="20"/>
                      <w:szCs w:val="20"/>
                    </w:rPr>
                  </w:pPr>
                  <w:r>
                    <w:rPr>
                      <w:sz w:val="20"/>
                      <w:szCs w:val="20"/>
                    </w:rPr>
                    <w:t>常温</w:t>
                  </w:r>
                </w:p>
              </w:tc>
              <w:tc>
                <w:tcPr>
                  <w:tcW w:w="542" w:type="dxa"/>
                  <w:vAlign w:val="center"/>
                </w:tcPr>
                <w:p>
                  <w:pPr>
                    <w:spacing w:line="240" w:lineRule="atLeast"/>
                    <w:jc w:val="center"/>
                    <w:rPr>
                      <w:sz w:val="20"/>
                      <w:szCs w:val="20"/>
                    </w:rPr>
                  </w:pPr>
                  <w:r>
                    <w:rPr>
                      <w:sz w:val="20"/>
                      <w:szCs w:val="20"/>
                    </w:rPr>
                    <w:t>一般排放口</w:t>
                  </w:r>
                </w:p>
              </w:tc>
            </w:tr>
          </w:tbl>
          <w:p>
            <w:pPr>
              <w:adjustRightInd w:val="0"/>
              <w:snapToGrid w:val="0"/>
              <w:spacing w:line="360" w:lineRule="auto"/>
              <w:ind w:firstLine="480" w:firstLineChars="200"/>
              <w:jc w:val="left"/>
              <w:rPr>
                <w:sz w:val="24"/>
              </w:rPr>
            </w:pPr>
          </w:p>
        </w:tc>
      </w:tr>
    </w:tbl>
    <w:p/>
    <w:p>
      <w:pPr>
        <w:sectPr>
          <w:pgSz w:w="16838" w:h="11906" w:orient="landscape"/>
          <w:pgMar w:top="1440" w:right="1080" w:bottom="1440" w:left="1080" w:header="851" w:footer="1077" w:gutter="0"/>
          <w:cols w:space="720" w:num="1"/>
          <w:docGrid w:linePitch="312" w:charSpace="0"/>
        </w:sectPr>
      </w:pP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0"/>
        <w:gridCol w:w="92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163" w:hRule="atLeast"/>
          <w:jc w:val="center"/>
        </w:trPr>
        <w:tc>
          <w:tcPr>
            <w:tcW w:w="480" w:type="dxa"/>
            <w:vAlign w:val="center"/>
          </w:tcPr>
          <w:p>
            <w:pPr>
              <w:adjustRightInd w:val="0"/>
              <w:snapToGrid w:val="0"/>
              <w:jc w:val="center"/>
              <w:rPr>
                <w:sz w:val="24"/>
              </w:rPr>
            </w:pPr>
            <w:r>
              <w:rPr>
                <w:sz w:val="24"/>
              </w:rPr>
              <w:t>运营期生态环境影响分析</w:t>
            </w:r>
          </w:p>
        </w:tc>
        <w:tc>
          <w:tcPr>
            <w:tcW w:w="9246" w:type="dxa"/>
          </w:tcPr>
          <w:p>
            <w:pPr>
              <w:adjustRightInd w:val="0"/>
              <w:snapToGrid w:val="0"/>
              <w:spacing w:line="360" w:lineRule="auto"/>
              <w:ind w:firstLine="480" w:firstLineChars="200"/>
              <w:jc w:val="left"/>
              <w:rPr>
                <w:sz w:val="24"/>
              </w:rPr>
            </w:pPr>
            <w:r>
              <w:rPr>
                <w:rFonts w:hint="eastAsia" w:ascii="宋体" w:hAnsi="宋体" w:cs="宋体"/>
                <w:sz w:val="24"/>
              </w:rPr>
              <w:t>③</w:t>
            </w:r>
            <w:r>
              <w:rPr>
                <w:sz w:val="24"/>
              </w:rPr>
              <w:t>拟建项目废气无组织排放见表4-</w:t>
            </w:r>
            <w:r>
              <w:rPr>
                <w:rFonts w:hint="eastAsia"/>
                <w:sz w:val="24"/>
              </w:rPr>
              <w:t>10</w:t>
            </w:r>
            <w:r>
              <w:rPr>
                <w:sz w:val="24"/>
              </w:rPr>
              <w:t>。</w:t>
            </w:r>
          </w:p>
          <w:p>
            <w:pPr>
              <w:adjustRightInd w:val="0"/>
              <w:snapToGrid w:val="0"/>
              <w:jc w:val="center"/>
              <w:rPr>
                <w:b/>
                <w:sz w:val="24"/>
              </w:rPr>
            </w:pPr>
            <w:r>
              <w:rPr>
                <w:b/>
                <w:sz w:val="24"/>
              </w:rPr>
              <w:t>表4-</w:t>
            </w:r>
            <w:r>
              <w:rPr>
                <w:rFonts w:hint="eastAsia"/>
                <w:b/>
                <w:sz w:val="24"/>
              </w:rPr>
              <w:t>10</w:t>
            </w:r>
            <w:r>
              <w:rPr>
                <w:b/>
                <w:sz w:val="24"/>
              </w:rPr>
              <w:t xml:space="preserve">  大气污染物无组织排放表</w:t>
            </w:r>
          </w:p>
          <w:tbl>
            <w:tblPr>
              <w:tblStyle w:val="15"/>
              <w:tblW w:w="9014"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525"/>
              <w:gridCol w:w="1842"/>
              <w:gridCol w:w="995"/>
              <w:gridCol w:w="1985"/>
              <w:gridCol w:w="1523"/>
              <w:gridCol w:w="1262"/>
              <w:gridCol w:w="88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vMerge w:val="restart"/>
                  <w:tcBorders>
                    <w:top w:val="single" w:color="000000" w:sz="6" w:space="0"/>
                    <w:left w:val="single" w:color="000000" w:sz="6" w:space="0"/>
                  </w:tcBorders>
                  <w:vAlign w:val="center"/>
                </w:tcPr>
                <w:p>
                  <w:pPr>
                    <w:pStyle w:val="42"/>
                  </w:pPr>
                  <w:r>
                    <w:t>序号</w:t>
                  </w:r>
                </w:p>
              </w:tc>
              <w:tc>
                <w:tcPr>
                  <w:tcW w:w="1842" w:type="dxa"/>
                  <w:vMerge w:val="restart"/>
                  <w:tcBorders>
                    <w:top w:val="single" w:color="000000" w:sz="6" w:space="0"/>
                    <w:bottom w:val="single" w:color="000000" w:sz="6" w:space="0"/>
                  </w:tcBorders>
                  <w:vAlign w:val="center"/>
                </w:tcPr>
                <w:p>
                  <w:pPr>
                    <w:pStyle w:val="42"/>
                  </w:pPr>
                  <w:r>
                    <w:t>产污环节</w:t>
                  </w:r>
                </w:p>
              </w:tc>
              <w:tc>
                <w:tcPr>
                  <w:tcW w:w="995" w:type="dxa"/>
                  <w:vMerge w:val="restart"/>
                  <w:tcBorders>
                    <w:top w:val="single" w:color="000000" w:sz="6" w:space="0"/>
                    <w:bottom w:val="single" w:color="000000" w:sz="6" w:space="0"/>
                  </w:tcBorders>
                  <w:vAlign w:val="center"/>
                </w:tcPr>
                <w:p>
                  <w:pPr>
                    <w:pStyle w:val="42"/>
                  </w:pPr>
                  <w:r>
                    <w:t>污染物</w:t>
                  </w:r>
                </w:p>
              </w:tc>
              <w:tc>
                <w:tcPr>
                  <w:tcW w:w="1985" w:type="dxa"/>
                  <w:vMerge w:val="restart"/>
                  <w:tcBorders>
                    <w:top w:val="single" w:color="000000" w:sz="6" w:space="0"/>
                    <w:bottom w:val="single" w:color="000000" w:sz="6" w:space="0"/>
                  </w:tcBorders>
                  <w:vAlign w:val="center"/>
                </w:tcPr>
                <w:p>
                  <w:pPr>
                    <w:pStyle w:val="42"/>
                  </w:pPr>
                  <w:r>
                    <w:t>主要污染防治措施</w:t>
                  </w:r>
                </w:p>
              </w:tc>
              <w:tc>
                <w:tcPr>
                  <w:tcW w:w="2785" w:type="dxa"/>
                  <w:gridSpan w:val="2"/>
                  <w:tcBorders>
                    <w:top w:val="single" w:color="000000" w:sz="6" w:space="0"/>
                    <w:bottom w:val="single" w:color="000000" w:sz="6" w:space="0"/>
                  </w:tcBorders>
                  <w:vAlign w:val="center"/>
                </w:tcPr>
                <w:p>
                  <w:pPr>
                    <w:pStyle w:val="42"/>
                  </w:pPr>
                  <w:r>
                    <w:t>国家或地方污染物排放标准</w:t>
                  </w:r>
                </w:p>
              </w:tc>
              <w:tc>
                <w:tcPr>
                  <w:tcW w:w="882" w:type="dxa"/>
                  <w:vMerge w:val="restart"/>
                  <w:tcBorders>
                    <w:top w:val="single" w:color="000000" w:sz="6" w:space="0"/>
                    <w:bottom w:val="single" w:color="000000" w:sz="6" w:space="0"/>
                    <w:right w:val="single" w:color="000000" w:sz="6" w:space="0"/>
                  </w:tcBorders>
                  <w:vAlign w:val="center"/>
                </w:tcPr>
                <w:p>
                  <w:pPr>
                    <w:pStyle w:val="42"/>
                  </w:pPr>
                  <w:r>
                    <w:t>年排放量（t/a）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vMerge w:val="continue"/>
                  <w:tcBorders>
                    <w:left w:val="single" w:color="000000" w:sz="6" w:space="0"/>
                    <w:bottom w:val="single" w:color="000000" w:sz="6" w:space="0"/>
                  </w:tcBorders>
                  <w:vAlign w:val="center"/>
                </w:tcPr>
                <w:p>
                  <w:pPr>
                    <w:pStyle w:val="42"/>
                  </w:pPr>
                </w:p>
              </w:tc>
              <w:tc>
                <w:tcPr>
                  <w:tcW w:w="1842" w:type="dxa"/>
                  <w:vMerge w:val="continue"/>
                  <w:tcBorders>
                    <w:top w:val="single" w:color="000000" w:sz="6" w:space="0"/>
                    <w:bottom w:val="single" w:color="000000" w:sz="6" w:space="0"/>
                  </w:tcBorders>
                  <w:vAlign w:val="center"/>
                </w:tcPr>
                <w:p>
                  <w:pPr>
                    <w:pStyle w:val="42"/>
                  </w:pPr>
                </w:p>
              </w:tc>
              <w:tc>
                <w:tcPr>
                  <w:tcW w:w="995" w:type="dxa"/>
                  <w:vMerge w:val="continue"/>
                  <w:tcBorders>
                    <w:top w:val="single" w:color="000000" w:sz="6" w:space="0"/>
                    <w:bottom w:val="single" w:color="000000" w:sz="6" w:space="0"/>
                  </w:tcBorders>
                  <w:vAlign w:val="center"/>
                </w:tcPr>
                <w:p>
                  <w:pPr>
                    <w:pStyle w:val="42"/>
                  </w:pPr>
                </w:p>
              </w:tc>
              <w:tc>
                <w:tcPr>
                  <w:tcW w:w="1985" w:type="dxa"/>
                  <w:vMerge w:val="continue"/>
                  <w:tcBorders>
                    <w:top w:val="single" w:color="000000" w:sz="6" w:space="0"/>
                    <w:bottom w:val="single" w:color="000000" w:sz="6" w:space="0"/>
                  </w:tcBorders>
                  <w:vAlign w:val="center"/>
                </w:tcPr>
                <w:p>
                  <w:pPr>
                    <w:pStyle w:val="42"/>
                  </w:pPr>
                </w:p>
              </w:tc>
              <w:tc>
                <w:tcPr>
                  <w:tcW w:w="1523" w:type="dxa"/>
                  <w:tcBorders>
                    <w:top w:val="single" w:color="000000" w:sz="6" w:space="0"/>
                    <w:bottom w:val="single" w:color="000000" w:sz="6" w:space="0"/>
                  </w:tcBorders>
                  <w:vAlign w:val="center"/>
                </w:tcPr>
                <w:p>
                  <w:pPr>
                    <w:pStyle w:val="42"/>
                  </w:pPr>
                  <w:r>
                    <w:t>标准名称</w:t>
                  </w:r>
                </w:p>
              </w:tc>
              <w:tc>
                <w:tcPr>
                  <w:tcW w:w="1262" w:type="dxa"/>
                  <w:tcBorders>
                    <w:top w:val="single" w:color="000000" w:sz="6" w:space="0"/>
                    <w:bottom w:val="single" w:color="000000" w:sz="6" w:space="0"/>
                  </w:tcBorders>
                  <w:vAlign w:val="center"/>
                </w:tcPr>
                <w:p>
                  <w:pPr>
                    <w:pStyle w:val="42"/>
                  </w:pPr>
                  <w:r>
                    <w:t>浓度限值（mg/m</w:t>
                  </w:r>
                  <w:r>
                    <w:rPr>
                      <w:vertAlign w:val="superscript"/>
                    </w:rPr>
                    <w:t>3</w:t>
                  </w:r>
                  <w:r>
                    <w:t>）</w:t>
                  </w:r>
                </w:p>
              </w:tc>
              <w:tc>
                <w:tcPr>
                  <w:tcW w:w="882" w:type="dxa"/>
                  <w:vMerge w:val="continue"/>
                  <w:tcBorders>
                    <w:top w:val="single" w:color="000000" w:sz="6" w:space="0"/>
                    <w:bottom w:val="single" w:color="000000" w:sz="6" w:space="0"/>
                    <w:right w:val="single" w:color="000000" w:sz="6" w:space="0"/>
                  </w:tcBorders>
                  <w:vAlign w:val="center"/>
                </w:tcPr>
                <w:p>
                  <w:pPr>
                    <w:pStyle w:val="42"/>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tcBorders>
                    <w:top w:val="single" w:color="000000" w:sz="6" w:space="0"/>
                    <w:left w:val="single" w:color="000000" w:sz="6" w:space="0"/>
                    <w:bottom w:val="single" w:color="000000" w:sz="6" w:space="0"/>
                  </w:tcBorders>
                  <w:vAlign w:val="center"/>
                </w:tcPr>
                <w:p>
                  <w:pPr>
                    <w:pStyle w:val="42"/>
                  </w:pPr>
                  <w:r>
                    <w:t>1</w:t>
                  </w:r>
                </w:p>
              </w:tc>
              <w:tc>
                <w:tcPr>
                  <w:tcW w:w="1842" w:type="dxa"/>
                  <w:tcBorders>
                    <w:top w:val="single" w:color="000000" w:sz="6" w:space="0"/>
                    <w:bottom w:val="single" w:color="000000" w:sz="6" w:space="0"/>
                  </w:tcBorders>
                  <w:vAlign w:val="center"/>
                </w:tcPr>
                <w:p>
                  <w:pPr>
                    <w:pStyle w:val="42"/>
                  </w:pPr>
                  <w:r>
                    <w:rPr>
                      <w:rFonts w:hint="eastAsia"/>
                    </w:rPr>
                    <w:t>覆盖层剥离扬尘</w:t>
                  </w:r>
                </w:p>
              </w:tc>
              <w:tc>
                <w:tcPr>
                  <w:tcW w:w="995" w:type="dxa"/>
                  <w:tcBorders>
                    <w:top w:val="single" w:color="000000" w:sz="6" w:space="0"/>
                    <w:bottom w:val="single" w:color="000000" w:sz="6" w:space="0"/>
                  </w:tcBorders>
                  <w:vAlign w:val="center"/>
                </w:tcPr>
                <w:p>
                  <w:pPr>
                    <w:pStyle w:val="42"/>
                  </w:pPr>
                  <w:r>
                    <w:t>颗粒物</w:t>
                  </w:r>
                </w:p>
              </w:tc>
              <w:tc>
                <w:tcPr>
                  <w:tcW w:w="1985" w:type="dxa"/>
                  <w:tcBorders>
                    <w:top w:val="single" w:color="000000" w:sz="6" w:space="0"/>
                    <w:bottom w:val="single" w:color="000000" w:sz="6" w:space="0"/>
                  </w:tcBorders>
                  <w:vAlign w:val="center"/>
                </w:tcPr>
                <w:p>
                  <w:pPr>
                    <w:pStyle w:val="42"/>
                  </w:pPr>
                  <w:r>
                    <w:t>洒水降尘</w:t>
                  </w:r>
                </w:p>
              </w:tc>
              <w:tc>
                <w:tcPr>
                  <w:tcW w:w="1523" w:type="dxa"/>
                  <w:vMerge w:val="restart"/>
                  <w:tcBorders>
                    <w:top w:val="single" w:color="000000" w:sz="6" w:space="0"/>
                  </w:tcBorders>
                  <w:vAlign w:val="center"/>
                </w:tcPr>
                <w:p>
                  <w:pPr>
                    <w:pStyle w:val="42"/>
                  </w:pPr>
                  <w:r>
                    <w:rPr>
                      <w:rFonts w:hint="eastAsia"/>
                      <w:color w:val="0000FF"/>
                      <w:sz w:val="20"/>
                      <w:szCs w:val="20"/>
                    </w:rPr>
                    <w:t>《大气污染物综合排放标准》（DB 50/418-2016）</w:t>
                  </w:r>
                </w:p>
              </w:tc>
              <w:tc>
                <w:tcPr>
                  <w:tcW w:w="1262" w:type="dxa"/>
                  <w:tcBorders>
                    <w:top w:val="single" w:color="000000" w:sz="6" w:space="0"/>
                    <w:bottom w:val="single" w:color="000000" w:sz="6" w:space="0"/>
                  </w:tcBorders>
                  <w:vAlign w:val="center"/>
                </w:tcPr>
                <w:p>
                  <w:pPr>
                    <w:pStyle w:val="42"/>
                    <w:rPr>
                      <w:color w:val="0000FF"/>
                    </w:rPr>
                  </w:pPr>
                  <w:r>
                    <w:rPr>
                      <w:rFonts w:hint="eastAsia"/>
                      <w:color w:val="0000FF"/>
                    </w:rPr>
                    <w:t>1.0</w:t>
                  </w:r>
                </w:p>
              </w:tc>
              <w:tc>
                <w:tcPr>
                  <w:tcW w:w="882" w:type="dxa"/>
                  <w:tcBorders>
                    <w:top w:val="single" w:color="000000" w:sz="6" w:space="0"/>
                    <w:bottom w:val="single" w:color="000000" w:sz="6" w:space="0"/>
                    <w:right w:val="single" w:color="000000" w:sz="6" w:space="0"/>
                  </w:tcBorders>
                  <w:vAlign w:val="center"/>
                </w:tcPr>
                <w:p>
                  <w:pPr>
                    <w:pStyle w:val="42"/>
                  </w:pPr>
                  <w:r>
                    <w:rPr>
                      <w:color w:val="0000FF"/>
                    </w:rPr>
                    <w:t>0.129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tcBorders>
                    <w:top w:val="single" w:color="000000" w:sz="6" w:space="0"/>
                    <w:left w:val="single" w:color="000000" w:sz="6" w:space="0"/>
                    <w:bottom w:val="single" w:color="000000" w:sz="6" w:space="0"/>
                  </w:tcBorders>
                  <w:vAlign w:val="center"/>
                </w:tcPr>
                <w:p>
                  <w:pPr>
                    <w:pStyle w:val="42"/>
                  </w:pPr>
                  <w:r>
                    <w:t>2</w:t>
                  </w:r>
                </w:p>
              </w:tc>
              <w:tc>
                <w:tcPr>
                  <w:tcW w:w="1842" w:type="dxa"/>
                  <w:tcBorders>
                    <w:top w:val="single" w:color="000000" w:sz="6" w:space="0"/>
                    <w:bottom w:val="single" w:color="000000" w:sz="6" w:space="0"/>
                  </w:tcBorders>
                  <w:vAlign w:val="center"/>
                </w:tcPr>
                <w:p>
                  <w:pPr>
                    <w:pStyle w:val="42"/>
                  </w:pPr>
                  <w:r>
                    <w:t>钻孔粉尘</w:t>
                  </w:r>
                </w:p>
              </w:tc>
              <w:tc>
                <w:tcPr>
                  <w:tcW w:w="995" w:type="dxa"/>
                  <w:tcBorders>
                    <w:top w:val="single" w:color="000000" w:sz="6" w:space="0"/>
                    <w:bottom w:val="single" w:color="000000" w:sz="6" w:space="0"/>
                  </w:tcBorders>
                  <w:vAlign w:val="center"/>
                </w:tcPr>
                <w:p>
                  <w:pPr>
                    <w:pStyle w:val="42"/>
                  </w:pPr>
                  <w:r>
                    <w:t>颗粒物</w:t>
                  </w:r>
                </w:p>
              </w:tc>
              <w:tc>
                <w:tcPr>
                  <w:tcW w:w="1985" w:type="dxa"/>
                  <w:tcBorders>
                    <w:top w:val="single" w:color="000000" w:sz="6" w:space="0"/>
                    <w:bottom w:val="single" w:color="000000" w:sz="6" w:space="0"/>
                  </w:tcBorders>
                  <w:vAlign w:val="center"/>
                </w:tcPr>
                <w:p>
                  <w:pPr>
                    <w:pStyle w:val="42"/>
                  </w:pPr>
                  <w:r>
                    <w:t>洒水降尘</w:t>
                  </w:r>
                  <w:r>
                    <w:rPr>
                      <w:rFonts w:hint="eastAsia"/>
                    </w:rPr>
                    <w:t>，钻机自带收尘</w:t>
                  </w:r>
                </w:p>
              </w:tc>
              <w:tc>
                <w:tcPr>
                  <w:tcW w:w="1523" w:type="dxa"/>
                  <w:vMerge w:val="continue"/>
                  <w:vAlign w:val="center"/>
                </w:tcPr>
                <w:p>
                  <w:pPr>
                    <w:pStyle w:val="42"/>
                  </w:pPr>
                </w:p>
              </w:tc>
              <w:tc>
                <w:tcPr>
                  <w:tcW w:w="1262" w:type="dxa"/>
                  <w:tcBorders>
                    <w:top w:val="single" w:color="000000" w:sz="6" w:space="0"/>
                    <w:bottom w:val="single" w:color="000000" w:sz="6" w:space="0"/>
                  </w:tcBorders>
                  <w:vAlign w:val="center"/>
                </w:tcPr>
                <w:p>
                  <w:pPr>
                    <w:pStyle w:val="42"/>
                    <w:rPr>
                      <w:color w:val="0000FF"/>
                    </w:rPr>
                  </w:pPr>
                  <w:r>
                    <w:rPr>
                      <w:rFonts w:hint="eastAsia"/>
                      <w:color w:val="0000FF"/>
                    </w:rPr>
                    <w:t>1.0</w:t>
                  </w:r>
                </w:p>
              </w:tc>
              <w:tc>
                <w:tcPr>
                  <w:tcW w:w="882" w:type="dxa"/>
                  <w:tcBorders>
                    <w:top w:val="single" w:color="000000" w:sz="6" w:space="0"/>
                    <w:bottom w:val="single" w:color="000000" w:sz="6" w:space="0"/>
                    <w:right w:val="single" w:color="000000" w:sz="6" w:space="0"/>
                  </w:tcBorders>
                  <w:vAlign w:val="center"/>
                </w:tcPr>
                <w:p>
                  <w:pPr>
                    <w:pStyle w:val="42"/>
                  </w:pPr>
                  <w:r>
                    <w:t>0.408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tcBorders>
                    <w:top w:val="single" w:color="000000" w:sz="6" w:space="0"/>
                    <w:left w:val="single" w:color="000000" w:sz="6" w:space="0"/>
                    <w:bottom w:val="single" w:color="000000" w:sz="6" w:space="0"/>
                  </w:tcBorders>
                  <w:vAlign w:val="center"/>
                </w:tcPr>
                <w:p>
                  <w:pPr>
                    <w:pStyle w:val="42"/>
                  </w:pPr>
                  <w:r>
                    <w:rPr>
                      <w:rFonts w:hint="eastAsia"/>
                    </w:rPr>
                    <w:t>3</w:t>
                  </w:r>
                </w:p>
              </w:tc>
              <w:tc>
                <w:tcPr>
                  <w:tcW w:w="1842" w:type="dxa"/>
                  <w:tcBorders>
                    <w:top w:val="single" w:color="000000" w:sz="6" w:space="0"/>
                    <w:bottom w:val="single" w:color="000000" w:sz="6" w:space="0"/>
                  </w:tcBorders>
                  <w:vAlign w:val="center"/>
                </w:tcPr>
                <w:p>
                  <w:pPr>
                    <w:pStyle w:val="42"/>
                  </w:pPr>
                  <w:r>
                    <w:t>爆破粉尘</w:t>
                  </w:r>
                </w:p>
              </w:tc>
              <w:tc>
                <w:tcPr>
                  <w:tcW w:w="995" w:type="dxa"/>
                  <w:tcBorders>
                    <w:top w:val="single" w:color="000000" w:sz="6" w:space="0"/>
                    <w:bottom w:val="single" w:color="000000" w:sz="6" w:space="0"/>
                  </w:tcBorders>
                  <w:vAlign w:val="center"/>
                </w:tcPr>
                <w:p>
                  <w:pPr>
                    <w:pStyle w:val="42"/>
                  </w:pPr>
                  <w:r>
                    <w:t>颗粒物</w:t>
                  </w:r>
                </w:p>
              </w:tc>
              <w:tc>
                <w:tcPr>
                  <w:tcW w:w="1985" w:type="dxa"/>
                  <w:tcBorders>
                    <w:top w:val="single" w:color="000000" w:sz="6" w:space="0"/>
                    <w:bottom w:val="single" w:color="000000" w:sz="6" w:space="0"/>
                  </w:tcBorders>
                  <w:vAlign w:val="center"/>
                </w:tcPr>
                <w:p>
                  <w:pPr>
                    <w:pStyle w:val="42"/>
                  </w:pPr>
                  <w:r>
                    <w:t>洒水抑尘、棕垫覆盖</w:t>
                  </w:r>
                </w:p>
              </w:tc>
              <w:tc>
                <w:tcPr>
                  <w:tcW w:w="1523" w:type="dxa"/>
                  <w:vMerge w:val="continue"/>
                  <w:vAlign w:val="center"/>
                </w:tcPr>
                <w:p>
                  <w:pPr>
                    <w:pStyle w:val="42"/>
                  </w:pPr>
                </w:p>
              </w:tc>
              <w:tc>
                <w:tcPr>
                  <w:tcW w:w="1262" w:type="dxa"/>
                  <w:tcBorders>
                    <w:top w:val="single" w:color="000000" w:sz="6" w:space="0"/>
                    <w:bottom w:val="single" w:color="000000" w:sz="6" w:space="0"/>
                  </w:tcBorders>
                  <w:vAlign w:val="center"/>
                </w:tcPr>
                <w:p>
                  <w:pPr>
                    <w:pStyle w:val="42"/>
                    <w:rPr>
                      <w:color w:val="0000FF"/>
                    </w:rPr>
                  </w:pPr>
                  <w:r>
                    <w:rPr>
                      <w:rFonts w:hint="eastAsia"/>
                      <w:color w:val="0000FF"/>
                    </w:rPr>
                    <w:t>1.0</w:t>
                  </w:r>
                </w:p>
              </w:tc>
              <w:tc>
                <w:tcPr>
                  <w:tcW w:w="882" w:type="dxa"/>
                  <w:tcBorders>
                    <w:top w:val="single" w:color="000000" w:sz="6" w:space="0"/>
                    <w:bottom w:val="single" w:color="000000" w:sz="6" w:space="0"/>
                    <w:right w:val="single" w:color="000000" w:sz="6" w:space="0"/>
                  </w:tcBorders>
                  <w:vAlign w:val="center"/>
                </w:tcPr>
                <w:p>
                  <w:pPr>
                    <w:pStyle w:val="42"/>
                  </w:pPr>
                  <w:r>
                    <w:t>0.145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tcBorders>
                    <w:top w:val="single" w:color="000000" w:sz="6" w:space="0"/>
                    <w:left w:val="single" w:color="000000" w:sz="6" w:space="0"/>
                    <w:bottom w:val="single" w:color="000000" w:sz="6" w:space="0"/>
                  </w:tcBorders>
                  <w:vAlign w:val="center"/>
                </w:tcPr>
                <w:p>
                  <w:pPr>
                    <w:pStyle w:val="42"/>
                  </w:pPr>
                  <w:r>
                    <w:rPr>
                      <w:rFonts w:hint="eastAsia"/>
                    </w:rPr>
                    <w:t>4</w:t>
                  </w:r>
                </w:p>
              </w:tc>
              <w:tc>
                <w:tcPr>
                  <w:tcW w:w="1842" w:type="dxa"/>
                  <w:tcBorders>
                    <w:top w:val="single" w:color="000000" w:sz="6" w:space="0"/>
                    <w:bottom w:val="single" w:color="000000" w:sz="6" w:space="0"/>
                  </w:tcBorders>
                  <w:vAlign w:val="center"/>
                </w:tcPr>
                <w:p>
                  <w:pPr>
                    <w:pStyle w:val="42"/>
                  </w:pPr>
                  <w:r>
                    <w:t>铲装扬尘</w:t>
                  </w:r>
                </w:p>
              </w:tc>
              <w:tc>
                <w:tcPr>
                  <w:tcW w:w="995" w:type="dxa"/>
                  <w:tcBorders>
                    <w:top w:val="single" w:color="000000" w:sz="6" w:space="0"/>
                    <w:bottom w:val="single" w:color="000000" w:sz="6" w:space="0"/>
                  </w:tcBorders>
                  <w:vAlign w:val="center"/>
                </w:tcPr>
                <w:p>
                  <w:pPr>
                    <w:pStyle w:val="42"/>
                  </w:pPr>
                  <w:r>
                    <w:t>颗粒物</w:t>
                  </w:r>
                </w:p>
              </w:tc>
              <w:tc>
                <w:tcPr>
                  <w:tcW w:w="1985" w:type="dxa"/>
                  <w:tcBorders>
                    <w:top w:val="single" w:color="000000" w:sz="6" w:space="0"/>
                    <w:bottom w:val="single" w:color="000000" w:sz="6" w:space="0"/>
                  </w:tcBorders>
                  <w:vAlign w:val="center"/>
                </w:tcPr>
                <w:p>
                  <w:pPr>
                    <w:pStyle w:val="42"/>
                  </w:pPr>
                  <w:r>
                    <w:t>洒水降尘</w:t>
                  </w:r>
                </w:p>
              </w:tc>
              <w:tc>
                <w:tcPr>
                  <w:tcW w:w="1523" w:type="dxa"/>
                  <w:vMerge w:val="continue"/>
                  <w:vAlign w:val="center"/>
                </w:tcPr>
                <w:p>
                  <w:pPr>
                    <w:pStyle w:val="42"/>
                  </w:pPr>
                </w:p>
              </w:tc>
              <w:tc>
                <w:tcPr>
                  <w:tcW w:w="1262" w:type="dxa"/>
                  <w:tcBorders>
                    <w:top w:val="single" w:color="000000" w:sz="6" w:space="0"/>
                    <w:bottom w:val="single" w:color="000000" w:sz="6" w:space="0"/>
                  </w:tcBorders>
                  <w:vAlign w:val="center"/>
                </w:tcPr>
                <w:p>
                  <w:pPr>
                    <w:pStyle w:val="42"/>
                    <w:rPr>
                      <w:color w:val="0000FF"/>
                    </w:rPr>
                  </w:pPr>
                  <w:r>
                    <w:rPr>
                      <w:rFonts w:hint="eastAsia"/>
                      <w:color w:val="0000FF"/>
                    </w:rPr>
                    <w:t>1.0</w:t>
                  </w:r>
                </w:p>
              </w:tc>
              <w:tc>
                <w:tcPr>
                  <w:tcW w:w="882" w:type="dxa"/>
                  <w:tcBorders>
                    <w:top w:val="single" w:color="000000" w:sz="6" w:space="0"/>
                    <w:bottom w:val="single" w:color="000000" w:sz="6" w:space="0"/>
                    <w:right w:val="single" w:color="000000" w:sz="6" w:space="0"/>
                  </w:tcBorders>
                  <w:vAlign w:val="center"/>
                </w:tcPr>
                <w:p>
                  <w:pPr>
                    <w:pStyle w:val="42"/>
                  </w:pPr>
                  <w:r>
                    <w:t>2.55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tcBorders>
                    <w:top w:val="single" w:color="000000" w:sz="6" w:space="0"/>
                    <w:left w:val="single" w:color="000000" w:sz="6" w:space="0"/>
                    <w:bottom w:val="single" w:color="000000" w:sz="6" w:space="0"/>
                  </w:tcBorders>
                  <w:vAlign w:val="center"/>
                </w:tcPr>
                <w:p>
                  <w:pPr>
                    <w:pStyle w:val="42"/>
                  </w:pPr>
                  <w:r>
                    <w:rPr>
                      <w:rFonts w:hint="eastAsia"/>
                    </w:rPr>
                    <w:t>5</w:t>
                  </w:r>
                </w:p>
              </w:tc>
              <w:tc>
                <w:tcPr>
                  <w:tcW w:w="1842" w:type="dxa"/>
                  <w:tcBorders>
                    <w:top w:val="single" w:color="000000" w:sz="6" w:space="0"/>
                    <w:bottom w:val="single" w:color="000000" w:sz="6" w:space="0"/>
                  </w:tcBorders>
                  <w:vAlign w:val="center"/>
                </w:tcPr>
                <w:p>
                  <w:pPr>
                    <w:pStyle w:val="42"/>
                  </w:pPr>
                  <w:r>
                    <w:t>风力扬尘</w:t>
                  </w:r>
                </w:p>
              </w:tc>
              <w:tc>
                <w:tcPr>
                  <w:tcW w:w="995" w:type="dxa"/>
                  <w:tcBorders>
                    <w:top w:val="single" w:color="000000" w:sz="6" w:space="0"/>
                    <w:bottom w:val="single" w:color="000000" w:sz="6" w:space="0"/>
                  </w:tcBorders>
                  <w:vAlign w:val="center"/>
                </w:tcPr>
                <w:p>
                  <w:pPr>
                    <w:pStyle w:val="42"/>
                  </w:pPr>
                  <w:r>
                    <w:t>颗粒物</w:t>
                  </w:r>
                </w:p>
              </w:tc>
              <w:tc>
                <w:tcPr>
                  <w:tcW w:w="1985" w:type="dxa"/>
                  <w:tcBorders>
                    <w:top w:val="single" w:color="000000" w:sz="6" w:space="0"/>
                    <w:bottom w:val="single" w:color="000000" w:sz="6" w:space="0"/>
                  </w:tcBorders>
                  <w:vAlign w:val="center"/>
                </w:tcPr>
                <w:p>
                  <w:pPr>
                    <w:pStyle w:val="42"/>
                  </w:pPr>
                  <w:r>
                    <w:t>洒水降尘、排土场露土帆布覆盖</w:t>
                  </w:r>
                </w:p>
              </w:tc>
              <w:tc>
                <w:tcPr>
                  <w:tcW w:w="1523" w:type="dxa"/>
                  <w:vMerge w:val="continue"/>
                  <w:vAlign w:val="center"/>
                </w:tcPr>
                <w:p>
                  <w:pPr>
                    <w:pStyle w:val="42"/>
                  </w:pPr>
                </w:p>
              </w:tc>
              <w:tc>
                <w:tcPr>
                  <w:tcW w:w="1262" w:type="dxa"/>
                  <w:tcBorders>
                    <w:top w:val="single" w:color="000000" w:sz="6" w:space="0"/>
                    <w:bottom w:val="single" w:color="000000" w:sz="6" w:space="0"/>
                  </w:tcBorders>
                  <w:vAlign w:val="center"/>
                </w:tcPr>
                <w:p>
                  <w:pPr>
                    <w:pStyle w:val="42"/>
                    <w:rPr>
                      <w:color w:val="0000FF"/>
                    </w:rPr>
                  </w:pPr>
                  <w:r>
                    <w:rPr>
                      <w:rFonts w:hint="eastAsia"/>
                      <w:color w:val="0000FF"/>
                    </w:rPr>
                    <w:t>1.0</w:t>
                  </w:r>
                </w:p>
              </w:tc>
              <w:tc>
                <w:tcPr>
                  <w:tcW w:w="882" w:type="dxa"/>
                  <w:tcBorders>
                    <w:top w:val="single" w:color="000000" w:sz="6" w:space="0"/>
                    <w:bottom w:val="single" w:color="000000" w:sz="6" w:space="0"/>
                    <w:right w:val="single" w:color="000000" w:sz="6" w:space="0"/>
                  </w:tcBorders>
                  <w:vAlign w:val="center"/>
                </w:tcPr>
                <w:p>
                  <w:pPr>
                    <w:pStyle w:val="42"/>
                  </w:pPr>
                  <w:r>
                    <w:t>0.380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tcBorders>
                    <w:top w:val="single" w:color="000000" w:sz="6" w:space="0"/>
                    <w:left w:val="single" w:color="000000" w:sz="6" w:space="0"/>
                    <w:bottom w:val="single" w:color="000000" w:sz="6" w:space="0"/>
                  </w:tcBorders>
                  <w:vAlign w:val="center"/>
                </w:tcPr>
                <w:p>
                  <w:pPr>
                    <w:pStyle w:val="42"/>
                  </w:pPr>
                  <w:r>
                    <w:rPr>
                      <w:rFonts w:hint="eastAsia"/>
                    </w:rPr>
                    <w:t>6</w:t>
                  </w:r>
                </w:p>
              </w:tc>
              <w:tc>
                <w:tcPr>
                  <w:tcW w:w="1842" w:type="dxa"/>
                  <w:tcBorders>
                    <w:top w:val="single" w:color="000000" w:sz="6" w:space="0"/>
                    <w:bottom w:val="single" w:color="000000" w:sz="6" w:space="0"/>
                  </w:tcBorders>
                  <w:vAlign w:val="center"/>
                </w:tcPr>
                <w:p>
                  <w:pPr>
                    <w:pStyle w:val="42"/>
                  </w:pPr>
                  <w:r>
                    <w:t>场内运输扬尘</w:t>
                  </w:r>
                </w:p>
              </w:tc>
              <w:tc>
                <w:tcPr>
                  <w:tcW w:w="995" w:type="dxa"/>
                  <w:tcBorders>
                    <w:top w:val="single" w:color="000000" w:sz="6" w:space="0"/>
                    <w:bottom w:val="single" w:color="000000" w:sz="6" w:space="0"/>
                  </w:tcBorders>
                  <w:vAlign w:val="center"/>
                </w:tcPr>
                <w:p>
                  <w:pPr>
                    <w:pStyle w:val="42"/>
                  </w:pPr>
                  <w:r>
                    <w:t>颗粒物</w:t>
                  </w:r>
                </w:p>
              </w:tc>
              <w:tc>
                <w:tcPr>
                  <w:tcW w:w="1985" w:type="dxa"/>
                  <w:tcBorders>
                    <w:top w:val="single" w:color="000000" w:sz="6" w:space="0"/>
                    <w:bottom w:val="single" w:color="000000" w:sz="6" w:space="0"/>
                  </w:tcBorders>
                  <w:vAlign w:val="center"/>
                </w:tcPr>
                <w:p>
                  <w:pPr>
                    <w:pStyle w:val="42"/>
                  </w:pPr>
                  <w:r>
                    <w:t>洒水降尘、车辆冲洗</w:t>
                  </w:r>
                </w:p>
              </w:tc>
              <w:tc>
                <w:tcPr>
                  <w:tcW w:w="1523" w:type="dxa"/>
                  <w:vMerge w:val="continue"/>
                  <w:vAlign w:val="center"/>
                </w:tcPr>
                <w:p>
                  <w:pPr>
                    <w:pStyle w:val="42"/>
                  </w:pPr>
                </w:p>
              </w:tc>
              <w:tc>
                <w:tcPr>
                  <w:tcW w:w="1262" w:type="dxa"/>
                  <w:tcBorders>
                    <w:top w:val="single" w:color="000000" w:sz="6" w:space="0"/>
                    <w:bottom w:val="single" w:color="000000" w:sz="6" w:space="0"/>
                  </w:tcBorders>
                  <w:vAlign w:val="center"/>
                </w:tcPr>
                <w:p>
                  <w:pPr>
                    <w:pStyle w:val="42"/>
                    <w:rPr>
                      <w:color w:val="0000FF"/>
                    </w:rPr>
                  </w:pPr>
                  <w:r>
                    <w:rPr>
                      <w:rFonts w:hint="eastAsia"/>
                      <w:color w:val="0000FF"/>
                    </w:rPr>
                    <w:t>1.0</w:t>
                  </w:r>
                </w:p>
              </w:tc>
              <w:tc>
                <w:tcPr>
                  <w:tcW w:w="882" w:type="dxa"/>
                  <w:tcBorders>
                    <w:top w:val="single" w:color="000000" w:sz="6" w:space="0"/>
                    <w:bottom w:val="single" w:color="000000" w:sz="6" w:space="0"/>
                    <w:right w:val="single" w:color="000000" w:sz="6" w:space="0"/>
                  </w:tcBorders>
                  <w:vAlign w:val="center"/>
                </w:tcPr>
                <w:p>
                  <w:pPr>
                    <w:pStyle w:val="42"/>
                  </w:pPr>
                  <w:r>
                    <w:t>0.377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tcBorders>
                    <w:top w:val="single" w:color="000000" w:sz="6" w:space="0"/>
                    <w:left w:val="single" w:color="000000" w:sz="6" w:space="0"/>
                    <w:bottom w:val="single" w:color="000000" w:sz="6" w:space="0"/>
                  </w:tcBorders>
                  <w:vAlign w:val="center"/>
                </w:tcPr>
                <w:p>
                  <w:pPr>
                    <w:pStyle w:val="42"/>
                  </w:pPr>
                  <w:r>
                    <w:rPr>
                      <w:rFonts w:hint="eastAsia"/>
                    </w:rPr>
                    <w:t>7</w:t>
                  </w:r>
                </w:p>
              </w:tc>
              <w:tc>
                <w:tcPr>
                  <w:tcW w:w="1842" w:type="dxa"/>
                  <w:tcBorders>
                    <w:top w:val="single" w:color="000000" w:sz="6" w:space="0"/>
                    <w:bottom w:val="single" w:color="000000" w:sz="6" w:space="0"/>
                  </w:tcBorders>
                  <w:vAlign w:val="center"/>
                </w:tcPr>
                <w:p>
                  <w:pPr>
                    <w:pStyle w:val="42"/>
                  </w:pPr>
                  <w:r>
                    <w:rPr>
                      <w:rFonts w:hint="eastAsia"/>
                    </w:rPr>
                    <w:t>给料粉尘</w:t>
                  </w:r>
                </w:p>
              </w:tc>
              <w:tc>
                <w:tcPr>
                  <w:tcW w:w="995" w:type="dxa"/>
                  <w:tcBorders>
                    <w:top w:val="single" w:color="000000" w:sz="6" w:space="0"/>
                    <w:bottom w:val="single" w:color="000000" w:sz="6" w:space="0"/>
                  </w:tcBorders>
                  <w:vAlign w:val="center"/>
                </w:tcPr>
                <w:p>
                  <w:pPr>
                    <w:pStyle w:val="42"/>
                  </w:pPr>
                  <w:r>
                    <w:t>颗粒物</w:t>
                  </w:r>
                </w:p>
              </w:tc>
              <w:tc>
                <w:tcPr>
                  <w:tcW w:w="1985" w:type="dxa"/>
                  <w:tcBorders>
                    <w:top w:val="single" w:color="000000" w:sz="6" w:space="0"/>
                    <w:bottom w:val="single" w:color="000000" w:sz="6" w:space="0"/>
                  </w:tcBorders>
                  <w:vAlign w:val="center"/>
                </w:tcPr>
                <w:p>
                  <w:pPr>
                    <w:pStyle w:val="42"/>
                  </w:pPr>
                  <w:r>
                    <w:rPr>
                      <w:rFonts w:hint="eastAsia"/>
                    </w:rPr>
                    <w:t>洒水降尘、卸料口三面围挡</w:t>
                  </w:r>
                </w:p>
              </w:tc>
              <w:tc>
                <w:tcPr>
                  <w:tcW w:w="1523" w:type="dxa"/>
                  <w:vMerge w:val="continue"/>
                  <w:vAlign w:val="center"/>
                </w:tcPr>
                <w:p>
                  <w:pPr>
                    <w:pStyle w:val="42"/>
                  </w:pPr>
                </w:p>
              </w:tc>
              <w:tc>
                <w:tcPr>
                  <w:tcW w:w="1262" w:type="dxa"/>
                  <w:tcBorders>
                    <w:top w:val="single" w:color="000000" w:sz="6" w:space="0"/>
                    <w:bottom w:val="single" w:color="000000" w:sz="6" w:space="0"/>
                  </w:tcBorders>
                  <w:vAlign w:val="center"/>
                </w:tcPr>
                <w:p>
                  <w:pPr>
                    <w:pStyle w:val="42"/>
                    <w:rPr>
                      <w:color w:val="0000FF"/>
                    </w:rPr>
                  </w:pPr>
                  <w:r>
                    <w:rPr>
                      <w:rFonts w:hint="eastAsia"/>
                      <w:color w:val="0000FF"/>
                    </w:rPr>
                    <w:t>1.0</w:t>
                  </w:r>
                </w:p>
              </w:tc>
              <w:tc>
                <w:tcPr>
                  <w:tcW w:w="882" w:type="dxa"/>
                  <w:tcBorders>
                    <w:top w:val="single" w:color="000000" w:sz="6" w:space="0"/>
                    <w:bottom w:val="single" w:color="000000" w:sz="6" w:space="0"/>
                    <w:right w:val="single" w:color="000000" w:sz="6" w:space="0"/>
                  </w:tcBorders>
                  <w:vAlign w:val="center"/>
                </w:tcPr>
                <w:p>
                  <w:pPr>
                    <w:pStyle w:val="42"/>
                  </w:pPr>
                  <w:r>
                    <w:t>0.117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tcBorders>
                    <w:top w:val="single" w:color="000000" w:sz="6" w:space="0"/>
                    <w:left w:val="single" w:color="000000" w:sz="6" w:space="0"/>
                    <w:bottom w:val="single" w:color="000000" w:sz="6" w:space="0"/>
                  </w:tcBorders>
                  <w:vAlign w:val="center"/>
                </w:tcPr>
                <w:p>
                  <w:pPr>
                    <w:pStyle w:val="42"/>
                  </w:pPr>
                  <w:r>
                    <w:rPr>
                      <w:rFonts w:hint="eastAsia"/>
                    </w:rPr>
                    <w:t>8</w:t>
                  </w:r>
                </w:p>
              </w:tc>
              <w:tc>
                <w:tcPr>
                  <w:tcW w:w="1842" w:type="dxa"/>
                  <w:tcBorders>
                    <w:top w:val="single" w:color="000000" w:sz="6" w:space="0"/>
                    <w:bottom w:val="single" w:color="000000" w:sz="6" w:space="0"/>
                  </w:tcBorders>
                  <w:vAlign w:val="center"/>
                </w:tcPr>
                <w:p>
                  <w:pPr>
                    <w:pStyle w:val="42"/>
                  </w:pPr>
                  <w:r>
                    <w:rPr>
                      <w:rFonts w:hint="eastAsia"/>
                    </w:rPr>
                    <w:t>皮带输送、成品下料粉尘</w:t>
                  </w:r>
                </w:p>
              </w:tc>
              <w:tc>
                <w:tcPr>
                  <w:tcW w:w="995" w:type="dxa"/>
                  <w:tcBorders>
                    <w:top w:val="single" w:color="000000" w:sz="6" w:space="0"/>
                    <w:bottom w:val="single" w:color="000000" w:sz="6" w:space="0"/>
                  </w:tcBorders>
                  <w:vAlign w:val="center"/>
                </w:tcPr>
                <w:p>
                  <w:pPr>
                    <w:pStyle w:val="42"/>
                  </w:pPr>
                  <w:r>
                    <w:t>颗粒物</w:t>
                  </w:r>
                </w:p>
              </w:tc>
              <w:tc>
                <w:tcPr>
                  <w:tcW w:w="1985" w:type="dxa"/>
                  <w:tcBorders>
                    <w:top w:val="single" w:color="000000" w:sz="6" w:space="0"/>
                    <w:bottom w:val="single" w:color="000000" w:sz="6" w:space="0"/>
                  </w:tcBorders>
                  <w:vAlign w:val="center"/>
                </w:tcPr>
                <w:p>
                  <w:pPr>
                    <w:pStyle w:val="42"/>
                  </w:pPr>
                  <w:r>
                    <w:rPr>
                      <w:rFonts w:hint="eastAsia"/>
                    </w:rPr>
                    <w:t>洒水降尘、仓顶式滤筒除尘器、输送带密闭、厂房密闭</w:t>
                  </w:r>
                </w:p>
              </w:tc>
              <w:tc>
                <w:tcPr>
                  <w:tcW w:w="1523" w:type="dxa"/>
                  <w:vMerge w:val="continue"/>
                  <w:vAlign w:val="center"/>
                </w:tcPr>
                <w:p>
                  <w:pPr>
                    <w:pStyle w:val="42"/>
                  </w:pPr>
                </w:p>
              </w:tc>
              <w:tc>
                <w:tcPr>
                  <w:tcW w:w="1262" w:type="dxa"/>
                  <w:tcBorders>
                    <w:top w:val="single" w:color="000000" w:sz="6" w:space="0"/>
                    <w:bottom w:val="single" w:color="000000" w:sz="6" w:space="0"/>
                  </w:tcBorders>
                  <w:vAlign w:val="center"/>
                </w:tcPr>
                <w:p>
                  <w:pPr>
                    <w:pStyle w:val="42"/>
                    <w:rPr>
                      <w:color w:val="0000FF"/>
                    </w:rPr>
                  </w:pPr>
                  <w:r>
                    <w:rPr>
                      <w:rFonts w:hint="eastAsia"/>
                      <w:color w:val="0000FF"/>
                    </w:rPr>
                    <w:t>1.0</w:t>
                  </w:r>
                </w:p>
              </w:tc>
              <w:tc>
                <w:tcPr>
                  <w:tcW w:w="882" w:type="dxa"/>
                  <w:tcBorders>
                    <w:top w:val="single" w:color="000000" w:sz="6" w:space="0"/>
                    <w:bottom w:val="single" w:color="000000" w:sz="6" w:space="0"/>
                    <w:right w:val="single" w:color="000000" w:sz="6" w:space="0"/>
                  </w:tcBorders>
                  <w:vAlign w:val="center"/>
                </w:tcPr>
                <w:p>
                  <w:pPr>
                    <w:pStyle w:val="42"/>
                  </w:pPr>
                  <w:r>
                    <w:t>0.161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tcBorders>
                    <w:top w:val="single" w:color="000000" w:sz="6" w:space="0"/>
                    <w:left w:val="single" w:color="000000" w:sz="6" w:space="0"/>
                    <w:bottom w:val="single" w:color="000000" w:sz="6" w:space="0"/>
                  </w:tcBorders>
                  <w:vAlign w:val="center"/>
                </w:tcPr>
                <w:p>
                  <w:pPr>
                    <w:pStyle w:val="42"/>
                  </w:pPr>
                  <w:r>
                    <w:rPr>
                      <w:rFonts w:hint="eastAsia"/>
                    </w:rPr>
                    <w:t>9</w:t>
                  </w:r>
                </w:p>
              </w:tc>
              <w:tc>
                <w:tcPr>
                  <w:tcW w:w="1842" w:type="dxa"/>
                  <w:tcBorders>
                    <w:top w:val="single" w:color="000000" w:sz="6" w:space="0"/>
                    <w:bottom w:val="single" w:color="000000" w:sz="6" w:space="0"/>
                  </w:tcBorders>
                  <w:vAlign w:val="center"/>
                </w:tcPr>
                <w:p>
                  <w:pPr>
                    <w:pStyle w:val="42"/>
                  </w:pPr>
                  <w:r>
                    <w:rPr>
                      <w:rFonts w:hint="eastAsia"/>
                    </w:rPr>
                    <w:t>成品装卸粉尘</w:t>
                  </w:r>
                </w:p>
              </w:tc>
              <w:tc>
                <w:tcPr>
                  <w:tcW w:w="995" w:type="dxa"/>
                  <w:tcBorders>
                    <w:top w:val="single" w:color="000000" w:sz="6" w:space="0"/>
                    <w:bottom w:val="single" w:color="000000" w:sz="6" w:space="0"/>
                  </w:tcBorders>
                  <w:vAlign w:val="center"/>
                </w:tcPr>
                <w:p>
                  <w:pPr>
                    <w:pStyle w:val="42"/>
                  </w:pPr>
                  <w:r>
                    <w:t>颗粒物</w:t>
                  </w:r>
                </w:p>
              </w:tc>
              <w:tc>
                <w:tcPr>
                  <w:tcW w:w="1985" w:type="dxa"/>
                  <w:tcBorders>
                    <w:top w:val="single" w:color="000000" w:sz="6" w:space="0"/>
                    <w:bottom w:val="single" w:color="000000" w:sz="6" w:space="0"/>
                  </w:tcBorders>
                  <w:vAlign w:val="center"/>
                </w:tcPr>
                <w:p>
                  <w:pPr>
                    <w:pStyle w:val="42"/>
                  </w:pPr>
                  <w:r>
                    <w:rPr>
                      <w:rFonts w:hint="eastAsia"/>
                    </w:rPr>
                    <w:t>洒水降尘、厂房密闭</w:t>
                  </w:r>
                </w:p>
              </w:tc>
              <w:tc>
                <w:tcPr>
                  <w:tcW w:w="1523" w:type="dxa"/>
                  <w:vMerge w:val="continue"/>
                  <w:vAlign w:val="center"/>
                </w:tcPr>
                <w:p>
                  <w:pPr>
                    <w:pStyle w:val="42"/>
                  </w:pPr>
                </w:p>
              </w:tc>
              <w:tc>
                <w:tcPr>
                  <w:tcW w:w="1262" w:type="dxa"/>
                  <w:tcBorders>
                    <w:top w:val="single" w:color="000000" w:sz="6" w:space="0"/>
                    <w:bottom w:val="single" w:color="000000" w:sz="6" w:space="0"/>
                  </w:tcBorders>
                  <w:vAlign w:val="center"/>
                </w:tcPr>
                <w:p>
                  <w:pPr>
                    <w:pStyle w:val="42"/>
                    <w:rPr>
                      <w:color w:val="0000FF"/>
                    </w:rPr>
                  </w:pPr>
                  <w:r>
                    <w:rPr>
                      <w:rFonts w:hint="eastAsia"/>
                      <w:color w:val="0000FF"/>
                    </w:rPr>
                    <w:t>1.0</w:t>
                  </w:r>
                </w:p>
              </w:tc>
              <w:tc>
                <w:tcPr>
                  <w:tcW w:w="882" w:type="dxa"/>
                  <w:tcBorders>
                    <w:top w:val="single" w:color="000000" w:sz="6" w:space="0"/>
                    <w:bottom w:val="single" w:color="000000" w:sz="6" w:space="0"/>
                    <w:right w:val="single" w:color="000000" w:sz="6" w:space="0"/>
                  </w:tcBorders>
                  <w:vAlign w:val="center"/>
                </w:tcPr>
                <w:p>
                  <w:pPr>
                    <w:pStyle w:val="42"/>
                  </w:pPr>
                  <w:r>
                    <w:t>2.55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tcBorders>
                    <w:top w:val="single" w:color="000000" w:sz="6" w:space="0"/>
                    <w:left w:val="single" w:color="000000" w:sz="6" w:space="0"/>
                    <w:bottom w:val="single" w:color="000000" w:sz="6" w:space="0"/>
                  </w:tcBorders>
                  <w:vAlign w:val="center"/>
                </w:tcPr>
                <w:p>
                  <w:pPr>
                    <w:pStyle w:val="42"/>
                  </w:pPr>
                  <w:r>
                    <w:rPr>
                      <w:rFonts w:hint="eastAsia"/>
                    </w:rPr>
                    <w:t>10</w:t>
                  </w:r>
                </w:p>
              </w:tc>
              <w:tc>
                <w:tcPr>
                  <w:tcW w:w="1842" w:type="dxa"/>
                  <w:tcBorders>
                    <w:top w:val="single" w:color="000000" w:sz="6" w:space="0"/>
                    <w:bottom w:val="single" w:color="000000" w:sz="6" w:space="0"/>
                  </w:tcBorders>
                  <w:vAlign w:val="center"/>
                </w:tcPr>
                <w:p>
                  <w:pPr>
                    <w:pStyle w:val="42"/>
                  </w:pPr>
                  <w:r>
                    <w:rPr>
                      <w:rFonts w:hint="eastAsia"/>
                    </w:rPr>
                    <w:t>破碎筛分粉尘</w:t>
                  </w:r>
                </w:p>
              </w:tc>
              <w:tc>
                <w:tcPr>
                  <w:tcW w:w="995" w:type="dxa"/>
                  <w:tcBorders>
                    <w:top w:val="single" w:color="000000" w:sz="6" w:space="0"/>
                    <w:bottom w:val="single" w:color="000000" w:sz="6" w:space="0"/>
                  </w:tcBorders>
                  <w:vAlign w:val="center"/>
                </w:tcPr>
                <w:p>
                  <w:pPr>
                    <w:pStyle w:val="42"/>
                  </w:pPr>
                  <w:r>
                    <w:t>颗粒物</w:t>
                  </w:r>
                </w:p>
              </w:tc>
              <w:tc>
                <w:tcPr>
                  <w:tcW w:w="1985" w:type="dxa"/>
                  <w:tcBorders>
                    <w:top w:val="single" w:color="000000" w:sz="6" w:space="0"/>
                    <w:bottom w:val="single" w:color="000000" w:sz="6" w:space="0"/>
                  </w:tcBorders>
                  <w:vAlign w:val="center"/>
                </w:tcPr>
                <w:p>
                  <w:pPr>
                    <w:pStyle w:val="42"/>
                  </w:pPr>
                  <w:r>
                    <w:rPr>
                      <w:rFonts w:hint="eastAsia"/>
                    </w:rPr>
                    <w:t>有组织收尘</w:t>
                  </w:r>
                  <w:r>
                    <w:t>、洒水降尘</w:t>
                  </w:r>
                  <w:r>
                    <w:rPr>
                      <w:rFonts w:hint="eastAsia"/>
                    </w:rPr>
                    <w:t>、厂房密闭</w:t>
                  </w:r>
                </w:p>
              </w:tc>
              <w:tc>
                <w:tcPr>
                  <w:tcW w:w="1523" w:type="dxa"/>
                  <w:vMerge w:val="continue"/>
                  <w:vAlign w:val="center"/>
                </w:tcPr>
                <w:p>
                  <w:pPr>
                    <w:pStyle w:val="42"/>
                  </w:pPr>
                </w:p>
              </w:tc>
              <w:tc>
                <w:tcPr>
                  <w:tcW w:w="1262" w:type="dxa"/>
                  <w:tcBorders>
                    <w:top w:val="single" w:color="000000" w:sz="6" w:space="0"/>
                    <w:bottom w:val="single" w:color="000000" w:sz="6" w:space="0"/>
                  </w:tcBorders>
                  <w:vAlign w:val="center"/>
                </w:tcPr>
                <w:p>
                  <w:pPr>
                    <w:pStyle w:val="42"/>
                    <w:rPr>
                      <w:color w:val="0000FF"/>
                    </w:rPr>
                  </w:pPr>
                  <w:r>
                    <w:rPr>
                      <w:rFonts w:hint="eastAsia"/>
                      <w:color w:val="0000FF"/>
                    </w:rPr>
                    <w:t>1.0</w:t>
                  </w:r>
                </w:p>
              </w:tc>
              <w:tc>
                <w:tcPr>
                  <w:tcW w:w="882" w:type="dxa"/>
                  <w:tcBorders>
                    <w:top w:val="single" w:color="000000" w:sz="6" w:space="0"/>
                    <w:bottom w:val="single" w:color="000000" w:sz="6" w:space="0"/>
                    <w:right w:val="single" w:color="000000" w:sz="6" w:space="0"/>
                  </w:tcBorders>
                  <w:vAlign w:val="center"/>
                </w:tcPr>
                <w:p>
                  <w:pPr>
                    <w:pStyle w:val="42"/>
                  </w:pPr>
                  <w:r>
                    <w:rPr>
                      <w:color w:val="0000FF"/>
                    </w:rPr>
                    <w:t>1.506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9014" w:type="dxa"/>
                  <w:gridSpan w:val="7"/>
                  <w:tcBorders>
                    <w:top w:val="single" w:color="000000" w:sz="6" w:space="0"/>
                    <w:left w:val="single" w:color="000000" w:sz="6" w:space="0"/>
                    <w:bottom w:val="single" w:color="000000" w:sz="6" w:space="0"/>
                    <w:right w:val="single" w:color="000000" w:sz="6" w:space="0"/>
                  </w:tcBorders>
                  <w:vAlign w:val="center"/>
                </w:tcPr>
                <w:p>
                  <w:pPr>
                    <w:pStyle w:val="42"/>
                  </w:pPr>
                  <w:r>
                    <w:t>无组织排放总计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3362" w:type="dxa"/>
                  <w:gridSpan w:val="3"/>
                  <w:tcBorders>
                    <w:top w:val="single" w:color="000000" w:sz="6" w:space="0"/>
                    <w:left w:val="single" w:color="000000" w:sz="6" w:space="0"/>
                    <w:bottom w:val="single" w:color="000000" w:sz="6" w:space="0"/>
                  </w:tcBorders>
                  <w:vAlign w:val="center"/>
                </w:tcPr>
                <w:p>
                  <w:pPr>
                    <w:pStyle w:val="42"/>
                  </w:pPr>
                  <w:r>
                    <w:t>无组织排放总计</w:t>
                  </w:r>
                </w:p>
              </w:tc>
              <w:tc>
                <w:tcPr>
                  <w:tcW w:w="3508" w:type="dxa"/>
                  <w:gridSpan w:val="2"/>
                  <w:tcBorders>
                    <w:top w:val="single" w:color="000000" w:sz="6" w:space="0"/>
                    <w:bottom w:val="single" w:color="000000" w:sz="6" w:space="0"/>
                  </w:tcBorders>
                  <w:vAlign w:val="center"/>
                </w:tcPr>
                <w:p>
                  <w:pPr>
                    <w:pStyle w:val="42"/>
                  </w:pPr>
                  <w:r>
                    <w:t>颗粒物</w:t>
                  </w:r>
                </w:p>
              </w:tc>
              <w:tc>
                <w:tcPr>
                  <w:tcW w:w="2144" w:type="dxa"/>
                  <w:gridSpan w:val="2"/>
                  <w:tcBorders>
                    <w:top w:val="single" w:color="000000" w:sz="6" w:space="0"/>
                    <w:bottom w:val="single" w:color="000000" w:sz="6" w:space="0"/>
                    <w:right w:val="single" w:color="000000" w:sz="6" w:space="0"/>
                  </w:tcBorders>
                  <w:vAlign w:val="center"/>
                </w:tcPr>
                <w:p>
                  <w:pPr>
                    <w:pStyle w:val="42"/>
                  </w:pPr>
                  <w:r>
                    <w:rPr>
                      <w:color w:val="0000FF"/>
                    </w:rPr>
                    <w:t>8.323</w:t>
                  </w:r>
                </w:p>
              </w:tc>
            </w:tr>
          </w:tbl>
          <w:p>
            <w:pPr>
              <w:adjustRightInd w:val="0"/>
              <w:snapToGrid w:val="0"/>
              <w:spacing w:line="360" w:lineRule="auto"/>
              <w:ind w:firstLine="480" w:firstLineChars="200"/>
              <w:jc w:val="left"/>
              <w:rPr>
                <w:sz w:val="24"/>
              </w:rPr>
            </w:pPr>
            <w:r>
              <w:rPr>
                <w:rFonts w:hint="eastAsia" w:ascii="宋体" w:hAnsi="宋体" w:cs="宋体"/>
                <w:sz w:val="24"/>
              </w:rPr>
              <w:t>④</w:t>
            </w:r>
            <w:r>
              <w:rPr>
                <w:sz w:val="24"/>
              </w:rPr>
              <w:t>拟建项目大气污染物年排放情况见表4-1</w:t>
            </w:r>
            <w:r>
              <w:rPr>
                <w:rFonts w:hint="eastAsia"/>
                <w:sz w:val="24"/>
              </w:rPr>
              <w:t>1</w:t>
            </w:r>
            <w:r>
              <w:rPr>
                <w:sz w:val="24"/>
              </w:rPr>
              <w:t>。</w:t>
            </w:r>
          </w:p>
          <w:p>
            <w:pPr>
              <w:adjustRightInd w:val="0"/>
              <w:snapToGrid w:val="0"/>
              <w:jc w:val="center"/>
              <w:rPr>
                <w:b/>
                <w:sz w:val="24"/>
              </w:rPr>
            </w:pPr>
            <w:r>
              <w:rPr>
                <w:b/>
                <w:sz w:val="24"/>
              </w:rPr>
              <w:t>表4-1</w:t>
            </w:r>
            <w:r>
              <w:rPr>
                <w:rFonts w:hint="eastAsia"/>
                <w:b/>
                <w:sz w:val="24"/>
              </w:rPr>
              <w:t>1</w:t>
            </w:r>
            <w:r>
              <w:rPr>
                <w:b/>
                <w:sz w:val="24"/>
              </w:rPr>
              <w:t xml:space="preserve">  大气污染物年排放量核算表</w:t>
            </w:r>
          </w:p>
          <w:tbl>
            <w:tblPr>
              <w:tblStyle w:val="1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77"/>
              <w:gridCol w:w="3597"/>
              <w:gridCol w:w="424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1177" w:type="dxa"/>
                  <w:vAlign w:val="center"/>
                </w:tcPr>
                <w:p>
                  <w:pPr>
                    <w:pStyle w:val="42"/>
                  </w:pPr>
                  <w:r>
                    <w:t>序号</w:t>
                  </w:r>
                </w:p>
              </w:tc>
              <w:tc>
                <w:tcPr>
                  <w:tcW w:w="3597" w:type="dxa"/>
                  <w:vAlign w:val="center"/>
                </w:tcPr>
                <w:p>
                  <w:pPr>
                    <w:pStyle w:val="42"/>
                  </w:pPr>
                  <w:r>
                    <w:t>污染物</w:t>
                  </w:r>
                </w:p>
              </w:tc>
              <w:tc>
                <w:tcPr>
                  <w:tcW w:w="4240" w:type="dxa"/>
                  <w:vAlign w:val="center"/>
                </w:tcPr>
                <w:p>
                  <w:pPr>
                    <w:pStyle w:val="42"/>
                  </w:pPr>
                  <w:r>
                    <w:t>年排放量/（t/a）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1177" w:type="dxa"/>
                  <w:vAlign w:val="center"/>
                </w:tcPr>
                <w:p>
                  <w:pPr>
                    <w:pStyle w:val="42"/>
                  </w:pPr>
                  <w:r>
                    <w:t>1</w:t>
                  </w:r>
                </w:p>
              </w:tc>
              <w:tc>
                <w:tcPr>
                  <w:tcW w:w="3597" w:type="dxa"/>
                  <w:vAlign w:val="center"/>
                </w:tcPr>
                <w:p>
                  <w:pPr>
                    <w:pStyle w:val="42"/>
                  </w:pPr>
                  <w:r>
                    <w:t>颗粒物</w:t>
                  </w:r>
                </w:p>
              </w:tc>
              <w:tc>
                <w:tcPr>
                  <w:tcW w:w="4240" w:type="dxa"/>
                  <w:vAlign w:val="center"/>
                </w:tcPr>
                <w:p>
                  <w:pPr>
                    <w:pStyle w:val="42"/>
                  </w:pPr>
                  <w:r>
                    <w:rPr>
                      <w:color w:val="0000FF"/>
                    </w:rPr>
                    <w:t>11.184</w:t>
                  </w:r>
                </w:p>
              </w:tc>
            </w:tr>
          </w:tbl>
          <w:p>
            <w:pPr>
              <w:adjustRightInd w:val="0"/>
              <w:snapToGrid w:val="0"/>
              <w:spacing w:line="360" w:lineRule="auto"/>
              <w:ind w:firstLine="482" w:firstLineChars="200"/>
              <w:jc w:val="left"/>
              <w:rPr>
                <w:b/>
                <w:sz w:val="24"/>
              </w:rPr>
            </w:pPr>
            <w:r>
              <w:rPr>
                <w:b/>
                <w:sz w:val="24"/>
              </w:rPr>
              <w:t>3）非正常工况大气污染源强核算</w:t>
            </w:r>
          </w:p>
          <w:p>
            <w:pPr>
              <w:adjustRightInd w:val="0"/>
              <w:snapToGrid w:val="0"/>
              <w:spacing w:line="360" w:lineRule="auto"/>
              <w:ind w:firstLine="480" w:firstLineChars="200"/>
              <w:jc w:val="left"/>
              <w:rPr>
                <w:sz w:val="24"/>
              </w:rPr>
            </w:pPr>
            <w:r>
              <w:rPr>
                <w:sz w:val="24"/>
              </w:rPr>
              <w:t>营运期发生非正常排放的情况主要为废气处理设施无法运行，主要为布袋除尘器滤袋出现破损。</w:t>
            </w:r>
          </w:p>
          <w:p>
            <w:pPr>
              <w:adjustRightInd w:val="0"/>
              <w:snapToGrid w:val="0"/>
              <w:spacing w:line="360" w:lineRule="auto"/>
              <w:ind w:firstLine="480" w:firstLineChars="200"/>
              <w:jc w:val="left"/>
              <w:rPr>
                <w:sz w:val="24"/>
              </w:rPr>
            </w:pPr>
            <w:r>
              <w:rPr>
                <w:sz w:val="24"/>
              </w:rPr>
              <w:t>本次评价废气非正常排放的源强按照最不利情况（考虑废气处理设施瘫痪，处理效率为零的情况）进行分析，非正常排放源强详见表4-1</w:t>
            </w:r>
            <w:r>
              <w:rPr>
                <w:rFonts w:hint="eastAsia"/>
                <w:sz w:val="24"/>
              </w:rPr>
              <w:t>2</w:t>
            </w:r>
            <w:r>
              <w:rPr>
                <w:sz w:val="24"/>
              </w:rPr>
              <w:t>。</w:t>
            </w:r>
          </w:p>
          <w:p>
            <w:pPr>
              <w:adjustRightInd w:val="0"/>
              <w:snapToGrid w:val="0"/>
              <w:jc w:val="center"/>
              <w:rPr>
                <w:b/>
                <w:sz w:val="24"/>
              </w:rPr>
            </w:pPr>
            <w:r>
              <w:rPr>
                <w:b/>
                <w:sz w:val="24"/>
              </w:rPr>
              <w:t>表4-1</w:t>
            </w:r>
            <w:r>
              <w:rPr>
                <w:rFonts w:hint="eastAsia"/>
                <w:b/>
                <w:sz w:val="24"/>
              </w:rPr>
              <w:t>2</w:t>
            </w:r>
            <w:r>
              <w:rPr>
                <w:b/>
                <w:sz w:val="24"/>
              </w:rPr>
              <w:t xml:space="preserve">  废气非正常排放源强</w:t>
            </w:r>
          </w:p>
          <w:tbl>
            <w:tblPr>
              <w:tblStyle w:val="15"/>
              <w:tblW w:w="90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4"/>
              <w:gridCol w:w="1279"/>
              <w:gridCol w:w="1230"/>
              <w:gridCol w:w="2015"/>
              <w:gridCol w:w="2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jc w:val="center"/>
              </w:trPr>
              <w:tc>
                <w:tcPr>
                  <w:tcW w:w="2154" w:type="dxa"/>
                  <w:vMerge w:val="restart"/>
                  <w:vAlign w:val="center"/>
                </w:tcPr>
                <w:p>
                  <w:pPr>
                    <w:pStyle w:val="42"/>
                  </w:pPr>
                  <w:r>
                    <w:t>污染源</w:t>
                  </w:r>
                </w:p>
              </w:tc>
              <w:tc>
                <w:tcPr>
                  <w:tcW w:w="1279" w:type="dxa"/>
                  <w:vMerge w:val="restart"/>
                  <w:vAlign w:val="center"/>
                </w:tcPr>
                <w:p>
                  <w:pPr>
                    <w:pStyle w:val="42"/>
                  </w:pPr>
                  <w:r>
                    <w:t>污染因子</w:t>
                  </w:r>
                </w:p>
              </w:tc>
              <w:tc>
                <w:tcPr>
                  <w:tcW w:w="1230" w:type="dxa"/>
                  <w:vMerge w:val="restart"/>
                  <w:vAlign w:val="center"/>
                </w:tcPr>
                <w:p>
                  <w:pPr>
                    <w:pStyle w:val="42"/>
                  </w:pPr>
                  <w:r>
                    <w:t>废气量（m</w:t>
                  </w:r>
                  <w:r>
                    <w:rPr>
                      <w:vertAlign w:val="superscript"/>
                    </w:rPr>
                    <w:t>3</w:t>
                  </w:r>
                  <w:r>
                    <w:t>/h）</w:t>
                  </w:r>
                </w:p>
              </w:tc>
              <w:tc>
                <w:tcPr>
                  <w:tcW w:w="4357" w:type="dxa"/>
                  <w:gridSpan w:val="2"/>
                  <w:vAlign w:val="center"/>
                </w:tcPr>
                <w:p>
                  <w:pPr>
                    <w:pStyle w:val="42"/>
                  </w:pPr>
                  <w:r>
                    <w:t>非正常排放</w:t>
                  </w:r>
                  <w:r>
                    <w:rPr>
                      <w:rFonts w:hint="eastAsia"/>
                    </w:rPr>
                    <w:t>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154" w:type="dxa"/>
                  <w:vMerge w:val="continue"/>
                  <w:vAlign w:val="center"/>
                </w:tcPr>
                <w:p>
                  <w:pPr>
                    <w:pStyle w:val="42"/>
                  </w:pPr>
                </w:p>
              </w:tc>
              <w:tc>
                <w:tcPr>
                  <w:tcW w:w="1279" w:type="dxa"/>
                  <w:vMerge w:val="continue"/>
                  <w:vAlign w:val="center"/>
                </w:tcPr>
                <w:p>
                  <w:pPr>
                    <w:pStyle w:val="42"/>
                  </w:pPr>
                </w:p>
              </w:tc>
              <w:tc>
                <w:tcPr>
                  <w:tcW w:w="1230" w:type="dxa"/>
                  <w:vMerge w:val="continue"/>
                  <w:vAlign w:val="center"/>
                </w:tcPr>
                <w:p>
                  <w:pPr>
                    <w:pStyle w:val="42"/>
                  </w:pPr>
                </w:p>
              </w:tc>
              <w:tc>
                <w:tcPr>
                  <w:tcW w:w="2015" w:type="dxa"/>
                  <w:vAlign w:val="center"/>
                </w:tcPr>
                <w:p>
                  <w:pPr>
                    <w:pStyle w:val="42"/>
                  </w:pPr>
                  <w:r>
                    <w:t>排放速率（kg/h）</w:t>
                  </w:r>
                </w:p>
              </w:tc>
              <w:tc>
                <w:tcPr>
                  <w:tcW w:w="2342" w:type="dxa"/>
                  <w:vAlign w:val="center"/>
                </w:tcPr>
                <w:p>
                  <w:pPr>
                    <w:pStyle w:val="42"/>
                  </w:pPr>
                  <w:r>
                    <w:t>排放浓度(mg/m</w:t>
                  </w:r>
                  <w:r>
                    <w:rPr>
                      <w:vertAlign w:val="superscript"/>
                    </w:rPr>
                    <w:t>3</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2154" w:type="dxa"/>
                  <w:vAlign w:val="center"/>
                </w:tcPr>
                <w:p>
                  <w:pPr>
                    <w:pStyle w:val="42"/>
                  </w:pPr>
                  <w:r>
                    <w:t>粉尘</w:t>
                  </w:r>
                  <w:r>
                    <w:rPr>
                      <w:rFonts w:eastAsia="等线"/>
                    </w:rPr>
                    <w:t>（</w:t>
                  </w:r>
                  <w:r>
                    <w:t>1#排气筒</w:t>
                  </w:r>
                  <w:r>
                    <w:rPr>
                      <w:rFonts w:eastAsia="等线"/>
                    </w:rPr>
                    <w:t>）</w:t>
                  </w:r>
                </w:p>
              </w:tc>
              <w:tc>
                <w:tcPr>
                  <w:tcW w:w="1279" w:type="dxa"/>
                  <w:vAlign w:val="center"/>
                </w:tcPr>
                <w:p>
                  <w:pPr>
                    <w:pStyle w:val="42"/>
                    <w:rPr>
                      <w:bCs/>
                    </w:rPr>
                  </w:pPr>
                  <w:r>
                    <w:t>颗粒物</w:t>
                  </w:r>
                </w:p>
              </w:tc>
              <w:tc>
                <w:tcPr>
                  <w:tcW w:w="1230" w:type="dxa"/>
                  <w:vAlign w:val="center"/>
                </w:tcPr>
                <w:p>
                  <w:pPr>
                    <w:pStyle w:val="42"/>
                  </w:pPr>
                  <w:r>
                    <w:rPr>
                      <w:rFonts w:hint="eastAsia"/>
                    </w:rPr>
                    <w:t>5</w:t>
                  </w:r>
                  <w:r>
                    <w:t>0000</w:t>
                  </w:r>
                </w:p>
              </w:tc>
              <w:tc>
                <w:tcPr>
                  <w:tcW w:w="2015" w:type="dxa"/>
                  <w:vAlign w:val="center"/>
                </w:tcPr>
                <w:p>
                  <w:pPr>
                    <w:pStyle w:val="42"/>
                  </w:pPr>
                  <w:r>
                    <w:rPr>
                      <w:rFonts w:hint="eastAsia"/>
                      <w:color w:val="0000FF"/>
                    </w:rPr>
                    <w:t>119.2</w:t>
                  </w:r>
                </w:p>
              </w:tc>
              <w:tc>
                <w:tcPr>
                  <w:tcW w:w="2342" w:type="dxa"/>
                  <w:vAlign w:val="center"/>
                </w:tcPr>
                <w:p>
                  <w:pPr>
                    <w:pStyle w:val="42"/>
                  </w:pPr>
                  <w:r>
                    <w:rPr>
                      <w:rFonts w:hint="eastAsia"/>
                      <w:color w:val="0000FF"/>
                    </w:rPr>
                    <w:t>2385</w:t>
                  </w:r>
                </w:p>
              </w:tc>
            </w:tr>
          </w:tbl>
          <w:p>
            <w:pPr>
              <w:adjustRightInd w:val="0"/>
              <w:snapToGrid w:val="0"/>
              <w:spacing w:line="360" w:lineRule="auto"/>
              <w:ind w:firstLine="482" w:firstLineChars="200"/>
              <w:jc w:val="left"/>
              <w:rPr>
                <w:b/>
                <w:sz w:val="24"/>
              </w:rPr>
            </w:pPr>
            <w:r>
              <w:rPr>
                <w:b/>
                <w:sz w:val="24"/>
              </w:rPr>
              <w:t>4）大气环境影响分析</w:t>
            </w:r>
          </w:p>
          <w:p>
            <w:pPr>
              <w:adjustRightInd w:val="0"/>
              <w:snapToGrid w:val="0"/>
              <w:spacing w:line="360" w:lineRule="auto"/>
              <w:ind w:firstLine="480" w:firstLineChars="200"/>
              <w:rPr>
                <w:sz w:val="24"/>
              </w:rPr>
            </w:pPr>
            <w:r>
              <w:rPr>
                <w:rFonts w:hint="eastAsia" w:ascii="宋体" w:hAnsi="宋体" w:cs="宋体"/>
                <w:sz w:val="24"/>
              </w:rPr>
              <w:t>①</w:t>
            </w:r>
            <w:r>
              <w:rPr>
                <w:sz w:val="24"/>
              </w:rPr>
              <w:t>环境影响分析</w:t>
            </w:r>
          </w:p>
          <w:p>
            <w:pPr>
              <w:adjustRightInd w:val="0"/>
              <w:snapToGrid w:val="0"/>
              <w:spacing w:line="360" w:lineRule="auto"/>
              <w:ind w:firstLine="480" w:firstLineChars="200"/>
              <w:rPr>
                <w:sz w:val="24"/>
              </w:rPr>
            </w:pPr>
            <w:r>
              <w:rPr>
                <w:sz w:val="24"/>
              </w:rPr>
              <w:t>项目所在</w:t>
            </w:r>
            <w:r>
              <w:rPr>
                <w:rFonts w:hint="eastAsia"/>
                <w:sz w:val="24"/>
              </w:rPr>
              <w:t>酉阳县</w:t>
            </w:r>
            <w:r>
              <w:rPr>
                <w:sz w:val="24"/>
              </w:rPr>
              <w:t>为环境空气质量达标区，</w:t>
            </w:r>
            <w:r>
              <w:rPr>
                <w:rFonts w:hint="eastAsia"/>
                <w:sz w:val="24"/>
              </w:rPr>
              <w:t>且通过补充监测</w:t>
            </w:r>
            <w:r>
              <w:rPr>
                <w:kern w:val="0"/>
                <w:sz w:val="24"/>
              </w:rPr>
              <w:t>项目</w:t>
            </w:r>
            <w:r>
              <w:rPr>
                <w:rFonts w:hint="eastAsia"/>
                <w:kern w:val="0"/>
                <w:sz w:val="24"/>
              </w:rPr>
              <w:t>大气环境影响调查范围内</w:t>
            </w:r>
            <w:r>
              <w:rPr>
                <w:kern w:val="0"/>
                <w:sz w:val="24"/>
              </w:rPr>
              <w:t>监测点TSP日均浓度满足《环境空气质量标准》（GB3095-2012）中二级浓度限值要求</w:t>
            </w:r>
            <w:r>
              <w:rPr>
                <w:rFonts w:hint="eastAsia"/>
                <w:kern w:val="0"/>
                <w:sz w:val="24"/>
              </w:rPr>
              <w:t>，表明</w:t>
            </w:r>
            <w:r>
              <w:rPr>
                <w:sz w:val="24"/>
              </w:rPr>
              <w:t>区域环境质量现状良好</w:t>
            </w:r>
            <w:r>
              <w:rPr>
                <w:rFonts w:hint="eastAsia"/>
                <w:sz w:val="24"/>
              </w:rPr>
              <w:t>，</w:t>
            </w:r>
            <w:r>
              <w:rPr>
                <w:rFonts w:hint="eastAsia"/>
                <w:kern w:val="0"/>
                <w:sz w:val="24"/>
              </w:rPr>
              <w:t>且具有一定的环境容量，利于项目的建设</w:t>
            </w:r>
            <w:r>
              <w:rPr>
                <w:kern w:val="0"/>
                <w:sz w:val="24"/>
              </w:rPr>
              <w:t>。</w:t>
            </w:r>
          </w:p>
          <w:p>
            <w:pPr>
              <w:adjustRightInd w:val="0"/>
              <w:snapToGrid w:val="0"/>
              <w:spacing w:line="360" w:lineRule="auto"/>
              <w:ind w:firstLine="480" w:firstLineChars="200"/>
              <w:rPr>
                <w:sz w:val="24"/>
              </w:rPr>
            </w:pPr>
            <w:r>
              <w:rPr>
                <w:rFonts w:hint="eastAsia"/>
                <w:sz w:val="24"/>
              </w:rPr>
              <w:t>经调查，</w:t>
            </w:r>
            <w:r>
              <w:rPr>
                <w:sz w:val="24"/>
              </w:rPr>
              <w:t>项目</w:t>
            </w:r>
            <w:r>
              <w:rPr>
                <w:rFonts w:hint="eastAsia"/>
                <w:sz w:val="24"/>
              </w:rPr>
              <w:t>占地周边</w:t>
            </w:r>
            <w:r>
              <w:rPr>
                <w:sz w:val="24"/>
              </w:rPr>
              <w:t>500m范围内有少量散户居民，</w:t>
            </w:r>
            <w:r>
              <w:rPr>
                <w:rFonts w:hint="eastAsia"/>
                <w:sz w:val="24"/>
              </w:rPr>
              <w:t>开采期间</w:t>
            </w:r>
            <w:r>
              <w:rPr>
                <w:sz w:val="24"/>
              </w:rPr>
              <w:t>主要大气污染物</w:t>
            </w:r>
            <w:r>
              <w:rPr>
                <w:rFonts w:hint="eastAsia"/>
                <w:sz w:val="24"/>
              </w:rPr>
              <w:t>采区爆破开采作业、场内运输、加工区矿石破碎筛分等环节产生的粉尘。项目采区及运输道路</w:t>
            </w:r>
            <w:r>
              <w:rPr>
                <w:sz w:val="24"/>
              </w:rPr>
              <w:t>采用洒水降尘</w:t>
            </w:r>
            <w:r>
              <w:rPr>
                <w:rFonts w:hint="eastAsia"/>
                <w:sz w:val="24"/>
              </w:rPr>
              <w:t>，加工区厂房密闭、</w:t>
            </w:r>
            <w:r>
              <w:rPr>
                <w:sz w:val="24"/>
              </w:rPr>
              <w:t>设备有组织收尘</w:t>
            </w:r>
            <w:r>
              <w:rPr>
                <w:rFonts w:hint="eastAsia"/>
                <w:sz w:val="24"/>
              </w:rPr>
              <w:t>、</w:t>
            </w:r>
            <w:r>
              <w:rPr>
                <w:sz w:val="24"/>
              </w:rPr>
              <w:t>布袋除尘器除尘及主要产尘节点洒水降尘</w:t>
            </w:r>
            <w:r>
              <w:rPr>
                <w:rFonts w:hint="eastAsia"/>
                <w:sz w:val="24"/>
              </w:rPr>
              <w:t>的方式以减少粉尘的排放。</w:t>
            </w:r>
          </w:p>
          <w:p>
            <w:pPr>
              <w:adjustRightInd w:val="0"/>
              <w:snapToGrid w:val="0"/>
              <w:spacing w:line="360" w:lineRule="auto"/>
              <w:ind w:firstLine="480" w:firstLineChars="200"/>
              <w:rPr>
                <w:sz w:val="24"/>
              </w:rPr>
            </w:pPr>
            <w:r>
              <w:rPr>
                <w:rFonts w:hint="eastAsia"/>
                <w:sz w:val="24"/>
              </w:rPr>
              <w:t>重庆市</w:t>
            </w:r>
            <w:r>
              <w:rPr>
                <w:sz w:val="24"/>
              </w:rPr>
              <w:t>境内</w:t>
            </w:r>
            <w:r>
              <w:rPr>
                <w:rFonts w:hint="eastAsia"/>
                <w:sz w:val="24"/>
              </w:rPr>
              <w:t>现有数</w:t>
            </w:r>
            <w:r>
              <w:rPr>
                <w:rFonts w:hint="eastAsia"/>
                <w:color w:val="0000FF"/>
                <w:sz w:val="24"/>
              </w:rPr>
              <w:t>百</w:t>
            </w:r>
            <w:r>
              <w:rPr>
                <w:rFonts w:hint="eastAsia"/>
                <w:sz w:val="24"/>
              </w:rPr>
              <w:t>家</w:t>
            </w:r>
            <w:r>
              <w:rPr>
                <w:rFonts w:hint="eastAsia"/>
                <w:color w:val="0000FF"/>
                <w:sz w:val="24"/>
              </w:rPr>
              <w:t>建筑石料</w:t>
            </w:r>
            <w:r>
              <w:rPr>
                <w:rFonts w:hint="eastAsia"/>
                <w:sz w:val="24"/>
              </w:rPr>
              <w:t>用灰岩矿山正在开采，类比重庆市境内</w:t>
            </w:r>
            <w:r>
              <w:rPr>
                <w:rFonts w:hint="eastAsia"/>
                <w:color w:val="0000FF"/>
                <w:sz w:val="24"/>
              </w:rPr>
              <w:t>铜梁旧县龙洞采矿场、铜梁华兴团林采矿场、綦江龙田建材采矿场、万州陈老三矿业、巫溪锦通采矿场、巫山鸳鸯村采矿场、璧山神珠采石场等建筑石料用</w:t>
            </w:r>
            <w:r>
              <w:rPr>
                <w:rFonts w:hint="eastAsia"/>
                <w:sz w:val="24"/>
              </w:rPr>
              <w:t>灰岩矿山生产经验，</w:t>
            </w:r>
            <w:r>
              <w:rPr>
                <w:sz w:val="24"/>
              </w:rPr>
              <w:t>其</w:t>
            </w:r>
            <w:r>
              <w:rPr>
                <w:rFonts w:hint="eastAsia"/>
                <w:sz w:val="24"/>
              </w:rPr>
              <w:t>加工区在采取厂房密闭、</w:t>
            </w:r>
            <w:r>
              <w:rPr>
                <w:sz w:val="24"/>
              </w:rPr>
              <w:t>加工设备有组织收尘布袋除尘器除尘</w:t>
            </w:r>
            <w:r>
              <w:rPr>
                <w:rFonts w:hint="eastAsia"/>
                <w:sz w:val="24"/>
              </w:rPr>
              <w:t>及</w:t>
            </w:r>
            <w:r>
              <w:rPr>
                <w:sz w:val="24"/>
              </w:rPr>
              <w:t>的主要产尘节点洒水降尘</w:t>
            </w:r>
            <w:r>
              <w:rPr>
                <w:rFonts w:hint="eastAsia"/>
                <w:sz w:val="24"/>
              </w:rPr>
              <w:t>的</w:t>
            </w:r>
            <w:r>
              <w:rPr>
                <w:sz w:val="24"/>
              </w:rPr>
              <w:t>方式</w:t>
            </w:r>
            <w:r>
              <w:rPr>
                <w:rFonts w:hint="eastAsia"/>
                <w:sz w:val="24"/>
              </w:rPr>
              <w:t>，采区及运输道路</w:t>
            </w:r>
            <w:r>
              <w:rPr>
                <w:sz w:val="24"/>
              </w:rPr>
              <w:t>采用洒水降尘</w:t>
            </w:r>
            <w:r>
              <w:rPr>
                <w:rFonts w:hint="eastAsia"/>
                <w:sz w:val="24"/>
              </w:rPr>
              <w:t>的方式，</w:t>
            </w:r>
            <w:r>
              <w:rPr>
                <w:sz w:val="24"/>
              </w:rPr>
              <w:t>均</w:t>
            </w:r>
            <w:r>
              <w:rPr>
                <w:rFonts w:hint="eastAsia"/>
                <w:sz w:val="24"/>
              </w:rPr>
              <w:t>已</w:t>
            </w:r>
            <w:r>
              <w:rPr>
                <w:sz w:val="24"/>
              </w:rPr>
              <w:t>做到了</w:t>
            </w:r>
            <w:r>
              <w:rPr>
                <w:rFonts w:hint="eastAsia"/>
                <w:sz w:val="24"/>
              </w:rPr>
              <w:t>生产</w:t>
            </w:r>
            <w:r>
              <w:rPr>
                <w:sz w:val="24"/>
              </w:rPr>
              <w:t>废气稳定达标排放。</w:t>
            </w:r>
            <w:r>
              <w:rPr>
                <w:rFonts w:hint="eastAsia"/>
                <w:sz w:val="24"/>
              </w:rPr>
              <w:t>由此，</w:t>
            </w:r>
            <w:r>
              <w:rPr>
                <w:sz w:val="24"/>
              </w:rPr>
              <w:t>本次评价考虑以上废气治理措施</w:t>
            </w:r>
            <w:r>
              <w:rPr>
                <w:rFonts w:hint="eastAsia"/>
                <w:sz w:val="24"/>
              </w:rPr>
              <w:t>具有可行性</w:t>
            </w:r>
            <w:r>
              <w:rPr>
                <w:sz w:val="24"/>
              </w:rPr>
              <w:t>，可做到达标排放，对</w:t>
            </w:r>
            <w:r>
              <w:rPr>
                <w:rFonts w:hint="eastAsia"/>
                <w:sz w:val="24"/>
              </w:rPr>
              <w:t>周边环境保护目标及周边</w:t>
            </w:r>
            <w:r>
              <w:rPr>
                <w:sz w:val="24"/>
              </w:rPr>
              <w:t>大气环境影响</w:t>
            </w:r>
            <w:r>
              <w:rPr>
                <w:rFonts w:hint="eastAsia"/>
                <w:sz w:val="24"/>
              </w:rPr>
              <w:t>的较</w:t>
            </w:r>
            <w:r>
              <w:rPr>
                <w:sz w:val="24"/>
              </w:rPr>
              <w:t>小。</w:t>
            </w:r>
          </w:p>
          <w:p>
            <w:pPr>
              <w:adjustRightInd w:val="0"/>
              <w:snapToGrid w:val="0"/>
              <w:spacing w:line="360" w:lineRule="auto"/>
              <w:ind w:firstLine="480" w:firstLineChars="200"/>
              <w:rPr>
                <w:sz w:val="24"/>
              </w:rPr>
            </w:pPr>
            <w:r>
              <w:rPr>
                <w:sz w:val="24"/>
              </w:rPr>
              <w:t>此外，依据同行业多年运行经验，布袋除尘器出现故障导致收集到的粉尘未经处置无组织散排，对周边大气环境有一定的影响。对此本次评价要求，若开采期间出现非正常工况，建设单位必须立即停止生产，及时检修更换废气处理设备，避免污染物随大气扩散对周边环境和敏感目标环境空气质量造成不良影响。</w:t>
            </w:r>
          </w:p>
          <w:p>
            <w:pPr>
              <w:adjustRightInd w:val="0"/>
              <w:snapToGrid w:val="0"/>
              <w:spacing w:line="360" w:lineRule="auto"/>
              <w:ind w:firstLine="480" w:firstLineChars="200"/>
              <w:rPr>
                <w:sz w:val="24"/>
              </w:rPr>
            </w:pPr>
            <w:r>
              <w:rPr>
                <w:rFonts w:hint="eastAsia" w:ascii="宋体" w:hAnsi="宋体" w:cs="宋体"/>
                <w:sz w:val="24"/>
              </w:rPr>
              <w:t>②</w:t>
            </w:r>
            <w:r>
              <w:rPr>
                <w:sz w:val="24"/>
              </w:rPr>
              <w:t>大气环境监测要求</w:t>
            </w:r>
          </w:p>
          <w:p>
            <w:pPr>
              <w:adjustRightInd w:val="0"/>
              <w:snapToGrid w:val="0"/>
              <w:spacing w:line="360" w:lineRule="auto"/>
              <w:ind w:firstLine="480" w:firstLineChars="200"/>
              <w:rPr>
                <w:sz w:val="24"/>
              </w:rPr>
            </w:pPr>
            <w:r>
              <w:rPr>
                <w:sz w:val="24"/>
              </w:rPr>
              <w:t>根据</w:t>
            </w:r>
            <w:r>
              <w:rPr>
                <w:rFonts w:hint="eastAsia"/>
                <w:sz w:val="24"/>
              </w:rPr>
              <w:t>《排污单位自行监测技术指南 总则》（HJ 819-2017）</w:t>
            </w:r>
            <w:r>
              <w:rPr>
                <w:sz w:val="24"/>
              </w:rPr>
              <w:t>及</w:t>
            </w:r>
            <w:r>
              <w:rPr>
                <w:rFonts w:hint="eastAsia"/>
                <w:color w:val="0000FF"/>
                <w:sz w:val="24"/>
              </w:rPr>
              <w:t>《排污单位自行监测技术指南总则》（HJ 819-2017）</w:t>
            </w:r>
            <w:r>
              <w:rPr>
                <w:sz w:val="24"/>
              </w:rPr>
              <w:t>，拟建项目监测计划详见表4-1</w:t>
            </w:r>
            <w:r>
              <w:rPr>
                <w:rFonts w:hint="eastAsia"/>
                <w:sz w:val="24"/>
              </w:rPr>
              <w:t>3</w:t>
            </w:r>
            <w:r>
              <w:rPr>
                <w:sz w:val="24"/>
              </w:rPr>
              <w:t>。</w:t>
            </w:r>
          </w:p>
          <w:p>
            <w:pPr>
              <w:adjustRightInd w:val="0"/>
              <w:snapToGrid w:val="0"/>
              <w:jc w:val="center"/>
              <w:rPr>
                <w:b/>
                <w:sz w:val="24"/>
              </w:rPr>
            </w:pPr>
            <w:r>
              <w:rPr>
                <w:b/>
                <w:sz w:val="24"/>
              </w:rPr>
              <w:t>表4-1</w:t>
            </w:r>
            <w:r>
              <w:rPr>
                <w:rFonts w:hint="eastAsia"/>
                <w:b/>
                <w:sz w:val="24"/>
              </w:rPr>
              <w:t>3</w:t>
            </w:r>
            <w:r>
              <w:rPr>
                <w:b/>
                <w:sz w:val="24"/>
              </w:rPr>
              <w:t xml:space="preserve">  废气环境监测计划表</w:t>
            </w:r>
          </w:p>
          <w:tbl>
            <w:tblPr>
              <w:tblStyle w:val="15"/>
              <w:tblW w:w="90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1067"/>
              <w:gridCol w:w="1202"/>
              <w:gridCol w:w="736"/>
              <w:gridCol w:w="1811"/>
              <w:gridCol w:w="850"/>
              <w:gridCol w:w="851"/>
              <w:gridCol w:w="1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531" w:type="dxa"/>
                  <w:vAlign w:val="center"/>
                </w:tcPr>
                <w:p>
                  <w:pPr>
                    <w:pStyle w:val="49"/>
                  </w:pPr>
                  <w:r>
                    <w:t>序号</w:t>
                  </w:r>
                </w:p>
              </w:tc>
              <w:tc>
                <w:tcPr>
                  <w:tcW w:w="1067" w:type="dxa"/>
                  <w:tcBorders>
                    <w:right w:val="single" w:color="000000" w:sz="4" w:space="0"/>
                  </w:tcBorders>
                  <w:vAlign w:val="center"/>
                </w:tcPr>
                <w:p>
                  <w:pPr>
                    <w:pStyle w:val="51"/>
                    <w:adjustRightInd w:val="0"/>
                    <w:snapToGrid w:val="0"/>
                    <w:jc w:val="center"/>
                    <w:rPr>
                      <w:rFonts w:ascii="Times New Roman" w:hAnsi="Times New Roman"/>
                      <w:bCs/>
                      <w:sz w:val="20"/>
                    </w:rPr>
                  </w:pPr>
                  <w:r>
                    <w:rPr>
                      <w:rFonts w:ascii="Times New Roman" w:hAnsi="Times New Roman"/>
                      <w:bCs/>
                      <w:sz w:val="20"/>
                    </w:rPr>
                    <w:t>排放口编号/监测点位</w:t>
                  </w:r>
                </w:p>
              </w:tc>
              <w:tc>
                <w:tcPr>
                  <w:tcW w:w="1202" w:type="dxa"/>
                  <w:tcBorders>
                    <w:left w:val="single" w:color="000000" w:sz="4" w:space="0"/>
                  </w:tcBorders>
                  <w:vAlign w:val="center"/>
                </w:tcPr>
                <w:p>
                  <w:pPr>
                    <w:pStyle w:val="51"/>
                    <w:adjustRightInd w:val="0"/>
                    <w:snapToGrid w:val="0"/>
                    <w:jc w:val="center"/>
                    <w:rPr>
                      <w:rFonts w:ascii="Times New Roman" w:hAnsi="Times New Roman"/>
                      <w:bCs/>
                      <w:sz w:val="20"/>
                    </w:rPr>
                  </w:pPr>
                  <w:r>
                    <w:rPr>
                      <w:rFonts w:ascii="Times New Roman" w:hAnsi="Times New Roman"/>
                      <w:bCs/>
                      <w:sz w:val="20"/>
                    </w:rPr>
                    <w:t>排放口名称/监测点位名称</w:t>
                  </w:r>
                </w:p>
              </w:tc>
              <w:tc>
                <w:tcPr>
                  <w:tcW w:w="736" w:type="dxa"/>
                  <w:vAlign w:val="center"/>
                </w:tcPr>
                <w:p>
                  <w:pPr>
                    <w:pStyle w:val="49"/>
                  </w:pPr>
                  <w:r>
                    <w:t>点数</w:t>
                  </w:r>
                </w:p>
              </w:tc>
              <w:tc>
                <w:tcPr>
                  <w:tcW w:w="1811" w:type="dxa"/>
                  <w:vAlign w:val="center"/>
                </w:tcPr>
                <w:p>
                  <w:pPr>
                    <w:pStyle w:val="49"/>
                  </w:pPr>
                  <w:r>
                    <w:rPr>
                      <w:rFonts w:hint="eastAsia"/>
                    </w:rPr>
                    <w:t>监测点位</w:t>
                  </w:r>
                </w:p>
              </w:tc>
              <w:tc>
                <w:tcPr>
                  <w:tcW w:w="850" w:type="dxa"/>
                  <w:vAlign w:val="center"/>
                </w:tcPr>
                <w:p>
                  <w:pPr>
                    <w:pStyle w:val="49"/>
                  </w:pPr>
                  <w:r>
                    <w:t>监测因子</w:t>
                  </w:r>
                </w:p>
              </w:tc>
              <w:tc>
                <w:tcPr>
                  <w:tcW w:w="851" w:type="dxa"/>
                  <w:vAlign w:val="center"/>
                </w:tcPr>
                <w:p>
                  <w:pPr>
                    <w:pStyle w:val="49"/>
                  </w:pPr>
                  <w:r>
                    <w:t>监测频率</w:t>
                  </w:r>
                </w:p>
              </w:tc>
              <w:tc>
                <w:tcPr>
                  <w:tcW w:w="1972" w:type="dxa"/>
                  <w:vAlign w:val="center"/>
                </w:tcPr>
                <w:p>
                  <w:pPr>
                    <w:pStyle w:val="49"/>
                  </w:pPr>
                  <w: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531" w:type="dxa"/>
                  <w:vAlign w:val="center"/>
                </w:tcPr>
                <w:p>
                  <w:pPr>
                    <w:pStyle w:val="49"/>
                  </w:pPr>
                  <w:r>
                    <w:t>1</w:t>
                  </w:r>
                </w:p>
              </w:tc>
              <w:tc>
                <w:tcPr>
                  <w:tcW w:w="1067" w:type="dxa"/>
                  <w:tcBorders>
                    <w:right w:val="single" w:color="000000" w:sz="4" w:space="0"/>
                  </w:tcBorders>
                  <w:vAlign w:val="center"/>
                </w:tcPr>
                <w:p>
                  <w:pPr>
                    <w:pStyle w:val="51"/>
                    <w:adjustRightInd w:val="0"/>
                    <w:snapToGrid w:val="0"/>
                    <w:jc w:val="center"/>
                    <w:rPr>
                      <w:rFonts w:ascii="Times New Roman" w:hAnsi="Times New Roman"/>
                      <w:bCs/>
                      <w:sz w:val="20"/>
                    </w:rPr>
                  </w:pPr>
                  <w:r>
                    <w:rPr>
                      <w:rFonts w:ascii="Times New Roman" w:hAnsi="Times New Roman"/>
                      <w:bCs/>
                      <w:sz w:val="20"/>
                    </w:rPr>
                    <w:t>DA001</w:t>
                  </w:r>
                </w:p>
              </w:tc>
              <w:tc>
                <w:tcPr>
                  <w:tcW w:w="1202" w:type="dxa"/>
                  <w:tcBorders>
                    <w:left w:val="single" w:color="000000" w:sz="4" w:space="0"/>
                  </w:tcBorders>
                  <w:vAlign w:val="center"/>
                </w:tcPr>
                <w:p>
                  <w:pPr>
                    <w:pStyle w:val="49"/>
                  </w:pPr>
                  <w:r>
                    <w:t>1#排气筒</w:t>
                  </w:r>
                </w:p>
              </w:tc>
              <w:tc>
                <w:tcPr>
                  <w:tcW w:w="736" w:type="dxa"/>
                  <w:vAlign w:val="center"/>
                </w:tcPr>
                <w:p>
                  <w:pPr>
                    <w:pStyle w:val="49"/>
                  </w:pPr>
                  <w:r>
                    <w:t>1</w:t>
                  </w:r>
                </w:p>
              </w:tc>
              <w:tc>
                <w:tcPr>
                  <w:tcW w:w="1811" w:type="dxa"/>
                  <w:vAlign w:val="center"/>
                </w:tcPr>
                <w:p>
                  <w:pPr>
                    <w:pStyle w:val="49"/>
                  </w:pPr>
                  <w:r>
                    <w:rPr>
                      <w:rFonts w:hint="eastAsia"/>
                    </w:rPr>
                    <w:t>排气筒出口</w:t>
                  </w:r>
                </w:p>
              </w:tc>
              <w:tc>
                <w:tcPr>
                  <w:tcW w:w="850" w:type="dxa"/>
                  <w:vAlign w:val="center"/>
                </w:tcPr>
                <w:p>
                  <w:pPr>
                    <w:pStyle w:val="49"/>
                  </w:pPr>
                  <w:r>
                    <w:t>颗粒物</w:t>
                  </w:r>
                </w:p>
              </w:tc>
              <w:tc>
                <w:tcPr>
                  <w:tcW w:w="851" w:type="dxa"/>
                  <w:vMerge w:val="restart"/>
                  <w:tcBorders>
                    <w:top w:val="single" w:color="000000" w:sz="6" w:space="0"/>
                  </w:tcBorders>
                  <w:vAlign w:val="center"/>
                </w:tcPr>
                <w:p>
                  <w:pPr>
                    <w:pStyle w:val="49"/>
                  </w:pPr>
                  <w:r>
                    <w:t>1次/年</w:t>
                  </w:r>
                </w:p>
              </w:tc>
              <w:tc>
                <w:tcPr>
                  <w:tcW w:w="1972" w:type="dxa"/>
                  <w:vMerge w:val="restart"/>
                  <w:vAlign w:val="center"/>
                </w:tcPr>
                <w:p>
                  <w:pPr>
                    <w:pStyle w:val="49"/>
                    <w:rPr>
                      <w:kern w:val="2"/>
                    </w:rPr>
                  </w:pPr>
                  <w:r>
                    <w:t>《大气污染物综合排放标准》（DB50/418-2016）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 w:hRule="atLeast"/>
                <w:jc w:val="center"/>
              </w:trPr>
              <w:tc>
                <w:tcPr>
                  <w:tcW w:w="531" w:type="dxa"/>
                  <w:vAlign w:val="center"/>
                </w:tcPr>
                <w:p>
                  <w:pPr>
                    <w:pStyle w:val="49"/>
                  </w:pPr>
                  <w:r>
                    <w:rPr>
                      <w:rFonts w:hint="eastAsia"/>
                    </w:rPr>
                    <w:t>4</w:t>
                  </w:r>
                </w:p>
              </w:tc>
              <w:tc>
                <w:tcPr>
                  <w:tcW w:w="2269" w:type="dxa"/>
                  <w:gridSpan w:val="2"/>
                  <w:vAlign w:val="center"/>
                </w:tcPr>
                <w:p>
                  <w:pPr>
                    <w:pStyle w:val="49"/>
                    <w:rPr>
                      <w:kern w:val="2"/>
                    </w:rPr>
                  </w:pPr>
                  <w:r>
                    <w:t>无组织</w:t>
                  </w:r>
                </w:p>
              </w:tc>
              <w:tc>
                <w:tcPr>
                  <w:tcW w:w="736" w:type="dxa"/>
                  <w:vAlign w:val="center"/>
                </w:tcPr>
                <w:p>
                  <w:pPr>
                    <w:pStyle w:val="49"/>
                  </w:pPr>
                  <w:r>
                    <w:t>2</w:t>
                  </w:r>
                </w:p>
              </w:tc>
              <w:tc>
                <w:tcPr>
                  <w:tcW w:w="1811" w:type="dxa"/>
                  <w:vAlign w:val="center"/>
                </w:tcPr>
                <w:p>
                  <w:pPr>
                    <w:pStyle w:val="49"/>
                    <w:rPr>
                      <w:color w:val="auto"/>
                    </w:rPr>
                  </w:pPr>
                  <w:r>
                    <w:rPr>
                      <w:rFonts w:hint="eastAsia"/>
                    </w:rPr>
                    <w:t>厂界上风向设参照点、下风向设置监控点</w:t>
                  </w:r>
                </w:p>
              </w:tc>
              <w:tc>
                <w:tcPr>
                  <w:tcW w:w="850" w:type="dxa"/>
                  <w:vAlign w:val="center"/>
                </w:tcPr>
                <w:p>
                  <w:pPr>
                    <w:pStyle w:val="49"/>
                  </w:pPr>
                  <w:r>
                    <w:t>颗粒物</w:t>
                  </w:r>
                </w:p>
              </w:tc>
              <w:tc>
                <w:tcPr>
                  <w:tcW w:w="851" w:type="dxa"/>
                  <w:vMerge w:val="continue"/>
                  <w:vAlign w:val="center"/>
                </w:tcPr>
                <w:p>
                  <w:pPr>
                    <w:pStyle w:val="49"/>
                  </w:pPr>
                </w:p>
              </w:tc>
              <w:tc>
                <w:tcPr>
                  <w:tcW w:w="1972" w:type="dxa"/>
                  <w:vMerge w:val="continue"/>
                  <w:vAlign w:val="center"/>
                </w:tcPr>
                <w:p>
                  <w:pPr>
                    <w:pStyle w:val="49"/>
                  </w:pPr>
                </w:p>
              </w:tc>
            </w:tr>
          </w:tbl>
          <w:p>
            <w:pPr>
              <w:adjustRightInd w:val="0"/>
              <w:snapToGrid w:val="0"/>
              <w:spacing w:before="240" w:beforeLines="100" w:line="360" w:lineRule="auto"/>
              <w:ind w:firstLine="482" w:firstLineChars="200"/>
              <w:jc w:val="left"/>
              <w:rPr>
                <w:b/>
                <w:sz w:val="24"/>
              </w:rPr>
            </w:pPr>
            <w:r>
              <w:rPr>
                <w:b/>
                <w:sz w:val="24"/>
              </w:rPr>
              <w:t>（2）地表水环境影响分析</w:t>
            </w:r>
          </w:p>
          <w:p>
            <w:pPr>
              <w:adjustRightInd w:val="0"/>
              <w:snapToGrid w:val="0"/>
              <w:spacing w:line="360" w:lineRule="auto"/>
              <w:ind w:firstLine="482" w:firstLineChars="200"/>
              <w:jc w:val="left"/>
              <w:rPr>
                <w:b/>
                <w:sz w:val="24"/>
              </w:rPr>
            </w:pPr>
            <w:r>
              <w:rPr>
                <w:b/>
                <w:sz w:val="24"/>
              </w:rPr>
              <w:t>1）产排污分析</w:t>
            </w:r>
          </w:p>
          <w:p>
            <w:pPr>
              <w:adjustRightInd w:val="0"/>
              <w:snapToGrid w:val="0"/>
              <w:spacing w:line="360" w:lineRule="auto"/>
              <w:ind w:firstLine="480" w:firstLineChars="200"/>
              <w:jc w:val="left"/>
              <w:rPr>
                <w:sz w:val="24"/>
              </w:rPr>
            </w:pPr>
            <w:r>
              <w:rPr>
                <w:rFonts w:hint="eastAsia" w:ascii="宋体" w:hAnsi="宋体" w:cs="宋体"/>
                <w:sz w:val="24"/>
              </w:rPr>
              <w:t>①</w:t>
            </w:r>
            <w:r>
              <w:rPr>
                <w:sz w:val="24"/>
              </w:rPr>
              <w:t>生活污水</w:t>
            </w:r>
          </w:p>
          <w:p>
            <w:pPr>
              <w:adjustRightInd w:val="0"/>
              <w:snapToGrid w:val="0"/>
              <w:spacing w:line="360" w:lineRule="auto"/>
              <w:ind w:firstLine="480" w:firstLineChars="200"/>
              <w:jc w:val="left"/>
              <w:rPr>
                <w:sz w:val="24"/>
              </w:rPr>
            </w:pPr>
            <w:r>
              <w:rPr>
                <w:sz w:val="24"/>
              </w:rPr>
              <w:t>根据前文水平衡计算，项目运营期生活污水中各污染物的产生浓度及产生量详见表4-1</w:t>
            </w:r>
            <w:r>
              <w:rPr>
                <w:rFonts w:hint="eastAsia"/>
                <w:sz w:val="24"/>
              </w:rPr>
              <w:t>4</w:t>
            </w:r>
            <w:r>
              <w:rPr>
                <w:sz w:val="24"/>
              </w:rPr>
              <w:t>。</w:t>
            </w:r>
          </w:p>
          <w:p>
            <w:pPr>
              <w:adjustRightInd w:val="0"/>
              <w:snapToGrid w:val="0"/>
              <w:jc w:val="center"/>
              <w:rPr>
                <w:b/>
                <w:sz w:val="24"/>
              </w:rPr>
            </w:pPr>
            <w:r>
              <w:rPr>
                <w:b/>
                <w:sz w:val="24"/>
              </w:rPr>
              <w:t>表4-1</w:t>
            </w:r>
            <w:r>
              <w:rPr>
                <w:rFonts w:hint="eastAsia"/>
                <w:b/>
                <w:sz w:val="24"/>
              </w:rPr>
              <w:t>4</w:t>
            </w:r>
            <w:r>
              <w:rPr>
                <w:b/>
                <w:sz w:val="24"/>
              </w:rPr>
              <w:t xml:space="preserve">  生活污水污染物产生量</w:t>
            </w:r>
          </w:p>
          <w:tbl>
            <w:tblPr>
              <w:tblStyle w:val="15"/>
              <w:tblW w:w="9010"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367"/>
              <w:gridCol w:w="1467"/>
              <w:gridCol w:w="1384"/>
              <w:gridCol w:w="2352"/>
              <w:gridCol w:w="2440"/>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1367" w:type="dxa"/>
                  <w:vAlign w:val="center"/>
                </w:tcPr>
                <w:p>
                  <w:pPr>
                    <w:pStyle w:val="42"/>
                  </w:pPr>
                  <w:r>
                    <w:t>类型</w:t>
                  </w:r>
                </w:p>
              </w:tc>
              <w:tc>
                <w:tcPr>
                  <w:tcW w:w="1467" w:type="dxa"/>
                  <w:tcBorders>
                    <w:tl2br w:val="single" w:color="auto" w:sz="8" w:space="0"/>
                  </w:tcBorders>
                  <w:vAlign w:val="center"/>
                </w:tcPr>
                <w:p>
                  <w:pPr>
                    <w:pStyle w:val="42"/>
                    <w:jc w:val="right"/>
                  </w:pPr>
                  <w:r>
                    <w:t>污染物</w:t>
                  </w:r>
                </w:p>
                <w:p>
                  <w:pPr>
                    <w:pStyle w:val="42"/>
                    <w:jc w:val="left"/>
                  </w:pPr>
                  <w:r>
                    <w:t>指标</w:t>
                  </w:r>
                </w:p>
              </w:tc>
              <w:tc>
                <w:tcPr>
                  <w:tcW w:w="1384" w:type="dxa"/>
                  <w:vAlign w:val="center"/>
                </w:tcPr>
                <w:p>
                  <w:pPr>
                    <w:pStyle w:val="42"/>
                  </w:pPr>
                  <w:r>
                    <w:t>污水量</w:t>
                  </w:r>
                </w:p>
                <w:p>
                  <w:pPr>
                    <w:pStyle w:val="42"/>
                  </w:pPr>
                  <w:r>
                    <w:t>（m</w:t>
                  </w:r>
                  <w:r>
                    <w:rPr>
                      <w:vertAlign w:val="superscript"/>
                    </w:rPr>
                    <w:t>3</w:t>
                  </w:r>
                  <w:r>
                    <w:t>/a）</w:t>
                  </w:r>
                </w:p>
              </w:tc>
              <w:tc>
                <w:tcPr>
                  <w:tcW w:w="2352" w:type="dxa"/>
                  <w:vAlign w:val="center"/>
                </w:tcPr>
                <w:p>
                  <w:pPr>
                    <w:pStyle w:val="42"/>
                  </w:pPr>
                  <w:r>
                    <w:t>污染物产生浓度</w:t>
                  </w:r>
                </w:p>
                <w:p>
                  <w:pPr>
                    <w:pStyle w:val="42"/>
                  </w:pPr>
                  <w:r>
                    <w:t>（mg/L）</w:t>
                  </w:r>
                </w:p>
              </w:tc>
              <w:tc>
                <w:tcPr>
                  <w:tcW w:w="2440" w:type="dxa"/>
                  <w:vAlign w:val="center"/>
                </w:tcPr>
                <w:p>
                  <w:pPr>
                    <w:pStyle w:val="42"/>
                  </w:pPr>
                  <w:r>
                    <w:t>污染物产生量</w:t>
                  </w:r>
                </w:p>
                <w:p>
                  <w:pPr>
                    <w:pStyle w:val="42"/>
                  </w:pPr>
                  <w:r>
                    <w:t>（t/a）</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1367" w:type="dxa"/>
                  <w:vMerge w:val="restart"/>
                  <w:vAlign w:val="center"/>
                </w:tcPr>
                <w:p>
                  <w:pPr>
                    <w:pStyle w:val="42"/>
                  </w:pPr>
                  <w:r>
                    <w:t>生活污水</w:t>
                  </w:r>
                </w:p>
              </w:tc>
              <w:tc>
                <w:tcPr>
                  <w:tcW w:w="1467" w:type="dxa"/>
                  <w:vAlign w:val="center"/>
                </w:tcPr>
                <w:p>
                  <w:pPr>
                    <w:pStyle w:val="42"/>
                  </w:pPr>
                  <w:r>
                    <w:t>COD</w:t>
                  </w:r>
                </w:p>
              </w:tc>
              <w:tc>
                <w:tcPr>
                  <w:tcW w:w="1384" w:type="dxa"/>
                  <w:vMerge w:val="restart"/>
                  <w:vAlign w:val="center"/>
                </w:tcPr>
                <w:p>
                  <w:pPr>
                    <w:pStyle w:val="42"/>
                  </w:pPr>
                  <w:r>
                    <w:rPr>
                      <w:rFonts w:hint="eastAsia"/>
                    </w:rPr>
                    <w:t>243</w:t>
                  </w:r>
                </w:p>
              </w:tc>
              <w:tc>
                <w:tcPr>
                  <w:tcW w:w="2352" w:type="dxa"/>
                  <w:vAlign w:val="center"/>
                </w:tcPr>
                <w:p>
                  <w:pPr>
                    <w:pStyle w:val="42"/>
                  </w:pPr>
                  <w:r>
                    <w:t>400</w:t>
                  </w:r>
                </w:p>
              </w:tc>
              <w:tc>
                <w:tcPr>
                  <w:tcW w:w="2440" w:type="dxa"/>
                  <w:vAlign w:val="center"/>
                </w:tcPr>
                <w:p>
                  <w:pPr>
                    <w:pStyle w:val="42"/>
                    <w:rPr>
                      <w:kern w:val="0"/>
                    </w:rPr>
                  </w:pPr>
                  <w:r>
                    <w:t>0.097</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1367" w:type="dxa"/>
                  <w:vMerge w:val="continue"/>
                  <w:vAlign w:val="center"/>
                </w:tcPr>
                <w:p>
                  <w:pPr>
                    <w:pStyle w:val="42"/>
                  </w:pPr>
                </w:p>
              </w:tc>
              <w:tc>
                <w:tcPr>
                  <w:tcW w:w="1467" w:type="dxa"/>
                  <w:vAlign w:val="center"/>
                </w:tcPr>
                <w:p>
                  <w:pPr>
                    <w:pStyle w:val="42"/>
                  </w:pPr>
                  <w:r>
                    <w:t>BOD</w:t>
                  </w:r>
                  <w:r>
                    <w:rPr>
                      <w:vertAlign w:val="subscript"/>
                    </w:rPr>
                    <w:t>5</w:t>
                  </w:r>
                </w:p>
              </w:tc>
              <w:tc>
                <w:tcPr>
                  <w:tcW w:w="1384" w:type="dxa"/>
                  <w:vMerge w:val="continue"/>
                  <w:vAlign w:val="center"/>
                </w:tcPr>
                <w:p>
                  <w:pPr>
                    <w:pStyle w:val="42"/>
                  </w:pPr>
                </w:p>
              </w:tc>
              <w:tc>
                <w:tcPr>
                  <w:tcW w:w="2352" w:type="dxa"/>
                  <w:vAlign w:val="center"/>
                </w:tcPr>
                <w:p>
                  <w:pPr>
                    <w:pStyle w:val="42"/>
                  </w:pPr>
                  <w:r>
                    <w:t>250</w:t>
                  </w:r>
                </w:p>
              </w:tc>
              <w:tc>
                <w:tcPr>
                  <w:tcW w:w="2440" w:type="dxa"/>
                  <w:vAlign w:val="center"/>
                </w:tcPr>
                <w:p>
                  <w:pPr>
                    <w:pStyle w:val="42"/>
                  </w:pPr>
                  <w:r>
                    <w:t>0.061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1367" w:type="dxa"/>
                  <w:vMerge w:val="continue"/>
                  <w:vAlign w:val="center"/>
                </w:tcPr>
                <w:p>
                  <w:pPr>
                    <w:pStyle w:val="42"/>
                  </w:pPr>
                </w:p>
              </w:tc>
              <w:tc>
                <w:tcPr>
                  <w:tcW w:w="1467" w:type="dxa"/>
                  <w:vAlign w:val="center"/>
                </w:tcPr>
                <w:p>
                  <w:pPr>
                    <w:pStyle w:val="42"/>
                  </w:pPr>
                  <w:r>
                    <w:t>NH</w:t>
                  </w:r>
                  <w:r>
                    <w:rPr>
                      <w:vertAlign w:val="subscript"/>
                    </w:rPr>
                    <w:t>3</w:t>
                  </w:r>
                  <w:r>
                    <w:t>-N</w:t>
                  </w:r>
                </w:p>
              </w:tc>
              <w:tc>
                <w:tcPr>
                  <w:tcW w:w="1384" w:type="dxa"/>
                  <w:vMerge w:val="continue"/>
                  <w:vAlign w:val="center"/>
                </w:tcPr>
                <w:p>
                  <w:pPr>
                    <w:pStyle w:val="42"/>
                  </w:pPr>
                </w:p>
              </w:tc>
              <w:tc>
                <w:tcPr>
                  <w:tcW w:w="2352" w:type="dxa"/>
                  <w:vAlign w:val="center"/>
                </w:tcPr>
                <w:p>
                  <w:pPr>
                    <w:pStyle w:val="42"/>
                  </w:pPr>
                  <w:r>
                    <w:t>35</w:t>
                  </w:r>
                </w:p>
              </w:tc>
              <w:tc>
                <w:tcPr>
                  <w:tcW w:w="2440" w:type="dxa"/>
                  <w:vAlign w:val="center"/>
                </w:tcPr>
                <w:p>
                  <w:pPr>
                    <w:pStyle w:val="42"/>
                  </w:pPr>
                  <w:r>
                    <w:t>0.009</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1367" w:type="dxa"/>
                  <w:vMerge w:val="continue"/>
                  <w:vAlign w:val="center"/>
                </w:tcPr>
                <w:p>
                  <w:pPr>
                    <w:pStyle w:val="42"/>
                  </w:pPr>
                </w:p>
              </w:tc>
              <w:tc>
                <w:tcPr>
                  <w:tcW w:w="1467" w:type="dxa"/>
                  <w:vAlign w:val="center"/>
                </w:tcPr>
                <w:p>
                  <w:pPr>
                    <w:pStyle w:val="42"/>
                  </w:pPr>
                  <w:r>
                    <w:t>SS</w:t>
                  </w:r>
                </w:p>
              </w:tc>
              <w:tc>
                <w:tcPr>
                  <w:tcW w:w="1384" w:type="dxa"/>
                  <w:vMerge w:val="continue"/>
                  <w:vAlign w:val="center"/>
                </w:tcPr>
                <w:p>
                  <w:pPr>
                    <w:pStyle w:val="42"/>
                  </w:pPr>
                </w:p>
              </w:tc>
              <w:tc>
                <w:tcPr>
                  <w:tcW w:w="2352" w:type="dxa"/>
                  <w:vAlign w:val="center"/>
                </w:tcPr>
                <w:p>
                  <w:pPr>
                    <w:pStyle w:val="42"/>
                  </w:pPr>
                  <w:r>
                    <w:t>200</w:t>
                  </w:r>
                </w:p>
              </w:tc>
              <w:tc>
                <w:tcPr>
                  <w:tcW w:w="2440" w:type="dxa"/>
                  <w:vAlign w:val="center"/>
                </w:tcPr>
                <w:p>
                  <w:pPr>
                    <w:pStyle w:val="42"/>
                  </w:pPr>
                  <w:r>
                    <w:t>0.049</w:t>
                  </w:r>
                </w:p>
              </w:tc>
            </w:tr>
          </w:tbl>
          <w:p>
            <w:pPr>
              <w:adjustRightInd w:val="0"/>
              <w:snapToGrid w:val="0"/>
              <w:spacing w:line="360" w:lineRule="auto"/>
              <w:ind w:firstLine="480" w:firstLineChars="200"/>
              <w:rPr>
                <w:sz w:val="24"/>
              </w:rPr>
            </w:pPr>
            <w:r>
              <w:rPr>
                <w:rFonts w:hint="eastAsia"/>
                <w:sz w:val="24"/>
              </w:rPr>
              <w:t>原</w:t>
            </w:r>
            <w:r>
              <w:rPr>
                <w:sz w:val="24"/>
              </w:rPr>
              <w:t>项目</w:t>
            </w:r>
            <w:r>
              <w:rPr>
                <w:rFonts w:hint="eastAsia"/>
                <w:sz w:val="24"/>
              </w:rPr>
              <w:t>已</w:t>
            </w:r>
            <w:r>
              <w:rPr>
                <w:sz w:val="24"/>
              </w:rPr>
              <w:t>于</w:t>
            </w:r>
            <w:r>
              <w:rPr>
                <w:rFonts w:hint="eastAsia"/>
                <w:sz w:val="24"/>
              </w:rPr>
              <w:t>卫生间下方</w:t>
            </w:r>
            <w:r>
              <w:rPr>
                <w:sz w:val="24"/>
              </w:rPr>
              <w:t>设置</w:t>
            </w:r>
            <w:r>
              <w:rPr>
                <w:rFonts w:hint="eastAsia"/>
                <w:sz w:val="24"/>
              </w:rPr>
              <w:t>了</w:t>
            </w:r>
            <w:r>
              <w:rPr>
                <w:sz w:val="24"/>
              </w:rPr>
              <w:t>30m</w:t>
            </w:r>
            <w:r>
              <w:rPr>
                <w:sz w:val="24"/>
                <w:vertAlign w:val="superscript"/>
              </w:rPr>
              <w:t>3</w:t>
            </w:r>
            <w:r>
              <w:rPr>
                <w:rFonts w:hint="eastAsia"/>
                <w:sz w:val="24"/>
              </w:rPr>
              <w:t>的</w:t>
            </w:r>
            <w:r>
              <w:rPr>
                <w:sz w:val="24"/>
              </w:rPr>
              <w:t>化粪池，</w:t>
            </w:r>
            <w:r>
              <w:rPr>
                <w:rFonts w:hint="eastAsia"/>
                <w:sz w:val="24"/>
              </w:rPr>
              <w:t>拟建项目依托使用，</w:t>
            </w:r>
            <w:r>
              <w:rPr>
                <w:sz w:val="24"/>
              </w:rPr>
              <w:t>职工生活污水经化粪池收集后，用作农肥，不外排。</w:t>
            </w:r>
          </w:p>
          <w:p>
            <w:pPr>
              <w:adjustRightInd w:val="0"/>
              <w:snapToGrid w:val="0"/>
              <w:spacing w:line="360" w:lineRule="auto"/>
              <w:ind w:firstLine="480" w:firstLineChars="200"/>
              <w:rPr>
                <w:sz w:val="24"/>
              </w:rPr>
            </w:pPr>
            <w:r>
              <w:rPr>
                <w:rFonts w:hint="eastAsia" w:ascii="宋体" w:hAnsi="宋体" w:cs="宋体"/>
                <w:sz w:val="24"/>
              </w:rPr>
              <w:t>②</w:t>
            </w:r>
            <w:r>
              <w:rPr>
                <w:sz w:val="24"/>
              </w:rPr>
              <w:t>生产废水</w:t>
            </w:r>
          </w:p>
          <w:p>
            <w:pPr>
              <w:adjustRightInd w:val="0"/>
              <w:snapToGrid w:val="0"/>
              <w:spacing w:line="360" w:lineRule="auto"/>
              <w:ind w:firstLine="480" w:firstLineChars="200"/>
              <w:rPr>
                <w:sz w:val="24"/>
              </w:rPr>
            </w:pPr>
            <w:r>
              <w:rPr>
                <w:sz w:val="24"/>
              </w:rPr>
              <w:t>生产用水主要为矿区开采及工业广场、运输道路等单元生产过程中的防尘洒水，进入物料及自然蒸发损失后，无废水排放；另外，项目对进出采区的车辆进行冲洗，冲洗废水产生量4.25m</w:t>
            </w:r>
            <w:r>
              <w:rPr>
                <w:sz w:val="24"/>
                <w:vertAlign w:val="superscript"/>
              </w:rPr>
              <w:t>3</w:t>
            </w:r>
            <w:r>
              <w:rPr>
                <w:sz w:val="24"/>
              </w:rPr>
              <w:t>/d（1275m</w:t>
            </w:r>
            <w:r>
              <w:rPr>
                <w:sz w:val="24"/>
                <w:vertAlign w:val="superscript"/>
              </w:rPr>
              <w:t>3</w:t>
            </w:r>
            <w:r>
              <w:rPr>
                <w:sz w:val="24"/>
              </w:rPr>
              <w:t>/a），主要污染物SS，</w:t>
            </w:r>
            <w:r>
              <w:rPr>
                <w:color w:val="0000FF"/>
                <w:sz w:val="24"/>
              </w:rPr>
              <w:t>浓度</w:t>
            </w:r>
            <w:r>
              <w:rPr>
                <w:rFonts w:hint="eastAsia"/>
                <w:color w:val="0000FF"/>
                <w:sz w:val="24"/>
              </w:rPr>
              <w:t>约</w:t>
            </w:r>
            <w:r>
              <w:rPr>
                <w:color w:val="0000FF"/>
                <w:sz w:val="24"/>
              </w:rPr>
              <w:t>为</w:t>
            </w:r>
            <w:r>
              <w:rPr>
                <w:rFonts w:hint="eastAsia"/>
                <w:color w:val="0000FF"/>
                <w:sz w:val="24"/>
              </w:rPr>
              <w:t>10</w:t>
            </w:r>
            <w:r>
              <w:rPr>
                <w:color w:val="0000FF"/>
                <w:sz w:val="24"/>
              </w:rPr>
              <w:t>00mg/L，</w:t>
            </w:r>
            <w:r>
              <w:rPr>
                <w:sz w:val="24"/>
              </w:rPr>
              <w:t>则SS产生量</w:t>
            </w:r>
            <w:r>
              <w:rPr>
                <w:color w:val="0000FF"/>
                <w:sz w:val="24"/>
              </w:rPr>
              <w:t>1.275</w:t>
            </w:r>
            <w:r>
              <w:rPr>
                <w:sz w:val="24"/>
              </w:rPr>
              <w:t>t/a。</w:t>
            </w:r>
          </w:p>
          <w:p>
            <w:pPr>
              <w:adjustRightInd w:val="0"/>
              <w:snapToGrid w:val="0"/>
              <w:spacing w:line="360" w:lineRule="auto"/>
              <w:ind w:firstLine="480" w:firstLineChars="200"/>
              <w:rPr>
                <w:sz w:val="24"/>
              </w:rPr>
            </w:pPr>
            <w:r>
              <w:rPr>
                <w:rFonts w:hint="eastAsia"/>
                <w:sz w:val="24"/>
              </w:rPr>
              <w:t>拟建项目在地磅称东侧</w:t>
            </w:r>
            <w:r>
              <w:rPr>
                <w:sz w:val="24"/>
              </w:rPr>
              <w:t>设容积约</w:t>
            </w:r>
            <w:r>
              <w:rPr>
                <w:rFonts w:hint="eastAsia"/>
                <w:sz w:val="24"/>
              </w:rPr>
              <w:t>20</w:t>
            </w:r>
            <w:r>
              <w:rPr>
                <w:sz w:val="24"/>
              </w:rPr>
              <w:t>m</w:t>
            </w:r>
            <w:r>
              <w:rPr>
                <w:sz w:val="24"/>
                <w:vertAlign w:val="superscript"/>
              </w:rPr>
              <w:t>3</w:t>
            </w:r>
            <w:r>
              <w:rPr>
                <w:rFonts w:hint="eastAsia"/>
                <w:sz w:val="24"/>
              </w:rPr>
              <w:t>的</w:t>
            </w:r>
            <w:r>
              <w:rPr>
                <w:rFonts w:ascii="宋体" w:hAnsi="宋体"/>
                <w:sz w:val="24"/>
              </w:rPr>
              <w:t>“</w:t>
            </w:r>
            <w:r>
              <w:rPr>
                <w:sz w:val="24"/>
              </w:rPr>
              <w:t>U型</w:t>
            </w:r>
            <w:r>
              <w:rPr>
                <w:rFonts w:ascii="宋体" w:hAnsi="宋体"/>
                <w:sz w:val="24"/>
              </w:rPr>
              <w:t>”</w:t>
            </w:r>
            <w:r>
              <w:rPr>
                <w:sz w:val="24"/>
              </w:rPr>
              <w:t>车辆冲洗池</w:t>
            </w:r>
            <w:r>
              <w:rPr>
                <w:rFonts w:hint="eastAsia"/>
                <w:sz w:val="24"/>
              </w:rPr>
              <w:t>，场内</w:t>
            </w:r>
            <w:r>
              <w:rPr>
                <w:sz w:val="24"/>
              </w:rPr>
              <w:t>运输车辆</w:t>
            </w:r>
            <w:r>
              <w:rPr>
                <w:rFonts w:hint="eastAsia"/>
                <w:sz w:val="24"/>
              </w:rPr>
              <w:t>于</w:t>
            </w:r>
            <w:r>
              <w:rPr>
                <w:rFonts w:ascii="宋体" w:hAnsi="宋体"/>
                <w:sz w:val="24"/>
              </w:rPr>
              <w:t>“</w:t>
            </w:r>
            <w:r>
              <w:rPr>
                <w:sz w:val="24"/>
              </w:rPr>
              <w:t>U型</w:t>
            </w:r>
            <w:r>
              <w:rPr>
                <w:rFonts w:ascii="宋体" w:hAnsi="宋体"/>
                <w:sz w:val="24"/>
              </w:rPr>
              <w:t>”</w:t>
            </w:r>
            <w:r>
              <w:rPr>
                <w:sz w:val="24"/>
              </w:rPr>
              <w:t>车辆冲洗池</w:t>
            </w:r>
            <w:r>
              <w:rPr>
                <w:rFonts w:hint="eastAsia"/>
                <w:sz w:val="24"/>
              </w:rPr>
              <w:t>内冲洗后，</w:t>
            </w:r>
            <w:r>
              <w:rPr>
                <w:sz w:val="24"/>
              </w:rPr>
              <w:t>所产生的冲洗废水经冲洗池沉淀处理后循环使用，不外排。</w:t>
            </w:r>
          </w:p>
          <w:p>
            <w:pPr>
              <w:adjustRightInd w:val="0"/>
              <w:snapToGrid w:val="0"/>
              <w:spacing w:line="360" w:lineRule="auto"/>
              <w:ind w:firstLine="480" w:firstLineChars="200"/>
              <w:rPr>
                <w:sz w:val="24"/>
              </w:rPr>
            </w:pPr>
            <w:r>
              <w:rPr>
                <w:rFonts w:hint="eastAsia" w:ascii="宋体" w:hAnsi="宋体" w:cs="宋体"/>
                <w:sz w:val="24"/>
              </w:rPr>
              <w:t>③</w:t>
            </w:r>
            <w:r>
              <w:rPr>
                <w:sz w:val="24"/>
              </w:rPr>
              <w:t>初期雨水</w:t>
            </w:r>
          </w:p>
          <w:p>
            <w:pPr>
              <w:adjustRightInd w:val="0"/>
              <w:snapToGrid w:val="0"/>
              <w:spacing w:line="360" w:lineRule="auto"/>
              <w:ind w:firstLine="480" w:firstLineChars="200"/>
              <w:rPr>
                <w:sz w:val="24"/>
              </w:rPr>
            </w:pPr>
            <w:r>
              <w:rPr>
                <w:sz w:val="24"/>
              </w:rPr>
              <w:t>矿山开采导致开采面裸露，流经采面的初期雨水中会夹杂大量的SS。</w:t>
            </w:r>
          </w:p>
          <w:p>
            <w:pPr>
              <w:adjustRightInd w:val="0"/>
              <w:snapToGrid w:val="0"/>
              <w:spacing w:line="360" w:lineRule="auto"/>
              <w:ind w:firstLine="480" w:firstLineChars="200"/>
              <w:rPr>
                <w:sz w:val="24"/>
              </w:rPr>
            </w:pPr>
            <w:r>
              <w:rPr>
                <w:sz w:val="24"/>
              </w:rPr>
              <w:t>雨水汇水量计算采用如下公式计算：</w:t>
            </w:r>
          </w:p>
          <w:p>
            <w:pPr>
              <w:adjustRightInd w:val="0"/>
              <w:snapToGrid w:val="0"/>
              <w:spacing w:line="360" w:lineRule="auto"/>
              <w:jc w:val="center"/>
              <w:rPr>
                <w:i/>
                <w:sz w:val="24"/>
              </w:rPr>
            </w:pPr>
            <w:r>
              <w:rPr>
                <w:i/>
                <w:sz w:val="24"/>
              </w:rPr>
              <w:t>Q=ΨqF</w:t>
            </w:r>
          </w:p>
          <w:p>
            <w:pPr>
              <w:adjustRightInd w:val="0"/>
              <w:snapToGrid w:val="0"/>
              <w:spacing w:line="360" w:lineRule="auto"/>
              <w:ind w:firstLine="480" w:firstLineChars="200"/>
              <w:jc w:val="left"/>
              <w:rPr>
                <w:sz w:val="24"/>
              </w:rPr>
            </w:pPr>
            <w:r>
              <w:rPr>
                <w:sz w:val="24"/>
              </w:rPr>
              <w:t>式中：</w:t>
            </w:r>
            <w:r>
              <w:rPr>
                <w:i/>
                <w:sz w:val="24"/>
              </w:rPr>
              <w:t>Q</w:t>
            </w:r>
            <w:r>
              <w:rPr>
                <w:sz w:val="24"/>
              </w:rPr>
              <w:t>—雨水流量，L/s；</w:t>
            </w:r>
          </w:p>
          <w:p>
            <w:pPr>
              <w:adjustRightInd w:val="0"/>
              <w:snapToGrid w:val="0"/>
              <w:spacing w:line="360" w:lineRule="auto"/>
              <w:ind w:firstLine="1200" w:firstLineChars="500"/>
              <w:jc w:val="left"/>
              <w:rPr>
                <w:sz w:val="24"/>
              </w:rPr>
            </w:pPr>
            <w:r>
              <w:rPr>
                <w:i/>
                <w:sz w:val="24"/>
              </w:rPr>
              <w:t>Ψ</w:t>
            </w:r>
            <w:r>
              <w:rPr>
                <w:sz w:val="24"/>
              </w:rPr>
              <w:t>—径流系数，经验数值为0.15；</w:t>
            </w:r>
          </w:p>
          <w:p>
            <w:pPr>
              <w:adjustRightInd w:val="0"/>
              <w:snapToGrid w:val="0"/>
              <w:spacing w:line="360" w:lineRule="auto"/>
              <w:ind w:firstLine="1200" w:firstLineChars="500"/>
              <w:jc w:val="left"/>
              <w:rPr>
                <w:sz w:val="24"/>
              </w:rPr>
            </w:pPr>
            <w:r>
              <w:rPr>
                <w:i/>
                <w:sz w:val="24"/>
              </w:rPr>
              <w:t>q</w:t>
            </w:r>
            <w:r>
              <w:rPr>
                <w:sz w:val="24"/>
              </w:rPr>
              <w:t>—设计暴雨强度，L/s.hm</w:t>
            </w:r>
            <w:r>
              <w:rPr>
                <w:sz w:val="24"/>
                <w:vertAlign w:val="superscript"/>
              </w:rPr>
              <w:t>2</w:t>
            </w:r>
            <w:r>
              <w:rPr>
                <w:sz w:val="24"/>
              </w:rPr>
              <w:t>；</w:t>
            </w:r>
          </w:p>
          <w:p>
            <w:pPr>
              <w:adjustRightInd w:val="0"/>
              <w:snapToGrid w:val="0"/>
              <w:spacing w:line="360" w:lineRule="auto"/>
              <w:ind w:left="210" w:leftChars="100" w:firstLine="960" w:firstLineChars="400"/>
              <w:jc w:val="left"/>
              <w:rPr>
                <w:sz w:val="24"/>
              </w:rPr>
            </w:pPr>
            <w:r>
              <w:rPr>
                <w:i/>
                <w:sz w:val="24"/>
              </w:rPr>
              <w:t>F</w:t>
            </w:r>
            <w:r>
              <w:rPr>
                <w:sz w:val="24"/>
              </w:rPr>
              <w:t>—汇水面积，hm</w:t>
            </w:r>
            <w:r>
              <w:rPr>
                <w:sz w:val="24"/>
                <w:vertAlign w:val="superscript"/>
              </w:rPr>
              <w:t>2</w:t>
            </w:r>
            <w:r>
              <w:rPr>
                <w:sz w:val="24"/>
              </w:rPr>
              <w:t>（</w:t>
            </w:r>
            <w:r>
              <w:rPr>
                <w:rFonts w:hint="eastAsia"/>
                <w:sz w:val="24"/>
              </w:rPr>
              <w:t>厂区占地面积</w:t>
            </w:r>
            <w:r>
              <w:rPr>
                <w:sz w:val="24"/>
              </w:rPr>
              <w:t>6.9742hm</w:t>
            </w:r>
            <w:r>
              <w:rPr>
                <w:sz w:val="24"/>
                <w:vertAlign w:val="superscript"/>
              </w:rPr>
              <w:t>2</w:t>
            </w:r>
            <w:r>
              <w:rPr>
                <w:sz w:val="24"/>
              </w:rPr>
              <w:t>）；</w:t>
            </w:r>
          </w:p>
          <w:p>
            <w:pPr>
              <w:adjustRightInd w:val="0"/>
              <w:snapToGrid w:val="0"/>
              <w:spacing w:line="360" w:lineRule="auto"/>
              <w:ind w:firstLine="480" w:firstLineChars="200"/>
              <w:jc w:val="left"/>
              <w:rPr>
                <w:sz w:val="24"/>
              </w:rPr>
            </w:pPr>
            <w:r>
              <w:rPr>
                <w:sz w:val="24"/>
              </w:rPr>
              <w:t>重庆市降雨强度采用如下暴雨强度公式计算：</w:t>
            </w:r>
          </w:p>
          <w:p>
            <w:pPr>
              <w:adjustRightInd w:val="0"/>
              <w:snapToGrid w:val="0"/>
              <w:spacing w:line="360" w:lineRule="auto"/>
              <w:jc w:val="center"/>
              <w:rPr>
                <w:i/>
                <w:sz w:val="24"/>
              </w:rPr>
            </w:pPr>
            <w:r>
              <w:rPr>
                <w:i/>
                <w:sz w:val="24"/>
              </w:rPr>
              <w:t>q=2822(1+0.755lgP)/t+12.8P0.428）0.77</w:t>
            </w:r>
          </w:p>
          <w:p>
            <w:pPr>
              <w:adjustRightInd w:val="0"/>
              <w:snapToGrid w:val="0"/>
              <w:spacing w:line="360" w:lineRule="auto"/>
              <w:ind w:firstLine="480" w:firstLineChars="200"/>
              <w:jc w:val="left"/>
              <w:rPr>
                <w:sz w:val="24"/>
              </w:rPr>
            </w:pPr>
            <w:r>
              <w:rPr>
                <w:sz w:val="24"/>
              </w:rPr>
              <w:t>式中：</w:t>
            </w:r>
            <w:r>
              <w:rPr>
                <w:i/>
                <w:sz w:val="24"/>
              </w:rPr>
              <w:t>P</w:t>
            </w:r>
            <w:r>
              <w:rPr>
                <w:sz w:val="24"/>
              </w:rPr>
              <w:t>—设计降雨重现期，重庆取5a，</w:t>
            </w:r>
          </w:p>
          <w:p>
            <w:pPr>
              <w:adjustRightInd w:val="0"/>
              <w:snapToGrid w:val="0"/>
              <w:spacing w:line="360" w:lineRule="auto"/>
              <w:ind w:firstLine="1200" w:firstLineChars="500"/>
              <w:jc w:val="left"/>
              <w:rPr>
                <w:sz w:val="24"/>
              </w:rPr>
            </w:pPr>
            <w:r>
              <w:rPr>
                <w:i/>
                <w:sz w:val="24"/>
              </w:rPr>
              <w:t>t</w:t>
            </w:r>
            <w:r>
              <w:rPr>
                <w:sz w:val="24"/>
              </w:rPr>
              <w:t>—降雨历时（取1h）。</w:t>
            </w:r>
          </w:p>
          <w:p>
            <w:pPr>
              <w:adjustRightInd w:val="0"/>
              <w:snapToGrid w:val="0"/>
              <w:spacing w:line="360" w:lineRule="auto"/>
              <w:ind w:firstLine="480" w:firstLineChars="200"/>
              <w:rPr>
                <w:sz w:val="24"/>
              </w:rPr>
            </w:pPr>
            <w:r>
              <w:rPr>
                <w:sz w:val="24"/>
              </w:rPr>
              <w:t>按照公式，可以估算出</w:t>
            </w:r>
            <w:r>
              <w:rPr>
                <w:rFonts w:hint="eastAsia"/>
                <w:sz w:val="24"/>
              </w:rPr>
              <w:t>厂区</w:t>
            </w:r>
            <w:r>
              <w:rPr>
                <w:sz w:val="24"/>
              </w:rPr>
              <w:t>雨水流量</w:t>
            </w:r>
            <w:r>
              <w:rPr>
                <w:rFonts w:hint="eastAsia"/>
                <w:sz w:val="24"/>
              </w:rPr>
              <w:t>合计</w:t>
            </w:r>
            <w:r>
              <w:rPr>
                <w:sz w:val="24"/>
              </w:rPr>
              <w:t>为356.48m</w:t>
            </w:r>
            <w:r>
              <w:rPr>
                <w:sz w:val="24"/>
                <w:vertAlign w:val="superscript"/>
              </w:rPr>
              <w:t>3</w:t>
            </w:r>
            <w:r>
              <w:rPr>
                <w:sz w:val="24"/>
              </w:rPr>
              <w:t>/h，考虑初期雨水按15min计算，项目采区、工业广场初期雨水</w:t>
            </w:r>
            <w:r>
              <w:rPr>
                <w:rFonts w:hint="eastAsia"/>
                <w:sz w:val="24"/>
              </w:rPr>
              <w:t>合计89.12</w:t>
            </w:r>
            <w:r>
              <w:rPr>
                <w:sz w:val="24"/>
              </w:rPr>
              <w:t>m</w:t>
            </w:r>
            <w:r>
              <w:rPr>
                <w:sz w:val="24"/>
                <w:vertAlign w:val="superscript"/>
              </w:rPr>
              <w:t>3</w:t>
            </w:r>
            <w:r>
              <w:rPr>
                <w:sz w:val="24"/>
              </w:rPr>
              <w:t>/次。</w:t>
            </w:r>
          </w:p>
          <w:p>
            <w:pPr>
              <w:adjustRightInd w:val="0"/>
              <w:snapToGrid w:val="0"/>
              <w:spacing w:line="360" w:lineRule="auto"/>
              <w:ind w:firstLine="480" w:firstLineChars="200"/>
              <w:rPr>
                <w:bCs/>
                <w:sz w:val="24"/>
              </w:rPr>
            </w:pPr>
            <w:r>
              <w:rPr>
                <w:sz w:val="24"/>
              </w:rPr>
              <w:t>根据区域地势，</w:t>
            </w:r>
            <w:r>
              <w:rPr>
                <w:rFonts w:hint="eastAsia"/>
                <w:sz w:val="24"/>
              </w:rPr>
              <w:t>在矿区西北侧布设约365</w:t>
            </w:r>
            <w:r>
              <w:rPr>
                <w:bCs/>
                <w:sz w:val="24"/>
              </w:rPr>
              <w:t>m截洪沟</w:t>
            </w:r>
            <w:r>
              <w:rPr>
                <w:rFonts w:hint="eastAsia"/>
                <w:bCs/>
                <w:sz w:val="24"/>
              </w:rPr>
              <w:t>，截挡外部雨水；在矿区其他侧、场内运输道路单边、工业广场东侧及南侧共布设约9</w:t>
            </w:r>
            <w:r>
              <w:rPr>
                <w:bCs/>
                <w:sz w:val="24"/>
              </w:rPr>
              <w:t>00m排水沟</w:t>
            </w:r>
            <w:r>
              <w:rPr>
                <w:rFonts w:hint="eastAsia"/>
                <w:bCs/>
                <w:sz w:val="24"/>
              </w:rPr>
              <w:t>，</w:t>
            </w:r>
            <w:r>
              <w:rPr>
                <w:bCs/>
                <w:sz w:val="24"/>
              </w:rPr>
              <w:t>排水沟</w:t>
            </w:r>
            <w:r>
              <w:rPr>
                <w:rFonts w:hint="eastAsia"/>
                <w:bCs/>
                <w:sz w:val="24"/>
              </w:rPr>
              <w:t>末端可</w:t>
            </w:r>
            <w:r>
              <w:rPr>
                <w:rFonts w:hint="eastAsia"/>
                <w:sz w:val="24"/>
              </w:rPr>
              <w:t>设一切换阀，一端接入110m</w:t>
            </w:r>
            <w:r>
              <w:rPr>
                <w:sz w:val="24"/>
                <w:vertAlign w:val="superscript"/>
              </w:rPr>
              <w:t>3</w:t>
            </w:r>
            <w:r>
              <w:rPr>
                <w:rFonts w:hint="eastAsia"/>
                <w:sz w:val="24"/>
              </w:rPr>
              <w:t>雨水沉淀池，</w:t>
            </w:r>
            <w:r>
              <w:rPr>
                <w:rFonts w:hint="eastAsia"/>
                <w:bCs/>
                <w:sz w:val="24"/>
              </w:rPr>
              <w:t>另一端设排水沟连接至厂区外，可人工或自动化切换，以收集厂区初期雨水，导排厂区后期澄清雨水。</w:t>
            </w:r>
          </w:p>
          <w:p>
            <w:pPr>
              <w:adjustRightInd w:val="0"/>
              <w:snapToGrid w:val="0"/>
              <w:spacing w:line="360" w:lineRule="auto"/>
              <w:ind w:firstLine="480" w:firstLineChars="200"/>
              <w:rPr>
                <w:sz w:val="24"/>
              </w:rPr>
            </w:pPr>
            <w:r>
              <w:rPr>
                <w:rFonts w:hint="eastAsia"/>
                <w:sz w:val="24"/>
              </w:rPr>
              <w:t>此外，为更好导排雨水，沉淀泥沙，避免沟道堵塞，在截排水沟转折及交汇点共设置3个容积为1</w:t>
            </w:r>
            <w:r>
              <w:rPr>
                <w:sz w:val="24"/>
              </w:rPr>
              <w:t>m</w:t>
            </w:r>
            <w:r>
              <w:rPr>
                <w:sz w:val="24"/>
                <w:vertAlign w:val="superscript"/>
              </w:rPr>
              <w:t>3</w:t>
            </w:r>
            <w:r>
              <w:rPr>
                <w:rFonts w:hint="eastAsia"/>
                <w:sz w:val="24"/>
              </w:rPr>
              <w:t>的沉砂凼调节雨水流速并初步沉淀雨水中的泥沙</w:t>
            </w:r>
            <w:r>
              <w:rPr>
                <w:sz w:val="24"/>
              </w:rPr>
              <w:t>。</w:t>
            </w:r>
          </w:p>
          <w:p>
            <w:pPr>
              <w:adjustRightInd w:val="0"/>
              <w:snapToGrid w:val="0"/>
              <w:spacing w:line="360" w:lineRule="auto"/>
              <w:ind w:firstLine="480" w:firstLineChars="200"/>
              <w:rPr>
                <w:sz w:val="24"/>
              </w:rPr>
            </w:pPr>
            <w:r>
              <w:rPr>
                <w:sz w:val="24"/>
              </w:rPr>
              <w:t>项目</w:t>
            </w:r>
            <w:r>
              <w:rPr>
                <w:rFonts w:hint="eastAsia"/>
                <w:sz w:val="24"/>
              </w:rPr>
              <w:t>厂区</w:t>
            </w:r>
            <w:r>
              <w:rPr>
                <w:sz w:val="24"/>
              </w:rPr>
              <w:t>初期雨水经雨水沉淀池沉淀后用于</w:t>
            </w:r>
            <w:r>
              <w:rPr>
                <w:rFonts w:hint="eastAsia"/>
                <w:sz w:val="24"/>
              </w:rPr>
              <w:t>厂区洒水抑尘</w:t>
            </w:r>
            <w:r>
              <w:rPr>
                <w:sz w:val="24"/>
              </w:rPr>
              <w:t>，不外排。</w:t>
            </w:r>
          </w:p>
          <w:p>
            <w:pPr>
              <w:adjustRightInd w:val="0"/>
              <w:snapToGrid w:val="0"/>
              <w:jc w:val="center"/>
              <w:rPr>
                <w:b/>
                <w:sz w:val="24"/>
              </w:rPr>
            </w:pPr>
            <w:r>
              <w:rPr>
                <w:b/>
                <w:sz w:val="24"/>
              </w:rPr>
              <w:t>表4-1</w:t>
            </w:r>
            <w:r>
              <w:rPr>
                <w:rFonts w:hint="eastAsia"/>
                <w:b/>
                <w:sz w:val="24"/>
              </w:rPr>
              <w:t>5</w:t>
            </w:r>
            <w:r>
              <w:rPr>
                <w:b/>
                <w:sz w:val="24"/>
              </w:rPr>
              <w:t xml:space="preserve">  雨水沉淀池设置一览表</w:t>
            </w:r>
          </w:p>
          <w:tbl>
            <w:tblPr>
              <w:tblStyle w:val="15"/>
              <w:tblW w:w="9010"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64"/>
              <w:gridCol w:w="1696"/>
              <w:gridCol w:w="2348"/>
              <w:gridCol w:w="2215"/>
              <w:gridCol w:w="188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864" w:type="dxa"/>
                  <w:vAlign w:val="center"/>
                </w:tcPr>
                <w:p>
                  <w:pPr>
                    <w:pStyle w:val="42"/>
                  </w:pPr>
                  <w:r>
                    <w:t>序号</w:t>
                  </w:r>
                </w:p>
              </w:tc>
              <w:tc>
                <w:tcPr>
                  <w:tcW w:w="1696" w:type="dxa"/>
                  <w:vAlign w:val="center"/>
                </w:tcPr>
                <w:p>
                  <w:pPr>
                    <w:pStyle w:val="42"/>
                  </w:pPr>
                  <w:r>
                    <w:t>名称</w:t>
                  </w:r>
                </w:p>
              </w:tc>
              <w:tc>
                <w:tcPr>
                  <w:tcW w:w="2348" w:type="dxa"/>
                  <w:vAlign w:val="center"/>
                </w:tcPr>
                <w:p>
                  <w:pPr>
                    <w:pStyle w:val="42"/>
                  </w:pPr>
                  <w:r>
                    <w:t>位置</w:t>
                  </w:r>
                </w:p>
              </w:tc>
              <w:tc>
                <w:tcPr>
                  <w:tcW w:w="2215" w:type="dxa"/>
                  <w:vAlign w:val="center"/>
                </w:tcPr>
                <w:p>
                  <w:pPr>
                    <w:pStyle w:val="42"/>
                  </w:pPr>
                  <w:r>
                    <w:t>初期雨水收集对象</w:t>
                  </w:r>
                </w:p>
              </w:tc>
              <w:tc>
                <w:tcPr>
                  <w:tcW w:w="1887" w:type="dxa"/>
                  <w:vAlign w:val="center"/>
                </w:tcPr>
                <w:p>
                  <w:pPr>
                    <w:pStyle w:val="42"/>
                  </w:pPr>
                  <w:r>
                    <w:t>容积（m</w:t>
                  </w:r>
                  <w:r>
                    <w:rPr>
                      <w:vertAlign w:val="superscript"/>
                    </w:rPr>
                    <w:t>3</w:t>
                  </w:r>
                  <w: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864" w:type="dxa"/>
                  <w:vAlign w:val="center"/>
                </w:tcPr>
                <w:p>
                  <w:pPr>
                    <w:pStyle w:val="42"/>
                  </w:pPr>
                  <w:r>
                    <w:t>1</w:t>
                  </w:r>
                </w:p>
              </w:tc>
              <w:tc>
                <w:tcPr>
                  <w:tcW w:w="1696" w:type="dxa"/>
                  <w:vAlign w:val="center"/>
                </w:tcPr>
                <w:p>
                  <w:pPr>
                    <w:pStyle w:val="42"/>
                  </w:pPr>
                  <w:r>
                    <w:t>雨水沉淀池</w:t>
                  </w:r>
                </w:p>
              </w:tc>
              <w:tc>
                <w:tcPr>
                  <w:tcW w:w="2348" w:type="dxa"/>
                  <w:vAlign w:val="center"/>
                </w:tcPr>
                <w:p>
                  <w:pPr>
                    <w:pStyle w:val="42"/>
                  </w:pPr>
                  <w:r>
                    <w:rPr>
                      <w:rFonts w:hint="eastAsia"/>
                    </w:rPr>
                    <w:t>厂区西侧约20m地势低洼处</w:t>
                  </w:r>
                </w:p>
              </w:tc>
              <w:tc>
                <w:tcPr>
                  <w:tcW w:w="2215" w:type="dxa"/>
                  <w:vAlign w:val="center"/>
                </w:tcPr>
                <w:p>
                  <w:pPr>
                    <w:pStyle w:val="42"/>
                  </w:pPr>
                  <w:r>
                    <w:rPr>
                      <w:rFonts w:hint="eastAsia"/>
                    </w:rPr>
                    <w:t>采区、工业广场、排土场及场内运输道路</w:t>
                  </w:r>
                </w:p>
              </w:tc>
              <w:tc>
                <w:tcPr>
                  <w:tcW w:w="1887" w:type="dxa"/>
                  <w:vAlign w:val="center"/>
                </w:tcPr>
                <w:p>
                  <w:pPr>
                    <w:pStyle w:val="42"/>
                  </w:pPr>
                  <w:r>
                    <w:rPr>
                      <w:rFonts w:hint="eastAsia"/>
                    </w:rPr>
                    <w:t>110</w:t>
                  </w:r>
                </w:p>
              </w:tc>
            </w:tr>
          </w:tbl>
          <w:p>
            <w:pPr>
              <w:adjustRightInd w:val="0"/>
              <w:snapToGrid w:val="0"/>
              <w:spacing w:line="360" w:lineRule="auto"/>
              <w:ind w:firstLine="482" w:firstLineChars="200"/>
              <w:jc w:val="left"/>
              <w:rPr>
                <w:b/>
                <w:sz w:val="24"/>
              </w:rPr>
            </w:pPr>
            <w:r>
              <w:rPr>
                <w:b/>
                <w:sz w:val="24"/>
              </w:rPr>
              <w:t>2）建设项目废水污染物排放信息</w:t>
            </w:r>
          </w:p>
          <w:p>
            <w:pPr>
              <w:adjustRightInd w:val="0"/>
              <w:snapToGrid w:val="0"/>
              <w:spacing w:line="360" w:lineRule="auto"/>
              <w:ind w:firstLine="480" w:firstLineChars="200"/>
              <w:jc w:val="left"/>
              <w:rPr>
                <w:sz w:val="24"/>
              </w:rPr>
            </w:pPr>
            <w:r>
              <w:rPr>
                <w:rFonts w:hint="eastAsia" w:ascii="宋体" w:hAnsi="宋体" w:cs="宋体"/>
                <w:sz w:val="24"/>
              </w:rPr>
              <w:t>①</w:t>
            </w:r>
            <w:r>
              <w:rPr>
                <w:sz w:val="24"/>
              </w:rPr>
              <w:t>废水污染源源强核算</w:t>
            </w:r>
          </w:p>
        </w:tc>
      </w:tr>
    </w:tbl>
    <w:p>
      <w:pPr>
        <w:sectPr>
          <w:pgSz w:w="11906" w:h="16838"/>
          <w:pgMar w:top="1440" w:right="1080" w:bottom="1440" w:left="1080" w:header="851" w:footer="1077" w:gutter="0"/>
          <w:cols w:space="720" w:num="1"/>
          <w:docGrid w:linePitch="312" w:charSpace="0"/>
        </w:sectPr>
      </w:pPr>
    </w:p>
    <w:tbl>
      <w:tblPr>
        <w:tblStyle w:val="15"/>
        <w:tblW w:w="139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34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766" w:hRule="atLeast"/>
          <w:jc w:val="center"/>
        </w:trPr>
        <w:tc>
          <w:tcPr>
            <w:tcW w:w="456" w:type="dxa"/>
            <w:vAlign w:val="center"/>
          </w:tcPr>
          <w:p>
            <w:pPr>
              <w:adjustRightInd w:val="0"/>
              <w:snapToGrid w:val="0"/>
              <w:jc w:val="center"/>
              <w:rPr>
                <w:sz w:val="24"/>
              </w:rPr>
            </w:pPr>
            <w:r>
              <w:rPr>
                <w:sz w:val="24"/>
              </w:rPr>
              <w:t>运营期生态环境影响分析</w:t>
            </w:r>
          </w:p>
        </w:tc>
        <w:tc>
          <w:tcPr>
            <w:tcW w:w="13482" w:type="dxa"/>
          </w:tcPr>
          <w:p>
            <w:pPr>
              <w:adjustRightInd w:val="0"/>
              <w:snapToGrid w:val="0"/>
              <w:jc w:val="center"/>
              <w:rPr>
                <w:b/>
                <w:sz w:val="24"/>
              </w:rPr>
            </w:pPr>
            <w:r>
              <w:rPr>
                <w:b/>
                <w:sz w:val="24"/>
              </w:rPr>
              <w:t>表4-1</w:t>
            </w:r>
            <w:r>
              <w:rPr>
                <w:rFonts w:hint="eastAsia"/>
                <w:b/>
                <w:sz w:val="24"/>
              </w:rPr>
              <w:t>6</w:t>
            </w:r>
            <w:r>
              <w:rPr>
                <w:b/>
                <w:sz w:val="24"/>
              </w:rPr>
              <w:t xml:space="preserve">  废水污染源源强核算结果及相关参数一览表</w:t>
            </w:r>
          </w:p>
          <w:tbl>
            <w:tblPr>
              <w:tblStyle w:val="15"/>
              <w:tblW w:w="132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790"/>
              <w:gridCol w:w="1316"/>
              <w:gridCol w:w="1145"/>
              <w:gridCol w:w="750"/>
              <w:gridCol w:w="1190"/>
              <w:gridCol w:w="1010"/>
              <w:gridCol w:w="1678"/>
              <w:gridCol w:w="795"/>
              <w:gridCol w:w="795"/>
              <w:gridCol w:w="1212"/>
              <w:gridCol w:w="817"/>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8" w:hRule="atLeast"/>
                <w:jc w:val="center"/>
              </w:trPr>
              <w:tc>
                <w:tcPr>
                  <w:tcW w:w="1042" w:type="dxa"/>
                  <w:vMerge w:val="restart"/>
                  <w:vAlign w:val="center"/>
                </w:tcPr>
                <w:p>
                  <w:pPr>
                    <w:spacing w:line="240" w:lineRule="atLeast"/>
                    <w:jc w:val="center"/>
                    <w:rPr>
                      <w:bCs/>
                      <w:sz w:val="20"/>
                      <w:szCs w:val="20"/>
                    </w:rPr>
                  </w:pPr>
                  <w:r>
                    <w:rPr>
                      <w:bCs/>
                      <w:sz w:val="20"/>
                      <w:szCs w:val="20"/>
                    </w:rPr>
                    <w:t>工序/生产线</w:t>
                  </w:r>
                </w:p>
              </w:tc>
              <w:tc>
                <w:tcPr>
                  <w:tcW w:w="790" w:type="dxa"/>
                  <w:vMerge w:val="restart"/>
                  <w:vAlign w:val="center"/>
                </w:tcPr>
                <w:p>
                  <w:pPr>
                    <w:spacing w:line="240" w:lineRule="atLeast"/>
                    <w:jc w:val="center"/>
                    <w:rPr>
                      <w:bCs/>
                      <w:sz w:val="20"/>
                      <w:szCs w:val="20"/>
                    </w:rPr>
                  </w:pPr>
                  <w:r>
                    <w:rPr>
                      <w:bCs/>
                      <w:sz w:val="20"/>
                      <w:szCs w:val="20"/>
                    </w:rPr>
                    <w:t>装置</w:t>
                  </w:r>
                </w:p>
              </w:tc>
              <w:tc>
                <w:tcPr>
                  <w:tcW w:w="1316" w:type="dxa"/>
                  <w:vMerge w:val="restart"/>
                  <w:vAlign w:val="center"/>
                </w:tcPr>
                <w:p>
                  <w:pPr>
                    <w:spacing w:line="240" w:lineRule="atLeast"/>
                    <w:jc w:val="center"/>
                    <w:rPr>
                      <w:bCs/>
                      <w:sz w:val="20"/>
                      <w:szCs w:val="20"/>
                    </w:rPr>
                  </w:pPr>
                  <w:r>
                    <w:rPr>
                      <w:bCs/>
                      <w:sz w:val="20"/>
                      <w:szCs w:val="20"/>
                    </w:rPr>
                    <w:t>污染源</w:t>
                  </w:r>
                </w:p>
              </w:tc>
              <w:tc>
                <w:tcPr>
                  <w:tcW w:w="1145" w:type="dxa"/>
                  <w:vMerge w:val="restart"/>
                  <w:vAlign w:val="center"/>
                </w:tcPr>
                <w:p>
                  <w:pPr>
                    <w:spacing w:line="240" w:lineRule="atLeast"/>
                    <w:jc w:val="center"/>
                    <w:rPr>
                      <w:bCs/>
                      <w:sz w:val="20"/>
                      <w:szCs w:val="20"/>
                    </w:rPr>
                  </w:pPr>
                  <w:r>
                    <w:rPr>
                      <w:bCs/>
                      <w:sz w:val="20"/>
                      <w:szCs w:val="20"/>
                    </w:rPr>
                    <w:t>污染物</w:t>
                  </w:r>
                </w:p>
              </w:tc>
              <w:tc>
                <w:tcPr>
                  <w:tcW w:w="2950" w:type="dxa"/>
                  <w:gridSpan w:val="3"/>
                  <w:vAlign w:val="center"/>
                </w:tcPr>
                <w:p>
                  <w:pPr>
                    <w:spacing w:line="240" w:lineRule="atLeast"/>
                    <w:jc w:val="center"/>
                    <w:rPr>
                      <w:bCs/>
                      <w:sz w:val="20"/>
                      <w:szCs w:val="20"/>
                    </w:rPr>
                  </w:pPr>
                  <w:r>
                    <w:rPr>
                      <w:bCs/>
                      <w:sz w:val="20"/>
                      <w:szCs w:val="20"/>
                    </w:rPr>
                    <w:t>污染物产生量</w:t>
                  </w:r>
                </w:p>
              </w:tc>
              <w:tc>
                <w:tcPr>
                  <w:tcW w:w="2473" w:type="dxa"/>
                  <w:gridSpan w:val="2"/>
                  <w:vAlign w:val="center"/>
                </w:tcPr>
                <w:p>
                  <w:pPr>
                    <w:spacing w:line="240" w:lineRule="atLeast"/>
                    <w:jc w:val="center"/>
                    <w:rPr>
                      <w:bCs/>
                      <w:sz w:val="20"/>
                      <w:szCs w:val="20"/>
                    </w:rPr>
                  </w:pPr>
                  <w:r>
                    <w:rPr>
                      <w:bCs/>
                      <w:sz w:val="20"/>
                      <w:szCs w:val="20"/>
                    </w:rPr>
                    <w:t>治理措施</w:t>
                  </w:r>
                </w:p>
              </w:tc>
              <w:tc>
                <w:tcPr>
                  <w:tcW w:w="2824" w:type="dxa"/>
                  <w:gridSpan w:val="3"/>
                  <w:vAlign w:val="center"/>
                </w:tcPr>
                <w:p>
                  <w:pPr>
                    <w:spacing w:line="240" w:lineRule="atLeast"/>
                    <w:jc w:val="center"/>
                    <w:rPr>
                      <w:bCs/>
                      <w:sz w:val="20"/>
                      <w:szCs w:val="20"/>
                    </w:rPr>
                  </w:pPr>
                  <w:r>
                    <w:rPr>
                      <w:bCs/>
                      <w:sz w:val="20"/>
                      <w:szCs w:val="20"/>
                    </w:rPr>
                    <w:t>污染物排放量</w:t>
                  </w:r>
                </w:p>
              </w:tc>
              <w:tc>
                <w:tcPr>
                  <w:tcW w:w="716" w:type="dxa"/>
                  <w:vMerge w:val="restart"/>
                  <w:vAlign w:val="center"/>
                </w:tcPr>
                <w:p>
                  <w:pPr>
                    <w:spacing w:line="240" w:lineRule="atLeast"/>
                    <w:jc w:val="center"/>
                    <w:rPr>
                      <w:bCs/>
                      <w:sz w:val="20"/>
                      <w:szCs w:val="20"/>
                    </w:rPr>
                  </w:pPr>
                  <w:r>
                    <w:rPr>
                      <w:bCs/>
                      <w:sz w:val="20"/>
                      <w:szCs w:val="20"/>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 w:hRule="atLeast"/>
                <w:jc w:val="center"/>
              </w:trPr>
              <w:tc>
                <w:tcPr>
                  <w:tcW w:w="1042" w:type="dxa"/>
                  <w:vMerge w:val="continue"/>
                  <w:vAlign w:val="center"/>
                </w:tcPr>
                <w:p>
                  <w:pPr>
                    <w:spacing w:line="240" w:lineRule="atLeast"/>
                    <w:jc w:val="center"/>
                    <w:rPr>
                      <w:bCs/>
                      <w:sz w:val="20"/>
                      <w:szCs w:val="20"/>
                    </w:rPr>
                  </w:pPr>
                </w:p>
              </w:tc>
              <w:tc>
                <w:tcPr>
                  <w:tcW w:w="790" w:type="dxa"/>
                  <w:vMerge w:val="continue"/>
                  <w:vAlign w:val="center"/>
                </w:tcPr>
                <w:p>
                  <w:pPr>
                    <w:spacing w:line="240" w:lineRule="atLeast"/>
                    <w:jc w:val="center"/>
                    <w:rPr>
                      <w:bCs/>
                      <w:sz w:val="20"/>
                      <w:szCs w:val="20"/>
                    </w:rPr>
                  </w:pPr>
                </w:p>
              </w:tc>
              <w:tc>
                <w:tcPr>
                  <w:tcW w:w="1316" w:type="dxa"/>
                  <w:vMerge w:val="continue"/>
                  <w:vAlign w:val="center"/>
                </w:tcPr>
                <w:p>
                  <w:pPr>
                    <w:spacing w:line="240" w:lineRule="atLeast"/>
                    <w:jc w:val="center"/>
                    <w:rPr>
                      <w:bCs/>
                      <w:sz w:val="20"/>
                      <w:szCs w:val="20"/>
                    </w:rPr>
                  </w:pPr>
                </w:p>
              </w:tc>
              <w:tc>
                <w:tcPr>
                  <w:tcW w:w="1145" w:type="dxa"/>
                  <w:vMerge w:val="continue"/>
                  <w:vAlign w:val="center"/>
                </w:tcPr>
                <w:p>
                  <w:pPr>
                    <w:spacing w:line="240" w:lineRule="atLeast"/>
                    <w:jc w:val="center"/>
                    <w:rPr>
                      <w:bCs/>
                      <w:sz w:val="20"/>
                      <w:szCs w:val="20"/>
                    </w:rPr>
                  </w:pPr>
                </w:p>
              </w:tc>
              <w:tc>
                <w:tcPr>
                  <w:tcW w:w="750" w:type="dxa"/>
                  <w:vAlign w:val="center"/>
                </w:tcPr>
                <w:p>
                  <w:pPr>
                    <w:spacing w:line="240" w:lineRule="atLeast"/>
                    <w:jc w:val="center"/>
                    <w:rPr>
                      <w:bCs/>
                      <w:sz w:val="20"/>
                      <w:szCs w:val="20"/>
                    </w:rPr>
                  </w:pPr>
                  <w:r>
                    <w:rPr>
                      <w:bCs/>
                      <w:sz w:val="20"/>
                      <w:szCs w:val="20"/>
                    </w:rPr>
                    <w:t>核算方法</w:t>
                  </w:r>
                </w:p>
              </w:tc>
              <w:tc>
                <w:tcPr>
                  <w:tcW w:w="1190" w:type="dxa"/>
                  <w:vAlign w:val="center"/>
                </w:tcPr>
                <w:p>
                  <w:pPr>
                    <w:spacing w:line="240" w:lineRule="atLeast"/>
                    <w:jc w:val="center"/>
                    <w:rPr>
                      <w:bCs/>
                      <w:sz w:val="20"/>
                      <w:szCs w:val="20"/>
                    </w:rPr>
                  </w:pPr>
                  <w:r>
                    <w:rPr>
                      <w:bCs/>
                      <w:sz w:val="20"/>
                      <w:szCs w:val="20"/>
                    </w:rPr>
                    <w:t>产生浓度（mg/L）</w:t>
                  </w:r>
                </w:p>
              </w:tc>
              <w:tc>
                <w:tcPr>
                  <w:tcW w:w="1010" w:type="dxa"/>
                  <w:vAlign w:val="center"/>
                </w:tcPr>
                <w:p>
                  <w:pPr>
                    <w:spacing w:line="240" w:lineRule="atLeast"/>
                    <w:jc w:val="center"/>
                    <w:rPr>
                      <w:bCs/>
                      <w:sz w:val="20"/>
                      <w:szCs w:val="20"/>
                    </w:rPr>
                  </w:pPr>
                  <w:r>
                    <w:rPr>
                      <w:bCs/>
                      <w:sz w:val="20"/>
                      <w:szCs w:val="20"/>
                    </w:rPr>
                    <w:t>产生量（t/a）</w:t>
                  </w:r>
                </w:p>
              </w:tc>
              <w:tc>
                <w:tcPr>
                  <w:tcW w:w="1678" w:type="dxa"/>
                  <w:vAlign w:val="center"/>
                </w:tcPr>
                <w:p>
                  <w:pPr>
                    <w:spacing w:line="240" w:lineRule="atLeast"/>
                    <w:jc w:val="center"/>
                    <w:rPr>
                      <w:bCs/>
                      <w:sz w:val="20"/>
                      <w:szCs w:val="20"/>
                    </w:rPr>
                  </w:pPr>
                  <w:r>
                    <w:rPr>
                      <w:bCs/>
                      <w:sz w:val="20"/>
                      <w:szCs w:val="20"/>
                    </w:rPr>
                    <w:t>工艺</w:t>
                  </w:r>
                </w:p>
              </w:tc>
              <w:tc>
                <w:tcPr>
                  <w:tcW w:w="795" w:type="dxa"/>
                  <w:vAlign w:val="center"/>
                </w:tcPr>
                <w:p>
                  <w:pPr>
                    <w:spacing w:line="240" w:lineRule="atLeast"/>
                    <w:jc w:val="center"/>
                    <w:rPr>
                      <w:bCs/>
                      <w:sz w:val="20"/>
                      <w:szCs w:val="20"/>
                    </w:rPr>
                  </w:pPr>
                  <w:r>
                    <w:rPr>
                      <w:bCs/>
                      <w:sz w:val="20"/>
                      <w:szCs w:val="20"/>
                    </w:rPr>
                    <w:t>效率（%）</w:t>
                  </w:r>
                </w:p>
              </w:tc>
              <w:tc>
                <w:tcPr>
                  <w:tcW w:w="795" w:type="dxa"/>
                  <w:vAlign w:val="center"/>
                </w:tcPr>
                <w:p>
                  <w:pPr>
                    <w:spacing w:line="240" w:lineRule="atLeast"/>
                    <w:jc w:val="center"/>
                    <w:rPr>
                      <w:bCs/>
                      <w:sz w:val="20"/>
                      <w:szCs w:val="20"/>
                    </w:rPr>
                  </w:pPr>
                  <w:r>
                    <w:rPr>
                      <w:bCs/>
                      <w:sz w:val="20"/>
                      <w:szCs w:val="20"/>
                    </w:rPr>
                    <w:t>核算方法</w:t>
                  </w:r>
                </w:p>
              </w:tc>
              <w:tc>
                <w:tcPr>
                  <w:tcW w:w="1212" w:type="dxa"/>
                  <w:vAlign w:val="center"/>
                </w:tcPr>
                <w:p>
                  <w:pPr>
                    <w:spacing w:line="240" w:lineRule="atLeast"/>
                    <w:jc w:val="center"/>
                    <w:rPr>
                      <w:bCs/>
                      <w:sz w:val="20"/>
                      <w:szCs w:val="20"/>
                    </w:rPr>
                  </w:pPr>
                  <w:r>
                    <w:rPr>
                      <w:bCs/>
                      <w:sz w:val="20"/>
                      <w:szCs w:val="20"/>
                    </w:rPr>
                    <w:t>排放浓度（mg/L）</w:t>
                  </w:r>
                </w:p>
              </w:tc>
              <w:tc>
                <w:tcPr>
                  <w:tcW w:w="817" w:type="dxa"/>
                  <w:vAlign w:val="center"/>
                </w:tcPr>
                <w:p>
                  <w:pPr>
                    <w:spacing w:line="240" w:lineRule="atLeast"/>
                    <w:jc w:val="center"/>
                    <w:rPr>
                      <w:bCs/>
                      <w:sz w:val="20"/>
                      <w:szCs w:val="20"/>
                    </w:rPr>
                  </w:pPr>
                  <w:r>
                    <w:rPr>
                      <w:bCs/>
                      <w:sz w:val="20"/>
                      <w:szCs w:val="20"/>
                    </w:rPr>
                    <w:t>排放量（t/a）</w:t>
                  </w:r>
                </w:p>
              </w:tc>
              <w:tc>
                <w:tcPr>
                  <w:tcW w:w="716" w:type="dxa"/>
                  <w:vMerge w:val="continue"/>
                  <w:vAlign w:val="center"/>
                </w:tcPr>
                <w:p>
                  <w:pPr>
                    <w:spacing w:line="240" w:lineRule="atLeast"/>
                    <w:jc w:val="center"/>
                    <w:rPr>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1042" w:type="dxa"/>
                  <w:vMerge w:val="restart"/>
                  <w:vAlign w:val="center"/>
                </w:tcPr>
                <w:p>
                  <w:pPr>
                    <w:spacing w:line="240" w:lineRule="atLeast"/>
                    <w:jc w:val="center"/>
                    <w:rPr>
                      <w:bCs/>
                      <w:sz w:val="20"/>
                      <w:szCs w:val="20"/>
                    </w:rPr>
                  </w:pPr>
                  <w:r>
                    <w:rPr>
                      <w:bCs/>
                      <w:sz w:val="20"/>
                      <w:szCs w:val="20"/>
                    </w:rPr>
                    <w:t>生活系统</w:t>
                  </w:r>
                </w:p>
              </w:tc>
              <w:tc>
                <w:tcPr>
                  <w:tcW w:w="790" w:type="dxa"/>
                  <w:vMerge w:val="restart"/>
                  <w:vAlign w:val="center"/>
                </w:tcPr>
                <w:p>
                  <w:pPr>
                    <w:spacing w:line="240" w:lineRule="atLeast"/>
                    <w:jc w:val="center"/>
                    <w:rPr>
                      <w:bCs/>
                      <w:sz w:val="20"/>
                      <w:szCs w:val="20"/>
                    </w:rPr>
                  </w:pPr>
                  <w:r>
                    <w:rPr>
                      <w:bCs/>
                      <w:sz w:val="20"/>
                      <w:szCs w:val="20"/>
                    </w:rPr>
                    <w:t>生活系统</w:t>
                  </w:r>
                </w:p>
              </w:tc>
              <w:tc>
                <w:tcPr>
                  <w:tcW w:w="1316" w:type="dxa"/>
                  <w:vMerge w:val="restart"/>
                  <w:vAlign w:val="center"/>
                </w:tcPr>
                <w:p>
                  <w:pPr>
                    <w:spacing w:line="240" w:lineRule="atLeast"/>
                    <w:jc w:val="center"/>
                    <w:rPr>
                      <w:bCs/>
                      <w:sz w:val="20"/>
                      <w:szCs w:val="20"/>
                    </w:rPr>
                  </w:pPr>
                  <w:r>
                    <w:rPr>
                      <w:bCs/>
                      <w:sz w:val="20"/>
                      <w:szCs w:val="20"/>
                    </w:rPr>
                    <w:t>生活污水</w:t>
                  </w:r>
                  <w:r>
                    <w:rPr>
                      <w:rFonts w:hint="eastAsia"/>
                      <w:bCs/>
                      <w:sz w:val="20"/>
                      <w:szCs w:val="20"/>
                    </w:rPr>
                    <w:t>（</w:t>
                  </w:r>
                  <w:r>
                    <w:rPr>
                      <w:rFonts w:hint="eastAsia"/>
                    </w:rPr>
                    <w:t>243</w:t>
                  </w:r>
                  <w:r>
                    <w:t>m</w:t>
                  </w:r>
                  <w:r>
                    <w:rPr>
                      <w:vertAlign w:val="superscript"/>
                    </w:rPr>
                    <w:t>3</w:t>
                  </w:r>
                  <w:r>
                    <w:t>/a</w:t>
                  </w:r>
                  <w:r>
                    <w:rPr>
                      <w:rFonts w:hint="eastAsia"/>
                      <w:bCs/>
                      <w:sz w:val="20"/>
                      <w:szCs w:val="20"/>
                    </w:rPr>
                    <w:t>）</w:t>
                  </w:r>
                </w:p>
              </w:tc>
              <w:tc>
                <w:tcPr>
                  <w:tcW w:w="1145" w:type="dxa"/>
                  <w:vAlign w:val="center"/>
                </w:tcPr>
                <w:p>
                  <w:pPr>
                    <w:pStyle w:val="42"/>
                  </w:pPr>
                  <w:r>
                    <w:t>COD</w:t>
                  </w:r>
                </w:p>
              </w:tc>
              <w:tc>
                <w:tcPr>
                  <w:tcW w:w="750" w:type="dxa"/>
                  <w:vMerge w:val="restart"/>
                  <w:vAlign w:val="center"/>
                </w:tcPr>
                <w:p>
                  <w:pPr>
                    <w:spacing w:line="240" w:lineRule="atLeast"/>
                    <w:jc w:val="center"/>
                    <w:rPr>
                      <w:bCs/>
                      <w:sz w:val="20"/>
                      <w:szCs w:val="20"/>
                    </w:rPr>
                  </w:pPr>
                  <w:r>
                    <w:rPr>
                      <w:bCs/>
                      <w:sz w:val="20"/>
                      <w:szCs w:val="20"/>
                    </w:rPr>
                    <w:t>产污系数法</w:t>
                  </w:r>
                </w:p>
              </w:tc>
              <w:tc>
                <w:tcPr>
                  <w:tcW w:w="1190" w:type="dxa"/>
                  <w:vAlign w:val="center"/>
                </w:tcPr>
                <w:p>
                  <w:pPr>
                    <w:pStyle w:val="42"/>
                  </w:pPr>
                  <w:r>
                    <w:t>400</w:t>
                  </w:r>
                </w:p>
              </w:tc>
              <w:tc>
                <w:tcPr>
                  <w:tcW w:w="1010" w:type="dxa"/>
                  <w:vAlign w:val="center"/>
                </w:tcPr>
                <w:p>
                  <w:pPr>
                    <w:widowControl/>
                    <w:jc w:val="center"/>
                    <w:rPr>
                      <w:rFonts w:eastAsia="等线"/>
                      <w:kern w:val="0"/>
                      <w:szCs w:val="21"/>
                    </w:rPr>
                  </w:pPr>
                  <w:r>
                    <w:t>0.097</w:t>
                  </w:r>
                </w:p>
              </w:tc>
              <w:tc>
                <w:tcPr>
                  <w:tcW w:w="1678" w:type="dxa"/>
                  <w:vMerge w:val="restart"/>
                  <w:vAlign w:val="center"/>
                </w:tcPr>
                <w:p>
                  <w:pPr>
                    <w:spacing w:line="240" w:lineRule="atLeast"/>
                    <w:jc w:val="center"/>
                    <w:rPr>
                      <w:bCs/>
                      <w:sz w:val="20"/>
                      <w:szCs w:val="20"/>
                    </w:rPr>
                  </w:pPr>
                  <w:r>
                    <w:rPr>
                      <w:bCs/>
                      <w:sz w:val="20"/>
                      <w:szCs w:val="20"/>
                    </w:rPr>
                    <w:t>生活污水经化粪池收集后，用作农肥，不外排</w:t>
                  </w:r>
                </w:p>
              </w:tc>
              <w:tc>
                <w:tcPr>
                  <w:tcW w:w="795" w:type="dxa"/>
                  <w:vAlign w:val="center"/>
                </w:tcPr>
                <w:p>
                  <w:pPr>
                    <w:spacing w:line="240" w:lineRule="atLeast"/>
                    <w:jc w:val="center"/>
                    <w:rPr>
                      <w:bCs/>
                      <w:sz w:val="20"/>
                      <w:szCs w:val="20"/>
                    </w:rPr>
                  </w:pPr>
                  <w:r>
                    <w:rPr>
                      <w:bCs/>
                      <w:sz w:val="20"/>
                      <w:szCs w:val="20"/>
                    </w:rPr>
                    <w:t>/</w:t>
                  </w:r>
                </w:p>
              </w:tc>
              <w:tc>
                <w:tcPr>
                  <w:tcW w:w="795" w:type="dxa"/>
                  <w:vMerge w:val="restart"/>
                  <w:vAlign w:val="center"/>
                </w:tcPr>
                <w:p>
                  <w:pPr>
                    <w:spacing w:line="240" w:lineRule="atLeast"/>
                    <w:jc w:val="center"/>
                    <w:rPr>
                      <w:bCs/>
                      <w:sz w:val="20"/>
                      <w:szCs w:val="20"/>
                    </w:rPr>
                  </w:pPr>
                  <w:r>
                    <w:rPr>
                      <w:bCs/>
                      <w:sz w:val="20"/>
                      <w:szCs w:val="20"/>
                    </w:rPr>
                    <w:t>产污系数法</w:t>
                  </w:r>
                </w:p>
              </w:tc>
              <w:tc>
                <w:tcPr>
                  <w:tcW w:w="1212" w:type="dxa"/>
                  <w:vAlign w:val="center"/>
                </w:tcPr>
                <w:p>
                  <w:pPr>
                    <w:spacing w:line="240" w:lineRule="atLeast"/>
                    <w:jc w:val="center"/>
                    <w:rPr>
                      <w:bCs/>
                      <w:sz w:val="20"/>
                      <w:szCs w:val="20"/>
                    </w:rPr>
                  </w:pPr>
                  <w:r>
                    <w:rPr>
                      <w:bCs/>
                      <w:sz w:val="20"/>
                      <w:szCs w:val="20"/>
                    </w:rPr>
                    <w:t>/</w:t>
                  </w:r>
                </w:p>
              </w:tc>
              <w:tc>
                <w:tcPr>
                  <w:tcW w:w="817" w:type="dxa"/>
                  <w:vAlign w:val="center"/>
                </w:tcPr>
                <w:p>
                  <w:pPr>
                    <w:spacing w:line="240" w:lineRule="atLeast"/>
                    <w:jc w:val="center"/>
                    <w:rPr>
                      <w:bCs/>
                      <w:sz w:val="20"/>
                      <w:szCs w:val="20"/>
                    </w:rPr>
                  </w:pPr>
                  <w:r>
                    <w:rPr>
                      <w:bCs/>
                      <w:sz w:val="20"/>
                      <w:szCs w:val="20"/>
                    </w:rPr>
                    <w:t>0</w:t>
                  </w:r>
                </w:p>
              </w:tc>
              <w:tc>
                <w:tcPr>
                  <w:tcW w:w="716" w:type="dxa"/>
                  <w:vMerge w:val="restart"/>
                  <w:vAlign w:val="center"/>
                </w:tcPr>
                <w:p>
                  <w:pPr>
                    <w:spacing w:line="240" w:lineRule="atLeast"/>
                    <w:jc w:val="center"/>
                    <w:rPr>
                      <w:bCs/>
                      <w:sz w:val="20"/>
                      <w:szCs w:val="20"/>
                    </w:rPr>
                  </w:pPr>
                  <w:r>
                    <w:rPr>
                      <w:bCs/>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042" w:type="dxa"/>
                  <w:vMerge w:val="continue"/>
                  <w:vAlign w:val="center"/>
                </w:tcPr>
                <w:p>
                  <w:pPr>
                    <w:spacing w:line="240" w:lineRule="atLeast"/>
                    <w:jc w:val="center"/>
                    <w:rPr>
                      <w:bCs/>
                      <w:sz w:val="20"/>
                      <w:szCs w:val="20"/>
                    </w:rPr>
                  </w:pPr>
                </w:p>
              </w:tc>
              <w:tc>
                <w:tcPr>
                  <w:tcW w:w="790" w:type="dxa"/>
                  <w:vMerge w:val="continue"/>
                  <w:vAlign w:val="center"/>
                </w:tcPr>
                <w:p>
                  <w:pPr>
                    <w:spacing w:line="240" w:lineRule="atLeast"/>
                    <w:jc w:val="center"/>
                    <w:rPr>
                      <w:bCs/>
                      <w:sz w:val="20"/>
                      <w:szCs w:val="20"/>
                    </w:rPr>
                  </w:pPr>
                </w:p>
              </w:tc>
              <w:tc>
                <w:tcPr>
                  <w:tcW w:w="1316" w:type="dxa"/>
                  <w:vMerge w:val="continue"/>
                  <w:vAlign w:val="center"/>
                </w:tcPr>
                <w:p>
                  <w:pPr>
                    <w:spacing w:line="240" w:lineRule="atLeast"/>
                    <w:jc w:val="center"/>
                    <w:rPr>
                      <w:bCs/>
                      <w:sz w:val="20"/>
                      <w:szCs w:val="20"/>
                    </w:rPr>
                  </w:pPr>
                </w:p>
              </w:tc>
              <w:tc>
                <w:tcPr>
                  <w:tcW w:w="1145" w:type="dxa"/>
                  <w:vAlign w:val="center"/>
                </w:tcPr>
                <w:p>
                  <w:pPr>
                    <w:pStyle w:val="42"/>
                  </w:pPr>
                  <w:r>
                    <w:t>BOD</w:t>
                  </w:r>
                  <w:r>
                    <w:rPr>
                      <w:vertAlign w:val="subscript"/>
                    </w:rPr>
                    <w:t>5</w:t>
                  </w:r>
                </w:p>
              </w:tc>
              <w:tc>
                <w:tcPr>
                  <w:tcW w:w="750" w:type="dxa"/>
                  <w:vMerge w:val="continue"/>
                  <w:vAlign w:val="center"/>
                </w:tcPr>
                <w:p>
                  <w:pPr>
                    <w:spacing w:line="240" w:lineRule="atLeast"/>
                    <w:jc w:val="center"/>
                    <w:rPr>
                      <w:bCs/>
                      <w:sz w:val="20"/>
                      <w:szCs w:val="20"/>
                    </w:rPr>
                  </w:pPr>
                </w:p>
              </w:tc>
              <w:tc>
                <w:tcPr>
                  <w:tcW w:w="1190" w:type="dxa"/>
                  <w:vAlign w:val="center"/>
                </w:tcPr>
                <w:p>
                  <w:pPr>
                    <w:pStyle w:val="42"/>
                  </w:pPr>
                  <w:r>
                    <w:t>250</w:t>
                  </w:r>
                </w:p>
              </w:tc>
              <w:tc>
                <w:tcPr>
                  <w:tcW w:w="1010" w:type="dxa"/>
                  <w:vAlign w:val="center"/>
                </w:tcPr>
                <w:p>
                  <w:pPr>
                    <w:jc w:val="center"/>
                    <w:rPr>
                      <w:rFonts w:eastAsia="等线"/>
                      <w:szCs w:val="21"/>
                    </w:rPr>
                  </w:pPr>
                  <w:r>
                    <w:t>0.061</w:t>
                  </w:r>
                </w:p>
              </w:tc>
              <w:tc>
                <w:tcPr>
                  <w:tcW w:w="1678" w:type="dxa"/>
                  <w:vMerge w:val="continue"/>
                  <w:vAlign w:val="center"/>
                </w:tcPr>
                <w:p>
                  <w:pPr>
                    <w:spacing w:line="240" w:lineRule="atLeast"/>
                    <w:jc w:val="center"/>
                    <w:rPr>
                      <w:bCs/>
                      <w:sz w:val="20"/>
                      <w:szCs w:val="20"/>
                    </w:rPr>
                  </w:pPr>
                </w:p>
              </w:tc>
              <w:tc>
                <w:tcPr>
                  <w:tcW w:w="795" w:type="dxa"/>
                  <w:vAlign w:val="center"/>
                </w:tcPr>
                <w:p>
                  <w:pPr>
                    <w:spacing w:line="240" w:lineRule="atLeast"/>
                    <w:jc w:val="center"/>
                    <w:rPr>
                      <w:bCs/>
                      <w:sz w:val="20"/>
                      <w:szCs w:val="20"/>
                    </w:rPr>
                  </w:pPr>
                  <w:r>
                    <w:rPr>
                      <w:bCs/>
                      <w:sz w:val="20"/>
                      <w:szCs w:val="20"/>
                    </w:rPr>
                    <w:t>/</w:t>
                  </w:r>
                </w:p>
              </w:tc>
              <w:tc>
                <w:tcPr>
                  <w:tcW w:w="795" w:type="dxa"/>
                  <w:vMerge w:val="continue"/>
                  <w:vAlign w:val="center"/>
                </w:tcPr>
                <w:p>
                  <w:pPr>
                    <w:spacing w:line="240" w:lineRule="atLeast"/>
                    <w:jc w:val="center"/>
                    <w:rPr>
                      <w:bCs/>
                      <w:sz w:val="20"/>
                      <w:szCs w:val="20"/>
                    </w:rPr>
                  </w:pPr>
                </w:p>
              </w:tc>
              <w:tc>
                <w:tcPr>
                  <w:tcW w:w="1212" w:type="dxa"/>
                  <w:vAlign w:val="center"/>
                </w:tcPr>
                <w:p>
                  <w:pPr>
                    <w:spacing w:line="240" w:lineRule="atLeast"/>
                    <w:jc w:val="center"/>
                    <w:rPr>
                      <w:bCs/>
                      <w:sz w:val="20"/>
                      <w:szCs w:val="20"/>
                    </w:rPr>
                  </w:pPr>
                  <w:r>
                    <w:rPr>
                      <w:bCs/>
                      <w:sz w:val="20"/>
                      <w:szCs w:val="20"/>
                    </w:rPr>
                    <w:t>/</w:t>
                  </w:r>
                </w:p>
              </w:tc>
              <w:tc>
                <w:tcPr>
                  <w:tcW w:w="817" w:type="dxa"/>
                  <w:vAlign w:val="center"/>
                </w:tcPr>
                <w:p>
                  <w:pPr>
                    <w:spacing w:line="240" w:lineRule="atLeast"/>
                    <w:jc w:val="center"/>
                    <w:rPr>
                      <w:bCs/>
                      <w:sz w:val="20"/>
                      <w:szCs w:val="20"/>
                    </w:rPr>
                  </w:pPr>
                  <w:r>
                    <w:rPr>
                      <w:bCs/>
                      <w:sz w:val="20"/>
                      <w:szCs w:val="20"/>
                    </w:rPr>
                    <w:t>0</w:t>
                  </w:r>
                </w:p>
              </w:tc>
              <w:tc>
                <w:tcPr>
                  <w:tcW w:w="716" w:type="dxa"/>
                  <w:vMerge w:val="continue"/>
                  <w:vAlign w:val="center"/>
                </w:tcPr>
                <w:p>
                  <w:pPr>
                    <w:spacing w:line="240" w:lineRule="atLeast"/>
                    <w:jc w:val="center"/>
                    <w:rPr>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042" w:type="dxa"/>
                  <w:vMerge w:val="continue"/>
                  <w:vAlign w:val="center"/>
                </w:tcPr>
                <w:p>
                  <w:pPr>
                    <w:spacing w:line="240" w:lineRule="atLeast"/>
                    <w:jc w:val="center"/>
                    <w:rPr>
                      <w:bCs/>
                      <w:sz w:val="20"/>
                      <w:szCs w:val="20"/>
                    </w:rPr>
                  </w:pPr>
                </w:p>
              </w:tc>
              <w:tc>
                <w:tcPr>
                  <w:tcW w:w="790" w:type="dxa"/>
                  <w:vMerge w:val="continue"/>
                  <w:vAlign w:val="center"/>
                </w:tcPr>
                <w:p>
                  <w:pPr>
                    <w:spacing w:line="240" w:lineRule="atLeast"/>
                    <w:jc w:val="center"/>
                    <w:rPr>
                      <w:bCs/>
                      <w:sz w:val="20"/>
                      <w:szCs w:val="20"/>
                    </w:rPr>
                  </w:pPr>
                </w:p>
              </w:tc>
              <w:tc>
                <w:tcPr>
                  <w:tcW w:w="1316" w:type="dxa"/>
                  <w:vMerge w:val="continue"/>
                  <w:vAlign w:val="center"/>
                </w:tcPr>
                <w:p>
                  <w:pPr>
                    <w:spacing w:line="240" w:lineRule="atLeast"/>
                    <w:jc w:val="center"/>
                    <w:rPr>
                      <w:bCs/>
                      <w:sz w:val="20"/>
                      <w:szCs w:val="20"/>
                    </w:rPr>
                  </w:pPr>
                </w:p>
              </w:tc>
              <w:tc>
                <w:tcPr>
                  <w:tcW w:w="1145" w:type="dxa"/>
                  <w:vAlign w:val="center"/>
                </w:tcPr>
                <w:p>
                  <w:pPr>
                    <w:pStyle w:val="42"/>
                  </w:pPr>
                  <w:r>
                    <w:t>NH</w:t>
                  </w:r>
                  <w:r>
                    <w:rPr>
                      <w:vertAlign w:val="subscript"/>
                    </w:rPr>
                    <w:t>3</w:t>
                  </w:r>
                  <w:r>
                    <w:t>-N</w:t>
                  </w:r>
                </w:p>
              </w:tc>
              <w:tc>
                <w:tcPr>
                  <w:tcW w:w="750" w:type="dxa"/>
                  <w:vMerge w:val="continue"/>
                  <w:vAlign w:val="center"/>
                </w:tcPr>
                <w:p>
                  <w:pPr>
                    <w:spacing w:line="240" w:lineRule="atLeast"/>
                    <w:jc w:val="center"/>
                    <w:rPr>
                      <w:bCs/>
                      <w:sz w:val="20"/>
                      <w:szCs w:val="20"/>
                    </w:rPr>
                  </w:pPr>
                </w:p>
              </w:tc>
              <w:tc>
                <w:tcPr>
                  <w:tcW w:w="1190" w:type="dxa"/>
                  <w:vAlign w:val="center"/>
                </w:tcPr>
                <w:p>
                  <w:pPr>
                    <w:pStyle w:val="42"/>
                  </w:pPr>
                  <w:r>
                    <w:t>35</w:t>
                  </w:r>
                </w:p>
              </w:tc>
              <w:tc>
                <w:tcPr>
                  <w:tcW w:w="1010" w:type="dxa"/>
                  <w:vAlign w:val="center"/>
                </w:tcPr>
                <w:p>
                  <w:pPr>
                    <w:jc w:val="center"/>
                    <w:rPr>
                      <w:rFonts w:eastAsia="等线"/>
                      <w:szCs w:val="21"/>
                    </w:rPr>
                  </w:pPr>
                  <w:r>
                    <w:t>0.009</w:t>
                  </w:r>
                </w:p>
              </w:tc>
              <w:tc>
                <w:tcPr>
                  <w:tcW w:w="1678" w:type="dxa"/>
                  <w:vMerge w:val="continue"/>
                  <w:vAlign w:val="center"/>
                </w:tcPr>
                <w:p>
                  <w:pPr>
                    <w:spacing w:line="240" w:lineRule="atLeast"/>
                    <w:jc w:val="center"/>
                    <w:rPr>
                      <w:bCs/>
                      <w:sz w:val="20"/>
                      <w:szCs w:val="20"/>
                    </w:rPr>
                  </w:pPr>
                </w:p>
              </w:tc>
              <w:tc>
                <w:tcPr>
                  <w:tcW w:w="795" w:type="dxa"/>
                  <w:vAlign w:val="center"/>
                </w:tcPr>
                <w:p>
                  <w:pPr>
                    <w:spacing w:line="240" w:lineRule="atLeast"/>
                    <w:jc w:val="center"/>
                    <w:rPr>
                      <w:bCs/>
                      <w:sz w:val="20"/>
                      <w:szCs w:val="20"/>
                    </w:rPr>
                  </w:pPr>
                  <w:r>
                    <w:rPr>
                      <w:bCs/>
                      <w:sz w:val="20"/>
                      <w:szCs w:val="20"/>
                    </w:rPr>
                    <w:t>/</w:t>
                  </w:r>
                </w:p>
              </w:tc>
              <w:tc>
                <w:tcPr>
                  <w:tcW w:w="795" w:type="dxa"/>
                  <w:vMerge w:val="continue"/>
                  <w:vAlign w:val="center"/>
                </w:tcPr>
                <w:p>
                  <w:pPr>
                    <w:spacing w:line="240" w:lineRule="atLeast"/>
                    <w:jc w:val="center"/>
                    <w:rPr>
                      <w:bCs/>
                      <w:sz w:val="20"/>
                      <w:szCs w:val="20"/>
                    </w:rPr>
                  </w:pPr>
                </w:p>
              </w:tc>
              <w:tc>
                <w:tcPr>
                  <w:tcW w:w="1212" w:type="dxa"/>
                  <w:vAlign w:val="center"/>
                </w:tcPr>
                <w:p>
                  <w:pPr>
                    <w:spacing w:line="240" w:lineRule="atLeast"/>
                    <w:jc w:val="center"/>
                    <w:rPr>
                      <w:bCs/>
                      <w:sz w:val="20"/>
                      <w:szCs w:val="20"/>
                    </w:rPr>
                  </w:pPr>
                  <w:r>
                    <w:rPr>
                      <w:bCs/>
                      <w:sz w:val="20"/>
                      <w:szCs w:val="20"/>
                    </w:rPr>
                    <w:t>/</w:t>
                  </w:r>
                </w:p>
              </w:tc>
              <w:tc>
                <w:tcPr>
                  <w:tcW w:w="817" w:type="dxa"/>
                  <w:vAlign w:val="center"/>
                </w:tcPr>
                <w:p>
                  <w:pPr>
                    <w:spacing w:line="240" w:lineRule="atLeast"/>
                    <w:jc w:val="center"/>
                    <w:rPr>
                      <w:bCs/>
                      <w:sz w:val="20"/>
                      <w:szCs w:val="20"/>
                    </w:rPr>
                  </w:pPr>
                  <w:r>
                    <w:rPr>
                      <w:bCs/>
                      <w:sz w:val="20"/>
                      <w:szCs w:val="20"/>
                    </w:rPr>
                    <w:t>0</w:t>
                  </w:r>
                </w:p>
              </w:tc>
              <w:tc>
                <w:tcPr>
                  <w:tcW w:w="716" w:type="dxa"/>
                  <w:vMerge w:val="continue"/>
                  <w:vAlign w:val="center"/>
                </w:tcPr>
                <w:p>
                  <w:pPr>
                    <w:spacing w:line="240" w:lineRule="atLeast"/>
                    <w:jc w:val="center"/>
                    <w:rPr>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042" w:type="dxa"/>
                  <w:vMerge w:val="continue"/>
                  <w:vAlign w:val="center"/>
                </w:tcPr>
                <w:p>
                  <w:pPr>
                    <w:spacing w:line="240" w:lineRule="atLeast"/>
                    <w:jc w:val="center"/>
                    <w:rPr>
                      <w:bCs/>
                      <w:sz w:val="20"/>
                      <w:szCs w:val="20"/>
                    </w:rPr>
                  </w:pPr>
                </w:p>
              </w:tc>
              <w:tc>
                <w:tcPr>
                  <w:tcW w:w="790" w:type="dxa"/>
                  <w:vMerge w:val="continue"/>
                  <w:vAlign w:val="center"/>
                </w:tcPr>
                <w:p>
                  <w:pPr>
                    <w:spacing w:line="240" w:lineRule="atLeast"/>
                    <w:jc w:val="center"/>
                    <w:rPr>
                      <w:bCs/>
                      <w:sz w:val="20"/>
                      <w:szCs w:val="20"/>
                    </w:rPr>
                  </w:pPr>
                </w:p>
              </w:tc>
              <w:tc>
                <w:tcPr>
                  <w:tcW w:w="1316" w:type="dxa"/>
                  <w:vMerge w:val="continue"/>
                  <w:vAlign w:val="center"/>
                </w:tcPr>
                <w:p>
                  <w:pPr>
                    <w:spacing w:line="240" w:lineRule="atLeast"/>
                    <w:jc w:val="center"/>
                    <w:rPr>
                      <w:bCs/>
                      <w:sz w:val="20"/>
                      <w:szCs w:val="20"/>
                    </w:rPr>
                  </w:pPr>
                </w:p>
              </w:tc>
              <w:tc>
                <w:tcPr>
                  <w:tcW w:w="1145" w:type="dxa"/>
                  <w:vAlign w:val="center"/>
                </w:tcPr>
                <w:p>
                  <w:pPr>
                    <w:pStyle w:val="42"/>
                  </w:pPr>
                  <w:r>
                    <w:t>SS</w:t>
                  </w:r>
                </w:p>
              </w:tc>
              <w:tc>
                <w:tcPr>
                  <w:tcW w:w="750" w:type="dxa"/>
                  <w:vMerge w:val="continue"/>
                  <w:vAlign w:val="center"/>
                </w:tcPr>
                <w:p>
                  <w:pPr>
                    <w:spacing w:line="240" w:lineRule="atLeast"/>
                    <w:jc w:val="center"/>
                    <w:rPr>
                      <w:bCs/>
                      <w:sz w:val="20"/>
                      <w:szCs w:val="20"/>
                    </w:rPr>
                  </w:pPr>
                </w:p>
              </w:tc>
              <w:tc>
                <w:tcPr>
                  <w:tcW w:w="1190" w:type="dxa"/>
                  <w:vAlign w:val="center"/>
                </w:tcPr>
                <w:p>
                  <w:pPr>
                    <w:pStyle w:val="42"/>
                  </w:pPr>
                  <w:r>
                    <w:t>200</w:t>
                  </w:r>
                </w:p>
              </w:tc>
              <w:tc>
                <w:tcPr>
                  <w:tcW w:w="1010" w:type="dxa"/>
                  <w:vAlign w:val="center"/>
                </w:tcPr>
                <w:p>
                  <w:pPr>
                    <w:jc w:val="center"/>
                    <w:rPr>
                      <w:rFonts w:eastAsia="等线"/>
                      <w:szCs w:val="21"/>
                    </w:rPr>
                  </w:pPr>
                  <w:r>
                    <w:t>0.049</w:t>
                  </w:r>
                </w:p>
              </w:tc>
              <w:tc>
                <w:tcPr>
                  <w:tcW w:w="1678" w:type="dxa"/>
                  <w:vMerge w:val="continue"/>
                  <w:vAlign w:val="center"/>
                </w:tcPr>
                <w:p>
                  <w:pPr>
                    <w:spacing w:line="240" w:lineRule="atLeast"/>
                    <w:jc w:val="center"/>
                    <w:rPr>
                      <w:bCs/>
                      <w:sz w:val="20"/>
                      <w:szCs w:val="20"/>
                    </w:rPr>
                  </w:pPr>
                </w:p>
              </w:tc>
              <w:tc>
                <w:tcPr>
                  <w:tcW w:w="795" w:type="dxa"/>
                  <w:vAlign w:val="center"/>
                </w:tcPr>
                <w:p>
                  <w:pPr>
                    <w:spacing w:line="240" w:lineRule="atLeast"/>
                    <w:jc w:val="center"/>
                    <w:rPr>
                      <w:bCs/>
                      <w:sz w:val="20"/>
                      <w:szCs w:val="20"/>
                    </w:rPr>
                  </w:pPr>
                </w:p>
              </w:tc>
              <w:tc>
                <w:tcPr>
                  <w:tcW w:w="795" w:type="dxa"/>
                  <w:vMerge w:val="continue"/>
                  <w:vAlign w:val="center"/>
                </w:tcPr>
                <w:p>
                  <w:pPr>
                    <w:spacing w:line="240" w:lineRule="atLeast"/>
                    <w:jc w:val="center"/>
                    <w:rPr>
                      <w:bCs/>
                      <w:sz w:val="20"/>
                      <w:szCs w:val="20"/>
                    </w:rPr>
                  </w:pPr>
                </w:p>
              </w:tc>
              <w:tc>
                <w:tcPr>
                  <w:tcW w:w="1212" w:type="dxa"/>
                  <w:vAlign w:val="center"/>
                </w:tcPr>
                <w:p>
                  <w:pPr>
                    <w:spacing w:line="240" w:lineRule="atLeast"/>
                    <w:jc w:val="center"/>
                    <w:rPr>
                      <w:bCs/>
                      <w:sz w:val="20"/>
                      <w:szCs w:val="20"/>
                    </w:rPr>
                  </w:pPr>
                  <w:r>
                    <w:rPr>
                      <w:bCs/>
                      <w:sz w:val="20"/>
                      <w:szCs w:val="20"/>
                    </w:rPr>
                    <w:t>/</w:t>
                  </w:r>
                </w:p>
              </w:tc>
              <w:tc>
                <w:tcPr>
                  <w:tcW w:w="817" w:type="dxa"/>
                  <w:vAlign w:val="center"/>
                </w:tcPr>
                <w:p>
                  <w:pPr>
                    <w:spacing w:line="240" w:lineRule="atLeast"/>
                    <w:jc w:val="center"/>
                    <w:rPr>
                      <w:bCs/>
                      <w:sz w:val="20"/>
                      <w:szCs w:val="20"/>
                    </w:rPr>
                  </w:pPr>
                  <w:r>
                    <w:rPr>
                      <w:rFonts w:hint="eastAsia"/>
                      <w:bCs/>
                      <w:sz w:val="20"/>
                      <w:szCs w:val="20"/>
                    </w:rPr>
                    <w:t>0</w:t>
                  </w:r>
                </w:p>
              </w:tc>
              <w:tc>
                <w:tcPr>
                  <w:tcW w:w="716" w:type="dxa"/>
                  <w:vMerge w:val="continue"/>
                  <w:vAlign w:val="center"/>
                </w:tcPr>
                <w:p>
                  <w:pPr>
                    <w:spacing w:line="240" w:lineRule="atLeast"/>
                    <w:jc w:val="center"/>
                    <w:rPr>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042" w:type="dxa"/>
                  <w:vAlign w:val="center"/>
                </w:tcPr>
                <w:p>
                  <w:pPr>
                    <w:spacing w:line="240" w:lineRule="atLeast"/>
                    <w:jc w:val="center"/>
                    <w:rPr>
                      <w:bCs/>
                      <w:sz w:val="20"/>
                      <w:szCs w:val="20"/>
                    </w:rPr>
                  </w:pPr>
                  <w:r>
                    <w:rPr>
                      <w:bCs/>
                      <w:sz w:val="20"/>
                      <w:szCs w:val="20"/>
                    </w:rPr>
                    <w:t>洗车系统</w:t>
                  </w:r>
                </w:p>
              </w:tc>
              <w:tc>
                <w:tcPr>
                  <w:tcW w:w="790" w:type="dxa"/>
                  <w:vAlign w:val="center"/>
                </w:tcPr>
                <w:p>
                  <w:pPr>
                    <w:spacing w:line="240" w:lineRule="atLeast"/>
                    <w:jc w:val="center"/>
                    <w:rPr>
                      <w:bCs/>
                      <w:sz w:val="20"/>
                      <w:szCs w:val="20"/>
                    </w:rPr>
                  </w:pPr>
                  <w:r>
                    <w:rPr>
                      <w:bCs/>
                      <w:sz w:val="20"/>
                      <w:szCs w:val="20"/>
                    </w:rPr>
                    <w:t>洗车系统</w:t>
                  </w:r>
                </w:p>
              </w:tc>
              <w:tc>
                <w:tcPr>
                  <w:tcW w:w="1316" w:type="dxa"/>
                  <w:vAlign w:val="center"/>
                </w:tcPr>
                <w:p>
                  <w:pPr>
                    <w:spacing w:line="240" w:lineRule="atLeast"/>
                    <w:jc w:val="center"/>
                    <w:rPr>
                      <w:bCs/>
                      <w:sz w:val="20"/>
                      <w:szCs w:val="20"/>
                    </w:rPr>
                  </w:pPr>
                  <w:r>
                    <w:rPr>
                      <w:bCs/>
                      <w:sz w:val="20"/>
                      <w:szCs w:val="20"/>
                    </w:rPr>
                    <w:t>冲洗废水</w:t>
                  </w:r>
                </w:p>
              </w:tc>
              <w:tc>
                <w:tcPr>
                  <w:tcW w:w="1145" w:type="dxa"/>
                  <w:vAlign w:val="center"/>
                </w:tcPr>
                <w:p>
                  <w:pPr>
                    <w:pStyle w:val="42"/>
                  </w:pPr>
                  <w:r>
                    <w:t>SS</w:t>
                  </w:r>
                </w:p>
              </w:tc>
              <w:tc>
                <w:tcPr>
                  <w:tcW w:w="750" w:type="dxa"/>
                  <w:vAlign w:val="center"/>
                </w:tcPr>
                <w:p>
                  <w:pPr>
                    <w:spacing w:line="240" w:lineRule="atLeast"/>
                    <w:jc w:val="center"/>
                    <w:rPr>
                      <w:bCs/>
                      <w:sz w:val="20"/>
                      <w:szCs w:val="20"/>
                    </w:rPr>
                  </w:pPr>
                  <w:r>
                    <w:rPr>
                      <w:bCs/>
                      <w:sz w:val="20"/>
                      <w:szCs w:val="20"/>
                    </w:rPr>
                    <w:t>产污系数法</w:t>
                  </w:r>
                </w:p>
              </w:tc>
              <w:tc>
                <w:tcPr>
                  <w:tcW w:w="1190" w:type="dxa"/>
                  <w:vAlign w:val="center"/>
                </w:tcPr>
                <w:p>
                  <w:pPr>
                    <w:pStyle w:val="42"/>
                  </w:pPr>
                  <w:r>
                    <w:rPr>
                      <w:rFonts w:hint="eastAsia"/>
                      <w:color w:val="0000FF"/>
                    </w:rPr>
                    <w:t>1000</w:t>
                  </w:r>
                </w:p>
              </w:tc>
              <w:tc>
                <w:tcPr>
                  <w:tcW w:w="1010" w:type="dxa"/>
                  <w:vAlign w:val="center"/>
                </w:tcPr>
                <w:p>
                  <w:pPr>
                    <w:pStyle w:val="42"/>
                  </w:pPr>
                  <w:r>
                    <w:rPr>
                      <w:color w:val="0000FF"/>
                    </w:rPr>
                    <w:t>1.275</w:t>
                  </w:r>
                </w:p>
              </w:tc>
              <w:tc>
                <w:tcPr>
                  <w:tcW w:w="1678" w:type="dxa"/>
                  <w:vAlign w:val="center"/>
                </w:tcPr>
                <w:p>
                  <w:pPr>
                    <w:spacing w:line="240" w:lineRule="atLeast"/>
                    <w:jc w:val="center"/>
                    <w:rPr>
                      <w:bCs/>
                      <w:sz w:val="20"/>
                      <w:szCs w:val="20"/>
                    </w:rPr>
                  </w:pPr>
                  <w:r>
                    <w:rPr>
                      <w:bCs/>
                      <w:sz w:val="20"/>
                      <w:szCs w:val="20"/>
                    </w:rPr>
                    <w:t>经</w:t>
                  </w:r>
                  <w:r>
                    <w:rPr>
                      <w:rFonts w:ascii="宋体" w:hAnsi="宋体"/>
                      <w:bCs/>
                      <w:sz w:val="20"/>
                      <w:szCs w:val="20"/>
                    </w:rPr>
                    <w:t>“</w:t>
                  </w:r>
                  <w:r>
                    <w:rPr>
                      <w:bCs/>
                      <w:sz w:val="20"/>
                      <w:szCs w:val="20"/>
                    </w:rPr>
                    <w:t>U型</w:t>
                  </w:r>
                  <w:r>
                    <w:rPr>
                      <w:rFonts w:ascii="宋体" w:hAnsi="宋体"/>
                      <w:bCs/>
                      <w:sz w:val="20"/>
                      <w:szCs w:val="20"/>
                    </w:rPr>
                    <w:t>”</w:t>
                  </w:r>
                  <w:r>
                    <w:rPr>
                      <w:bCs/>
                      <w:sz w:val="20"/>
                      <w:szCs w:val="20"/>
                    </w:rPr>
                    <w:t>车辆冲洗池沉淀处理后循环使用</w:t>
                  </w:r>
                </w:p>
              </w:tc>
              <w:tc>
                <w:tcPr>
                  <w:tcW w:w="795" w:type="dxa"/>
                  <w:vAlign w:val="center"/>
                </w:tcPr>
                <w:p>
                  <w:pPr>
                    <w:spacing w:line="240" w:lineRule="atLeast"/>
                    <w:jc w:val="center"/>
                    <w:rPr>
                      <w:rFonts w:eastAsia="等线"/>
                      <w:sz w:val="20"/>
                      <w:szCs w:val="20"/>
                    </w:rPr>
                  </w:pPr>
                  <w:r>
                    <w:rPr>
                      <w:rFonts w:eastAsia="等线"/>
                      <w:sz w:val="20"/>
                      <w:szCs w:val="20"/>
                    </w:rPr>
                    <w:t>/</w:t>
                  </w:r>
                </w:p>
              </w:tc>
              <w:tc>
                <w:tcPr>
                  <w:tcW w:w="795" w:type="dxa"/>
                  <w:vAlign w:val="center"/>
                </w:tcPr>
                <w:p>
                  <w:pPr>
                    <w:spacing w:line="240" w:lineRule="atLeast"/>
                    <w:jc w:val="center"/>
                    <w:rPr>
                      <w:bCs/>
                      <w:sz w:val="20"/>
                      <w:szCs w:val="20"/>
                    </w:rPr>
                  </w:pPr>
                  <w:r>
                    <w:rPr>
                      <w:bCs/>
                      <w:sz w:val="20"/>
                      <w:szCs w:val="20"/>
                    </w:rPr>
                    <w:t>产污系数法</w:t>
                  </w:r>
                </w:p>
              </w:tc>
              <w:tc>
                <w:tcPr>
                  <w:tcW w:w="1212" w:type="dxa"/>
                  <w:vAlign w:val="center"/>
                </w:tcPr>
                <w:p>
                  <w:pPr>
                    <w:spacing w:line="240" w:lineRule="atLeast"/>
                    <w:jc w:val="center"/>
                    <w:rPr>
                      <w:rFonts w:eastAsia="等线"/>
                      <w:sz w:val="20"/>
                      <w:szCs w:val="20"/>
                    </w:rPr>
                  </w:pPr>
                  <w:r>
                    <w:rPr>
                      <w:rFonts w:eastAsia="等线"/>
                      <w:sz w:val="20"/>
                      <w:szCs w:val="20"/>
                    </w:rPr>
                    <w:t>/</w:t>
                  </w:r>
                </w:p>
              </w:tc>
              <w:tc>
                <w:tcPr>
                  <w:tcW w:w="817" w:type="dxa"/>
                  <w:vAlign w:val="center"/>
                </w:tcPr>
                <w:p>
                  <w:pPr>
                    <w:spacing w:line="240" w:lineRule="atLeast"/>
                    <w:jc w:val="center"/>
                    <w:rPr>
                      <w:bCs/>
                      <w:sz w:val="20"/>
                      <w:szCs w:val="20"/>
                    </w:rPr>
                  </w:pPr>
                  <w:r>
                    <w:rPr>
                      <w:bCs/>
                      <w:sz w:val="20"/>
                      <w:szCs w:val="20"/>
                    </w:rPr>
                    <w:t>0</w:t>
                  </w:r>
                </w:p>
              </w:tc>
              <w:tc>
                <w:tcPr>
                  <w:tcW w:w="716" w:type="dxa"/>
                  <w:vAlign w:val="center"/>
                </w:tcPr>
                <w:p>
                  <w:pPr>
                    <w:spacing w:line="240" w:lineRule="atLeast"/>
                    <w:jc w:val="center"/>
                    <w:rPr>
                      <w:bCs/>
                      <w:sz w:val="20"/>
                      <w:szCs w:val="20"/>
                    </w:rPr>
                  </w:pPr>
                  <w:r>
                    <w:rPr>
                      <w:bCs/>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042" w:type="dxa"/>
                  <w:vAlign w:val="center"/>
                </w:tcPr>
                <w:p>
                  <w:pPr>
                    <w:spacing w:line="240" w:lineRule="atLeast"/>
                    <w:jc w:val="center"/>
                    <w:rPr>
                      <w:bCs/>
                      <w:sz w:val="20"/>
                      <w:szCs w:val="20"/>
                    </w:rPr>
                  </w:pPr>
                  <w:r>
                    <w:rPr>
                      <w:bCs/>
                      <w:sz w:val="20"/>
                      <w:szCs w:val="20"/>
                    </w:rPr>
                    <w:t>雨水收集系统</w:t>
                  </w:r>
                </w:p>
              </w:tc>
              <w:tc>
                <w:tcPr>
                  <w:tcW w:w="790" w:type="dxa"/>
                  <w:vAlign w:val="center"/>
                </w:tcPr>
                <w:p>
                  <w:pPr>
                    <w:spacing w:line="240" w:lineRule="atLeast"/>
                    <w:jc w:val="center"/>
                    <w:rPr>
                      <w:bCs/>
                      <w:sz w:val="20"/>
                      <w:szCs w:val="20"/>
                    </w:rPr>
                  </w:pPr>
                  <w:r>
                    <w:rPr>
                      <w:bCs/>
                      <w:sz w:val="20"/>
                      <w:szCs w:val="20"/>
                    </w:rPr>
                    <w:t>雨水收集系统</w:t>
                  </w:r>
                </w:p>
              </w:tc>
              <w:tc>
                <w:tcPr>
                  <w:tcW w:w="1316" w:type="dxa"/>
                  <w:vAlign w:val="center"/>
                </w:tcPr>
                <w:p>
                  <w:pPr>
                    <w:spacing w:line="240" w:lineRule="atLeast"/>
                    <w:jc w:val="center"/>
                    <w:rPr>
                      <w:bCs/>
                      <w:sz w:val="20"/>
                      <w:szCs w:val="20"/>
                    </w:rPr>
                  </w:pPr>
                  <w:r>
                    <w:rPr>
                      <w:rFonts w:hint="eastAsia"/>
                      <w:bCs/>
                      <w:sz w:val="20"/>
                      <w:szCs w:val="20"/>
                    </w:rPr>
                    <w:t>初期</w:t>
                  </w:r>
                  <w:r>
                    <w:rPr>
                      <w:bCs/>
                      <w:sz w:val="20"/>
                      <w:szCs w:val="20"/>
                    </w:rPr>
                    <w:t>雨水</w:t>
                  </w:r>
                </w:p>
              </w:tc>
              <w:tc>
                <w:tcPr>
                  <w:tcW w:w="1145" w:type="dxa"/>
                  <w:vAlign w:val="center"/>
                </w:tcPr>
                <w:p>
                  <w:pPr>
                    <w:pStyle w:val="42"/>
                  </w:pPr>
                  <w:r>
                    <w:t>SS</w:t>
                  </w:r>
                </w:p>
              </w:tc>
              <w:tc>
                <w:tcPr>
                  <w:tcW w:w="750" w:type="dxa"/>
                  <w:vAlign w:val="center"/>
                </w:tcPr>
                <w:p>
                  <w:pPr>
                    <w:spacing w:line="240" w:lineRule="atLeast"/>
                    <w:jc w:val="center"/>
                    <w:rPr>
                      <w:bCs/>
                      <w:sz w:val="20"/>
                      <w:szCs w:val="20"/>
                    </w:rPr>
                  </w:pPr>
                  <w:r>
                    <w:rPr>
                      <w:bCs/>
                      <w:sz w:val="20"/>
                      <w:szCs w:val="20"/>
                    </w:rPr>
                    <w:t>产污系数法</w:t>
                  </w:r>
                </w:p>
              </w:tc>
              <w:tc>
                <w:tcPr>
                  <w:tcW w:w="1190" w:type="dxa"/>
                  <w:vAlign w:val="center"/>
                </w:tcPr>
                <w:p>
                  <w:pPr>
                    <w:pStyle w:val="42"/>
                  </w:pPr>
                  <w:r>
                    <w:t>200~500</w:t>
                  </w:r>
                </w:p>
              </w:tc>
              <w:tc>
                <w:tcPr>
                  <w:tcW w:w="1010" w:type="dxa"/>
                  <w:vAlign w:val="center"/>
                </w:tcPr>
                <w:p>
                  <w:pPr>
                    <w:pStyle w:val="42"/>
                  </w:pPr>
                  <w:r>
                    <w:t>/</w:t>
                  </w:r>
                </w:p>
              </w:tc>
              <w:tc>
                <w:tcPr>
                  <w:tcW w:w="1678" w:type="dxa"/>
                  <w:vAlign w:val="center"/>
                </w:tcPr>
                <w:p>
                  <w:pPr>
                    <w:spacing w:line="240" w:lineRule="atLeast"/>
                    <w:jc w:val="center"/>
                    <w:rPr>
                      <w:bCs/>
                      <w:sz w:val="20"/>
                      <w:szCs w:val="20"/>
                    </w:rPr>
                  </w:pPr>
                  <w:r>
                    <w:rPr>
                      <w:bCs/>
                      <w:sz w:val="20"/>
                      <w:szCs w:val="20"/>
                    </w:rPr>
                    <w:t>经雨水沉淀池沉淀后用于</w:t>
                  </w:r>
                  <w:r>
                    <w:rPr>
                      <w:rFonts w:hint="eastAsia"/>
                      <w:bCs/>
                      <w:sz w:val="20"/>
                      <w:szCs w:val="20"/>
                    </w:rPr>
                    <w:t>厂区</w:t>
                  </w:r>
                  <w:r>
                    <w:rPr>
                      <w:bCs/>
                      <w:sz w:val="20"/>
                      <w:szCs w:val="20"/>
                    </w:rPr>
                    <w:t>洒水抑尘</w:t>
                  </w:r>
                </w:p>
              </w:tc>
              <w:tc>
                <w:tcPr>
                  <w:tcW w:w="795" w:type="dxa"/>
                  <w:vAlign w:val="center"/>
                </w:tcPr>
                <w:p>
                  <w:pPr>
                    <w:spacing w:line="240" w:lineRule="atLeast"/>
                    <w:jc w:val="center"/>
                    <w:rPr>
                      <w:rFonts w:eastAsia="等线"/>
                      <w:sz w:val="20"/>
                      <w:szCs w:val="20"/>
                    </w:rPr>
                  </w:pPr>
                  <w:r>
                    <w:rPr>
                      <w:rFonts w:eastAsia="等线"/>
                      <w:sz w:val="20"/>
                      <w:szCs w:val="20"/>
                    </w:rPr>
                    <w:t>/</w:t>
                  </w:r>
                </w:p>
              </w:tc>
              <w:tc>
                <w:tcPr>
                  <w:tcW w:w="795" w:type="dxa"/>
                  <w:vAlign w:val="center"/>
                </w:tcPr>
                <w:p>
                  <w:pPr>
                    <w:spacing w:line="240" w:lineRule="atLeast"/>
                    <w:jc w:val="center"/>
                    <w:rPr>
                      <w:bCs/>
                      <w:sz w:val="20"/>
                      <w:szCs w:val="20"/>
                    </w:rPr>
                  </w:pPr>
                  <w:r>
                    <w:rPr>
                      <w:bCs/>
                      <w:sz w:val="20"/>
                      <w:szCs w:val="20"/>
                    </w:rPr>
                    <w:t>产污系数法</w:t>
                  </w:r>
                </w:p>
              </w:tc>
              <w:tc>
                <w:tcPr>
                  <w:tcW w:w="1212" w:type="dxa"/>
                  <w:vAlign w:val="center"/>
                </w:tcPr>
                <w:p>
                  <w:pPr>
                    <w:spacing w:line="240" w:lineRule="atLeast"/>
                    <w:jc w:val="center"/>
                    <w:rPr>
                      <w:rFonts w:eastAsia="等线"/>
                      <w:sz w:val="20"/>
                      <w:szCs w:val="20"/>
                    </w:rPr>
                  </w:pPr>
                  <w:r>
                    <w:rPr>
                      <w:rFonts w:eastAsia="等线"/>
                      <w:sz w:val="20"/>
                      <w:szCs w:val="20"/>
                    </w:rPr>
                    <w:t>/</w:t>
                  </w:r>
                </w:p>
              </w:tc>
              <w:tc>
                <w:tcPr>
                  <w:tcW w:w="817" w:type="dxa"/>
                  <w:vAlign w:val="center"/>
                </w:tcPr>
                <w:p>
                  <w:pPr>
                    <w:spacing w:line="240" w:lineRule="atLeast"/>
                    <w:jc w:val="center"/>
                    <w:rPr>
                      <w:bCs/>
                      <w:sz w:val="20"/>
                      <w:szCs w:val="20"/>
                    </w:rPr>
                  </w:pPr>
                  <w:r>
                    <w:rPr>
                      <w:bCs/>
                      <w:sz w:val="20"/>
                      <w:szCs w:val="20"/>
                    </w:rPr>
                    <w:t>0</w:t>
                  </w:r>
                </w:p>
              </w:tc>
              <w:tc>
                <w:tcPr>
                  <w:tcW w:w="716" w:type="dxa"/>
                  <w:vAlign w:val="center"/>
                </w:tcPr>
                <w:p>
                  <w:pPr>
                    <w:spacing w:line="240" w:lineRule="atLeast"/>
                    <w:jc w:val="center"/>
                    <w:rPr>
                      <w:bCs/>
                      <w:sz w:val="20"/>
                      <w:szCs w:val="20"/>
                    </w:rPr>
                  </w:pPr>
                  <w:r>
                    <w:rPr>
                      <w:bCs/>
                      <w:sz w:val="20"/>
                      <w:szCs w:val="20"/>
                    </w:rPr>
                    <w:t>/</w:t>
                  </w:r>
                </w:p>
              </w:tc>
            </w:tr>
          </w:tbl>
          <w:p>
            <w:pPr>
              <w:adjustRightInd w:val="0"/>
              <w:snapToGrid w:val="0"/>
              <w:spacing w:line="360" w:lineRule="auto"/>
              <w:ind w:firstLine="480" w:firstLineChars="200"/>
              <w:jc w:val="left"/>
              <w:rPr>
                <w:sz w:val="24"/>
              </w:rPr>
            </w:pPr>
          </w:p>
          <w:p>
            <w:pPr>
              <w:adjustRightInd w:val="0"/>
              <w:snapToGrid w:val="0"/>
              <w:spacing w:line="360" w:lineRule="auto"/>
              <w:ind w:firstLine="480" w:firstLineChars="200"/>
              <w:jc w:val="left"/>
              <w:rPr>
                <w:sz w:val="24"/>
              </w:rPr>
            </w:pPr>
          </w:p>
        </w:tc>
      </w:tr>
    </w:tbl>
    <w:p/>
    <w:p>
      <w:pPr>
        <w:sectPr>
          <w:pgSz w:w="16838" w:h="11906" w:orient="landscape"/>
          <w:pgMar w:top="1800" w:right="1440" w:bottom="1800" w:left="1440" w:header="851" w:footer="1077" w:gutter="0"/>
          <w:cols w:space="720" w:num="1"/>
          <w:docGrid w:linePitch="312" w:charSpace="0"/>
        </w:sectPr>
      </w:pP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0"/>
        <w:gridCol w:w="92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rHeight w:val="13163" w:hRule="atLeast"/>
          <w:jc w:val="center"/>
        </w:trPr>
        <w:tc>
          <w:tcPr>
            <w:tcW w:w="480" w:type="dxa"/>
            <w:vAlign w:val="center"/>
          </w:tcPr>
          <w:p>
            <w:pPr>
              <w:adjustRightInd w:val="0"/>
              <w:snapToGrid w:val="0"/>
              <w:jc w:val="center"/>
              <w:rPr>
                <w:sz w:val="24"/>
              </w:rPr>
            </w:pPr>
            <w:r>
              <w:rPr>
                <w:sz w:val="24"/>
              </w:rPr>
              <w:t>运营期生态环境影响分析</w:t>
            </w:r>
          </w:p>
        </w:tc>
        <w:tc>
          <w:tcPr>
            <w:tcW w:w="9246" w:type="dxa"/>
          </w:tcPr>
          <w:p>
            <w:pPr>
              <w:adjustRightInd w:val="0"/>
              <w:snapToGrid w:val="0"/>
              <w:spacing w:line="360" w:lineRule="auto"/>
              <w:ind w:firstLine="480" w:firstLineChars="200"/>
              <w:jc w:val="left"/>
              <w:rPr>
                <w:sz w:val="24"/>
              </w:rPr>
            </w:pPr>
            <w:r>
              <w:rPr>
                <w:rFonts w:hint="eastAsia" w:ascii="宋体" w:hAnsi="宋体" w:cs="宋体"/>
                <w:sz w:val="24"/>
              </w:rPr>
              <w:t>②</w:t>
            </w:r>
            <w:r>
              <w:rPr>
                <w:sz w:val="24"/>
              </w:rPr>
              <w:t>废水排放口基本情况</w:t>
            </w:r>
          </w:p>
          <w:p>
            <w:pPr>
              <w:adjustRightInd w:val="0"/>
              <w:snapToGrid w:val="0"/>
              <w:spacing w:line="360" w:lineRule="auto"/>
              <w:ind w:firstLine="480" w:firstLineChars="200"/>
              <w:jc w:val="left"/>
              <w:rPr>
                <w:sz w:val="24"/>
              </w:rPr>
            </w:pPr>
            <w:r>
              <w:rPr>
                <w:sz w:val="24"/>
              </w:rPr>
              <w:t>拟建项目不设废水排放口。</w:t>
            </w:r>
          </w:p>
          <w:p>
            <w:pPr>
              <w:adjustRightInd w:val="0"/>
              <w:snapToGrid w:val="0"/>
              <w:spacing w:line="360" w:lineRule="auto"/>
              <w:ind w:firstLine="480" w:firstLineChars="200"/>
              <w:jc w:val="left"/>
              <w:rPr>
                <w:sz w:val="24"/>
              </w:rPr>
            </w:pPr>
            <w:r>
              <w:rPr>
                <w:rFonts w:hint="eastAsia" w:ascii="宋体" w:hAnsi="宋体" w:cs="宋体"/>
                <w:sz w:val="24"/>
              </w:rPr>
              <w:t>③</w:t>
            </w:r>
            <w:r>
              <w:rPr>
                <w:sz w:val="24"/>
              </w:rPr>
              <w:t>水污染物排放执行标准</w:t>
            </w:r>
          </w:p>
          <w:p>
            <w:pPr>
              <w:adjustRightInd w:val="0"/>
              <w:snapToGrid w:val="0"/>
              <w:spacing w:line="360" w:lineRule="auto"/>
              <w:ind w:firstLine="480" w:firstLineChars="200"/>
              <w:jc w:val="left"/>
              <w:rPr>
                <w:sz w:val="24"/>
              </w:rPr>
            </w:pPr>
            <w:r>
              <w:rPr>
                <w:sz w:val="24"/>
              </w:rPr>
              <w:t>拟建项目废水均不外排。</w:t>
            </w:r>
          </w:p>
          <w:p>
            <w:pPr>
              <w:adjustRightInd w:val="0"/>
              <w:snapToGrid w:val="0"/>
              <w:spacing w:line="360" w:lineRule="auto"/>
              <w:ind w:firstLine="480" w:firstLineChars="200"/>
              <w:jc w:val="left"/>
              <w:rPr>
                <w:sz w:val="24"/>
              </w:rPr>
            </w:pPr>
            <w:r>
              <w:rPr>
                <w:rFonts w:hint="eastAsia" w:ascii="宋体" w:hAnsi="宋体" w:cs="宋体"/>
                <w:sz w:val="24"/>
              </w:rPr>
              <w:t>④</w:t>
            </w:r>
            <w:r>
              <w:rPr>
                <w:sz w:val="24"/>
              </w:rPr>
              <w:t>废水污染物排放信息</w:t>
            </w:r>
          </w:p>
          <w:p>
            <w:pPr>
              <w:adjustRightInd w:val="0"/>
              <w:snapToGrid w:val="0"/>
              <w:jc w:val="center"/>
              <w:rPr>
                <w:b/>
                <w:sz w:val="24"/>
              </w:rPr>
            </w:pPr>
            <w:r>
              <w:rPr>
                <w:b/>
                <w:sz w:val="24"/>
              </w:rPr>
              <w:t>表4-1</w:t>
            </w:r>
            <w:r>
              <w:rPr>
                <w:rFonts w:hint="eastAsia"/>
                <w:b/>
                <w:sz w:val="24"/>
              </w:rPr>
              <w:t>7</w:t>
            </w:r>
            <w:r>
              <w:rPr>
                <w:b/>
                <w:sz w:val="24"/>
              </w:rPr>
              <w:t xml:space="preserve">  废水污染物排放信息表</w:t>
            </w:r>
          </w:p>
          <w:tbl>
            <w:tblPr>
              <w:tblStyle w:val="15"/>
              <w:tblW w:w="90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963"/>
              <w:gridCol w:w="1609"/>
              <w:gridCol w:w="1382"/>
              <w:gridCol w:w="1385"/>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790" w:type="dxa"/>
                  <w:vAlign w:val="center"/>
                </w:tcPr>
                <w:p>
                  <w:pPr>
                    <w:pStyle w:val="42"/>
                  </w:pPr>
                  <w:r>
                    <w:t>序号</w:t>
                  </w:r>
                </w:p>
              </w:tc>
              <w:tc>
                <w:tcPr>
                  <w:tcW w:w="1963" w:type="dxa"/>
                  <w:vAlign w:val="center"/>
                </w:tcPr>
                <w:p>
                  <w:pPr>
                    <w:pStyle w:val="42"/>
                  </w:pPr>
                  <w:r>
                    <w:t>排放口编号</w:t>
                  </w:r>
                </w:p>
              </w:tc>
              <w:tc>
                <w:tcPr>
                  <w:tcW w:w="1609" w:type="dxa"/>
                  <w:vAlign w:val="center"/>
                </w:tcPr>
                <w:p>
                  <w:pPr>
                    <w:pStyle w:val="42"/>
                  </w:pPr>
                  <w:r>
                    <w:t>污染物种类</w:t>
                  </w:r>
                </w:p>
              </w:tc>
              <w:tc>
                <w:tcPr>
                  <w:tcW w:w="1382" w:type="dxa"/>
                  <w:vAlign w:val="center"/>
                </w:tcPr>
                <w:p>
                  <w:pPr>
                    <w:pStyle w:val="42"/>
                  </w:pPr>
                  <w:r>
                    <w:t>排放浓度（mg/L）</w:t>
                  </w:r>
                </w:p>
              </w:tc>
              <w:tc>
                <w:tcPr>
                  <w:tcW w:w="1385" w:type="dxa"/>
                  <w:vAlign w:val="center"/>
                </w:tcPr>
                <w:p>
                  <w:pPr>
                    <w:pStyle w:val="42"/>
                  </w:pPr>
                  <w:r>
                    <w:t>日排放量（t/d）</w:t>
                  </w:r>
                </w:p>
              </w:tc>
              <w:tc>
                <w:tcPr>
                  <w:tcW w:w="1891" w:type="dxa"/>
                  <w:vAlign w:val="center"/>
                </w:tcPr>
                <w:p>
                  <w:pPr>
                    <w:pStyle w:val="42"/>
                  </w:pPr>
                  <w: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790" w:type="dxa"/>
                  <w:vMerge w:val="restart"/>
                  <w:vAlign w:val="center"/>
                </w:tcPr>
                <w:p>
                  <w:pPr>
                    <w:pStyle w:val="42"/>
                  </w:pPr>
                  <w:r>
                    <w:t>1</w:t>
                  </w:r>
                </w:p>
              </w:tc>
              <w:tc>
                <w:tcPr>
                  <w:tcW w:w="1963" w:type="dxa"/>
                  <w:vMerge w:val="restart"/>
                  <w:vAlign w:val="center"/>
                </w:tcPr>
                <w:p>
                  <w:pPr>
                    <w:pStyle w:val="42"/>
                  </w:pPr>
                  <w:r>
                    <w:t>/</w:t>
                  </w:r>
                </w:p>
              </w:tc>
              <w:tc>
                <w:tcPr>
                  <w:tcW w:w="1609" w:type="dxa"/>
                  <w:vAlign w:val="center"/>
                </w:tcPr>
                <w:p>
                  <w:pPr>
                    <w:pStyle w:val="42"/>
                  </w:pPr>
                  <w:r>
                    <w:t>COD</w:t>
                  </w:r>
                </w:p>
              </w:tc>
              <w:tc>
                <w:tcPr>
                  <w:tcW w:w="1382" w:type="dxa"/>
                  <w:vAlign w:val="center"/>
                </w:tcPr>
                <w:p>
                  <w:pPr>
                    <w:spacing w:line="240" w:lineRule="atLeast"/>
                    <w:jc w:val="center"/>
                    <w:rPr>
                      <w:bCs/>
                      <w:sz w:val="20"/>
                      <w:szCs w:val="20"/>
                    </w:rPr>
                  </w:pPr>
                  <w:r>
                    <w:rPr>
                      <w:bCs/>
                      <w:sz w:val="20"/>
                      <w:szCs w:val="20"/>
                    </w:rPr>
                    <w:t>/</w:t>
                  </w:r>
                </w:p>
              </w:tc>
              <w:tc>
                <w:tcPr>
                  <w:tcW w:w="1385" w:type="dxa"/>
                  <w:vAlign w:val="bottom"/>
                </w:tcPr>
                <w:p>
                  <w:pPr>
                    <w:pStyle w:val="42"/>
                  </w:pPr>
                  <w:r>
                    <w:t>0</w:t>
                  </w:r>
                </w:p>
              </w:tc>
              <w:tc>
                <w:tcPr>
                  <w:tcW w:w="1891" w:type="dxa"/>
                  <w:vAlign w:val="bottom"/>
                </w:tcPr>
                <w:p>
                  <w:pPr>
                    <w:pStyle w:val="42"/>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790" w:type="dxa"/>
                  <w:vMerge w:val="continue"/>
                  <w:vAlign w:val="center"/>
                </w:tcPr>
                <w:p>
                  <w:pPr>
                    <w:pStyle w:val="42"/>
                  </w:pPr>
                </w:p>
              </w:tc>
              <w:tc>
                <w:tcPr>
                  <w:tcW w:w="1963" w:type="dxa"/>
                  <w:vMerge w:val="continue"/>
                  <w:vAlign w:val="center"/>
                </w:tcPr>
                <w:p>
                  <w:pPr>
                    <w:pStyle w:val="42"/>
                  </w:pPr>
                </w:p>
              </w:tc>
              <w:tc>
                <w:tcPr>
                  <w:tcW w:w="1609" w:type="dxa"/>
                  <w:vAlign w:val="center"/>
                </w:tcPr>
                <w:p>
                  <w:pPr>
                    <w:pStyle w:val="42"/>
                  </w:pPr>
                  <w:r>
                    <w:t>BOD</w:t>
                  </w:r>
                  <w:r>
                    <w:rPr>
                      <w:vertAlign w:val="subscript"/>
                    </w:rPr>
                    <w:t>5</w:t>
                  </w:r>
                </w:p>
              </w:tc>
              <w:tc>
                <w:tcPr>
                  <w:tcW w:w="1382" w:type="dxa"/>
                  <w:vAlign w:val="center"/>
                </w:tcPr>
                <w:p>
                  <w:pPr>
                    <w:spacing w:line="240" w:lineRule="atLeast"/>
                    <w:jc w:val="center"/>
                    <w:rPr>
                      <w:bCs/>
                      <w:sz w:val="20"/>
                      <w:szCs w:val="20"/>
                    </w:rPr>
                  </w:pPr>
                  <w:r>
                    <w:rPr>
                      <w:bCs/>
                      <w:sz w:val="20"/>
                      <w:szCs w:val="20"/>
                    </w:rPr>
                    <w:t>/</w:t>
                  </w:r>
                </w:p>
              </w:tc>
              <w:tc>
                <w:tcPr>
                  <w:tcW w:w="1385" w:type="dxa"/>
                  <w:vAlign w:val="bottom"/>
                </w:tcPr>
                <w:p>
                  <w:pPr>
                    <w:pStyle w:val="42"/>
                  </w:pPr>
                  <w:r>
                    <w:t>0</w:t>
                  </w:r>
                </w:p>
              </w:tc>
              <w:tc>
                <w:tcPr>
                  <w:tcW w:w="1891" w:type="dxa"/>
                  <w:vAlign w:val="bottom"/>
                </w:tcPr>
                <w:p>
                  <w:pPr>
                    <w:pStyle w:val="42"/>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790" w:type="dxa"/>
                  <w:vMerge w:val="continue"/>
                  <w:vAlign w:val="center"/>
                </w:tcPr>
                <w:p>
                  <w:pPr>
                    <w:pStyle w:val="42"/>
                  </w:pPr>
                </w:p>
              </w:tc>
              <w:tc>
                <w:tcPr>
                  <w:tcW w:w="1963" w:type="dxa"/>
                  <w:vMerge w:val="continue"/>
                  <w:vAlign w:val="center"/>
                </w:tcPr>
                <w:p>
                  <w:pPr>
                    <w:pStyle w:val="42"/>
                  </w:pPr>
                </w:p>
              </w:tc>
              <w:tc>
                <w:tcPr>
                  <w:tcW w:w="1609" w:type="dxa"/>
                  <w:vAlign w:val="center"/>
                </w:tcPr>
                <w:p>
                  <w:pPr>
                    <w:pStyle w:val="42"/>
                  </w:pPr>
                  <w:r>
                    <w:t>NH</w:t>
                  </w:r>
                  <w:r>
                    <w:rPr>
                      <w:vertAlign w:val="subscript"/>
                    </w:rPr>
                    <w:t>3</w:t>
                  </w:r>
                  <w:r>
                    <w:t>-N</w:t>
                  </w:r>
                </w:p>
              </w:tc>
              <w:tc>
                <w:tcPr>
                  <w:tcW w:w="1382" w:type="dxa"/>
                  <w:vAlign w:val="center"/>
                </w:tcPr>
                <w:p>
                  <w:pPr>
                    <w:spacing w:line="240" w:lineRule="atLeast"/>
                    <w:jc w:val="center"/>
                    <w:rPr>
                      <w:bCs/>
                      <w:sz w:val="20"/>
                      <w:szCs w:val="20"/>
                    </w:rPr>
                  </w:pPr>
                  <w:r>
                    <w:rPr>
                      <w:bCs/>
                      <w:sz w:val="20"/>
                      <w:szCs w:val="20"/>
                    </w:rPr>
                    <w:t>/</w:t>
                  </w:r>
                </w:p>
              </w:tc>
              <w:tc>
                <w:tcPr>
                  <w:tcW w:w="1385" w:type="dxa"/>
                  <w:vAlign w:val="bottom"/>
                </w:tcPr>
                <w:p>
                  <w:pPr>
                    <w:pStyle w:val="42"/>
                  </w:pPr>
                  <w:r>
                    <w:t>0</w:t>
                  </w:r>
                </w:p>
              </w:tc>
              <w:tc>
                <w:tcPr>
                  <w:tcW w:w="1891" w:type="dxa"/>
                  <w:vAlign w:val="bottom"/>
                </w:tcPr>
                <w:p>
                  <w:pPr>
                    <w:pStyle w:val="42"/>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790" w:type="dxa"/>
                  <w:vMerge w:val="continue"/>
                  <w:vAlign w:val="center"/>
                </w:tcPr>
                <w:p>
                  <w:pPr>
                    <w:pStyle w:val="42"/>
                  </w:pPr>
                </w:p>
              </w:tc>
              <w:tc>
                <w:tcPr>
                  <w:tcW w:w="1963" w:type="dxa"/>
                  <w:vMerge w:val="continue"/>
                  <w:vAlign w:val="center"/>
                </w:tcPr>
                <w:p>
                  <w:pPr>
                    <w:pStyle w:val="42"/>
                  </w:pPr>
                </w:p>
              </w:tc>
              <w:tc>
                <w:tcPr>
                  <w:tcW w:w="1609" w:type="dxa"/>
                  <w:vAlign w:val="center"/>
                </w:tcPr>
                <w:p>
                  <w:pPr>
                    <w:pStyle w:val="42"/>
                  </w:pPr>
                  <w:r>
                    <w:t>SS</w:t>
                  </w:r>
                </w:p>
              </w:tc>
              <w:tc>
                <w:tcPr>
                  <w:tcW w:w="1382" w:type="dxa"/>
                  <w:vAlign w:val="center"/>
                </w:tcPr>
                <w:p>
                  <w:pPr>
                    <w:spacing w:line="240" w:lineRule="atLeast"/>
                    <w:jc w:val="center"/>
                    <w:rPr>
                      <w:rFonts w:eastAsia="等线"/>
                      <w:sz w:val="20"/>
                      <w:szCs w:val="20"/>
                    </w:rPr>
                  </w:pPr>
                  <w:r>
                    <w:rPr>
                      <w:rFonts w:eastAsia="等线"/>
                      <w:sz w:val="20"/>
                      <w:szCs w:val="20"/>
                    </w:rPr>
                    <w:t>/</w:t>
                  </w:r>
                </w:p>
              </w:tc>
              <w:tc>
                <w:tcPr>
                  <w:tcW w:w="1385" w:type="dxa"/>
                  <w:vAlign w:val="bottom"/>
                </w:tcPr>
                <w:p>
                  <w:pPr>
                    <w:pStyle w:val="42"/>
                  </w:pPr>
                  <w:r>
                    <w:t>0</w:t>
                  </w:r>
                </w:p>
              </w:tc>
              <w:tc>
                <w:tcPr>
                  <w:tcW w:w="1891" w:type="dxa"/>
                  <w:vAlign w:val="bottom"/>
                </w:tcPr>
                <w:p>
                  <w:pPr>
                    <w:pStyle w:val="42"/>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790" w:type="dxa"/>
                  <w:vMerge w:val="restart"/>
                  <w:vAlign w:val="center"/>
                </w:tcPr>
                <w:p>
                  <w:pPr>
                    <w:pStyle w:val="42"/>
                  </w:pPr>
                  <w:r>
                    <w:t>2</w:t>
                  </w:r>
                </w:p>
              </w:tc>
              <w:tc>
                <w:tcPr>
                  <w:tcW w:w="1963" w:type="dxa"/>
                  <w:vMerge w:val="restart"/>
                  <w:vAlign w:val="center"/>
                </w:tcPr>
                <w:p>
                  <w:pPr>
                    <w:pStyle w:val="42"/>
                  </w:pPr>
                  <w:r>
                    <w:t>全厂排放口合计</w:t>
                  </w:r>
                </w:p>
              </w:tc>
              <w:tc>
                <w:tcPr>
                  <w:tcW w:w="4376" w:type="dxa"/>
                  <w:gridSpan w:val="3"/>
                  <w:vAlign w:val="center"/>
                </w:tcPr>
                <w:p>
                  <w:pPr>
                    <w:pStyle w:val="42"/>
                  </w:pPr>
                  <w:r>
                    <w:t>COD</w:t>
                  </w:r>
                </w:p>
              </w:tc>
              <w:tc>
                <w:tcPr>
                  <w:tcW w:w="1891" w:type="dxa"/>
                  <w:vAlign w:val="bottom"/>
                </w:tcPr>
                <w:p>
                  <w:pPr>
                    <w:pStyle w:val="42"/>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790" w:type="dxa"/>
                  <w:vMerge w:val="continue"/>
                  <w:vAlign w:val="center"/>
                </w:tcPr>
                <w:p>
                  <w:pPr>
                    <w:pStyle w:val="42"/>
                  </w:pPr>
                </w:p>
              </w:tc>
              <w:tc>
                <w:tcPr>
                  <w:tcW w:w="1963" w:type="dxa"/>
                  <w:vMerge w:val="continue"/>
                  <w:vAlign w:val="center"/>
                </w:tcPr>
                <w:p>
                  <w:pPr>
                    <w:pStyle w:val="42"/>
                  </w:pPr>
                </w:p>
              </w:tc>
              <w:tc>
                <w:tcPr>
                  <w:tcW w:w="4376" w:type="dxa"/>
                  <w:gridSpan w:val="3"/>
                  <w:vAlign w:val="center"/>
                </w:tcPr>
                <w:p>
                  <w:pPr>
                    <w:pStyle w:val="42"/>
                  </w:pPr>
                  <w:r>
                    <w:t>BOD</w:t>
                  </w:r>
                  <w:r>
                    <w:rPr>
                      <w:vertAlign w:val="subscript"/>
                    </w:rPr>
                    <w:t>5</w:t>
                  </w:r>
                </w:p>
              </w:tc>
              <w:tc>
                <w:tcPr>
                  <w:tcW w:w="1891" w:type="dxa"/>
                  <w:vAlign w:val="bottom"/>
                </w:tcPr>
                <w:p>
                  <w:pPr>
                    <w:pStyle w:val="42"/>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790" w:type="dxa"/>
                  <w:vMerge w:val="continue"/>
                  <w:vAlign w:val="center"/>
                </w:tcPr>
                <w:p>
                  <w:pPr>
                    <w:pStyle w:val="42"/>
                  </w:pPr>
                </w:p>
              </w:tc>
              <w:tc>
                <w:tcPr>
                  <w:tcW w:w="1963" w:type="dxa"/>
                  <w:vMerge w:val="continue"/>
                  <w:vAlign w:val="center"/>
                </w:tcPr>
                <w:p>
                  <w:pPr>
                    <w:pStyle w:val="42"/>
                  </w:pPr>
                </w:p>
              </w:tc>
              <w:tc>
                <w:tcPr>
                  <w:tcW w:w="4376" w:type="dxa"/>
                  <w:gridSpan w:val="3"/>
                  <w:vAlign w:val="center"/>
                </w:tcPr>
                <w:p>
                  <w:pPr>
                    <w:pStyle w:val="42"/>
                  </w:pPr>
                  <w:r>
                    <w:t>NH</w:t>
                  </w:r>
                  <w:r>
                    <w:rPr>
                      <w:vertAlign w:val="subscript"/>
                    </w:rPr>
                    <w:t>3</w:t>
                  </w:r>
                  <w:r>
                    <w:t>-N</w:t>
                  </w:r>
                </w:p>
              </w:tc>
              <w:tc>
                <w:tcPr>
                  <w:tcW w:w="1891" w:type="dxa"/>
                  <w:vAlign w:val="bottom"/>
                </w:tcPr>
                <w:p>
                  <w:pPr>
                    <w:pStyle w:val="42"/>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790" w:type="dxa"/>
                  <w:vMerge w:val="continue"/>
                  <w:vAlign w:val="center"/>
                </w:tcPr>
                <w:p>
                  <w:pPr>
                    <w:pStyle w:val="42"/>
                  </w:pPr>
                </w:p>
              </w:tc>
              <w:tc>
                <w:tcPr>
                  <w:tcW w:w="1963" w:type="dxa"/>
                  <w:vMerge w:val="continue"/>
                  <w:vAlign w:val="center"/>
                </w:tcPr>
                <w:p>
                  <w:pPr>
                    <w:pStyle w:val="42"/>
                  </w:pPr>
                </w:p>
              </w:tc>
              <w:tc>
                <w:tcPr>
                  <w:tcW w:w="4376" w:type="dxa"/>
                  <w:gridSpan w:val="3"/>
                  <w:vAlign w:val="center"/>
                </w:tcPr>
                <w:p>
                  <w:pPr>
                    <w:pStyle w:val="42"/>
                  </w:pPr>
                  <w:r>
                    <w:t>SS</w:t>
                  </w:r>
                </w:p>
              </w:tc>
              <w:tc>
                <w:tcPr>
                  <w:tcW w:w="1891" w:type="dxa"/>
                  <w:vAlign w:val="bottom"/>
                </w:tcPr>
                <w:p>
                  <w:pPr>
                    <w:pStyle w:val="42"/>
                  </w:pPr>
                  <w:r>
                    <w:t>0</w:t>
                  </w:r>
                </w:p>
              </w:tc>
            </w:tr>
          </w:tbl>
          <w:p>
            <w:pPr>
              <w:adjustRightInd w:val="0"/>
              <w:snapToGrid w:val="0"/>
              <w:spacing w:line="360" w:lineRule="auto"/>
              <w:ind w:firstLine="482" w:firstLineChars="200"/>
              <w:jc w:val="left"/>
              <w:rPr>
                <w:b/>
                <w:sz w:val="24"/>
              </w:rPr>
            </w:pPr>
            <w:r>
              <w:rPr>
                <w:b/>
                <w:sz w:val="24"/>
              </w:rPr>
              <w:t>3）环境影响分析</w:t>
            </w:r>
          </w:p>
          <w:p>
            <w:pPr>
              <w:adjustRightInd w:val="0"/>
              <w:snapToGrid w:val="0"/>
              <w:spacing w:line="360" w:lineRule="auto"/>
              <w:ind w:firstLine="480" w:firstLineChars="200"/>
              <w:rPr>
                <w:sz w:val="24"/>
              </w:rPr>
            </w:pPr>
            <w:r>
              <w:rPr>
                <w:rFonts w:hint="eastAsia" w:ascii="宋体" w:hAnsi="宋体" w:cs="宋体"/>
                <w:sz w:val="24"/>
              </w:rPr>
              <w:t>①</w:t>
            </w:r>
            <w:r>
              <w:rPr>
                <w:sz w:val="24"/>
              </w:rPr>
              <w:t>污废水对周边环境的影响分析</w:t>
            </w:r>
          </w:p>
          <w:p>
            <w:pPr>
              <w:adjustRightInd w:val="0"/>
              <w:snapToGrid w:val="0"/>
              <w:spacing w:line="360" w:lineRule="auto"/>
              <w:ind w:firstLine="480" w:firstLineChars="200"/>
              <w:rPr>
                <w:sz w:val="24"/>
              </w:rPr>
            </w:pPr>
            <w:r>
              <w:rPr>
                <w:sz w:val="24"/>
              </w:rPr>
              <w:t>灰岩矿山开采企业适用于</w:t>
            </w:r>
            <w:r>
              <w:rPr>
                <w:rFonts w:hint="eastAsia"/>
                <w:color w:val="0000FF"/>
                <w:sz w:val="24"/>
              </w:rPr>
              <w:t>《排污许可证申请与核发技术规范 总则》（HJ 942-2018）</w:t>
            </w:r>
            <w:r>
              <w:rPr>
                <w:sz w:val="24"/>
              </w:rPr>
              <w:t>的相关要求。</w:t>
            </w:r>
          </w:p>
          <w:p>
            <w:pPr>
              <w:adjustRightInd w:val="0"/>
              <w:snapToGrid w:val="0"/>
              <w:spacing w:line="360" w:lineRule="auto"/>
              <w:ind w:firstLine="480" w:firstLineChars="200"/>
              <w:rPr>
                <w:sz w:val="24"/>
              </w:rPr>
            </w:pPr>
            <w:r>
              <w:rPr>
                <w:sz w:val="24"/>
              </w:rPr>
              <w:t>项目于</w:t>
            </w:r>
            <w:r>
              <w:rPr>
                <w:rFonts w:hint="eastAsia"/>
                <w:sz w:val="24"/>
              </w:rPr>
              <w:t>卫生间下方</w:t>
            </w:r>
            <w:r>
              <w:rPr>
                <w:sz w:val="24"/>
              </w:rPr>
              <w:t>设置</w:t>
            </w:r>
            <w:r>
              <w:rPr>
                <w:rFonts w:hint="eastAsia"/>
                <w:sz w:val="24"/>
              </w:rPr>
              <w:t>了</w:t>
            </w:r>
            <w:r>
              <w:rPr>
                <w:sz w:val="24"/>
              </w:rPr>
              <w:t>30m</w:t>
            </w:r>
            <w:r>
              <w:rPr>
                <w:sz w:val="24"/>
                <w:vertAlign w:val="superscript"/>
              </w:rPr>
              <w:t>3</w:t>
            </w:r>
            <w:r>
              <w:rPr>
                <w:rFonts w:hint="eastAsia"/>
                <w:sz w:val="24"/>
              </w:rPr>
              <w:t>的</w:t>
            </w:r>
            <w:r>
              <w:rPr>
                <w:sz w:val="24"/>
              </w:rPr>
              <w:t>化粪池，职工生活污水经化粪池收集后，用作农肥</w:t>
            </w:r>
            <w:r>
              <w:rPr>
                <w:rFonts w:hint="eastAsia"/>
                <w:sz w:val="24"/>
              </w:rPr>
              <w:t>。由于项目地处农村区域，周边农户和土地较多、林地分布较为广泛，项目产生的生活污水量较小，经化粪池厌氧处理后可满足农作物施肥使用，周边大量的林地和农用地可完全消纳项目产生的生活污水。项目</w:t>
            </w:r>
            <w:r>
              <w:rPr>
                <w:sz w:val="24"/>
              </w:rPr>
              <w:t>对进出</w:t>
            </w:r>
            <w:r>
              <w:rPr>
                <w:rFonts w:hint="eastAsia"/>
                <w:sz w:val="24"/>
              </w:rPr>
              <w:t>厂区</w:t>
            </w:r>
            <w:r>
              <w:rPr>
                <w:sz w:val="24"/>
              </w:rPr>
              <w:t>的车辆进行冲洗，冲洗废水进入</w:t>
            </w:r>
            <w:r>
              <w:rPr>
                <w:rFonts w:ascii="宋体" w:hAnsi="宋体"/>
                <w:sz w:val="24"/>
              </w:rPr>
              <w:t>“</w:t>
            </w:r>
            <w:r>
              <w:rPr>
                <w:sz w:val="24"/>
              </w:rPr>
              <w:t>U型</w:t>
            </w:r>
            <w:r>
              <w:rPr>
                <w:rFonts w:ascii="宋体" w:hAnsi="宋体"/>
                <w:sz w:val="24"/>
              </w:rPr>
              <w:t>”</w:t>
            </w:r>
            <w:r>
              <w:rPr>
                <w:sz w:val="24"/>
              </w:rPr>
              <w:t>车辆冲洗池沉淀处理后循环使用，不外排；项目</w:t>
            </w:r>
            <w:r>
              <w:rPr>
                <w:rFonts w:hint="eastAsia"/>
                <w:sz w:val="24"/>
              </w:rPr>
              <w:t>厂区</w:t>
            </w:r>
            <w:r>
              <w:rPr>
                <w:sz w:val="24"/>
              </w:rPr>
              <w:t>初期雨水经</w:t>
            </w:r>
            <w:r>
              <w:rPr>
                <w:rFonts w:hint="eastAsia"/>
                <w:sz w:val="24"/>
              </w:rPr>
              <w:t>雨水沉淀池收集沉淀后用于厂区洒水抑尘</w:t>
            </w:r>
            <w:r>
              <w:rPr>
                <w:sz w:val="24"/>
              </w:rPr>
              <w:t>，不外排。以上措施为</w:t>
            </w:r>
            <w:r>
              <w:rPr>
                <w:rFonts w:hint="eastAsia"/>
                <w:color w:val="0000FF"/>
                <w:sz w:val="24"/>
              </w:rPr>
              <w:t>《排污许可证申请与核发技术规范 总则》（HJ 942-2018）</w:t>
            </w:r>
            <w:r>
              <w:rPr>
                <w:sz w:val="24"/>
              </w:rPr>
              <w:t>中的可行技术，具有可行性。</w:t>
            </w:r>
          </w:p>
          <w:p>
            <w:pPr>
              <w:adjustRightInd w:val="0"/>
              <w:snapToGrid w:val="0"/>
              <w:spacing w:line="360" w:lineRule="auto"/>
              <w:ind w:firstLine="480" w:firstLineChars="200"/>
              <w:rPr>
                <w:sz w:val="24"/>
              </w:rPr>
            </w:pPr>
            <w:r>
              <w:rPr>
                <w:rFonts w:hint="eastAsia"/>
                <w:sz w:val="24"/>
              </w:rPr>
              <w:t>综上，采取以上措施后，项目开采期间无生产废水或生活污水外排；场地初期雨水经沉淀处理后泥沙量大大降低，加上项目区附近无常年径流地表水体，区域地表植被覆盖度高，雨水经土壤和植被进一步净化，对地表水环境影响很小。</w:t>
            </w:r>
          </w:p>
          <w:p>
            <w:pPr>
              <w:adjustRightInd w:val="0"/>
              <w:snapToGrid w:val="0"/>
              <w:spacing w:line="360" w:lineRule="auto"/>
              <w:ind w:firstLine="480" w:firstLineChars="200"/>
              <w:rPr>
                <w:sz w:val="24"/>
              </w:rPr>
            </w:pPr>
            <w:r>
              <w:rPr>
                <w:rFonts w:hint="eastAsia" w:ascii="宋体" w:hAnsi="宋体" w:cs="宋体"/>
                <w:sz w:val="24"/>
              </w:rPr>
              <w:t>②</w:t>
            </w:r>
            <w:r>
              <w:rPr>
                <w:sz w:val="24"/>
              </w:rPr>
              <w:t>废水监测要求</w:t>
            </w:r>
          </w:p>
          <w:p>
            <w:pPr>
              <w:adjustRightInd w:val="0"/>
              <w:snapToGrid w:val="0"/>
              <w:spacing w:line="360" w:lineRule="auto"/>
              <w:ind w:firstLine="480" w:firstLineChars="200"/>
              <w:rPr>
                <w:sz w:val="24"/>
              </w:rPr>
            </w:pPr>
            <w:r>
              <w:rPr>
                <w:sz w:val="24"/>
              </w:rPr>
              <w:t>根据</w:t>
            </w:r>
            <w:r>
              <w:rPr>
                <w:rFonts w:hint="eastAsia"/>
                <w:sz w:val="24"/>
              </w:rPr>
              <w:t>《排污单位自行监测技术指南 总则》（HJ 819-2017）及</w:t>
            </w:r>
            <w:r>
              <w:rPr>
                <w:rFonts w:hint="eastAsia"/>
                <w:color w:val="0000FF"/>
                <w:sz w:val="24"/>
              </w:rPr>
              <w:t>《排污单位自行监测技术指南总则》（H J819-2017）</w:t>
            </w:r>
            <w:r>
              <w:rPr>
                <w:sz w:val="24"/>
              </w:rPr>
              <w:t>，拟建项目废水无需监测。</w:t>
            </w:r>
          </w:p>
          <w:p>
            <w:pPr>
              <w:adjustRightInd w:val="0"/>
              <w:snapToGrid w:val="0"/>
              <w:spacing w:line="360" w:lineRule="auto"/>
              <w:ind w:firstLine="482" w:firstLineChars="200"/>
              <w:jc w:val="left"/>
              <w:rPr>
                <w:b/>
                <w:sz w:val="24"/>
              </w:rPr>
            </w:pPr>
            <w:r>
              <w:rPr>
                <w:b/>
                <w:sz w:val="24"/>
              </w:rPr>
              <w:t>（3）声环境</w:t>
            </w:r>
          </w:p>
          <w:p>
            <w:pPr>
              <w:adjustRightInd w:val="0"/>
              <w:snapToGrid w:val="0"/>
              <w:spacing w:line="360" w:lineRule="auto"/>
              <w:ind w:firstLine="482" w:firstLineChars="200"/>
              <w:jc w:val="left"/>
              <w:rPr>
                <w:b/>
                <w:sz w:val="24"/>
              </w:rPr>
            </w:pPr>
            <w:r>
              <w:rPr>
                <w:b/>
                <w:sz w:val="24"/>
              </w:rPr>
              <w:t>1）环境影响因素分析</w:t>
            </w:r>
          </w:p>
          <w:p>
            <w:pPr>
              <w:adjustRightInd w:val="0"/>
              <w:snapToGrid w:val="0"/>
              <w:spacing w:line="360" w:lineRule="auto"/>
              <w:ind w:firstLine="480" w:firstLineChars="200"/>
              <w:jc w:val="left"/>
              <w:rPr>
                <w:sz w:val="24"/>
              </w:rPr>
            </w:pPr>
            <w:r>
              <w:rPr>
                <w:rFonts w:hint="eastAsia" w:ascii="宋体" w:hAnsi="宋体" w:cs="宋体"/>
                <w:sz w:val="24"/>
              </w:rPr>
              <w:t>①</w:t>
            </w:r>
            <w:r>
              <w:rPr>
                <w:sz w:val="24"/>
              </w:rPr>
              <w:t>生产设备噪声</w:t>
            </w:r>
          </w:p>
          <w:p>
            <w:pPr>
              <w:adjustRightInd w:val="0"/>
              <w:snapToGrid w:val="0"/>
              <w:spacing w:line="360" w:lineRule="auto"/>
              <w:ind w:firstLine="480" w:firstLineChars="200"/>
              <w:jc w:val="left"/>
              <w:rPr>
                <w:sz w:val="24"/>
              </w:rPr>
            </w:pPr>
            <w:r>
              <w:rPr>
                <w:rFonts w:hint="eastAsia"/>
                <w:sz w:val="24"/>
              </w:rPr>
              <w:t>项目开采期间</w:t>
            </w:r>
            <w:r>
              <w:rPr>
                <w:sz w:val="24"/>
              </w:rPr>
              <w:t>主要噪声源是</w:t>
            </w:r>
            <w:r>
              <w:rPr>
                <w:rFonts w:hint="eastAsia"/>
                <w:sz w:val="24"/>
              </w:rPr>
              <w:t>采区</w:t>
            </w:r>
            <w:r>
              <w:rPr>
                <w:sz w:val="24"/>
              </w:rPr>
              <w:t>挖掘机、钻机</w:t>
            </w:r>
            <w:r>
              <w:rPr>
                <w:rFonts w:hint="eastAsia"/>
                <w:sz w:val="24"/>
              </w:rPr>
              <w:t>、铲车</w:t>
            </w:r>
            <w:r>
              <w:rPr>
                <w:sz w:val="24"/>
              </w:rPr>
              <w:t>等</w:t>
            </w:r>
            <w:r>
              <w:rPr>
                <w:rFonts w:hint="eastAsia"/>
                <w:sz w:val="24"/>
              </w:rPr>
              <w:t>室外噪声源及加工区内破碎机、振动筛、空压机等室内固定噪声源</w:t>
            </w:r>
            <w:r>
              <w:rPr>
                <w:sz w:val="24"/>
              </w:rPr>
              <w:t>，</w:t>
            </w:r>
            <w:r>
              <w:rPr>
                <w:rFonts w:hint="eastAsia"/>
                <w:sz w:val="24"/>
              </w:rPr>
              <w:t>可采用隔声、降噪处理。</w:t>
            </w:r>
            <w:r>
              <w:rPr>
                <w:sz w:val="24"/>
              </w:rPr>
              <w:t>各噪声设施及采取降噪措施后的声源源强见表4-1</w:t>
            </w:r>
            <w:r>
              <w:rPr>
                <w:rFonts w:hint="eastAsia"/>
                <w:sz w:val="24"/>
              </w:rPr>
              <w:t>8、表4</w:t>
            </w:r>
            <w:r>
              <w:rPr>
                <w:sz w:val="24"/>
              </w:rPr>
              <w:t>-1</w:t>
            </w:r>
            <w:r>
              <w:rPr>
                <w:rFonts w:hint="eastAsia"/>
                <w:sz w:val="24"/>
              </w:rPr>
              <w:t>9、表4-20</w:t>
            </w:r>
            <w:r>
              <w:rPr>
                <w:sz w:val="24"/>
              </w:rPr>
              <w:t>。</w:t>
            </w:r>
          </w:p>
        </w:tc>
      </w:tr>
    </w:tbl>
    <w:p/>
    <w:p>
      <w:pPr>
        <w:sectPr>
          <w:pgSz w:w="11906" w:h="16838"/>
          <w:pgMar w:top="1440" w:right="1080" w:bottom="1440" w:left="1080" w:header="851" w:footer="1077" w:gutter="0"/>
          <w:cols w:space="720" w:num="1"/>
          <w:docGrid w:linePitch="312" w:charSpace="0"/>
        </w:sectPr>
      </w:pPr>
    </w:p>
    <w:tbl>
      <w:tblPr>
        <w:tblStyle w:val="15"/>
        <w:tblW w:w="1465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41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766" w:hRule="atLeast"/>
          <w:jc w:val="center"/>
        </w:trPr>
        <w:tc>
          <w:tcPr>
            <w:tcW w:w="466" w:type="dxa"/>
            <w:vAlign w:val="center"/>
          </w:tcPr>
          <w:p>
            <w:pPr>
              <w:adjustRightInd w:val="0"/>
              <w:snapToGrid w:val="0"/>
              <w:jc w:val="center"/>
              <w:rPr>
                <w:sz w:val="24"/>
              </w:rPr>
            </w:pPr>
            <w:r>
              <w:rPr>
                <w:sz w:val="24"/>
              </w:rPr>
              <w:t>运营期生态环境影响分析</w:t>
            </w:r>
          </w:p>
        </w:tc>
        <w:tc>
          <w:tcPr>
            <w:tcW w:w="14192" w:type="dxa"/>
          </w:tcPr>
          <w:p>
            <w:pPr>
              <w:adjustRightInd w:val="0"/>
              <w:snapToGrid w:val="0"/>
              <w:jc w:val="center"/>
              <w:rPr>
                <w:b/>
                <w:sz w:val="24"/>
              </w:rPr>
            </w:pPr>
            <w:r>
              <w:rPr>
                <w:b/>
                <w:sz w:val="24"/>
              </w:rPr>
              <w:t>表4-1</w:t>
            </w:r>
            <w:r>
              <w:rPr>
                <w:rFonts w:hint="eastAsia"/>
                <w:b/>
                <w:sz w:val="24"/>
              </w:rPr>
              <w:t>8</w:t>
            </w:r>
            <w:r>
              <w:rPr>
                <w:b/>
                <w:sz w:val="24"/>
              </w:rPr>
              <w:t xml:space="preserve">  </w:t>
            </w:r>
            <w:r>
              <w:rPr>
                <w:rFonts w:hint="eastAsia"/>
                <w:b/>
                <w:sz w:val="24"/>
              </w:rPr>
              <w:t>室外移动噪声源强一览表</w:t>
            </w:r>
          </w:p>
          <w:tbl>
            <w:tblPr>
              <w:tblStyle w:val="15"/>
              <w:tblW w:w="1396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99"/>
              <w:gridCol w:w="1111"/>
              <w:gridCol w:w="2267"/>
              <w:gridCol w:w="879"/>
              <w:gridCol w:w="1173"/>
              <w:gridCol w:w="882"/>
              <w:gridCol w:w="879"/>
              <w:gridCol w:w="879"/>
              <w:gridCol w:w="1469"/>
              <w:gridCol w:w="1173"/>
              <w:gridCol w:w="1321"/>
              <w:gridCol w:w="12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blHeader/>
              </w:trPr>
              <w:tc>
                <w:tcPr>
                  <w:tcW w:w="699" w:type="dxa"/>
                  <w:vMerge w:val="restart"/>
                  <w:vAlign w:val="center"/>
                </w:tcPr>
                <w:p>
                  <w:pPr>
                    <w:pStyle w:val="42"/>
                  </w:pPr>
                  <w:r>
                    <w:t>序号</w:t>
                  </w:r>
                </w:p>
              </w:tc>
              <w:tc>
                <w:tcPr>
                  <w:tcW w:w="1111" w:type="dxa"/>
                  <w:vMerge w:val="restart"/>
                  <w:vAlign w:val="center"/>
                </w:tcPr>
                <w:p>
                  <w:pPr>
                    <w:pStyle w:val="42"/>
                  </w:pPr>
                  <w:r>
                    <w:t>声源名称</w:t>
                  </w:r>
                </w:p>
              </w:tc>
              <w:tc>
                <w:tcPr>
                  <w:tcW w:w="2267" w:type="dxa"/>
                  <w:vMerge w:val="restart"/>
                  <w:vAlign w:val="center"/>
                </w:tcPr>
                <w:p>
                  <w:pPr>
                    <w:pStyle w:val="42"/>
                  </w:pPr>
                  <w:r>
                    <w:t>型号</w:t>
                  </w:r>
                </w:p>
              </w:tc>
              <w:tc>
                <w:tcPr>
                  <w:tcW w:w="879" w:type="dxa"/>
                  <w:vMerge w:val="restart"/>
                  <w:vAlign w:val="center"/>
                </w:tcPr>
                <w:p>
                  <w:pPr>
                    <w:pStyle w:val="42"/>
                  </w:pPr>
                  <w:r>
                    <w:t>数量</w:t>
                  </w:r>
                </w:p>
              </w:tc>
              <w:tc>
                <w:tcPr>
                  <w:tcW w:w="1173" w:type="dxa"/>
                  <w:vMerge w:val="restart"/>
                  <w:vAlign w:val="center"/>
                </w:tcPr>
                <w:p>
                  <w:pPr>
                    <w:pStyle w:val="42"/>
                  </w:pPr>
                  <w:r>
                    <w:t>所在位置</w:t>
                  </w:r>
                </w:p>
              </w:tc>
              <w:tc>
                <w:tcPr>
                  <w:tcW w:w="2640" w:type="dxa"/>
                  <w:gridSpan w:val="3"/>
                  <w:vAlign w:val="center"/>
                </w:tcPr>
                <w:p>
                  <w:pPr>
                    <w:pStyle w:val="42"/>
                  </w:pPr>
                  <w:r>
                    <w:t>空间相对位置</w:t>
                  </w:r>
                </w:p>
              </w:tc>
              <w:tc>
                <w:tcPr>
                  <w:tcW w:w="2642" w:type="dxa"/>
                  <w:gridSpan w:val="2"/>
                  <w:vAlign w:val="center"/>
                </w:tcPr>
                <w:p>
                  <w:pPr>
                    <w:pStyle w:val="42"/>
                  </w:pPr>
                  <w:r>
                    <w:t>声源源强</w:t>
                  </w:r>
                </w:p>
              </w:tc>
              <w:tc>
                <w:tcPr>
                  <w:tcW w:w="1321" w:type="dxa"/>
                  <w:vMerge w:val="restart"/>
                  <w:vAlign w:val="center"/>
                </w:tcPr>
                <w:p>
                  <w:pPr>
                    <w:pStyle w:val="42"/>
                  </w:pPr>
                  <w:r>
                    <w:t>声源控制措施</w:t>
                  </w:r>
                </w:p>
              </w:tc>
              <w:tc>
                <w:tcPr>
                  <w:tcW w:w="1228" w:type="dxa"/>
                  <w:vMerge w:val="restart"/>
                  <w:vAlign w:val="center"/>
                </w:tcPr>
                <w:p>
                  <w:pPr>
                    <w:pStyle w:val="42"/>
                  </w:pPr>
                  <w:r>
                    <w:t>运行时段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blHeader/>
              </w:trPr>
              <w:tc>
                <w:tcPr>
                  <w:tcW w:w="699" w:type="dxa"/>
                  <w:vMerge w:val="continue"/>
                  <w:vAlign w:val="center"/>
                </w:tcPr>
                <w:p>
                  <w:pPr>
                    <w:pStyle w:val="42"/>
                  </w:pPr>
                </w:p>
              </w:tc>
              <w:tc>
                <w:tcPr>
                  <w:tcW w:w="1111" w:type="dxa"/>
                  <w:vMerge w:val="continue"/>
                  <w:vAlign w:val="center"/>
                </w:tcPr>
                <w:p>
                  <w:pPr>
                    <w:pStyle w:val="42"/>
                  </w:pPr>
                </w:p>
              </w:tc>
              <w:tc>
                <w:tcPr>
                  <w:tcW w:w="2267" w:type="dxa"/>
                  <w:vMerge w:val="continue"/>
                  <w:vAlign w:val="center"/>
                </w:tcPr>
                <w:p>
                  <w:pPr>
                    <w:pStyle w:val="42"/>
                  </w:pPr>
                </w:p>
              </w:tc>
              <w:tc>
                <w:tcPr>
                  <w:tcW w:w="879" w:type="dxa"/>
                  <w:vMerge w:val="continue"/>
                  <w:vAlign w:val="center"/>
                </w:tcPr>
                <w:p>
                  <w:pPr>
                    <w:pStyle w:val="42"/>
                  </w:pPr>
                </w:p>
              </w:tc>
              <w:tc>
                <w:tcPr>
                  <w:tcW w:w="1173" w:type="dxa"/>
                  <w:vMerge w:val="continue"/>
                  <w:vAlign w:val="center"/>
                </w:tcPr>
                <w:p>
                  <w:pPr>
                    <w:pStyle w:val="42"/>
                  </w:pPr>
                </w:p>
              </w:tc>
              <w:tc>
                <w:tcPr>
                  <w:tcW w:w="882" w:type="dxa"/>
                  <w:vAlign w:val="center"/>
                </w:tcPr>
                <w:p>
                  <w:pPr>
                    <w:pStyle w:val="42"/>
                  </w:pPr>
                  <w:r>
                    <w:t>X</w:t>
                  </w:r>
                </w:p>
              </w:tc>
              <w:tc>
                <w:tcPr>
                  <w:tcW w:w="879" w:type="dxa"/>
                  <w:vAlign w:val="center"/>
                </w:tcPr>
                <w:p>
                  <w:pPr>
                    <w:pStyle w:val="42"/>
                  </w:pPr>
                  <w:r>
                    <w:t>Y</w:t>
                  </w:r>
                </w:p>
              </w:tc>
              <w:tc>
                <w:tcPr>
                  <w:tcW w:w="879" w:type="dxa"/>
                  <w:vAlign w:val="center"/>
                </w:tcPr>
                <w:p>
                  <w:pPr>
                    <w:pStyle w:val="42"/>
                  </w:pPr>
                  <w:r>
                    <w:t>Z</w:t>
                  </w:r>
                </w:p>
              </w:tc>
              <w:tc>
                <w:tcPr>
                  <w:tcW w:w="1469" w:type="dxa"/>
                  <w:vAlign w:val="center"/>
                </w:tcPr>
                <w:p>
                  <w:pPr>
                    <w:pStyle w:val="42"/>
                  </w:pPr>
                  <w:r>
                    <w:t>测点至声源距离（m）</w:t>
                  </w:r>
                </w:p>
              </w:tc>
              <w:tc>
                <w:tcPr>
                  <w:tcW w:w="1173" w:type="dxa"/>
                  <w:vAlign w:val="center"/>
                </w:tcPr>
                <w:p>
                  <w:pPr>
                    <w:pStyle w:val="42"/>
                  </w:pPr>
                  <w:r>
                    <w:t>声</w:t>
                  </w:r>
                  <w:r>
                    <w:rPr>
                      <w:rFonts w:hint="eastAsia"/>
                    </w:rPr>
                    <w:t>压</w:t>
                  </w:r>
                  <w:r>
                    <w:t>级</w:t>
                  </w:r>
                </w:p>
                <w:p>
                  <w:pPr>
                    <w:pStyle w:val="42"/>
                  </w:pPr>
                  <w:r>
                    <w:t>（dB）</w:t>
                  </w:r>
                </w:p>
              </w:tc>
              <w:tc>
                <w:tcPr>
                  <w:tcW w:w="1321" w:type="dxa"/>
                  <w:vMerge w:val="continue"/>
                  <w:vAlign w:val="center"/>
                </w:tcPr>
                <w:p>
                  <w:pPr>
                    <w:pStyle w:val="42"/>
                  </w:pPr>
                </w:p>
              </w:tc>
              <w:tc>
                <w:tcPr>
                  <w:tcW w:w="1228" w:type="dxa"/>
                  <w:vMerge w:val="continue"/>
                  <w:vAlign w:val="center"/>
                </w:tcPr>
                <w:p>
                  <w:pPr>
                    <w:pStyle w:val="4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99" w:type="dxa"/>
                  <w:vAlign w:val="center"/>
                </w:tcPr>
                <w:p>
                  <w:pPr>
                    <w:pStyle w:val="42"/>
                  </w:pPr>
                  <w:r>
                    <w:t>1</w:t>
                  </w:r>
                </w:p>
              </w:tc>
              <w:tc>
                <w:tcPr>
                  <w:tcW w:w="1111" w:type="dxa"/>
                  <w:vAlign w:val="center"/>
                </w:tcPr>
                <w:p>
                  <w:pPr>
                    <w:pStyle w:val="42"/>
                  </w:pPr>
                  <w:r>
                    <w:t>钻机</w:t>
                  </w:r>
                </w:p>
              </w:tc>
              <w:tc>
                <w:tcPr>
                  <w:tcW w:w="2267" w:type="dxa"/>
                  <w:vAlign w:val="center"/>
                </w:tcPr>
                <w:p>
                  <w:pPr>
                    <w:pStyle w:val="42"/>
                  </w:pPr>
                  <w:r>
                    <w:t>90</w:t>
                  </w:r>
                </w:p>
              </w:tc>
              <w:tc>
                <w:tcPr>
                  <w:tcW w:w="879" w:type="dxa"/>
                  <w:vAlign w:val="center"/>
                </w:tcPr>
                <w:p>
                  <w:pPr>
                    <w:pStyle w:val="42"/>
                  </w:pPr>
                  <w:r>
                    <w:rPr>
                      <w:rFonts w:hint="eastAsia"/>
                    </w:rPr>
                    <w:t>1</w:t>
                  </w:r>
                </w:p>
              </w:tc>
              <w:tc>
                <w:tcPr>
                  <w:tcW w:w="1173" w:type="dxa"/>
                  <w:vAlign w:val="center"/>
                </w:tcPr>
                <w:p>
                  <w:pPr>
                    <w:pStyle w:val="42"/>
                  </w:pPr>
                  <w:r>
                    <w:t>采区</w:t>
                  </w:r>
                </w:p>
              </w:tc>
              <w:tc>
                <w:tcPr>
                  <w:tcW w:w="882" w:type="dxa"/>
                  <w:vAlign w:val="center"/>
                </w:tcPr>
                <w:p>
                  <w:pPr>
                    <w:pStyle w:val="42"/>
                  </w:pPr>
                  <w:r>
                    <w:t>-</w:t>
                  </w:r>
                </w:p>
              </w:tc>
              <w:tc>
                <w:tcPr>
                  <w:tcW w:w="879" w:type="dxa"/>
                  <w:vAlign w:val="center"/>
                </w:tcPr>
                <w:p>
                  <w:pPr>
                    <w:pStyle w:val="42"/>
                  </w:pPr>
                  <w:r>
                    <w:t>-</w:t>
                  </w:r>
                </w:p>
              </w:tc>
              <w:tc>
                <w:tcPr>
                  <w:tcW w:w="879" w:type="dxa"/>
                  <w:vAlign w:val="center"/>
                </w:tcPr>
                <w:p>
                  <w:pPr>
                    <w:pStyle w:val="42"/>
                  </w:pPr>
                  <w:r>
                    <w:t>-</w:t>
                  </w:r>
                </w:p>
              </w:tc>
              <w:tc>
                <w:tcPr>
                  <w:tcW w:w="1469" w:type="dxa"/>
                  <w:vAlign w:val="center"/>
                </w:tcPr>
                <w:p>
                  <w:pPr>
                    <w:pStyle w:val="42"/>
                  </w:pPr>
                  <w:r>
                    <w:t>1</w:t>
                  </w:r>
                </w:p>
              </w:tc>
              <w:tc>
                <w:tcPr>
                  <w:tcW w:w="1173" w:type="dxa"/>
                  <w:vAlign w:val="center"/>
                </w:tcPr>
                <w:p>
                  <w:pPr>
                    <w:pStyle w:val="42"/>
                  </w:pPr>
                  <w:r>
                    <w:t>100</w:t>
                  </w:r>
                </w:p>
              </w:tc>
              <w:tc>
                <w:tcPr>
                  <w:tcW w:w="1321" w:type="dxa"/>
                  <w:vAlign w:val="center"/>
                </w:tcPr>
                <w:p>
                  <w:pPr>
                    <w:pStyle w:val="42"/>
                  </w:pPr>
                  <w:r>
                    <w:t>减震、做好维护保养</w:t>
                  </w:r>
                </w:p>
              </w:tc>
              <w:tc>
                <w:tcPr>
                  <w:tcW w:w="1228" w:type="dxa"/>
                  <w:vAlign w:val="center"/>
                </w:tcPr>
                <w:p>
                  <w:pPr>
                    <w:pStyle w:val="42"/>
                  </w:pPr>
                  <w:r>
                    <w:t>2400h/</w:t>
                  </w:r>
                  <w:r>
                    <w:rPr>
                      <w:rFonts w:hint="eastAsia"/>
                    </w:rPr>
                    <w:t>a</w:t>
                  </w:r>
                  <w:r>
                    <w:t>、频发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99" w:type="dxa"/>
                  <w:vAlign w:val="center"/>
                </w:tcPr>
                <w:p>
                  <w:pPr>
                    <w:pStyle w:val="42"/>
                  </w:pPr>
                  <w:r>
                    <w:t>2</w:t>
                  </w:r>
                </w:p>
              </w:tc>
              <w:tc>
                <w:tcPr>
                  <w:tcW w:w="1111" w:type="dxa"/>
                  <w:vAlign w:val="center"/>
                </w:tcPr>
                <w:p>
                  <w:pPr>
                    <w:pStyle w:val="42"/>
                  </w:pPr>
                  <w:r>
                    <w:t>挖掘机</w:t>
                  </w:r>
                </w:p>
              </w:tc>
              <w:tc>
                <w:tcPr>
                  <w:tcW w:w="2267" w:type="dxa"/>
                  <w:vAlign w:val="center"/>
                </w:tcPr>
                <w:p>
                  <w:pPr>
                    <w:adjustRightInd w:val="0"/>
                    <w:snapToGrid w:val="0"/>
                    <w:jc w:val="center"/>
                    <w:rPr>
                      <w:szCs w:val="21"/>
                      <w:vertAlign w:val="superscript"/>
                    </w:rPr>
                  </w:pPr>
                  <w:r>
                    <w:rPr>
                      <w:szCs w:val="21"/>
                      <w:lang w:bidi="ar"/>
                    </w:rPr>
                    <w:t>铲斗容量：1.35m</w:t>
                  </w:r>
                  <w:r>
                    <w:rPr>
                      <w:szCs w:val="21"/>
                      <w:vertAlign w:val="superscript"/>
                      <w:lang w:bidi="ar"/>
                    </w:rPr>
                    <w:t>3</w:t>
                  </w:r>
                </w:p>
                <w:p>
                  <w:pPr>
                    <w:adjustRightInd w:val="0"/>
                    <w:snapToGrid w:val="0"/>
                    <w:jc w:val="center"/>
                    <w:rPr>
                      <w:szCs w:val="21"/>
                    </w:rPr>
                  </w:pPr>
                  <w:r>
                    <w:rPr>
                      <w:szCs w:val="21"/>
                      <w:lang w:bidi="ar"/>
                    </w:rPr>
                    <w:t>最大挖掘高度：9.46m</w:t>
                  </w:r>
                </w:p>
              </w:tc>
              <w:tc>
                <w:tcPr>
                  <w:tcW w:w="879" w:type="dxa"/>
                  <w:vAlign w:val="center"/>
                </w:tcPr>
                <w:p>
                  <w:pPr>
                    <w:adjustRightInd w:val="0"/>
                    <w:snapToGrid w:val="0"/>
                    <w:jc w:val="center"/>
                    <w:rPr>
                      <w:szCs w:val="21"/>
                    </w:rPr>
                  </w:pPr>
                  <w:r>
                    <w:rPr>
                      <w:rFonts w:hint="eastAsia"/>
                      <w:szCs w:val="21"/>
                    </w:rPr>
                    <w:t>4</w:t>
                  </w:r>
                </w:p>
              </w:tc>
              <w:tc>
                <w:tcPr>
                  <w:tcW w:w="1173" w:type="dxa"/>
                  <w:vAlign w:val="center"/>
                </w:tcPr>
                <w:p>
                  <w:pPr>
                    <w:pStyle w:val="42"/>
                  </w:pPr>
                  <w:r>
                    <w:t>采区</w:t>
                  </w:r>
                  <w:r>
                    <w:rPr>
                      <w:rFonts w:hint="eastAsia"/>
                    </w:rPr>
                    <w:t>、</w:t>
                  </w:r>
                  <w:r>
                    <w:rPr>
                      <w:rFonts w:hint="eastAsia"/>
                      <w:color w:val="0000FF"/>
                    </w:rPr>
                    <w:t>弃渣场</w:t>
                  </w:r>
                  <w:r>
                    <w:rPr>
                      <w:rFonts w:hint="eastAsia"/>
                    </w:rPr>
                    <w:t>、</w:t>
                  </w:r>
                  <w:r>
                    <w:rPr>
                      <w:rFonts w:hint="eastAsia"/>
                      <w:color w:val="0000FF"/>
                    </w:rPr>
                    <w:t>排土场</w:t>
                  </w:r>
                </w:p>
              </w:tc>
              <w:tc>
                <w:tcPr>
                  <w:tcW w:w="882" w:type="dxa"/>
                  <w:vAlign w:val="center"/>
                </w:tcPr>
                <w:p>
                  <w:pPr>
                    <w:pStyle w:val="42"/>
                  </w:pPr>
                  <w:r>
                    <w:t>-</w:t>
                  </w:r>
                </w:p>
              </w:tc>
              <w:tc>
                <w:tcPr>
                  <w:tcW w:w="879" w:type="dxa"/>
                  <w:vAlign w:val="center"/>
                </w:tcPr>
                <w:p>
                  <w:pPr>
                    <w:pStyle w:val="42"/>
                  </w:pPr>
                  <w:r>
                    <w:t>-</w:t>
                  </w:r>
                </w:p>
              </w:tc>
              <w:tc>
                <w:tcPr>
                  <w:tcW w:w="879" w:type="dxa"/>
                  <w:vAlign w:val="center"/>
                </w:tcPr>
                <w:p>
                  <w:pPr>
                    <w:pStyle w:val="42"/>
                  </w:pPr>
                  <w:r>
                    <w:t>-</w:t>
                  </w:r>
                </w:p>
              </w:tc>
              <w:tc>
                <w:tcPr>
                  <w:tcW w:w="1469" w:type="dxa"/>
                  <w:vAlign w:val="center"/>
                </w:tcPr>
                <w:p>
                  <w:pPr>
                    <w:pStyle w:val="42"/>
                  </w:pPr>
                  <w:r>
                    <w:t>5</w:t>
                  </w:r>
                </w:p>
              </w:tc>
              <w:tc>
                <w:tcPr>
                  <w:tcW w:w="1173" w:type="dxa"/>
                  <w:vAlign w:val="center"/>
                </w:tcPr>
                <w:p>
                  <w:pPr>
                    <w:pStyle w:val="42"/>
                  </w:pPr>
                  <w:r>
                    <w:t>84</w:t>
                  </w:r>
                </w:p>
              </w:tc>
              <w:tc>
                <w:tcPr>
                  <w:tcW w:w="1321" w:type="dxa"/>
                  <w:vAlign w:val="center"/>
                </w:tcPr>
                <w:p>
                  <w:pPr>
                    <w:pStyle w:val="42"/>
                  </w:pPr>
                  <w:r>
                    <w:t>做好维护保养</w:t>
                  </w:r>
                </w:p>
              </w:tc>
              <w:tc>
                <w:tcPr>
                  <w:tcW w:w="1228" w:type="dxa"/>
                  <w:vAlign w:val="center"/>
                </w:tcPr>
                <w:p>
                  <w:pPr>
                    <w:pStyle w:val="42"/>
                  </w:pPr>
                  <w:r>
                    <w:t>2400h/</w:t>
                  </w:r>
                  <w:r>
                    <w:rPr>
                      <w:rFonts w:hint="eastAsia"/>
                    </w:rPr>
                    <w:t>a</w:t>
                  </w:r>
                  <w:r>
                    <w:t>、频发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99" w:type="dxa"/>
                  <w:vAlign w:val="center"/>
                </w:tcPr>
                <w:p>
                  <w:pPr>
                    <w:pStyle w:val="42"/>
                  </w:pPr>
                  <w:r>
                    <w:t>3</w:t>
                  </w:r>
                </w:p>
              </w:tc>
              <w:tc>
                <w:tcPr>
                  <w:tcW w:w="1111" w:type="dxa"/>
                  <w:vAlign w:val="center"/>
                </w:tcPr>
                <w:p>
                  <w:pPr>
                    <w:pStyle w:val="42"/>
                  </w:pPr>
                  <w:r>
                    <w:t>铲车</w:t>
                  </w:r>
                </w:p>
              </w:tc>
              <w:tc>
                <w:tcPr>
                  <w:tcW w:w="2267" w:type="dxa"/>
                  <w:vAlign w:val="center"/>
                </w:tcPr>
                <w:p>
                  <w:pPr>
                    <w:adjustRightInd w:val="0"/>
                    <w:snapToGrid w:val="0"/>
                    <w:jc w:val="center"/>
                    <w:rPr>
                      <w:szCs w:val="21"/>
                    </w:rPr>
                  </w:pPr>
                  <w:r>
                    <w:rPr>
                      <w:szCs w:val="21"/>
                    </w:rPr>
                    <w:t>3m</w:t>
                  </w:r>
                  <w:r>
                    <w:rPr>
                      <w:rFonts w:hint="eastAsia" w:eastAsiaTheme="minorEastAsia"/>
                      <w:szCs w:val="21"/>
                      <w:vertAlign w:val="superscript"/>
                    </w:rPr>
                    <w:t>3</w:t>
                  </w:r>
                </w:p>
              </w:tc>
              <w:tc>
                <w:tcPr>
                  <w:tcW w:w="879" w:type="dxa"/>
                  <w:vAlign w:val="center"/>
                </w:tcPr>
                <w:p>
                  <w:pPr>
                    <w:adjustRightInd w:val="0"/>
                    <w:snapToGrid w:val="0"/>
                    <w:jc w:val="center"/>
                    <w:rPr>
                      <w:szCs w:val="21"/>
                    </w:rPr>
                  </w:pPr>
                  <w:r>
                    <w:rPr>
                      <w:rFonts w:hint="eastAsia"/>
                      <w:szCs w:val="21"/>
                    </w:rPr>
                    <w:t>2</w:t>
                  </w:r>
                </w:p>
              </w:tc>
              <w:tc>
                <w:tcPr>
                  <w:tcW w:w="1173" w:type="dxa"/>
                  <w:vAlign w:val="center"/>
                </w:tcPr>
                <w:p>
                  <w:pPr>
                    <w:pStyle w:val="42"/>
                  </w:pPr>
                  <w:r>
                    <w:t>采区</w:t>
                  </w:r>
                </w:p>
              </w:tc>
              <w:tc>
                <w:tcPr>
                  <w:tcW w:w="882" w:type="dxa"/>
                  <w:vAlign w:val="center"/>
                </w:tcPr>
                <w:p>
                  <w:pPr>
                    <w:pStyle w:val="42"/>
                  </w:pPr>
                  <w:r>
                    <w:t>-</w:t>
                  </w:r>
                </w:p>
              </w:tc>
              <w:tc>
                <w:tcPr>
                  <w:tcW w:w="879" w:type="dxa"/>
                  <w:vAlign w:val="center"/>
                </w:tcPr>
                <w:p>
                  <w:pPr>
                    <w:pStyle w:val="42"/>
                  </w:pPr>
                  <w:r>
                    <w:t>-</w:t>
                  </w:r>
                </w:p>
              </w:tc>
              <w:tc>
                <w:tcPr>
                  <w:tcW w:w="879" w:type="dxa"/>
                  <w:vAlign w:val="center"/>
                </w:tcPr>
                <w:p>
                  <w:pPr>
                    <w:pStyle w:val="42"/>
                  </w:pPr>
                  <w:r>
                    <w:t>-</w:t>
                  </w:r>
                </w:p>
              </w:tc>
              <w:tc>
                <w:tcPr>
                  <w:tcW w:w="1469" w:type="dxa"/>
                  <w:vAlign w:val="center"/>
                </w:tcPr>
                <w:p>
                  <w:pPr>
                    <w:pStyle w:val="42"/>
                  </w:pPr>
                  <w:r>
                    <w:t>5</w:t>
                  </w:r>
                </w:p>
              </w:tc>
              <w:tc>
                <w:tcPr>
                  <w:tcW w:w="1173" w:type="dxa"/>
                  <w:vAlign w:val="center"/>
                </w:tcPr>
                <w:p>
                  <w:pPr>
                    <w:pStyle w:val="42"/>
                  </w:pPr>
                  <w:r>
                    <w:t>84</w:t>
                  </w:r>
                </w:p>
              </w:tc>
              <w:tc>
                <w:tcPr>
                  <w:tcW w:w="1321" w:type="dxa"/>
                  <w:vAlign w:val="center"/>
                </w:tcPr>
                <w:p>
                  <w:pPr>
                    <w:pStyle w:val="42"/>
                  </w:pPr>
                  <w:r>
                    <w:t>做好维护保养</w:t>
                  </w:r>
                </w:p>
              </w:tc>
              <w:tc>
                <w:tcPr>
                  <w:tcW w:w="1228" w:type="dxa"/>
                  <w:vAlign w:val="center"/>
                </w:tcPr>
                <w:p>
                  <w:pPr>
                    <w:pStyle w:val="42"/>
                  </w:pPr>
                  <w:r>
                    <w:t>2400h/</w:t>
                  </w:r>
                  <w:r>
                    <w:rPr>
                      <w:rFonts w:hint="eastAsia"/>
                    </w:rPr>
                    <w:t>a</w:t>
                  </w:r>
                  <w:r>
                    <w:t>、频发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13960" w:type="dxa"/>
                  <w:gridSpan w:val="12"/>
                </w:tcPr>
                <w:p>
                  <w:pPr>
                    <w:pStyle w:val="42"/>
                    <w:ind w:firstLine="420" w:firstLineChars="200"/>
                    <w:jc w:val="both"/>
                  </w:pPr>
                  <w:r>
                    <w:t>注：</w:t>
                  </w:r>
                  <w:r>
                    <w:rPr>
                      <w:rFonts w:hint="eastAsia"/>
                    </w:rPr>
                    <w:t>项目设备源强参照取自《环境噪声与振动控制工程技术导则》（</w:t>
                  </w:r>
                  <w:r>
                    <w:t>HJ 2034-2013</w:t>
                  </w:r>
                  <w:r>
                    <w:rPr>
                      <w:rFonts w:hint="eastAsia"/>
                    </w:rPr>
                    <w:t>）；为移动声源，空间坐标关系统计情况从略</w:t>
                  </w:r>
                  <w:r>
                    <w:t>。</w:t>
                  </w:r>
                </w:p>
              </w:tc>
            </w:tr>
          </w:tbl>
          <w:p>
            <w:pPr>
              <w:adjustRightInd w:val="0"/>
              <w:snapToGrid w:val="0"/>
              <w:ind w:firstLine="482"/>
              <w:jc w:val="center"/>
              <w:rPr>
                <w:b/>
                <w:sz w:val="24"/>
              </w:rPr>
            </w:pPr>
            <w:r>
              <w:rPr>
                <w:b/>
                <w:sz w:val="24"/>
              </w:rPr>
              <w:t>表4-1</w:t>
            </w:r>
            <w:r>
              <w:rPr>
                <w:rFonts w:hint="eastAsia"/>
                <w:b/>
                <w:sz w:val="24"/>
              </w:rPr>
              <w:t>9</w:t>
            </w:r>
            <w:r>
              <w:rPr>
                <w:b/>
                <w:sz w:val="24"/>
              </w:rPr>
              <w:t xml:space="preserve">  </w:t>
            </w:r>
            <w:r>
              <w:rPr>
                <w:rFonts w:hint="eastAsia"/>
                <w:b/>
                <w:sz w:val="24"/>
              </w:rPr>
              <w:t>室内固定噪声源强一览表</w:t>
            </w:r>
          </w:p>
          <w:tbl>
            <w:tblPr>
              <w:tblStyle w:val="15"/>
              <w:tblW w:w="1396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26"/>
              <w:gridCol w:w="550"/>
              <w:gridCol w:w="1002"/>
              <w:gridCol w:w="427"/>
              <w:gridCol w:w="430"/>
              <w:gridCol w:w="1106"/>
              <w:gridCol w:w="963"/>
              <w:gridCol w:w="637"/>
              <w:gridCol w:w="564"/>
              <w:gridCol w:w="564"/>
              <w:gridCol w:w="564"/>
              <w:gridCol w:w="849"/>
              <w:gridCol w:w="567"/>
              <w:gridCol w:w="1036"/>
              <w:gridCol w:w="1103"/>
              <w:gridCol w:w="994"/>
              <w:gridCol w:w="1128"/>
              <w:gridCol w:w="10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blHeader/>
              </w:trPr>
              <w:tc>
                <w:tcPr>
                  <w:tcW w:w="426" w:type="dxa"/>
                  <w:vMerge w:val="restart"/>
                  <w:vAlign w:val="center"/>
                </w:tcPr>
                <w:p>
                  <w:pPr>
                    <w:pStyle w:val="42"/>
                  </w:pPr>
                  <w:r>
                    <w:rPr>
                      <w:rFonts w:hint="eastAsia"/>
                    </w:rPr>
                    <w:t>序号</w:t>
                  </w:r>
                </w:p>
              </w:tc>
              <w:tc>
                <w:tcPr>
                  <w:tcW w:w="550" w:type="dxa"/>
                  <w:vMerge w:val="restart"/>
                  <w:vAlign w:val="center"/>
                </w:tcPr>
                <w:p>
                  <w:pPr>
                    <w:pStyle w:val="42"/>
                  </w:pPr>
                  <w:r>
                    <w:rPr>
                      <w:rFonts w:hint="eastAsia"/>
                    </w:rPr>
                    <w:t>建筑物名称</w:t>
                  </w:r>
                </w:p>
              </w:tc>
              <w:tc>
                <w:tcPr>
                  <w:tcW w:w="1002" w:type="dxa"/>
                  <w:vMerge w:val="restart"/>
                  <w:vAlign w:val="center"/>
                </w:tcPr>
                <w:p>
                  <w:pPr>
                    <w:pStyle w:val="42"/>
                  </w:pPr>
                  <w:r>
                    <w:rPr>
                      <w:rFonts w:hint="eastAsia"/>
                    </w:rPr>
                    <w:t>声源名称</w:t>
                  </w:r>
                </w:p>
              </w:tc>
              <w:tc>
                <w:tcPr>
                  <w:tcW w:w="427" w:type="dxa"/>
                  <w:vMerge w:val="restart"/>
                  <w:vAlign w:val="center"/>
                </w:tcPr>
                <w:p>
                  <w:pPr>
                    <w:pStyle w:val="42"/>
                  </w:pPr>
                  <w:r>
                    <w:rPr>
                      <w:rFonts w:hint="eastAsia"/>
                    </w:rPr>
                    <w:t>型号</w:t>
                  </w:r>
                </w:p>
              </w:tc>
              <w:tc>
                <w:tcPr>
                  <w:tcW w:w="430" w:type="dxa"/>
                  <w:vMerge w:val="restart"/>
                  <w:vAlign w:val="center"/>
                </w:tcPr>
                <w:p>
                  <w:pPr>
                    <w:pStyle w:val="42"/>
                  </w:pPr>
                  <w:r>
                    <w:rPr>
                      <w:rFonts w:hint="eastAsia"/>
                    </w:rPr>
                    <w:t>数量</w:t>
                  </w:r>
                </w:p>
              </w:tc>
              <w:tc>
                <w:tcPr>
                  <w:tcW w:w="2069" w:type="dxa"/>
                  <w:gridSpan w:val="2"/>
                  <w:vAlign w:val="center"/>
                </w:tcPr>
                <w:p>
                  <w:pPr>
                    <w:pStyle w:val="42"/>
                  </w:pPr>
                  <w:r>
                    <w:rPr>
                      <w:rFonts w:hint="eastAsia"/>
                    </w:rPr>
                    <w:t>声源源强</w:t>
                  </w:r>
                </w:p>
              </w:tc>
              <w:tc>
                <w:tcPr>
                  <w:tcW w:w="637" w:type="dxa"/>
                  <w:vMerge w:val="restart"/>
                  <w:vAlign w:val="center"/>
                </w:tcPr>
                <w:p>
                  <w:pPr>
                    <w:pStyle w:val="42"/>
                  </w:pPr>
                  <w:r>
                    <w:rPr>
                      <w:rFonts w:hint="eastAsia"/>
                    </w:rPr>
                    <w:t>声源控制措施</w:t>
                  </w:r>
                </w:p>
              </w:tc>
              <w:tc>
                <w:tcPr>
                  <w:tcW w:w="1692" w:type="dxa"/>
                  <w:gridSpan w:val="3"/>
                  <w:vAlign w:val="center"/>
                </w:tcPr>
                <w:p>
                  <w:pPr>
                    <w:pStyle w:val="42"/>
                  </w:pPr>
                  <w:r>
                    <w:rPr>
                      <w:rFonts w:hint="eastAsia"/>
                    </w:rPr>
                    <w:t>空间相对位置</w:t>
                  </w:r>
                </w:p>
              </w:tc>
              <w:tc>
                <w:tcPr>
                  <w:tcW w:w="1416" w:type="dxa"/>
                  <w:gridSpan w:val="2"/>
                  <w:vMerge w:val="restart"/>
                  <w:vAlign w:val="center"/>
                </w:tcPr>
                <w:p>
                  <w:pPr>
                    <w:pStyle w:val="42"/>
                  </w:pPr>
                  <w:r>
                    <w:rPr>
                      <w:rFonts w:hint="eastAsia"/>
                    </w:rPr>
                    <w:t>距室内边界距离（</w:t>
                  </w:r>
                  <w:r>
                    <w:t>m</w:t>
                  </w:r>
                  <w:r>
                    <w:rPr>
                      <w:rFonts w:hint="eastAsia"/>
                    </w:rPr>
                    <w:t>）</w:t>
                  </w:r>
                </w:p>
              </w:tc>
              <w:tc>
                <w:tcPr>
                  <w:tcW w:w="1036" w:type="dxa"/>
                  <w:vMerge w:val="restart"/>
                  <w:vAlign w:val="center"/>
                </w:tcPr>
                <w:p>
                  <w:pPr>
                    <w:pStyle w:val="42"/>
                  </w:pPr>
                  <w:r>
                    <w:rPr>
                      <w:rFonts w:hint="eastAsia"/>
                    </w:rPr>
                    <w:t>室内边界声压级（</w:t>
                  </w:r>
                  <w:r>
                    <w:t>dB</w:t>
                  </w:r>
                  <w:r>
                    <w:rPr>
                      <w:rFonts w:hint="eastAsia"/>
                    </w:rPr>
                    <w:t>）</w:t>
                  </w:r>
                </w:p>
              </w:tc>
              <w:tc>
                <w:tcPr>
                  <w:tcW w:w="1103" w:type="dxa"/>
                  <w:vMerge w:val="restart"/>
                  <w:vAlign w:val="center"/>
                </w:tcPr>
                <w:p>
                  <w:pPr>
                    <w:pStyle w:val="42"/>
                  </w:pPr>
                  <w:r>
                    <w:rPr>
                      <w:rFonts w:hint="eastAsia"/>
                    </w:rPr>
                    <w:t>运行</w:t>
                  </w:r>
                </w:p>
                <w:p>
                  <w:pPr>
                    <w:pStyle w:val="42"/>
                  </w:pPr>
                  <w:r>
                    <w:rPr>
                      <w:rFonts w:hint="eastAsia"/>
                    </w:rPr>
                    <w:t>时段</w:t>
                  </w:r>
                </w:p>
              </w:tc>
              <w:tc>
                <w:tcPr>
                  <w:tcW w:w="994" w:type="dxa"/>
                  <w:vMerge w:val="restart"/>
                  <w:vAlign w:val="center"/>
                </w:tcPr>
                <w:p>
                  <w:pPr>
                    <w:pStyle w:val="42"/>
                  </w:pPr>
                  <w:r>
                    <w:rPr>
                      <w:rFonts w:hint="eastAsia"/>
                    </w:rPr>
                    <w:t>建筑物插值损失（</w:t>
                  </w:r>
                  <w:r>
                    <w:t>dB</w:t>
                  </w:r>
                  <w:r>
                    <w:rPr>
                      <w:rFonts w:hint="eastAsia"/>
                    </w:rPr>
                    <w:t>）</w:t>
                  </w:r>
                </w:p>
              </w:tc>
              <w:tc>
                <w:tcPr>
                  <w:tcW w:w="2178" w:type="dxa"/>
                  <w:gridSpan w:val="2"/>
                  <w:tcBorders>
                    <w:bottom w:val="single" w:color="auto" w:sz="4" w:space="0"/>
                  </w:tcBorders>
                  <w:vAlign w:val="center"/>
                </w:tcPr>
                <w:p>
                  <w:pPr>
                    <w:pStyle w:val="42"/>
                  </w:pPr>
                  <w:r>
                    <w:rPr>
                      <w:rFonts w:hint="eastAsia"/>
                    </w:rPr>
                    <w:t>考虑插值损失后，厂界噪声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blHeader/>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Align w:val="center"/>
                </w:tcPr>
                <w:p>
                  <w:pPr>
                    <w:pStyle w:val="42"/>
                  </w:pPr>
                  <w:r>
                    <w:rPr>
                      <w:rFonts w:hint="eastAsia"/>
                    </w:rPr>
                    <w:t>测点至声源距离（</w:t>
                  </w:r>
                  <w:r>
                    <w:t>m</w:t>
                  </w:r>
                  <w:r>
                    <w:rPr>
                      <w:rFonts w:hint="eastAsia"/>
                    </w:rPr>
                    <w:t>）</w:t>
                  </w:r>
                </w:p>
              </w:tc>
              <w:tc>
                <w:tcPr>
                  <w:tcW w:w="963" w:type="dxa"/>
                  <w:vAlign w:val="center"/>
                </w:tcPr>
                <w:p>
                  <w:pPr>
                    <w:pStyle w:val="42"/>
                  </w:pPr>
                  <w:r>
                    <w:rPr>
                      <w:rFonts w:hint="eastAsia"/>
                    </w:rPr>
                    <w:t>声功率级（</w:t>
                  </w:r>
                  <w:r>
                    <w:t>dB</w:t>
                  </w:r>
                  <w:r>
                    <w:rPr>
                      <w:rFonts w:hint="eastAsia"/>
                    </w:rPr>
                    <w:t>）</w:t>
                  </w:r>
                </w:p>
              </w:tc>
              <w:tc>
                <w:tcPr>
                  <w:tcW w:w="637" w:type="dxa"/>
                  <w:vMerge w:val="continue"/>
                  <w:vAlign w:val="center"/>
                </w:tcPr>
                <w:p>
                  <w:pPr>
                    <w:pStyle w:val="42"/>
                  </w:pPr>
                </w:p>
              </w:tc>
              <w:tc>
                <w:tcPr>
                  <w:tcW w:w="564" w:type="dxa"/>
                  <w:vAlign w:val="center"/>
                </w:tcPr>
                <w:p>
                  <w:pPr>
                    <w:pStyle w:val="42"/>
                  </w:pPr>
                  <w:r>
                    <w:rPr>
                      <w:rFonts w:hint="eastAsia"/>
                    </w:rPr>
                    <w:t>X</w:t>
                  </w:r>
                </w:p>
              </w:tc>
              <w:tc>
                <w:tcPr>
                  <w:tcW w:w="564" w:type="dxa"/>
                  <w:vAlign w:val="center"/>
                </w:tcPr>
                <w:p>
                  <w:pPr>
                    <w:pStyle w:val="42"/>
                  </w:pPr>
                  <w:r>
                    <w:t>Y</w:t>
                  </w:r>
                </w:p>
              </w:tc>
              <w:tc>
                <w:tcPr>
                  <w:tcW w:w="564" w:type="dxa"/>
                  <w:vAlign w:val="center"/>
                </w:tcPr>
                <w:p>
                  <w:pPr>
                    <w:pStyle w:val="42"/>
                  </w:pPr>
                  <w:r>
                    <w:rPr>
                      <w:rFonts w:hint="eastAsia"/>
                    </w:rPr>
                    <w:t>Z</w:t>
                  </w:r>
                </w:p>
              </w:tc>
              <w:tc>
                <w:tcPr>
                  <w:tcW w:w="1416" w:type="dxa"/>
                  <w:gridSpan w:val="2"/>
                  <w:vMerge w:val="continue"/>
                  <w:vAlign w:val="center"/>
                </w:tcPr>
                <w:p>
                  <w:pPr>
                    <w:pStyle w:val="42"/>
                  </w:pPr>
                </w:p>
              </w:tc>
              <w:tc>
                <w:tcPr>
                  <w:tcW w:w="1036" w:type="dxa"/>
                  <w:vMerge w:val="continue"/>
                  <w:vAlign w:val="center"/>
                </w:tcPr>
                <w:p>
                  <w:pPr>
                    <w:pStyle w:val="42"/>
                  </w:pPr>
                </w:p>
              </w:tc>
              <w:tc>
                <w:tcPr>
                  <w:tcW w:w="1103" w:type="dxa"/>
                  <w:vMerge w:val="continue"/>
                  <w:vAlign w:val="center"/>
                </w:tcPr>
                <w:p>
                  <w:pPr>
                    <w:pStyle w:val="42"/>
                  </w:pPr>
                </w:p>
              </w:tc>
              <w:tc>
                <w:tcPr>
                  <w:tcW w:w="994" w:type="dxa"/>
                  <w:vMerge w:val="continue"/>
                  <w:vAlign w:val="center"/>
                </w:tcPr>
                <w:p>
                  <w:pPr>
                    <w:pStyle w:val="42"/>
                  </w:pPr>
                </w:p>
              </w:tc>
              <w:tc>
                <w:tcPr>
                  <w:tcW w:w="1128" w:type="dxa"/>
                  <w:tcBorders>
                    <w:top w:val="single" w:color="auto" w:sz="4" w:space="0"/>
                    <w:right w:val="single" w:color="auto" w:sz="4" w:space="0"/>
                  </w:tcBorders>
                  <w:vAlign w:val="center"/>
                </w:tcPr>
                <w:p>
                  <w:pPr>
                    <w:pStyle w:val="42"/>
                  </w:pPr>
                  <w:r>
                    <w:rPr>
                      <w:rFonts w:hint="eastAsia"/>
                    </w:rPr>
                    <w:t>测点至声源距离（</w:t>
                  </w:r>
                  <w:r>
                    <w:t>m</w:t>
                  </w:r>
                  <w:r>
                    <w:rPr>
                      <w:rFonts w:hint="eastAsia"/>
                    </w:rPr>
                    <w:t>）</w:t>
                  </w:r>
                </w:p>
              </w:tc>
              <w:tc>
                <w:tcPr>
                  <w:tcW w:w="1050" w:type="dxa"/>
                  <w:tcBorders>
                    <w:top w:val="single" w:color="auto" w:sz="4" w:space="0"/>
                    <w:left w:val="single" w:color="auto" w:sz="4" w:space="0"/>
                  </w:tcBorders>
                  <w:vAlign w:val="center"/>
                </w:tcPr>
                <w:p>
                  <w:pPr>
                    <w:pStyle w:val="42"/>
                  </w:pPr>
                  <w:r>
                    <w:rPr>
                      <w:rFonts w:hint="eastAsia"/>
                    </w:rPr>
                    <w:t>声压级（</w:t>
                  </w:r>
                  <w:r>
                    <w:t>dB</w:t>
                  </w:r>
                  <w:r>
                    <w:rPr>
                      <w:rFonts w:hint="eastAsia"/>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restart"/>
                  <w:vAlign w:val="center"/>
                </w:tcPr>
                <w:p>
                  <w:pPr>
                    <w:pStyle w:val="42"/>
                  </w:pPr>
                  <w:r>
                    <w:rPr>
                      <w:rFonts w:hint="eastAsia"/>
                    </w:rPr>
                    <w:t>1</w:t>
                  </w:r>
                </w:p>
              </w:tc>
              <w:tc>
                <w:tcPr>
                  <w:tcW w:w="550" w:type="dxa"/>
                  <w:vMerge w:val="restart"/>
                  <w:vAlign w:val="center"/>
                </w:tcPr>
                <w:p>
                  <w:pPr>
                    <w:pStyle w:val="42"/>
                  </w:pPr>
                  <w:r>
                    <w:rPr>
                      <w:rFonts w:hint="eastAsia"/>
                    </w:rPr>
                    <w:t>加工区</w:t>
                  </w:r>
                </w:p>
              </w:tc>
              <w:tc>
                <w:tcPr>
                  <w:tcW w:w="1002" w:type="dxa"/>
                  <w:vMerge w:val="restart"/>
                  <w:vAlign w:val="center"/>
                </w:tcPr>
                <w:p>
                  <w:pPr>
                    <w:pStyle w:val="42"/>
                  </w:pPr>
                  <w:r>
                    <w:rPr>
                      <w:rFonts w:hint="eastAsia"/>
                    </w:rPr>
                    <w:t>鄂式破碎机</w:t>
                  </w:r>
                </w:p>
              </w:tc>
              <w:tc>
                <w:tcPr>
                  <w:tcW w:w="427" w:type="dxa"/>
                  <w:vMerge w:val="restart"/>
                  <w:vAlign w:val="center"/>
                </w:tcPr>
                <w:p>
                  <w:pPr>
                    <w:pStyle w:val="42"/>
                  </w:pPr>
                  <w:r>
                    <w:rPr>
                      <w:rFonts w:hint="eastAsia"/>
                    </w:rPr>
                    <w:t>/</w:t>
                  </w:r>
                </w:p>
              </w:tc>
              <w:tc>
                <w:tcPr>
                  <w:tcW w:w="430" w:type="dxa"/>
                  <w:vMerge w:val="restart"/>
                  <w:vAlign w:val="center"/>
                </w:tcPr>
                <w:p>
                  <w:pPr>
                    <w:pStyle w:val="42"/>
                  </w:pPr>
                  <w:r>
                    <w:rPr>
                      <w:rFonts w:hint="eastAsia"/>
                    </w:rPr>
                    <w:t>1</w:t>
                  </w:r>
                </w:p>
              </w:tc>
              <w:tc>
                <w:tcPr>
                  <w:tcW w:w="1106" w:type="dxa"/>
                  <w:vMerge w:val="restart"/>
                  <w:vAlign w:val="center"/>
                </w:tcPr>
                <w:p>
                  <w:pPr>
                    <w:pStyle w:val="42"/>
                  </w:pPr>
                  <w:r>
                    <w:t>5</w:t>
                  </w:r>
                </w:p>
              </w:tc>
              <w:tc>
                <w:tcPr>
                  <w:tcW w:w="963" w:type="dxa"/>
                  <w:vMerge w:val="restart"/>
                  <w:vAlign w:val="center"/>
                </w:tcPr>
                <w:p>
                  <w:pPr>
                    <w:pStyle w:val="42"/>
                  </w:pPr>
                  <w:r>
                    <w:t>85</w:t>
                  </w:r>
                </w:p>
              </w:tc>
              <w:tc>
                <w:tcPr>
                  <w:tcW w:w="637" w:type="dxa"/>
                  <w:vMerge w:val="restart"/>
                  <w:vAlign w:val="center"/>
                </w:tcPr>
                <w:p>
                  <w:pPr>
                    <w:pStyle w:val="42"/>
                  </w:pPr>
                  <w:r>
                    <w:rPr>
                      <w:rFonts w:hint="eastAsia"/>
                    </w:rPr>
                    <w:t>减震、隔声</w:t>
                  </w:r>
                </w:p>
              </w:tc>
              <w:tc>
                <w:tcPr>
                  <w:tcW w:w="564" w:type="dxa"/>
                  <w:vMerge w:val="restart"/>
                  <w:vAlign w:val="center"/>
                </w:tcPr>
                <w:p>
                  <w:pPr>
                    <w:pStyle w:val="42"/>
                  </w:pPr>
                  <w:r>
                    <w:rPr>
                      <w:rFonts w:hint="eastAsia"/>
                    </w:rPr>
                    <w:t>27</w:t>
                  </w:r>
                </w:p>
              </w:tc>
              <w:tc>
                <w:tcPr>
                  <w:tcW w:w="564" w:type="dxa"/>
                  <w:vMerge w:val="restart"/>
                  <w:vAlign w:val="center"/>
                </w:tcPr>
                <w:p>
                  <w:pPr>
                    <w:pStyle w:val="42"/>
                  </w:pPr>
                  <w:r>
                    <w:rPr>
                      <w:rFonts w:hint="eastAsia"/>
                    </w:rPr>
                    <w:t>-2</w:t>
                  </w:r>
                </w:p>
              </w:tc>
              <w:tc>
                <w:tcPr>
                  <w:tcW w:w="564" w:type="dxa"/>
                  <w:vMerge w:val="restart"/>
                  <w:vAlign w:val="center"/>
                </w:tcPr>
                <w:p>
                  <w:pPr>
                    <w:pStyle w:val="42"/>
                    <w:rPr>
                      <w:color w:val="0000FF"/>
                    </w:rPr>
                  </w:pPr>
                  <w:r>
                    <w:rPr>
                      <w:rFonts w:hint="eastAsia"/>
                      <w:color w:val="0000FF"/>
                    </w:rPr>
                    <w:t>2</w:t>
                  </w:r>
                </w:p>
              </w:tc>
              <w:tc>
                <w:tcPr>
                  <w:tcW w:w="849" w:type="dxa"/>
                  <w:vAlign w:val="center"/>
                </w:tcPr>
                <w:p>
                  <w:pPr>
                    <w:pStyle w:val="42"/>
                  </w:pPr>
                  <w:r>
                    <w:rPr>
                      <w:rFonts w:hint="eastAsia"/>
                    </w:rPr>
                    <w:t>东</w:t>
                  </w:r>
                </w:p>
              </w:tc>
              <w:tc>
                <w:tcPr>
                  <w:tcW w:w="567" w:type="dxa"/>
                  <w:vAlign w:val="center"/>
                </w:tcPr>
                <w:p>
                  <w:pPr>
                    <w:pStyle w:val="42"/>
                  </w:pPr>
                  <w:r>
                    <w:rPr>
                      <w:rFonts w:hint="eastAsia"/>
                    </w:rPr>
                    <w:t>2</w:t>
                  </w:r>
                </w:p>
              </w:tc>
              <w:tc>
                <w:tcPr>
                  <w:tcW w:w="1036" w:type="dxa"/>
                  <w:vAlign w:val="center"/>
                </w:tcPr>
                <w:p>
                  <w:pPr>
                    <w:pStyle w:val="42"/>
                    <w:rPr>
                      <w:color w:val="0000FF"/>
                    </w:rPr>
                  </w:pPr>
                  <w:r>
                    <w:rPr>
                      <w:rFonts w:hint="eastAsia"/>
                      <w:color w:val="0000FF"/>
                    </w:rPr>
                    <w:t>93.0</w:t>
                  </w:r>
                </w:p>
              </w:tc>
              <w:tc>
                <w:tcPr>
                  <w:tcW w:w="1103" w:type="dxa"/>
                  <w:vMerge w:val="restart"/>
                  <w:vAlign w:val="center"/>
                </w:tcPr>
                <w:p>
                  <w:pPr>
                    <w:pStyle w:val="42"/>
                  </w:pPr>
                  <w:r>
                    <w:t>2400h/</w:t>
                  </w:r>
                  <w:r>
                    <w:rPr>
                      <w:rFonts w:hint="eastAsia"/>
                    </w:rPr>
                    <w:t>a</w:t>
                  </w:r>
                  <w:r>
                    <w:t>、频发</w:t>
                  </w:r>
                </w:p>
              </w:tc>
              <w:tc>
                <w:tcPr>
                  <w:tcW w:w="994" w:type="dxa"/>
                  <w:tcBorders>
                    <w:bottom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110</w:t>
                  </w:r>
                </w:p>
              </w:tc>
              <w:tc>
                <w:tcPr>
                  <w:tcW w:w="1050" w:type="dxa"/>
                  <w:tcBorders>
                    <w:left w:val="single" w:color="auto" w:sz="4" w:space="0"/>
                  </w:tcBorders>
                  <w:vAlign w:val="center"/>
                </w:tcPr>
                <w:p>
                  <w:pPr>
                    <w:pStyle w:val="42"/>
                    <w:rPr>
                      <w:color w:val="0000FF"/>
                    </w:rPr>
                  </w:pPr>
                  <w:r>
                    <w:rPr>
                      <w:rFonts w:hint="eastAsia"/>
                      <w:color w:val="0000FF"/>
                    </w:rPr>
                    <w:t>53.2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南</w:t>
                  </w:r>
                </w:p>
              </w:tc>
              <w:tc>
                <w:tcPr>
                  <w:tcW w:w="567" w:type="dxa"/>
                  <w:vAlign w:val="center"/>
                </w:tcPr>
                <w:p>
                  <w:pPr>
                    <w:pStyle w:val="42"/>
                  </w:pPr>
                  <w:r>
                    <w:rPr>
                      <w:rFonts w:hint="eastAsia"/>
                    </w:rPr>
                    <w:t>15</w:t>
                  </w:r>
                </w:p>
              </w:tc>
              <w:tc>
                <w:tcPr>
                  <w:tcW w:w="1036" w:type="dxa"/>
                  <w:vAlign w:val="center"/>
                </w:tcPr>
                <w:p>
                  <w:pPr>
                    <w:pStyle w:val="42"/>
                    <w:rPr>
                      <w:color w:val="0000FF"/>
                    </w:rPr>
                  </w:pPr>
                  <w:r>
                    <w:rPr>
                      <w:rFonts w:hint="eastAsia"/>
                      <w:color w:val="0000FF"/>
                    </w:rPr>
                    <w:t>75.5</w:t>
                  </w:r>
                </w:p>
              </w:tc>
              <w:tc>
                <w:tcPr>
                  <w:tcW w:w="1103" w:type="dxa"/>
                  <w:vMerge w:val="continue"/>
                  <w:vAlign w:val="center"/>
                </w:tcPr>
                <w:p>
                  <w:pPr>
                    <w:pStyle w:val="42"/>
                  </w:pPr>
                </w:p>
              </w:tc>
              <w:tc>
                <w:tcPr>
                  <w:tcW w:w="994" w:type="dxa"/>
                  <w:tcBorders>
                    <w:top w:val="single" w:color="auto" w:sz="4" w:space="0"/>
                    <w:bottom w:val="single" w:color="auto" w:sz="4" w:space="0"/>
                  </w:tcBorders>
                  <w:vAlign w:val="center"/>
                </w:tcPr>
                <w:p>
                  <w:pPr>
                    <w:pStyle w:val="42"/>
                  </w:pPr>
                  <w:r>
                    <w:rPr>
                      <w:rFonts w:hint="eastAsia"/>
                    </w:rPr>
                    <w:t>25</w:t>
                  </w:r>
                </w:p>
              </w:tc>
              <w:tc>
                <w:tcPr>
                  <w:tcW w:w="1128" w:type="dxa"/>
                  <w:tcBorders>
                    <w:right w:val="single" w:color="auto" w:sz="4" w:space="0"/>
                  </w:tcBorders>
                  <w:vAlign w:val="center"/>
                </w:tcPr>
                <w:p>
                  <w:pPr>
                    <w:pStyle w:val="42"/>
                  </w:pPr>
                  <w:r>
                    <w:rPr>
                      <w:rFonts w:hint="eastAsia"/>
                    </w:rPr>
                    <w:t>30</w:t>
                  </w:r>
                </w:p>
              </w:tc>
              <w:tc>
                <w:tcPr>
                  <w:tcW w:w="1050" w:type="dxa"/>
                  <w:tcBorders>
                    <w:left w:val="single" w:color="auto" w:sz="4" w:space="0"/>
                  </w:tcBorders>
                  <w:vAlign w:val="center"/>
                </w:tcPr>
                <w:p>
                  <w:pPr>
                    <w:pStyle w:val="42"/>
                    <w:rPr>
                      <w:color w:val="0000FF"/>
                    </w:rPr>
                  </w:pPr>
                  <w:r>
                    <w:rPr>
                      <w:rFonts w:hint="eastAsia"/>
                      <w:color w:val="0000FF"/>
                    </w:rPr>
                    <w:t>44.5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西</w:t>
                  </w:r>
                </w:p>
              </w:tc>
              <w:tc>
                <w:tcPr>
                  <w:tcW w:w="567" w:type="dxa"/>
                  <w:vAlign w:val="center"/>
                </w:tcPr>
                <w:p>
                  <w:pPr>
                    <w:pStyle w:val="42"/>
                  </w:pPr>
                  <w:r>
                    <w:rPr>
                      <w:rFonts w:hint="eastAsia"/>
                    </w:rPr>
                    <w:t>55</w:t>
                  </w:r>
                </w:p>
              </w:tc>
              <w:tc>
                <w:tcPr>
                  <w:tcW w:w="1036" w:type="dxa"/>
                  <w:vAlign w:val="center"/>
                </w:tcPr>
                <w:p>
                  <w:pPr>
                    <w:pStyle w:val="42"/>
                    <w:rPr>
                      <w:color w:val="0000FF"/>
                    </w:rPr>
                  </w:pPr>
                  <w:r>
                    <w:rPr>
                      <w:rFonts w:hint="eastAsia"/>
                      <w:color w:val="0000FF"/>
                    </w:rPr>
                    <w:t>64.2</w:t>
                  </w:r>
                </w:p>
              </w:tc>
              <w:tc>
                <w:tcPr>
                  <w:tcW w:w="1103" w:type="dxa"/>
                  <w:vMerge w:val="continue"/>
                  <w:vAlign w:val="center"/>
                </w:tcPr>
                <w:p>
                  <w:pPr>
                    <w:pStyle w:val="42"/>
                  </w:pPr>
                </w:p>
              </w:tc>
              <w:tc>
                <w:tcPr>
                  <w:tcW w:w="994" w:type="dxa"/>
                  <w:tcBorders>
                    <w:top w:val="single" w:color="auto" w:sz="4" w:space="0"/>
                    <w:bottom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97</w:t>
                  </w:r>
                </w:p>
              </w:tc>
              <w:tc>
                <w:tcPr>
                  <w:tcW w:w="1050" w:type="dxa"/>
                  <w:tcBorders>
                    <w:left w:val="single" w:color="auto" w:sz="4" w:space="0"/>
                  </w:tcBorders>
                  <w:vAlign w:val="center"/>
                </w:tcPr>
                <w:p>
                  <w:pPr>
                    <w:pStyle w:val="42"/>
                    <w:rPr>
                      <w:color w:val="0000FF"/>
                    </w:rPr>
                  </w:pPr>
                  <w:r>
                    <w:rPr>
                      <w:rFonts w:hint="eastAsia"/>
                      <w:color w:val="0000FF"/>
                    </w:rPr>
                    <w:t>54.3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北</w:t>
                  </w:r>
                </w:p>
              </w:tc>
              <w:tc>
                <w:tcPr>
                  <w:tcW w:w="567" w:type="dxa"/>
                  <w:vAlign w:val="center"/>
                </w:tcPr>
                <w:p>
                  <w:pPr>
                    <w:pStyle w:val="42"/>
                  </w:pPr>
                  <w:r>
                    <w:rPr>
                      <w:rFonts w:hint="eastAsia"/>
                    </w:rPr>
                    <w:t>5</w:t>
                  </w:r>
                </w:p>
              </w:tc>
              <w:tc>
                <w:tcPr>
                  <w:tcW w:w="1036" w:type="dxa"/>
                  <w:vAlign w:val="center"/>
                </w:tcPr>
                <w:p>
                  <w:pPr>
                    <w:pStyle w:val="42"/>
                    <w:rPr>
                      <w:color w:val="0000FF"/>
                    </w:rPr>
                  </w:pPr>
                  <w:r>
                    <w:rPr>
                      <w:rFonts w:hint="eastAsia"/>
                      <w:color w:val="0000FF"/>
                    </w:rPr>
                    <w:t>85</w:t>
                  </w:r>
                </w:p>
              </w:tc>
              <w:tc>
                <w:tcPr>
                  <w:tcW w:w="1103" w:type="dxa"/>
                  <w:vMerge w:val="continue"/>
                  <w:vAlign w:val="center"/>
                </w:tcPr>
                <w:p>
                  <w:pPr>
                    <w:pStyle w:val="42"/>
                  </w:pPr>
                </w:p>
              </w:tc>
              <w:tc>
                <w:tcPr>
                  <w:tcW w:w="994" w:type="dxa"/>
                  <w:tcBorders>
                    <w:top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135</w:t>
                  </w:r>
                </w:p>
              </w:tc>
              <w:tc>
                <w:tcPr>
                  <w:tcW w:w="1050" w:type="dxa"/>
                  <w:tcBorders>
                    <w:left w:val="single" w:color="auto" w:sz="4" w:space="0"/>
                  </w:tcBorders>
                  <w:vAlign w:val="center"/>
                </w:tcPr>
                <w:p>
                  <w:pPr>
                    <w:pStyle w:val="42"/>
                    <w:rPr>
                      <w:color w:val="0000FF"/>
                    </w:rPr>
                  </w:pPr>
                  <w:r>
                    <w:rPr>
                      <w:rFonts w:hint="eastAsia"/>
                      <w:color w:val="0000FF"/>
                    </w:rPr>
                    <w:t>51.4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restart"/>
                  <w:vAlign w:val="center"/>
                </w:tcPr>
                <w:p>
                  <w:pPr>
                    <w:pStyle w:val="42"/>
                  </w:pPr>
                  <w:r>
                    <w:rPr>
                      <w:rFonts w:hint="eastAsia"/>
                    </w:rPr>
                    <w:t>2</w:t>
                  </w:r>
                </w:p>
              </w:tc>
              <w:tc>
                <w:tcPr>
                  <w:tcW w:w="550" w:type="dxa"/>
                  <w:vMerge w:val="restart"/>
                  <w:vAlign w:val="center"/>
                </w:tcPr>
                <w:p>
                  <w:pPr>
                    <w:pStyle w:val="42"/>
                  </w:pPr>
                  <w:r>
                    <w:rPr>
                      <w:rFonts w:hint="eastAsia"/>
                    </w:rPr>
                    <w:t>加工区</w:t>
                  </w:r>
                </w:p>
              </w:tc>
              <w:tc>
                <w:tcPr>
                  <w:tcW w:w="1002" w:type="dxa"/>
                  <w:vMerge w:val="restart"/>
                  <w:vAlign w:val="center"/>
                </w:tcPr>
                <w:p>
                  <w:pPr>
                    <w:pStyle w:val="42"/>
                  </w:pPr>
                  <w:r>
                    <w:rPr>
                      <w:rFonts w:hint="eastAsia"/>
                    </w:rPr>
                    <w:t>反击式破碎机</w:t>
                  </w:r>
                </w:p>
              </w:tc>
              <w:tc>
                <w:tcPr>
                  <w:tcW w:w="427" w:type="dxa"/>
                  <w:vMerge w:val="restart"/>
                  <w:vAlign w:val="center"/>
                </w:tcPr>
                <w:p>
                  <w:pPr>
                    <w:pStyle w:val="42"/>
                  </w:pPr>
                  <w:r>
                    <w:rPr>
                      <w:rFonts w:hint="eastAsia"/>
                    </w:rPr>
                    <w:t>/</w:t>
                  </w:r>
                </w:p>
              </w:tc>
              <w:tc>
                <w:tcPr>
                  <w:tcW w:w="430" w:type="dxa"/>
                  <w:vMerge w:val="restart"/>
                  <w:vAlign w:val="center"/>
                </w:tcPr>
                <w:p>
                  <w:pPr>
                    <w:pStyle w:val="42"/>
                  </w:pPr>
                  <w:r>
                    <w:rPr>
                      <w:rFonts w:hint="eastAsia"/>
                    </w:rPr>
                    <w:t>1</w:t>
                  </w:r>
                </w:p>
              </w:tc>
              <w:tc>
                <w:tcPr>
                  <w:tcW w:w="1106" w:type="dxa"/>
                  <w:vMerge w:val="restart"/>
                  <w:vAlign w:val="center"/>
                </w:tcPr>
                <w:p>
                  <w:pPr>
                    <w:pStyle w:val="42"/>
                  </w:pPr>
                  <w:r>
                    <w:t>5</w:t>
                  </w:r>
                </w:p>
              </w:tc>
              <w:tc>
                <w:tcPr>
                  <w:tcW w:w="963" w:type="dxa"/>
                  <w:vMerge w:val="restart"/>
                  <w:vAlign w:val="center"/>
                </w:tcPr>
                <w:p>
                  <w:pPr>
                    <w:pStyle w:val="42"/>
                  </w:pPr>
                  <w:r>
                    <w:t>85</w:t>
                  </w:r>
                </w:p>
              </w:tc>
              <w:tc>
                <w:tcPr>
                  <w:tcW w:w="637" w:type="dxa"/>
                  <w:vMerge w:val="restart"/>
                  <w:vAlign w:val="center"/>
                </w:tcPr>
                <w:p>
                  <w:pPr>
                    <w:pStyle w:val="42"/>
                  </w:pPr>
                  <w:r>
                    <w:rPr>
                      <w:rFonts w:hint="eastAsia"/>
                    </w:rPr>
                    <w:t>减震、隔声</w:t>
                  </w:r>
                </w:p>
              </w:tc>
              <w:tc>
                <w:tcPr>
                  <w:tcW w:w="564" w:type="dxa"/>
                  <w:vMerge w:val="restart"/>
                  <w:vAlign w:val="center"/>
                </w:tcPr>
                <w:p>
                  <w:pPr>
                    <w:pStyle w:val="42"/>
                  </w:pPr>
                  <w:r>
                    <w:rPr>
                      <w:rFonts w:hint="eastAsia"/>
                    </w:rPr>
                    <w:t>28</w:t>
                  </w:r>
                </w:p>
              </w:tc>
              <w:tc>
                <w:tcPr>
                  <w:tcW w:w="564" w:type="dxa"/>
                  <w:vMerge w:val="restart"/>
                  <w:vAlign w:val="center"/>
                </w:tcPr>
                <w:p>
                  <w:pPr>
                    <w:pStyle w:val="42"/>
                  </w:pPr>
                  <w:r>
                    <w:rPr>
                      <w:rFonts w:hint="eastAsia"/>
                    </w:rPr>
                    <w:t>-4</w:t>
                  </w:r>
                </w:p>
              </w:tc>
              <w:tc>
                <w:tcPr>
                  <w:tcW w:w="564" w:type="dxa"/>
                  <w:vMerge w:val="restart"/>
                  <w:vAlign w:val="center"/>
                </w:tcPr>
                <w:p>
                  <w:pPr>
                    <w:pStyle w:val="42"/>
                    <w:rPr>
                      <w:color w:val="0000FF"/>
                    </w:rPr>
                  </w:pPr>
                  <w:r>
                    <w:rPr>
                      <w:rFonts w:hint="eastAsia"/>
                      <w:color w:val="0000FF"/>
                    </w:rPr>
                    <w:t>1</w:t>
                  </w:r>
                </w:p>
              </w:tc>
              <w:tc>
                <w:tcPr>
                  <w:tcW w:w="849" w:type="dxa"/>
                  <w:vAlign w:val="center"/>
                </w:tcPr>
                <w:p>
                  <w:pPr>
                    <w:pStyle w:val="42"/>
                  </w:pPr>
                  <w:r>
                    <w:rPr>
                      <w:rFonts w:hint="eastAsia"/>
                    </w:rPr>
                    <w:t>东</w:t>
                  </w:r>
                </w:p>
              </w:tc>
              <w:tc>
                <w:tcPr>
                  <w:tcW w:w="567" w:type="dxa"/>
                  <w:vAlign w:val="center"/>
                </w:tcPr>
                <w:p>
                  <w:pPr>
                    <w:pStyle w:val="42"/>
                  </w:pPr>
                  <w:r>
                    <w:rPr>
                      <w:rFonts w:hint="eastAsia"/>
                    </w:rPr>
                    <w:t>2</w:t>
                  </w:r>
                </w:p>
              </w:tc>
              <w:tc>
                <w:tcPr>
                  <w:tcW w:w="1036" w:type="dxa"/>
                  <w:vAlign w:val="center"/>
                </w:tcPr>
                <w:p>
                  <w:pPr>
                    <w:pStyle w:val="42"/>
                    <w:rPr>
                      <w:color w:val="0000FF"/>
                    </w:rPr>
                  </w:pPr>
                  <w:r>
                    <w:rPr>
                      <w:rFonts w:hint="eastAsia"/>
                      <w:color w:val="0000FF"/>
                    </w:rPr>
                    <w:t>93.0</w:t>
                  </w:r>
                </w:p>
              </w:tc>
              <w:tc>
                <w:tcPr>
                  <w:tcW w:w="1103" w:type="dxa"/>
                  <w:vMerge w:val="restart"/>
                  <w:vAlign w:val="center"/>
                </w:tcPr>
                <w:p>
                  <w:pPr>
                    <w:pStyle w:val="42"/>
                  </w:pPr>
                  <w:r>
                    <w:t>2400h/</w:t>
                  </w:r>
                  <w:r>
                    <w:rPr>
                      <w:rFonts w:hint="eastAsia"/>
                    </w:rPr>
                    <w:t>a</w:t>
                  </w:r>
                  <w:r>
                    <w:t>、频发</w:t>
                  </w:r>
                </w:p>
              </w:tc>
              <w:tc>
                <w:tcPr>
                  <w:tcW w:w="994" w:type="dxa"/>
                  <w:tcBorders>
                    <w:bottom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110</w:t>
                  </w:r>
                </w:p>
              </w:tc>
              <w:tc>
                <w:tcPr>
                  <w:tcW w:w="1050" w:type="dxa"/>
                  <w:tcBorders>
                    <w:left w:val="single" w:color="auto" w:sz="4" w:space="0"/>
                  </w:tcBorders>
                  <w:vAlign w:val="center"/>
                </w:tcPr>
                <w:p>
                  <w:pPr>
                    <w:pStyle w:val="42"/>
                    <w:rPr>
                      <w:color w:val="0000FF"/>
                    </w:rPr>
                  </w:pPr>
                  <w:r>
                    <w:rPr>
                      <w:rFonts w:hint="eastAsia"/>
                      <w:color w:val="0000FF"/>
                    </w:rPr>
                    <w:t>53.2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南</w:t>
                  </w:r>
                </w:p>
              </w:tc>
              <w:tc>
                <w:tcPr>
                  <w:tcW w:w="567" w:type="dxa"/>
                  <w:vAlign w:val="center"/>
                </w:tcPr>
                <w:p>
                  <w:pPr>
                    <w:pStyle w:val="42"/>
                  </w:pPr>
                  <w:r>
                    <w:rPr>
                      <w:rFonts w:hint="eastAsia"/>
                    </w:rPr>
                    <w:t>9</w:t>
                  </w:r>
                </w:p>
              </w:tc>
              <w:tc>
                <w:tcPr>
                  <w:tcW w:w="1036" w:type="dxa"/>
                  <w:vAlign w:val="center"/>
                </w:tcPr>
                <w:p>
                  <w:pPr>
                    <w:pStyle w:val="42"/>
                    <w:rPr>
                      <w:color w:val="0000FF"/>
                    </w:rPr>
                  </w:pPr>
                  <w:r>
                    <w:rPr>
                      <w:color w:val="0000FF"/>
                    </w:rPr>
                    <w:t>79.9</w:t>
                  </w:r>
                </w:p>
              </w:tc>
              <w:tc>
                <w:tcPr>
                  <w:tcW w:w="1103" w:type="dxa"/>
                  <w:vMerge w:val="continue"/>
                  <w:vAlign w:val="center"/>
                </w:tcPr>
                <w:p>
                  <w:pPr>
                    <w:pStyle w:val="42"/>
                  </w:pPr>
                </w:p>
              </w:tc>
              <w:tc>
                <w:tcPr>
                  <w:tcW w:w="994" w:type="dxa"/>
                  <w:tcBorders>
                    <w:top w:val="single" w:color="auto" w:sz="4" w:space="0"/>
                    <w:bottom w:val="single" w:color="auto" w:sz="4" w:space="0"/>
                  </w:tcBorders>
                  <w:vAlign w:val="center"/>
                </w:tcPr>
                <w:p>
                  <w:pPr>
                    <w:pStyle w:val="42"/>
                  </w:pPr>
                  <w:r>
                    <w:rPr>
                      <w:rFonts w:hint="eastAsia"/>
                    </w:rPr>
                    <w:t>25</w:t>
                  </w:r>
                </w:p>
              </w:tc>
              <w:tc>
                <w:tcPr>
                  <w:tcW w:w="1128" w:type="dxa"/>
                  <w:tcBorders>
                    <w:right w:val="single" w:color="auto" w:sz="4" w:space="0"/>
                  </w:tcBorders>
                  <w:vAlign w:val="center"/>
                </w:tcPr>
                <w:p>
                  <w:pPr>
                    <w:pStyle w:val="42"/>
                  </w:pPr>
                  <w:r>
                    <w:rPr>
                      <w:rFonts w:hint="eastAsia"/>
                    </w:rPr>
                    <w:t>24</w:t>
                  </w:r>
                </w:p>
              </w:tc>
              <w:tc>
                <w:tcPr>
                  <w:tcW w:w="1050" w:type="dxa"/>
                  <w:tcBorders>
                    <w:left w:val="single" w:color="auto" w:sz="4" w:space="0"/>
                  </w:tcBorders>
                  <w:vAlign w:val="center"/>
                </w:tcPr>
                <w:p>
                  <w:pPr>
                    <w:pStyle w:val="42"/>
                    <w:rPr>
                      <w:color w:val="0000FF"/>
                    </w:rPr>
                  </w:pPr>
                  <w:r>
                    <w:rPr>
                      <w:rFonts w:hint="eastAsia"/>
                      <w:color w:val="0000FF"/>
                    </w:rPr>
                    <w:t>46.4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西</w:t>
                  </w:r>
                </w:p>
              </w:tc>
              <w:tc>
                <w:tcPr>
                  <w:tcW w:w="567" w:type="dxa"/>
                  <w:vAlign w:val="center"/>
                </w:tcPr>
                <w:p>
                  <w:pPr>
                    <w:pStyle w:val="42"/>
                  </w:pPr>
                  <w:r>
                    <w:rPr>
                      <w:rFonts w:hint="eastAsia"/>
                    </w:rPr>
                    <w:t>54</w:t>
                  </w:r>
                </w:p>
              </w:tc>
              <w:tc>
                <w:tcPr>
                  <w:tcW w:w="1036" w:type="dxa"/>
                  <w:vAlign w:val="center"/>
                </w:tcPr>
                <w:p>
                  <w:pPr>
                    <w:pStyle w:val="42"/>
                    <w:rPr>
                      <w:color w:val="0000FF"/>
                    </w:rPr>
                  </w:pPr>
                  <w:r>
                    <w:rPr>
                      <w:rFonts w:hint="eastAsia"/>
                      <w:color w:val="0000FF"/>
                    </w:rPr>
                    <w:t>64.4</w:t>
                  </w:r>
                </w:p>
              </w:tc>
              <w:tc>
                <w:tcPr>
                  <w:tcW w:w="1103" w:type="dxa"/>
                  <w:vMerge w:val="continue"/>
                  <w:vAlign w:val="center"/>
                </w:tcPr>
                <w:p>
                  <w:pPr>
                    <w:pStyle w:val="42"/>
                  </w:pPr>
                </w:p>
              </w:tc>
              <w:tc>
                <w:tcPr>
                  <w:tcW w:w="994" w:type="dxa"/>
                  <w:tcBorders>
                    <w:top w:val="single" w:color="auto" w:sz="4" w:space="0"/>
                    <w:bottom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98</w:t>
                  </w:r>
                </w:p>
              </w:tc>
              <w:tc>
                <w:tcPr>
                  <w:tcW w:w="1050" w:type="dxa"/>
                  <w:tcBorders>
                    <w:left w:val="single" w:color="auto" w:sz="4" w:space="0"/>
                  </w:tcBorders>
                  <w:vAlign w:val="center"/>
                </w:tcPr>
                <w:p>
                  <w:pPr>
                    <w:pStyle w:val="42"/>
                    <w:rPr>
                      <w:color w:val="0000FF"/>
                    </w:rPr>
                  </w:pPr>
                  <w:r>
                    <w:rPr>
                      <w:rFonts w:hint="eastAsia"/>
                      <w:color w:val="0000FF"/>
                    </w:rPr>
                    <w:t>54.2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北</w:t>
                  </w:r>
                </w:p>
              </w:tc>
              <w:tc>
                <w:tcPr>
                  <w:tcW w:w="567" w:type="dxa"/>
                  <w:vAlign w:val="center"/>
                </w:tcPr>
                <w:p>
                  <w:pPr>
                    <w:pStyle w:val="42"/>
                  </w:pPr>
                  <w:r>
                    <w:rPr>
                      <w:rFonts w:hint="eastAsia"/>
                    </w:rPr>
                    <w:t>7</w:t>
                  </w:r>
                </w:p>
              </w:tc>
              <w:tc>
                <w:tcPr>
                  <w:tcW w:w="1036" w:type="dxa"/>
                  <w:vAlign w:val="center"/>
                </w:tcPr>
                <w:p>
                  <w:pPr>
                    <w:pStyle w:val="42"/>
                    <w:rPr>
                      <w:color w:val="0000FF"/>
                    </w:rPr>
                  </w:pPr>
                  <w:r>
                    <w:rPr>
                      <w:rFonts w:hint="eastAsia"/>
                      <w:color w:val="0000FF"/>
                    </w:rPr>
                    <w:t>82.1</w:t>
                  </w:r>
                </w:p>
              </w:tc>
              <w:tc>
                <w:tcPr>
                  <w:tcW w:w="1103" w:type="dxa"/>
                  <w:vMerge w:val="continue"/>
                  <w:vAlign w:val="center"/>
                </w:tcPr>
                <w:p>
                  <w:pPr>
                    <w:pStyle w:val="42"/>
                  </w:pPr>
                </w:p>
              </w:tc>
              <w:tc>
                <w:tcPr>
                  <w:tcW w:w="994" w:type="dxa"/>
                  <w:tcBorders>
                    <w:top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137</w:t>
                  </w:r>
                </w:p>
              </w:tc>
              <w:tc>
                <w:tcPr>
                  <w:tcW w:w="1050" w:type="dxa"/>
                  <w:tcBorders>
                    <w:left w:val="single" w:color="auto" w:sz="4" w:space="0"/>
                  </w:tcBorders>
                  <w:vAlign w:val="center"/>
                </w:tcPr>
                <w:p>
                  <w:pPr>
                    <w:pStyle w:val="42"/>
                    <w:rPr>
                      <w:color w:val="0000FF"/>
                    </w:rPr>
                  </w:pPr>
                  <w:r>
                    <w:rPr>
                      <w:rFonts w:hint="eastAsia"/>
                      <w:color w:val="0000FF"/>
                    </w:rPr>
                    <w:t>51.3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restart"/>
                  <w:vAlign w:val="center"/>
                </w:tcPr>
                <w:p>
                  <w:pPr>
                    <w:pStyle w:val="42"/>
                  </w:pPr>
                  <w:r>
                    <w:rPr>
                      <w:rFonts w:hint="eastAsia"/>
                    </w:rPr>
                    <w:t>3</w:t>
                  </w:r>
                </w:p>
              </w:tc>
              <w:tc>
                <w:tcPr>
                  <w:tcW w:w="550" w:type="dxa"/>
                  <w:vMerge w:val="restart"/>
                  <w:vAlign w:val="center"/>
                </w:tcPr>
                <w:p>
                  <w:pPr>
                    <w:pStyle w:val="42"/>
                  </w:pPr>
                  <w:r>
                    <w:rPr>
                      <w:rFonts w:hint="eastAsia"/>
                    </w:rPr>
                    <w:t>加工区</w:t>
                  </w:r>
                </w:p>
              </w:tc>
              <w:tc>
                <w:tcPr>
                  <w:tcW w:w="1002" w:type="dxa"/>
                  <w:vMerge w:val="restart"/>
                  <w:vAlign w:val="center"/>
                </w:tcPr>
                <w:p>
                  <w:pPr>
                    <w:pStyle w:val="42"/>
                  </w:pPr>
                  <w:r>
                    <w:rPr>
                      <w:rFonts w:hint="eastAsia"/>
                    </w:rPr>
                    <w:t>振动筛</w:t>
                  </w:r>
                </w:p>
              </w:tc>
              <w:tc>
                <w:tcPr>
                  <w:tcW w:w="427" w:type="dxa"/>
                  <w:vMerge w:val="restart"/>
                  <w:vAlign w:val="center"/>
                </w:tcPr>
                <w:p>
                  <w:pPr>
                    <w:pStyle w:val="42"/>
                  </w:pPr>
                  <w:r>
                    <w:rPr>
                      <w:rFonts w:hint="eastAsia"/>
                    </w:rPr>
                    <w:t>/</w:t>
                  </w:r>
                </w:p>
              </w:tc>
              <w:tc>
                <w:tcPr>
                  <w:tcW w:w="430" w:type="dxa"/>
                  <w:vMerge w:val="restart"/>
                  <w:vAlign w:val="center"/>
                </w:tcPr>
                <w:p>
                  <w:pPr>
                    <w:pStyle w:val="42"/>
                  </w:pPr>
                  <w:r>
                    <w:rPr>
                      <w:rFonts w:hint="eastAsia"/>
                    </w:rPr>
                    <w:t>2</w:t>
                  </w:r>
                </w:p>
              </w:tc>
              <w:tc>
                <w:tcPr>
                  <w:tcW w:w="1106" w:type="dxa"/>
                  <w:vMerge w:val="restart"/>
                  <w:vAlign w:val="center"/>
                </w:tcPr>
                <w:p>
                  <w:pPr>
                    <w:pStyle w:val="42"/>
                  </w:pPr>
                  <w:r>
                    <w:t>5</w:t>
                  </w:r>
                </w:p>
              </w:tc>
              <w:tc>
                <w:tcPr>
                  <w:tcW w:w="963" w:type="dxa"/>
                  <w:vMerge w:val="restart"/>
                  <w:vAlign w:val="center"/>
                </w:tcPr>
                <w:p>
                  <w:pPr>
                    <w:pStyle w:val="42"/>
                  </w:pPr>
                  <w:r>
                    <w:t>8</w:t>
                  </w:r>
                  <w:r>
                    <w:rPr>
                      <w:rFonts w:hint="eastAsia"/>
                    </w:rPr>
                    <w:t>3</w:t>
                  </w:r>
                </w:p>
              </w:tc>
              <w:tc>
                <w:tcPr>
                  <w:tcW w:w="637" w:type="dxa"/>
                  <w:vMerge w:val="restart"/>
                  <w:vAlign w:val="center"/>
                </w:tcPr>
                <w:p>
                  <w:pPr>
                    <w:pStyle w:val="42"/>
                  </w:pPr>
                  <w:r>
                    <w:rPr>
                      <w:rFonts w:hint="eastAsia"/>
                    </w:rPr>
                    <w:t>减震、隔声</w:t>
                  </w:r>
                </w:p>
              </w:tc>
              <w:tc>
                <w:tcPr>
                  <w:tcW w:w="564" w:type="dxa"/>
                  <w:vMerge w:val="restart"/>
                  <w:vAlign w:val="center"/>
                </w:tcPr>
                <w:p>
                  <w:pPr>
                    <w:pStyle w:val="42"/>
                  </w:pPr>
                  <w:r>
                    <w:rPr>
                      <w:rFonts w:hint="eastAsia"/>
                    </w:rPr>
                    <w:t>0</w:t>
                  </w:r>
                </w:p>
              </w:tc>
              <w:tc>
                <w:tcPr>
                  <w:tcW w:w="564" w:type="dxa"/>
                  <w:vMerge w:val="restart"/>
                  <w:vAlign w:val="center"/>
                </w:tcPr>
                <w:p>
                  <w:pPr>
                    <w:pStyle w:val="42"/>
                  </w:pPr>
                  <w:r>
                    <w:rPr>
                      <w:rFonts w:hint="eastAsia"/>
                    </w:rPr>
                    <w:t>-1</w:t>
                  </w:r>
                </w:p>
              </w:tc>
              <w:tc>
                <w:tcPr>
                  <w:tcW w:w="564" w:type="dxa"/>
                  <w:vMerge w:val="restart"/>
                  <w:vAlign w:val="center"/>
                </w:tcPr>
                <w:p>
                  <w:pPr>
                    <w:pStyle w:val="42"/>
                    <w:rPr>
                      <w:color w:val="0000FF"/>
                    </w:rPr>
                  </w:pPr>
                  <w:r>
                    <w:rPr>
                      <w:rFonts w:hint="eastAsia"/>
                      <w:color w:val="0000FF"/>
                    </w:rPr>
                    <w:t>1</w:t>
                  </w:r>
                </w:p>
              </w:tc>
              <w:tc>
                <w:tcPr>
                  <w:tcW w:w="849" w:type="dxa"/>
                  <w:vAlign w:val="center"/>
                </w:tcPr>
                <w:p>
                  <w:pPr>
                    <w:pStyle w:val="42"/>
                  </w:pPr>
                  <w:r>
                    <w:rPr>
                      <w:rFonts w:hint="eastAsia"/>
                    </w:rPr>
                    <w:t>东</w:t>
                  </w:r>
                </w:p>
              </w:tc>
              <w:tc>
                <w:tcPr>
                  <w:tcW w:w="567" w:type="dxa"/>
                  <w:vAlign w:val="center"/>
                </w:tcPr>
                <w:p>
                  <w:pPr>
                    <w:pStyle w:val="42"/>
                  </w:pPr>
                  <w:r>
                    <w:rPr>
                      <w:rFonts w:hint="eastAsia"/>
                    </w:rPr>
                    <w:t>32</w:t>
                  </w:r>
                </w:p>
              </w:tc>
              <w:tc>
                <w:tcPr>
                  <w:tcW w:w="1036" w:type="dxa"/>
                  <w:vAlign w:val="center"/>
                </w:tcPr>
                <w:p>
                  <w:pPr>
                    <w:pStyle w:val="42"/>
                    <w:rPr>
                      <w:color w:val="0000FF"/>
                    </w:rPr>
                  </w:pPr>
                  <w:r>
                    <w:rPr>
                      <w:rFonts w:hint="eastAsia"/>
                      <w:color w:val="0000FF"/>
                    </w:rPr>
                    <w:t>66.9</w:t>
                  </w:r>
                </w:p>
              </w:tc>
              <w:tc>
                <w:tcPr>
                  <w:tcW w:w="1103" w:type="dxa"/>
                  <w:vMerge w:val="restart"/>
                  <w:vAlign w:val="center"/>
                </w:tcPr>
                <w:p>
                  <w:pPr>
                    <w:pStyle w:val="42"/>
                  </w:pPr>
                  <w:r>
                    <w:t>2400h/</w:t>
                  </w:r>
                  <w:r>
                    <w:rPr>
                      <w:rFonts w:hint="eastAsia"/>
                    </w:rPr>
                    <w:t>a</w:t>
                  </w:r>
                  <w:r>
                    <w:t>、频发</w:t>
                  </w:r>
                </w:p>
              </w:tc>
              <w:tc>
                <w:tcPr>
                  <w:tcW w:w="994" w:type="dxa"/>
                  <w:tcBorders>
                    <w:bottom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135</w:t>
                  </w:r>
                </w:p>
              </w:tc>
              <w:tc>
                <w:tcPr>
                  <w:tcW w:w="1050" w:type="dxa"/>
                  <w:tcBorders>
                    <w:left w:val="single" w:color="auto" w:sz="4" w:space="0"/>
                  </w:tcBorders>
                  <w:vAlign w:val="center"/>
                </w:tcPr>
                <w:p>
                  <w:pPr>
                    <w:pStyle w:val="42"/>
                    <w:rPr>
                      <w:color w:val="0000FF"/>
                    </w:rPr>
                  </w:pPr>
                  <w:r>
                    <w:rPr>
                      <w:rFonts w:hint="eastAsia"/>
                      <w:color w:val="0000FF"/>
                    </w:rPr>
                    <w:t>49.4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南</w:t>
                  </w:r>
                </w:p>
              </w:tc>
              <w:tc>
                <w:tcPr>
                  <w:tcW w:w="567" w:type="dxa"/>
                  <w:vAlign w:val="center"/>
                </w:tcPr>
                <w:p>
                  <w:pPr>
                    <w:pStyle w:val="42"/>
                  </w:pPr>
                  <w:r>
                    <w:rPr>
                      <w:rFonts w:hint="eastAsia"/>
                    </w:rPr>
                    <w:t>14</w:t>
                  </w:r>
                </w:p>
              </w:tc>
              <w:tc>
                <w:tcPr>
                  <w:tcW w:w="1036" w:type="dxa"/>
                  <w:vAlign w:val="center"/>
                </w:tcPr>
                <w:p>
                  <w:pPr>
                    <w:pStyle w:val="42"/>
                    <w:rPr>
                      <w:color w:val="0000FF"/>
                    </w:rPr>
                  </w:pPr>
                  <w:r>
                    <w:rPr>
                      <w:rFonts w:hint="eastAsia"/>
                      <w:color w:val="0000FF"/>
                    </w:rPr>
                    <w:t>74.1</w:t>
                  </w:r>
                </w:p>
              </w:tc>
              <w:tc>
                <w:tcPr>
                  <w:tcW w:w="1103" w:type="dxa"/>
                  <w:vMerge w:val="continue"/>
                  <w:vAlign w:val="center"/>
                </w:tcPr>
                <w:p>
                  <w:pPr>
                    <w:pStyle w:val="42"/>
                  </w:pPr>
                </w:p>
              </w:tc>
              <w:tc>
                <w:tcPr>
                  <w:tcW w:w="994" w:type="dxa"/>
                  <w:tcBorders>
                    <w:top w:val="single" w:color="auto" w:sz="4" w:space="0"/>
                    <w:bottom w:val="single" w:color="auto" w:sz="4" w:space="0"/>
                  </w:tcBorders>
                  <w:vAlign w:val="center"/>
                </w:tcPr>
                <w:p>
                  <w:pPr>
                    <w:pStyle w:val="42"/>
                  </w:pPr>
                  <w:r>
                    <w:rPr>
                      <w:rFonts w:hint="eastAsia"/>
                    </w:rPr>
                    <w:t>25</w:t>
                  </w:r>
                </w:p>
              </w:tc>
              <w:tc>
                <w:tcPr>
                  <w:tcW w:w="1128" w:type="dxa"/>
                  <w:tcBorders>
                    <w:right w:val="single" w:color="auto" w:sz="4" w:space="0"/>
                  </w:tcBorders>
                  <w:vAlign w:val="center"/>
                </w:tcPr>
                <w:p>
                  <w:pPr>
                    <w:pStyle w:val="42"/>
                  </w:pPr>
                  <w:r>
                    <w:rPr>
                      <w:rFonts w:hint="eastAsia"/>
                    </w:rPr>
                    <w:t>28</w:t>
                  </w:r>
                </w:p>
              </w:tc>
              <w:tc>
                <w:tcPr>
                  <w:tcW w:w="1050" w:type="dxa"/>
                  <w:tcBorders>
                    <w:left w:val="single" w:color="auto" w:sz="4" w:space="0"/>
                  </w:tcBorders>
                  <w:vAlign w:val="center"/>
                </w:tcPr>
                <w:p>
                  <w:pPr>
                    <w:pStyle w:val="42"/>
                    <w:rPr>
                      <w:color w:val="0000FF"/>
                    </w:rPr>
                  </w:pPr>
                  <w:r>
                    <w:rPr>
                      <w:rFonts w:hint="eastAsia"/>
                      <w:color w:val="0000FF"/>
                    </w:rPr>
                    <w:t>43.1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西</w:t>
                  </w:r>
                </w:p>
              </w:tc>
              <w:tc>
                <w:tcPr>
                  <w:tcW w:w="567" w:type="dxa"/>
                  <w:vAlign w:val="center"/>
                </w:tcPr>
                <w:p>
                  <w:pPr>
                    <w:pStyle w:val="42"/>
                  </w:pPr>
                  <w:r>
                    <w:rPr>
                      <w:rFonts w:hint="eastAsia"/>
                    </w:rPr>
                    <w:t>24</w:t>
                  </w:r>
                </w:p>
              </w:tc>
              <w:tc>
                <w:tcPr>
                  <w:tcW w:w="1036" w:type="dxa"/>
                  <w:vAlign w:val="center"/>
                </w:tcPr>
                <w:p>
                  <w:pPr>
                    <w:pStyle w:val="42"/>
                    <w:rPr>
                      <w:color w:val="0000FF"/>
                    </w:rPr>
                  </w:pPr>
                  <w:r>
                    <w:rPr>
                      <w:rFonts w:hint="eastAsia"/>
                      <w:color w:val="0000FF"/>
                    </w:rPr>
                    <w:t>69.4</w:t>
                  </w:r>
                </w:p>
              </w:tc>
              <w:tc>
                <w:tcPr>
                  <w:tcW w:w="1103" w:type="dxa"/>
                  <w:vMerge w:val="continue"/>
                  <w:vAlign w:val="center"/>
                </w:tcPr>
                <w:p>
                  <w:pPr>
                    <w:pStyle w:val="42"/>
                  </w:pPr>
                </w:p>
              </w:tc>
              <w:tc>
                <w:tcPr>
                  <w:tcW w:w="994" w:type="dxa"/>
                  <w:tcBorders>
                    <w:top w:val="single" w:color="auto" w:sz="4" w:space="0"/>
                    <w:bottom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71</w:t>
                  </w:r>
                </w:p>
              </w:tc>
              <w:tc>
                <w:tcPr>
                  <w:tcW w:w="1050" w:type="dxa"/>
                  <w:tcBorders>
                    <w:left w:val="single" w:color="auto" w:sz="4" w:space="0"/>
                  </w:tcBorders>
                  <w:vAlign w:val="center"/>
                </w:tcPr>
                <w:p>
                  <w:pPr>
                    <w:pStyle w:val="42"/>
                    <w:rPr>
                      <w:color w:val="0000FF"/>
                    </w:rPr>
                  </w:pPr>
                  <w:r>
                    <w:rPr>
                      <w:rFonts w:hint="eastAsia"/>
                      <w:color w:val="0000FF"/>
                    </w:rPr>
                    <w:t>55.0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北</w:t>
                  </w:r>
                </w:p>
              </w:tc>
              <w:tc>
                <w:tcPr>
                  <w:tcW w:w="567" w:type="dxa"/>
                  <w:vAlign w:val="center"/>
                </w:tcPr>
                <w:p>
                  <w:pPr>
                    <w:pStyle w:val="42"/>
                  </w:pPr>
                  <w:r>
                    <w:rPr>
                      <w:rFonts w:hint="eastAsia"/>
                    </w:rPr>
                    <w:t>15</w:t>
                  </w:r>
                </w:p>
              </w:tc>
              <w:tc>
                <w:tcPr>
                  <w:tcW w:w="1036" w:type="dxa"/>
                  <w:vAlign w:val="center"/>
                </w:tcPr>
                <w:p>
                  <w:pPr>
                    <w:pStyle w:val="42"/>
                    <w:rPr>
                      <w:color w:val="0000FF"/>
                    </w:rPr>
                  </w:pPr>
                  <w:r>
                    <w:rPr>
                      <w:rFonts w:hint="eastAsia"/>
                      <w:color w:val="0000FF"/>
                    </w:rPr>
                    <w:t>73.5</w:t>
                  </w:r>
                </w:p>
              </w:tc>
              <w:tc>
                <w:tcPr>
                  <w:tcW w:w="1103" w:type="dxa"/>
                  <w:vMerge w:val="continue"/>
                  <w:vAlign w:val="center"/>
                </w:tcPr>
                <w:p>
                  <w:pPr>
                    <w:pStyle w:val="42"/>
                  </w:pPr>
                </w:p>
              </w:tc>
              <w:tc>
                <w:tcPr>
                  <w:tcW w:w="994" w:type="dxa"/>
                  <w:tcBorders>
                    <w:top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112</w:t>
                  </w:r>
                </w:p>
              </w:tc>
              <w:tc>
                <w:tcPr>
                  <w:tcW w:w="1050" w:type="dxa"/>
                  <w:tcBorders>
                    <w:left w:val="single" w:color="auto" w:sz="4" w:space="0"/>
                  </w:tcBorders>
                  <w:vAlign w:val="center"/>
                </w:tcPr>
                <w:p>
                  <w:pPr>
                    <w:pStyle w:val="42"/>
                    <w:rPr>
                      <w:color w:val="0000FF"/>
                    </w:rPr>
                  </w:pPr>
                  <w:r>
                    <w:rPr>
                      <w:rFonts w:hint="eastAsia"/>
                      <w:color w:val="0000FF"/>
                    </w:rPr>
                    <w:t>51.0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restart"/>
                  <w:vAlign w:val="center"/>
                </w:tcPr>
                <w:p>
                  <w:pPr>
                    <w:pStyle w:val="42"/>
                  </w:pPr>
                  <w:r>
                    <w:rPr>
                      <w:rFonts w:hint="eastAsia"/>
                    </w:rPr>
                    <w:t>4</w:t>
                  </w:r>
                </w:p>
              </w:tc>
              <w:tc>
                <w:tcPr>
                  <w:tcW w:w="550" w:type="dxa"/>
                  <w:vMerge w:val="restart"/>
                  <w:vAlign w:val="center"/>
                </w:tcPr>
                <w:p>
                  <w:pPr>
                    <w:pStyle w:val="42"/>
                  </w:pPr>
                  <w:r>
                    <w:rPr>
                      <w:rFonts w:hint="eastAsia"/>
                    </w:rPr>
                    <w:t>加工区</w:t>
                  </w:r>
                </w:p>
              </w:tc>
              <w:tc>
                <w:tcPr>
                  <w:tcW w:w="1002" w:type="dxa"/>
                  <w:vMerge w:val="restart"/>
                  <w:vAlign w:val="center"/>
                </w:tcPr>
                <w:p>
                  <w:pPr>
                    <w:pStyle w:val="42"/>
                  </w:pPr>
                  <w:r>
                    <w:rPr>
                      <w:rFonts w:hint="eastAsia"/>
                    </w:rPr>
                    <w:t>振动给料机</w:t>
                  </w:r>
                </w:p>
              </w:tc>
              <w:tc>
                <w:tcPr>
                  <w:tcW w:w="427" w:type="dxa"/>
                  <w:vMerge w:val="restart"/>
                  <w:vAlign w:val="center"/>
                </w:tcPr>
                <w:p>
                  <w:pPr>
                    <w:pStyle w:val="42"/>
                  </w:pPr>
                  <w:r>
                    <w:rPr>
                      <w:rFonts w:hint="eastAsia"/>
                    </w:rPr>
                    <w:t>/</w:t>
                  </w:r>
                </w:p>
              </w:tc>
              <w:tc>
                <w:tcPr>
                  <w:tcW w:w="430" w:type="dxa"/>
                  <w:vMerge w:val="restart"/>
                  <w:vAlign w:val="center"/>
                </w:tcPr>
                <w:p>
                  <w:pPr>
                    <w:pStyle w:val="42"/>
                  </w:pPr>
                  <w:r>
                    <w:rPr>
                      <w:rFonts w:hint="eastAsia"/>
                    </w:rPr>
                    <w:t>2</w:t>
                  </w:r>
                </w:p>
              </w:tc>
              <w:tc>
                <w:tcPr>
                  <w:tcW w:w="1106" w:type="dxa"/>
                  <w:vMerge w:val="restart"/>
                  <w:vAlign w:val="center"/>
                </w:tcPr>
                <w:p>
                  <w:pPr>
                    <w:pStyle w:val="42"/>
                  </w:pPr>
                  <w:r>
                    <w:t>5</w:t>
                  </w:r>
                </w:p>
              </w:tc>
              <w:tc>
                <w:tcPr>
                  <w:tcW w:w="963" w:type="dxa"/>
                  <w:vMerge w:val="restart"/>
                  <w:vAlign w:val="center"/>
                </w:tcPr>
                <w:p>
                  <w:pPr>
                    <w:pStyle w:val="42"/>
                  </w:pPr>
                  <w:r>
                    <w:t>83</w:t>
                  </w:r>
                </w:p>
              </w:tc>
              <w:tc>
                <w:tcPr>
                  <w:tcW w:w="637" w:type="dxa"/>
                  <w:vMerge w:val="restart"/>
                  <w:vAlign w:val="center"/>
                </w:tcPr>
                <w:p>
                  <w:pPr>
                    <w:pStyle w:val="42"/>
                  </w:pPr>
                  <w:r>
                    <w:rPr>
                      <w:rFonts w:hint="eastAsia"/>
                    </w:rPr>
                    <w:t>减震、隔声</w:t>
                  </w:r>
                </w:p>
              </w:tc>
              <w:tc>
                <w:tcPr>
                  <w:tcW w:w="564" w:type="dxa"/>
                  <w:vMerge w:val="restart"/>
                  <w:vAlign w:val="center"/>
                </w:tcPr>
                <w:p>
                  <w:pPr>
                    <w:pStyle w:val="42"/>
                  </w:pPr>
                  <w:r>
                    <w:rPr>
                      <w:rFonts w:hint="eastAsia"/>
                    </w:rPr>
                    <w:t>-27</w:t>
                  </w:r>
                </w:p>
              </w:tc>
              <w:tc>
                <w:tcPr>
                  <w:tcW w:w="564" w:type="dxa"/>
                  <w:vMerge w:val="restart"/>
                  <w:vAlign w:val="center"/>
                </w:tcPr>
                <w:p>
                  <w:pPr>
                    <w:pStyle w:val="42"/>
                  </w:pPr>
                  <w:r>
                    <w:rPr>
                      <w:rFonts w:hint="eastAsia"/>
                    </w:rPr>
                    <w:t>0</w:t>
                  </w:r>
                </w:p>
              </w:tc>
              <w:tc>
                <w:tcPr>
                  <w:tcW w:w="564" w:type="dxa"/>
                  <w:vMerge w:val="restart"/>
                  <w:vAlign w:val="center"/>
                </w:tcPr>
                <w:p>
                  <w:pPr>
                    <w:pStyle w:val="42"/>
                    <w:rPr>
                      <w:color w:val="0000FF"/>
                    </w:rPr>
                  </w:pPr>
                  <w:r>
                    <w:rPr>
                      <w:rFonts w:hint="eastAsia"/>
                      <w:color w:val="0000FF"/>
                    </w:rPr>
                    <w:t>2</w:t>
                  </w:r>
                </w:p>
              </w:tc>
              <w:tc>
                <w:tcPr>
                  <w:tcW w:w="849" w:type="dxa"/>
                  <w:vAlign w:val="center"/>
                </w:tcPr>
                <w:p>
                  <w:pPr>
                    <w:pStyle w:val="42"/>
                  </w:pPr>
                  <w:r>
                    <w:rPr>
                      <w:rFonts w:hint="eastAsia"/>
                    </w:rPr>
                    <w:t>东</w:t>
                  </w:r>
                </w:p>
              </w:tc>
              <w:tc>
                <w:tcPr>
                  <w:tcW w:w="567" w:type="dxa"/>
                  <w:vAlign w:val="center"/>
                </w:tcPr>
                <w:p>
                  <w:pPr>
                    <w:pStyle w:val="42"/>
                  </w:pPr>
                  <w:r>
                    <w:rPr>
                      <w:rFonts w:hint="eastAsia"/>
                    </w:rPr>
                    <w:t>2</w:t>
                  </w:r>
                </w:p>
              </w:tc>
              <w:tc>
                <w:tcPr>
                  <w:tcW w:w="1036" w:type="dxa"/>
                  <w:vAlign w:val="center"/>
                </w:tcPr>
                <w:p>
                  <w:pPr>
                    <w:pStyle w:val="42"/>
                    <w:rPr>
                      <w:color w:val="0000FF"/>
                    </w:rPr>
                  </w:pPr>
                  <w:r>
                    <w:rPr>
                      <w:rFonts w:hint="eastAsia"/>
                      <w:color w:val="0000FF"/>
                    </w:rPr>
                    <w:t>91.0</w:t>
                  </w:r>
                </w:p>
              </w:tc>
              <w:tc>
                <w:tcPr>
                  <w:tcW w:w="1103" w:type="dxa"/>
                  <w:vMerge w:val="restart"/>
                  <w:vAlign w:val="center"/>
                </w:tcPr>
                <w:p>
                  <w:pPr>
                    <w:pStyle w:val="42"/>
                  </w:pPr>
                  <w:r>
                    <w:t>2400h/</w:t>
                  </w:r>
                  <w:r>
                    <w:rPr>
                      <w:rFonts w:hint="eastAsia"/>
                    </w:rPr>
                    <w:t>a</w:t>
                  </w:r>
                  <w:r>
                    <w:t>、频发</w:t>
                  </w:r>
                </w:p>
              </w:tc>
              <w:tc>
                <w:tcPr>
                  <w:tcW w:w="994" w:type="dxa"/>
                  <w:tcBorders>
                    <w:bottom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110</w:t>
                  </w:r>
                </w:p>
              </w:tc>
              <w:tc>
                <w:tcPr>
                  <w:tcW w:w="1050" w:type="dxa"/>
                  <w:tcBorders>
                    <w:left w:val="single" w:color="auto" w:sz="4" w:space="0"/>
                  </w:tcBorders>
                  <w:vAlign w:val="center"/>
                </w:tcPr>
                <w:p>
                  <w:pPr>
                    <w:pStyle w:val="42"/>
                    <w:rPr>
                      <w:color w:val="0000FF"/>
                    </w:rPr>
                  </w:pPr>
                  <w:r>
                    <w:rPr>
                      <w:rFonts w:hint="eastAsia"/>
                      <w:color w:val="0000FF"/>
                    </w:rPr>
                    <w:t>51.2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南</w:t>
                  </w:r>
                </w:p>
              </w:tc>
              <w:tc>
                <w:tcPr>
                  <w:tcW w:w="567" w:type="dxa"/>
                  <w:vAlign w:val="center"/>
                </w:tcPr>
                <w:p>
                  <w:pPr>
                    <w:pStyle w:val="42"/>
                  </w:pPr>
                  <w:r>
                    <w:rPr>
                      <w:rFonts w:hint="eastAsia"/>
                    </w:rPr>
                    <w:t>17</w:t>
                  </w:r>
                </w:p>
              </w:tc>
              <w:tc>
                <w:tcPr>
                  <w:tcW w:w="1036" w:type="dxa"/>
                  <w:vAlign w:val="center"/>
                </w:tcPr>
                <w:p>
                  <w:pPr>
                    <w:pStyle w:val="42"/>
                    <w:rPr>
                      <w:color w:val="0000FF"/>
                    </w:rPr>
                  </w:pPr>
                  <w:r>
                    <w:rPr>
                      <w:rFonts w:hint="eastAsia"/>
                      <w:color w:val="0000FF"/>
                    </w:rPr>
                    <w:t>72.4</w:t>
                  </w:r>
                </w:p>
              </w:tc>
              <w:tc>
                <w:tcPr>
                  <w:tcW w:w="1103" w:type="dxa"/>
                  <w:vMerge w:val="continue"/>
                  <w:vAlign w:val="center"/>
                </w:tcPr>
                <w:p>
                  <w:pPr>
                    <w:pStyle w:val="42"/>
                  </w:pPr>
                </w:p>
              </w:tc>
              <w:tc>
                <w:tcPr>
                  <w:tcW w:w="994" w:type="dxa"/>
                  <w:tcBorders>
                    <w:top w:val="single" w:color="auto" w:sz="4" w:space="0"/>
                    <w:bottom w:val="single" w:color="auto" w:sz="4" w:space="0"/>
                  </w:tcBorders>
                  <w:vAlign w:val="center"/>
                </w:tcPr>
                <w:p>
                  <w:pPr>
                    <w:pStyle w:val="42"/>
                  </w:pPr>
                  <w:r>
                    <w:rPr>
                      <w:rFonts w:hint="eastAsia"/>
                    </w:rPr>
                    <w:t>25</w:t>
                  </w:r>
                </w:p>
              </w:tc>
              <w:tc>
                <w:tcPr>
                  <w:tcW w:w="1128" w:type="dxa"/>
                  <w:tcBorders>
                    <w:right w:val="single" w:color="auto" w:sz="4" w:space="0"/>
                  </w:tcBorders>
                  <w:vAlign w:val="center"/>
                </w:tcPr>
                <w:p>
                  <w:pPr>
                    <w:pStyle w:val="42"/>
                  </w:pPr>
                  <w:r>
                    <w:rPr>
                      <w:rFonts w:hint="eastAsia"/>
                    </w:rPr>
                    <w:t>28</w:t>
                  </w:r>
                </w:p>
              </w:tc>
              <w:tc>
                <w:tcPr>
                  <w:tcW w:w="1050" w:type="dxa"/>
                  <w:tcBorders>
                    <w:left w:val="single" w:color="auto" w:sz="4" w:space="0"/>
                  </w:tcBorders>
                  <w:vAlign w:val="center"/>
                </w:tcPr>
                <w:p>
                  <w:pPr>
                    <w:pStyle w:val="42"/>
                    <w:rPr>
                      <w:color w:val="0000FF"/>
                    </w:rPr>
                  </w:pPr>
                  <w:r>
                    <w:rPr>
                      <w:rFonts w:hint="eastAsia"/>
                      <w:color w:val="0000FF"/>
                    </w:rPr>
                    <w:t>43.1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西</w:t>
                  </w:r>
                </w:p>
              </w:tc>
              <w:tc>
                <w:tcPr>
                  <w:tcW w:w="567" w:type="dxa"/>
                  <w:vAlign w:val="center"/>
                </w:tcPr>
                <w:p>
                  <w:pPr>
                    <w:pStyle w:val="42"/>
                  </w:pPr>
                  <w:r>
                    <w:rPr>
                      <w:rFonts w:hint="eastAsia"/>
                    </w:rPr>
                    <w:t>55</w:t>
                  </w:r>
                </w:p>
              </w:tc>
              <w:tc>
                <w:tcPr>
                  <w:tcW w:w="1036" w:type="dxa"/>
                  <w:vAlign w:val="center"/>
                </w:tcPr>
                <w:p>
                  <w:pPr>
                    <w:pStyle w:val="42"/>
                    <w:rPr>
                      <w:color w:val="0000FF"/>
                    </w:rPr>
                  </w:pPr>
                  <w:r>
                    <w:rPr>
                      <w:rFonts w:hint="eastAsia"/>
                      <w:color w:val="0000FF"/>
                    </w:rPr>
                    <w:t>62.2</w:t>
                  </w:r>
                </w:p>
              </w:tc>
              <w:tc>
                <w:tcPr>
                  <w:tcW w:w="1103" w:type="dxa"/>
                  <w:vMerge w:val="continue"/>
                  <w:vAlign w:val="center"/>
                </w:tcPr>
                <w:p>
                  <w:pPr>
                    <w:pStyle w:val="42"/>
                  </w:pPr>
                </w:p>
              </w:tc>
              <w:tc>
                <w:tcPr>
                  <w:tcW w:w="994" w:type="dxa"/>
                  <w:tcBorders>
                    <w:top w:val="single" w:color="auto" w:sz="4" w:space="0"/>
                    <w:bottom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97</w:t>
                  </w:r>
                </w:p>
              </w:tc>
              <w:tc>
                <w:tcPr>
                  <w:tcW w:w="1050" w:type="dxa"/>
                  <w:tcBorders>
                    <w:left w:val="single" w:color="auto" w:sz="4" w:space="0"/>
                  </w:tcBorders>
                  <w:vAlign w:val="center"/>
                </w:tcPr>
                <w:p>
                  <w:pPr>
                    <w:pStyle w:val="42"/>
                    <w:rPr>
                      <w:color w:val="0000FF"/>
                    </w:rPr>
                  </w:pPr>
                  <w:r>
                    <w:rPr>
                      <w:rFonts w:hint="eastAsia"/>
                      <w:color w:val="0000FF"/>
                    </w:rPr>
                    <w:t>52.3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北</w:t>
                  </w:r>
                </w:p>
              </w:tc>
              <w:tc>
                <w:tcPr>
                  <w:tcW w:w="567" w:type="dxa"/>
                  <w:vAlign w:val="center"/>
                </w:tcPr>
                <w:p>
                  <w:pPr>
                    <w:pStyle w:val="42"/>
                  </w:pPr>
                  <w:r>
                    <w:rPr>
                      <w:rFonts w:hint="eastAsia"/>
                    </w:rPr>
                    <w:t>2</w:t>
                  </w:r>
                </w:p>
              </w:tc>
              <w:tc>
                <w:tcPr>
                  <w:tcW w:w="1036" w:type="dxa"/>
                  <w:vAlign w:val="center"/>
                </w:tcPr>
                <w:p>
                  <w:pPr>
                    <w:pStyle w:val="42"/>
                    <w:rPr>
                      <w:color w:val="0000FF"/>
                    </w:rPr>
                  </w:pPr>
                  <w:r>
                    <w:rPr>
                      <w:rFonts w:hint="eastAsia"/>
                      <w:color w:val="0000FF"/>
                    </w:rPr>
                    <w:t>91.0</w:t>
                  </w:r>
                </w:p>
              </w:tc>
              <w:tc>
                <w:tcPr>
                  <w:tcW w:w="1103" w:type="dxa"/>
                  <w:vMerge w:val="continue"/>
                  <w:vAlign w:val="center"/>
                </w:tcPr>
                <w:p>
                  <w:pPr>
                    <w:pStyle w:val="42"/>
                  </w:pPr>
                </w:p>
              </w:tc>
              <w:tc>
                <w:tcPr>
                  <w:tcW w:w="994" w:type="dxa"/>
                  <w:tcBorders>
                    <w:top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133</w:t>
                  </w:r>
                </w:p>
              </w:tc>
              <w:tc>
                <w:tcPr>
                  <w:tcW w:w="1050" w:type="dxa"/>
                  <w:tcBorders>
                    <w:left w:val="single" w:color="auto" w:sz="4" w:space="0"/>
                  </w:tcBorders>
                  <w:vAlign w:val="center"/>
                </w:tcPr>
                <w:p>
                  <w:pPr>
                    <w:pStyle w:val="42"/>
                    <w:rPr>
                      <w:color w:val="0000FF"/>
                    </w:rPr>
                  </w:pPr>
                  <w:r>
                    <w:rPr>
                      <w:rFonts w:hint="eastAsia"/>
                      <w:color w:val="0000FF"/>
                    </w:rPr>
                    <w:t>49.5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restart"/>
                  <w:vAlign w:val="center"/>
                </w:tcPr>
                <w:p>
                  <w:pPr>
                    <w:pStyle w:val="42"/>
                  </w:pPr>
                  <w:r>
                    <w:rPr>
                      <w:rFonts w:hint="eastAsia"/>
                    </w:rPr>
                    <w:t>5</w:t>
                  </w:r>
                </w:p>
              </w:tc>
              <w:tc>
                <w:tcPr>
                  <w:tcW w:w="550" w:type="dxa"/>
                  <w:vMerge w:val="restart"/>
                  <w:vAlign w:val="center"/>
                </w:tcPr>
                <w:p>
                  <w:pPr>
                    <w:pStyle w:val="42"/>
                  </w:pPr>
                  <w:r>
                    <w:rPr>
                      <w:rFonts w:hint="eastAsia"/>
                    </w:rPr>
                    <w:t>加工区</w:t>
                  </w:r>
                </w:p>
              </w:tc>
              <w:tc>
                <w:tcPr>
                  <w:tcW w:w="1002" w:type="dxa"/>
                  <w:vMerge w:val="restart"/>
                  <w:vAlign w:val="center"/>
                </w:tcPr>
                <w:p>
                  <w:pPr>
                    <w:pStyle w:val="42"/>
                    <w:rPr>
                      <w:rFonts w:hint="eastAsia" w:ascii="宋体" w:hAnsi="宋体" w:cs="宋体"/>
                    </w:rPr>
                  </w:pPr>
                  <w:r>
                    <w:rPr>
                      <w:rFonts w:hint="eastAsia" w:ascii="宋体" w:hAnsi="宋体" w:cs="宋体"/>
                    </w:rPr>
                    <w:t>离心通</w:t>
                  </w:r>
                </w:p>
                <w:p>
                  <w:pPr>
                    <w:pStyle w:val="42"/>
                  </w:pPr>
                  <w:r>
                    <w:rPr>
                      <w:rFonts w:hint="eastAsia" w:ascii="宋体" w:hAnsi="宋体" w:cs="宋体"/>
                    </w:rPr>
                    <w:t>风机</w:t>
                  </w:r>
                </w:p>
              </w:tc>
              <w:tc>
                <w:tcPr>
                  <w:tcW w:w="427" w:type="dxa"/>
                  <w:vMerge w:val="restart"/>
                  <w:vAlign w:val="center"/>
                </w:tcPr>
                <w:p>
                  <w:pPr>
                    <w:pStyle w:val="42"/>
                  </w:pPr>
                  <w:r>
                    <w:rPr>
                      <w:rFonts w:hint="eastAsia"/>
                    </w:rPr>
                    <w:t>/</w:t>
                  </w:r>
                </w:p>
              </w:tc>
              <w:tc>
                <w:tcPr>
                  <w:tcW w:w="430" w:type="dxa"/>
                  <w:vMerge w:val="restart"/>
                  <w:vAlign w:val="center"/>
                </w:tcPr>
                <w:p>
                  <w:pPr>
                    <w:pStyle w:val="42"/>
                  </w:pPr>
                  <w:r>
                    <w:t>1</w:t>
                  </w:r>
                </w:p>
              </w:tc>
              <w:tc>
                <w:tcPr>
                  <w:tcW w:w="1106" w:type="dxa"/>
                  <w:vMerge w:val="restart"/>
                  <w:vAlign w:val="center"/>
                </w:tcPr>
                <w:p>
                  <w:pPr>
                    <w:pStyle w:val="42"/>
                  </w:pPr>
                  <w:r>
                    <w:rPr>
                      <w:rFonts w:hint="eastAsia" w:eastAsiaTheme="minorEastAsia"/>
                    </w:rPr>
                    <w:t>1</w:t>
                  </w:r>
                </w:p>
              </w:tc>
              <w:tc>
                <w:tcPr>
                  <w:tcW w:w="963" w:type="dxa"/>
                  <w:vMerge w:val="restart"/>
                  <w:vAlign w:val="center"/>
                </w:tcPr>
                <w:p>
                  <w:pPr>
                    <w:pStyle w:val="42"/>
                  </w:pPr>
                  <w:r>
                    <w:rPr>
                      <w:rFonts w:hint="eastAsia" w:eastAsiaTheme="minorEastAsia"/>
                    </w:rPr>
                    <w:t>85</w:t>
                  </w:r>
                </w:p>
              </w:tc>
              <w:tc>
                <w:tcPr>
                  <w:tcW w:w="637" w:type="dxa"/>
                  <w:vMerge w:val="restart"/>
                  <w:vAlign w:val="center"/>
                </w:tcPr>
                <w:p>
                  <w:pPr>
                    <w:pStyle w:val="42"/>
                  </w:pPr>
                  <w:r>
                    <w:rPr>
                      <w:rFonts w:hint="eastAsia"/>
                    </w:rPr>
                    <w:t>减震、隔声</w:t>
                  </w:r>
                </w:p>
              </w:tc>
              <w:tc>
                <w:tcPr>
                  <w:tcW w:w="564" w:type="dxa"/>
                  <w:vMerge w:val="restart"/>
                  <w:vAlign w:val="center"/>
                </w:tcPr>
                <w:p>
                  <w:pPr>
                    <w:pStyle w:val="42"/>
                  </w:pPr>
                  <w:r>
                    <w:rPr>
                      <w:rFonts w:hint="eastAsia" w:eastAsiaTheme="minorEastAsia"/>
                    </w:rPr>
                    <w:t>15</w:t>
                  </w:r>
                </w:p>
              </w:tc>
              <w:tc>
                <w:tcPr>
                  <w:tcW w:w="564" w:type="dxa"/>
                  <w:vMerge w:val="restart"/>
                  <w:vAlign w:val="center"/>
                </w:tcPr>
                <w:p>
                  <w:pPr>
                    <w:pStyle w:val="42"/>
                  </w:pPr>
                  <w:r>
                    <w:rPr>
                      <w:rFonts w:hint="eastAsia" w:eastAsiaTheme="minorEastAsia"/>
                    </w:rPr>
                    <w:t>4</w:t>
                  </w:r>
                </w:p>
              </w:tc>
              <w:tc>
                <w:tcPr>
                  <w:tcW w:w="564" w:type="dxa"/>
                  <w:vMerge w:val="restart"/>
                  <w:vAlign w:val="center"/>
                </w:tcPr>
                <w:p>
                  <w:pPr>
                    <w:pStyle w:val="42"/>
                    <w:rPr>
                      <w:color w:val="0000FF"/>
                    </w:rPr>
                  </w:pPr>
                  <w:r>
                    <w:rPr>
                      <w:rFonts w:hint="eastAsia"/>
                      <w:color w:val="0000FF"/>
                    </w:rPr>
                    <w:t>1</w:t>
                  </w:r>
                </w:p>
              </w:tc>
              <w:tc>
                <w:tcPr>
                  <w:tcW w:w="849" w:type="dxa"/>
                  <w:vAlign w:val="center"/>
                </w:tcPr>
                <w:p>
                  <w:pPr>
                    <w:pStyle w:val="42"/>
                  </w:pPr>
                  <w:r>
                    <w:rPr>
                      <w:rFonts w:hint="eastAsia"/>
                    </w:rPr>
                    <w:t>东</w:t>
                  </w:r>
                </w:p>
              </w:tc>
              <w:tc>
                <w:tcPr>
                  <w:tcW w:w="567" w:type="dxa"/>
                  <w:vAlign w:val="center"/>
                </w:tcPr>
                <w:p>
                  <w:pPr>
                    <w:pStyle w:val="42"/>
                  </w:pPr>
                  <w:r>
                    <w:rPr>
                      <w:rFonts w:hint="eastAsia"/>
                    </w:rPr>
                    <w:t>20</w:t>
                  </w:r>
                </w:p>
              </w:tc>
              <w:tc>
                <w:tcPr>
                  <w:tcW w:w="1036" w:type="dxa"/>
                  <w:vAlign w:val="center"/>
                </w:tcPr>
                <w:p>
                  <w:pPr>
                    <w:pStyle w:val="42"/>
                    <w:rPr>
                      <w:color w:val="0000FF"/>
                    </w:rPr>
                  </w:pPr>
                  <w:r>
                    <w:rPr>
                      <w:rFonts w:hint="eastAsia"/>
                      <w:color w:val="0000FF"/>
                    </w:rPr>
                    <w:t>59.0</w:t>
                  </w:r>
                </w:p>
              </w:tc>
              <w:tc>
                <w:tcPr>
                  <w:tcW w:w="1103" w:type="dxa"/>
                  <w:vMerge w:val="restart"/>
                  <w:vAlign w:val="center"/>
                </w:tcPr>
                <w:p>
                  <w:pPr>
                    <w:pStyle w:val="42"/>
                  </w:pPr>
                  <w:r>
                    <w:t>2400h/</w:t>
                  </w:r>
                  <w:r>
                    <w:rPr>
                      <w:rFonts w:hint="eastAsia"/>
                    </w:rPr>
                    <w:t>a</w:t>
                  </w:r>
                  <w:r>
                    <w:t>、频发</w:t>
                  </w:r>
                </w:p>
              </w:tc>
              <w:tc>
                <w:tcPr>
                  <w:tcW w:w="994" w:type="dxa"/>
                  <w:tcBorders>
                    <w:top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125</w:t>
                  </w:r>
                </w:p>
              </w:tc>
              <w:tc>
                <w:tcPr>
                  <w:tcW w:w="1050" w:type="dxa"/>
                  <w:tcBorders>
                    <w:left w:val="single" w:color="auto" w:sz="4" w:space="0"/>
                  </w:tcBorders>
                  <w:vAlign w:val="center"/>
                </w:tcPr>
                <w:p>
                  <w:pPr>
                    <w:pStyle w:val="42"/>
                    <w:rPr>
                      <w:color w:val="0000FF"/>
                    </w:rPr>
                  </w:pPr>
                  <w:r>
                    <w:rPr>
                      <w:rFonts w:hint="eastAsia"/>
                      <w:color w:val="0000FF"/>
                    </w:rPr>
                    <w:t>38.1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南</w:t>
                  </w:r>
                </w:p>
              </w:tc>
              <w:tc>
                <w:tcPr>
                  <w:tcW w:w="567" w:type="dxa"/>
                  <w:vAlign w:val="center"/>
                </w:tcPr>
                <w:p>
                  <w:pPr>
                    <w:pStyle w:val="42"/>
                  </w:pPr>
                  <w:r>
                    <w:rPr>
                      <w:rFonts w:hint="eastAsia"/>
                    </w:rPr>
                    <w:t>23</w:t>
                  </w:r>
                </w:p>
              </w:tc>
              <w:tc>
                <w:tcPr>
                  <w:tcW w:w="1036" w:type="dxa"/>
                  <w:vAlign w:val="center"/>
                </w:tcPr>
                <w:p>
                  <w:pPr>
                    <w:pStyle w:val="42"/>
                    <w:rPr>
                      <w:color w:val="0000FF"/>
                    </w:rPr>
                  </w:pPr>
                  <w:r>
                    <w:rPr>
                      <w:rFonts w:hint="eastAsia"/>
                      <w:color w:val="0000FF"/>
                    </w:rPr>
                    <w:t>57.8</w:t>
                  </w:r>
                </w:p>
              </w:tc>
              <w:tc>
                <w:tcPr>
                  <w:tcW w:w="1103" w:type="dxa"/>
                  <w:vMerge w:val="continue"/>
                  <w:vAlign w:val="center"/>
                </w:tcPr>
                <w:p>
                  <w:pPr>
                    <w:pStyle w:val="42"/>
                  </w:pPr>
                </w:p>
              </w:tc>
              <w:tc>
                <w:tcPr>
                  <w:tcW w:w="994" w:type="dxa"/>
                  <w:tcBorders>
                    <w:top w:val="single" w:color="auto" w:sz="4" w:space="0"/>
                  </w:tcBorders>
                  <w:vAlign w:val="center"/>
                </w:tcPr>
                <w:p>
                  <w:pPr>
                    <w:pStyle w:val="42"/>
                  </w:pPr>
                  <w:r>
                    <w:rPr>
                      <w:rFonts w:hint="eastAsia"/>
                    </w:rPr>
                    <w:t>25</w:t>
                  </w:r>
                </w:p>
              </w:tc>
              <w:tc>
                <w:tcPr>
                  <w:tcW w:w="1128" w:type="dxa"/>
                  <w:tcBorders>
                    <w:right w:val="single" w:color="auto" w:sz="4" w:space="0"/>
                  </w:tcBorders>
                  <w:vAlign w:val="center"/>
                </w:tcPr>
                <w:p>
                  <w:pPr>
                    <w:pStyle w:val="42"/>
                  </w:pPr>
                  <w:r>
                    <w:rPr>
                      <w:rFonts w:hint="eastAsia"/>
                    </w:rPr>
                    <w:t>33</w:t>
                  </w:r>
                </w:p>
              </w:tc>
              <w:tc>
                <w:tcPr>
                  <w:tcW w:w="1050" w:type="dxa"/>
                  <w:tcBorders>
                    <w:left w:val="single" w:color="auto" w:sz="4" w:space="0"/>
                  </w:tcBorders>
                  <w:vAlign w:val="center"/>
                </w:tcPr>
                <w:p>
                  <w:pPr>
                    <w:pStyle w:val="42"/>
                    <w:rPr>
                      <w:color w:val="0000FF"/>
                    </w:rPr>
                  </w:pPr>
                  <w:r>
                    <w:rPr>
                      <w:rFonts w:hint="eastAsia"/>
                      <w:color w:val="0000FF"/>
                    </w:rPr>
                    <w:t>29.6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西</w:t>
                  </w:r>
                </w:p>
              </w:tc>
              <w:tc>
                <w:tcPr>
                  <w:tcW w:w="567" w:type="dxa"/>
                  <w:vAlign w:val="center"/>
                </w:tcPr>
                <w:p>
                  <w:pPr>
                    <w:pStyle w:val="42"/>
                  </w:pPr>
                  <w:r>
                    <w:rPr>
                      <w:rFonts w:hint="eastAsia"/>
                    </w:rPr>
                    <w:t>40</w:t>
                  </w:r>
                </w:p>
              </w:tc>
              <w:tc>
                <w:tcPr>
                  <w:tcW w:w="1036" w:type="dxa"/>
                  <w:vAlign w:val="center"/>
                </w:tcPr>
                <w:p>
                  <w:pPr>
                    <w:pStyle w:val="42"/>
                    <w:rPr>
                      <w:color w:val="0000FF"/>
                    </w:rPr>
                  </w:pPr>
                  <w:r>
                    <w:rPr>
                      <w:rFonts w:hint="eastAsia"/>
                      <w:color w:val="0000FF"/>
                    </w:rPr>
                    <w:t>53.0</w:t>
                  </w:r>
                </w:p>
              </w:tc>
              <w:tc>
                <w:tcPr>
                  <w:tcW w:w="1103" w:type="dxa"/>
                  <w:vMerge w:val="continue"/>
                  <w:vAlign w:val="center"/>
                </w:tcPr>
                <w:p>
                  <w:pPr>
                    <w:pStyle w:val="42"/>
                  </w:pPr>
                </w:p>
              </w:tc>
              <w:tc>
                <w:tcPr>
                  <w:tcW w:w="994" w:type="dxa"/>
                  <w:tcBorders>
                    <w:top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78</w:t>
                  </w:r>
                </w:p>
              </w:tc>
              <w:tc>
                <w:tcPr>
                  <w:tcW w:w="1050" w:type="dxa"/>
                  <w:tcBorders>
                    <w:left w:val="single" w:color="auto" w:sz="4" w:space="0"/>
                  </w:tcBorders>
                  <w:vAlign w:val="center"/>
                </w:tcPr>
                <w:p>
                  <w:pPr>
                    <w:pStyle w:val="42"/>
                    <w:rPr>
                      <w:color w:val="0000FF"/>
                    </w:rPr>
                  </w:pPr>
                  <w:r>
                    <w:rPr>
                      <w:rFonts w:hint="eastAsia"/>
                      <w:color w:val="0000FF"/>
                    </w:rPr>
                    <w:t>42.2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北</w:t>
                  </w:r>
                </w:p>
              </w:tc>
              <w:tc>
                <w:tcPr>
                  <w:tcW w:w="567" w:type="dxa"/>
                  <w:vAlign w:val="center"/>
                </w:tcPr>
                <w:p>
                  <w:pPr>
                    <w:pStyle w:val="42"/>
                  </w:pPr>
                  <w:r>
                    <w:rPr>
                      <w:rFonts w:hint="eastAsia"/>
                    </w:rPr>
                    <w:t>8</w:t>
                  </w:r>
                </w:p>
              </w:tc>
              <w:tc>
                <w:tcPr>
                  <w:tcW w:w="1036" w:type="dxa"/>
                  <w:vAlign w:val="center"/>
                </w:tcPr>
                <w:p>
                  <w:pPr>
                    <w:pStyle w:val="42"/>
                    <w:rPr>
                      <w:color w:val="0000FF"/>
                    </w:rPr>
                  </w:pPr>
                  <w:r>
                    <w:rPr>
                      <w:rFonts w:hint="eastAsia"/>
                      <w:color w:val="0000FF"/>
                    </w:rPr>
                    <w:t>67.0</w:t>
                  </w:r>
                </w:p>
              </w:tc>
              <w:tc>
                <w:tcPr>
                  <w:tcW w:w="1103" w:type="dxa"/>
                  <w:vMerge w:val="continue"/>
                  <w:vAlign w:val="center"/>
                </w:tcPr>
                <w:p>
                  <w:pPr>
                    <w:pStyle w:val="42"/>
                  </w:pPr>
                </w:p>
              </w:tc>
              <w:tc>
                <w:tcPr>
                  <w:tcW w:w="994" w:type="dxa"/>
                  <w:tcBorders>
                    <w:top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128</w:t>
                  </w:r>
                </w:p>
              </w:tc>
              <w:tc>
                <w:tcPr>
                  <w:tcW w:w="1050" w:type="dxa"/>
                  <w:tcBorders>
                    <w:left w:val="single" w:color="auto" w:sz="4" w:space="0"/>
                  </w:tcBorders>
                  <w:vAlign w:val="center"/>
                </w:tcPr>
                <w:p>
                  <w:pPr>
                    <w:pStyle w:val="42"/>
                    <w:rPr>
                      <w:color w:val="0000FF"/>
                    </w:rPr>
                  </w:pPr>
                  <w:r>
                    <w:rPr>
                      <w:rFonts w:hint="eastAsia"/>
                      <w:color w:val="0000FF"/>
                    </w:rPr>
                    <w:t>37.9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restart"/>
                  <w:vAlign w:val="center"/>
                </w:tcPr>
                <w:p>
                  <w:pPr>
                    <w:pStyle w:val="42"/>
                  </w:pPr>
                  <w:r>
                    <w:rPr>
                      <w:rFonts w:hint="eastAsia"/>
                    </w:rPr>
                    <w:t>6</w:t>
                  </w:r>
                </w:p>
              </w:tc>
              <w:tc>
                <w:tcPr>
                  <w:tcW w:w="550" w:type="dxa"/>
                  <w:vMerge w:val="restart"/>
                  <w:vAlign w:val="center"/>
                </w:tcPr>
                <w:p>
                  <w:pPr>
                    <w:pStyle w:val="42"/>
                  </w:pPr>
                  <w:r>
                    <w:rPr>
                      <w:rFonts w:hint="eastAsia"/>
                    </w:rPr>
                    <w:t>空压机房</w:t>
                  </w:r>
                </w:p>
              </w:tc>
              <w:tc>
                <w:tcPr>
                  <w:tcW w:w="1002" w:type="dxa"/>
                  <w:vMerge w:val="restart"/>
                  <w:vAlign w:val="center"/>
                </w:tcPr>
                <w:p>
                  <w:pPr>
                    <w:pStyle w:val="42"/>
                  </w:pPr>
                  <w:r>
                    <w:rPr>
                      <w:rFonts w:hint="eastAsia"/>
                    </w:rPr>
                    <w:t>空压机</w:t>
                  </w:r>
                </w:p>
              </w:tc>
              <w:tc>
                <w:tcPr>
                  <w:tcW w:w="427" w:type="dxa"/>
                  <w:vMerge w:val="restart"/>
                  <w:vAlign w:val="center"/>
                </w:tcPr>
                <w:p>
                  <w:pPr>
                    <w:pStyle w:val="42"/>
                  </w:pPr>
                  <w:r>
                    <w:rPr>
                      <w:rFonts w:hint="eastAsia"/>
                    </w:rPr>
                    <w:t>/</w:t>
                  </w:r>
                </w:p>
              </w:tc>
              <w:tc>
                <w:tcPr>
                  <w:tcW w:w="430" w:type="dxa"/>
                  <w:vMerge w:val="restart"/>
                  <w:vAlign w:val="center"/>
                </w:tcPr>
                <w:p>
                  <w:pPr>
                    <w:pStyle w:val="42"/>
                  </w:pPr>
                  <w:r>
                    <w:t>1</w:t>
                  </w:r>
                </w:p>
              </w:tc>
              <w:tc>
                <w:tcPr>
                  <w:tcW w:w="1106" w:type="dxa"/>
                  <w:vMerge w:val="restart"/>
                  <w:vAlign w:val="center"/>
                </w:tcPr>
                <w:p>
                  <w:pPr>
                    <w:pStyle w:val="42"/>
                  </w:pPr>
                  <w:r>
                    <w:rPr>
                      <w:rFonts w:hint="eastAsia" w:eastAsiaTheme="minorEastAsia"/>
                    </w:rPr>
                    <w:t>1</w:t>
                  </w:r>
                </w:p>
              </w:tc>
              <w:tc>
                <w:tcPr>
                  <w:tcW w:w="963" w:type="dxa"/>
                  <w:vMerge w:val="restart"/>
                  <w:vAlign w:val="center"/>
                </w:tcPr>
                <w:p>
                  <w:pPr>
                    <w:pStyle w:val="42"/>
                  </w:pPr>
                  <w:r>
                    <w:rPr>
                      <w:rFonts w:hint="eastAsia" w:eastAsiaTheme="minorEastAsia"/>
                    </w:rPr>
                    <w:t>85</w:t>
                  </w:r>
                </w:p>
              </w:tc>
              <w:tc>
                <w:tcPr>
                  <w:tcW w:w="637" w:type="dxa"/>
                  <w:vMerge w:val="restart"/>
                  <w:vAlign w:val="center"/>
                </w:tcPr>
                <w:p>
                  <w:pPr>
                    <w:pStyle w:val="42"/>
                  </w:pPr>
                  <w:r>
                    <w:rPr>
                      <w:rFonts w:hint="eastAsia"/>
                    </w:rPr>
                    <w:t>减震、隔声</w:t>
                  </w:r>
                </w:p>
              </w:tc>
              <w:tc>
                <w:tcPr>
                  <w:tcW w:w="564" w:type="dxa"/>
                  <w:vMerge w:val="restart"/>
                  <w:vAlign w:val="center"/>
                </w:tcPr>
                <w:p>
                  <w:pPr>
                    <w:pStyle w:val="42"/>
                  </w:pPr>
                  <w:r>
                    <w:rPr>
                      <w:rFonts w:hint="eastAsia" w:eastAsiaTheme="minorEastAsia"/>
                    </w:rPr>
                    <w:t>1</w:t>
                  </w:r>
                </w:p>
              </w:tc>
              <w:tc>
                <w:tcPr>
                  <w:tcW w:w="564" w:type="dxa"/>
                  <w:vMerge w:val="restart"/>
                  <w:vAlign w:val="center"/>
                </w:tcPr>
                <w:p>
                  <w:pPr>
                    <w:pStyle w:val="42"/>
                  </w:pPr>
                  <w:r>
                    <w:rPr>
                      <w:rFonts w:hint="eastAsia" w:eastAsiaTheme="minorEastAsia"/>
                    </w:rPr>
                    <w:t>142</w:t>
                  </w:r>
                </w:p>
              </w:tc>
              <w:tc>
                <w:tcPr>
                  <w:tcW w:w="564" w:type="dxa"/>
                  <w:vMerge w:val="restart"/>
                  <w:vAlign w:val="center"/>
                </w:tcPr>
                <w:p>
                  <w:pPr>
                    <w:pStyle w:val="42"/>
                    <w:rPr>
                      <w:color w:val="0000FF"/>
                    </w:rPr>
                  </w:pPr>
                  <w:r>
                    <w:rPr>
                      <w:rFonts w:hint="eastAsia"/>
                      <w:color w:val="0000FF"/>
                    </w:rPr>
                    <w:t>1</w:t>
                  </w:r>
                </w:p>
              </w:tc>
              <w:tc>
                <w:tcPr>
                  <w:tcW w:w="849" w:type="dxa"/>
                  <w:vAlign w:val="center"/>
                </w:tcPr>
                <w:p>
                  <w:pPr>
                    <w:pStyle w:val="42"/>
                  </w:pPr>
                  <w:r>
                    <w:rPr>
                      <w:rFonts w:hint="eastAsia"/>
                    </w:rPr>
                    <w:t>东</w:t>
                  </w:r>
                </w:p>
              </w:tc>
              <w:tc>
                <w:tcPr>
                  <w:tcW w:w="567" w:type="dxa"/>
                  <w:vAlign w:val="center"/>
                </w:tcPr>
                <w:p>
                  <w:pPr>
                    <w:pStyle w:val="42"/>
                  </w:pPr>
                  <w:r>
                    <w:rPr>
                      <w:rFonts w:hint="eastAsia"/>
                    </w:rPr>
                    <w:t>2</w:t>
                  </w:r>
                </w:p>
              </w:tc>
              <w:tc>
                <w:tcPr>
                  <w:tcW w:w="1036" w:type="dxa"/>
                  <w:vAlign w:val="center"/>
                </w:tcPr>
                <w:p>
                  <w:pPr>
                    <w:pStyle w:val="42"/>
                    <w:rPr>
                      <w:color w:val="0000FF"/>
                    </w:rPr>
                  </w:pPr>
                  <w:r>
                    <w:rPr>
                      <w:rFonts w:hint="eastAsia"/>
                      <w:color w:val="0000FF"/>
                    </w:rPr>
                    <w:t>79.0</w:t>
                  </w:r>
                </w:p>
              </w:tc>
              <w:tc>
                <w:tcPr>
                  <w:tcW w:w="1103" w:type="dxa"/>
                  <w:vMerge w:val="restart"/>
                  <w:vAlign w:val="center"/>
                </w:tcPr>
                <w:p>
                  <w:pPr>
                    <w:pStyle w:val="42"/>
                  </w:pPr>
                  <w:r>
                    <w:t>2400h/</w:t>
                  </w:r>
                  <w:r>
                    <w:rPr>
                      <w:rFonts w:hint="eastAsia"/>
                    </w:rPr>
                    <w:t>a</w:t>
                  </w:r>
                  <w:r>
                    <w:t>、频发</w:t>
                  </w:r>
                </w:p>
              </w:tc>
              <w:tc>
                <w:tcPr>
                  <w:tcW w:w="994" w:type="dxa"/>
                  <w:tcBorders>
                    <w:top w:val="single" w:color="auto" w:sz="4" w:space="0"/>
                  </w:tcBorders>
                  <w:vAlign w:val="center"/>
                </w:tcPr>
                <w:p>
                  <w:pPr>
                    <w:pStyle w:val="42"/>
                  </w:pPr>
                  <w:r>
                    <w:rPr>
                      <w:rFonts w:hint="eastAsia"/>
                    </w:rPr>
                    <w:t>25</w:t>
                  </w:r>
                </w:p>
              </w:tc>
              <w:tc>
                <w:tcPr>
                  <w:tcW w:w="1128" w:type="dxa"/>
                  <w:tcBorders>
                    <w:right w:val="single" w:color="auto" w:sz="4" w:space="0"/>
                  </w:tcBorders>
                  <w:vAlign w:val="center"/>
                </w:tcPr>
                <w:p>
                  <w:pPr>
                    <w:pStyle w:val="42"/>
                  </w:pPr>
                  <w:r>
                    <w:rPr>
                      <w:rFonts w:hint="eastAsia"/>
                    </w:rPr>
                    <w:t>3</w:t>
                  </w:r>
                </w:p>
              </w:tc>
              <w:tc>
                <w:tcPr>
                  <w:tcW w:w="1050" w:type="dxa"/>
                  <w:tcBorders>
                    <w:left w:val="single" w:color="auto" w:sz="4" w:space="0"/>
                  </w:tcBorders>
                  <w:vAlign w:val="center"/>
                </w:tcPr>
                <w:p>
                  <w:pPr>
                    <w:pStyle w:val="42"/>
                    <w:rPr>
                      <w:color w:val="0000FF"/>
                    </w:rPr>
                  </w:pPr>
                  <w:r>
                    <w:rPr>
                      <w:rFonts w:hint="eastAsia"/>
                      <w:color w:val="0000FF"/>
                    </w:rPr>
                    <w:t>50.5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849" w:type="dxa"/>
                  <w:vAlign w:val="center"/>
                </w:tcPr>
                <w:p>
                  <w:pPr>
                    <w:pStyle w:val="42"/>
                  </w:pPr>
                  <w:r>
                    <w:rPr>
                      <w:rFonts w:hint="eastAsia"/>
                    </w:rPr>
                    <w:t>南</w:t>
                  </w:r>
                </w:p>
              </w:tc>
              <w:tc>
                <w:tcPr>
                  <w:tcW w:w="567" w:type="dxa"/>
                  <w:vAlign w:val="center"/>
                </w:tcPr>
                <w:p>
                  <w:pPr>
                    <w:pStyle w:val="42"/>
                  </w:pPr>
                  <w:r>
                    <w:rPr>
                      <w:rFonts w:hint="eastAsia"/>
                    </w:rPr>
                    <w:t>2</w:t>
                  </w:r>
                </w:p>
              </w:tc>
              <w:tc>
                <w:tcPr>
                  <w:tcW w:w="1036" w:type="dxa"/>
                  <w:vAlign w:val="center"/>
                </w:tcPr>
                <w:p>
                  <w:pPr>
                    <w:pStyle w:val="42"/>
                    <w:rPr>
                      <w:color w:val="0000FF"/>
                    </w:rPr>
                  </w:pPr>
                  <w:r>
                    <w:rPr>
                      <w:rFonts w:hint="eastAsia"/>
                      <w:color w:val="0000FF"/>
                    </w:rPr>
                    <w:t>79.0</w:t>
                  </w:r>
                </w:p>
              </w:tc>
              <w:tc>
                <w:tcPr>
                  <w:tcW w:w="1103" w:type="dxa"/>
                  <w:vMerge w:val="continue"/>
                  <w:vAlign w:val="center"/>
                </w:tcPr>
                <w:p>
                  <w:pPr>
                    <w:pStyle w:val="42"/>
                  </w:pPr>
                </w:p>
              </w:tc>
              <w:tc>
                <w:tcPr>
                  <w:tcW w:w="994" w:type="dxa"/>
                  <w:tcBorders>
                    <w:top w:val="single" w:color="auto" w:sz="4" w:space="0"/>
                  </w:tcBorders>
                  <w:vAlign w:val="center"/>
                </w:tcPr>
                <w:p>
                  <w:pPr>
                    <w:pStyle w:val="42"/>
                  </w:pPr>
                  <w:r>
                    <w:rPr>
                      <w:rFonts w:hint="eastAsia"/>
                    </w:rPr>
                    <w:t>25</w:t>
                  </w:r>
                </w:p>
              </w:tc>
              <w:tc>
                <w:tcPr>
                  <w:tcW w:w="1128" w:type="dxa"/>
                  <w:tcBorders>
                    <w:right w:val="single" w:color="auto" w:sz="4" w:space="0"/>
                  </w:tcBorders>
                  <w:vAlign w:val="center"/>
                </w:tcPr>
                <w:p>
                  <w:pPr>
                    <w:pStyle w:val="42"/>
                  </w:pPr>
                  <w:r>
                    <w:rPr>
                      <w:rFonts w:hint="eastAsia"/>
                    </w:rPr>
                    <w:t>3</w:t>
                  </w:r>
                </w:p>
              </w:tc>
              <w:tc>
                <w:tcPr>
                  <w:tcW w:w="1050" w:type="dxa"/>
                  <w:tcBorders>
                    <w:left w:val="single" w:color="auto" w:sz="4" w:space="0"/>
                  </w:tcBorders>
                  <w:vAlign w:val="center"/>
                </w:tcPr>
                <w:p>
                  <w:pPr>
                    <w:pStyle w:val="42"/>
                    <w:rPr>
                      <w:color w:val="0000FF"/>
                    </w:rPr>
                  </w:pPr>
                  <w:r>
                    <w:rPr>
                      <w:rFonts w:hint="eastAsia"/>
                      <w:color w:val="0000FF"/>
                    </w:rPr>
                    <w:t>50.5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849" w:type="dxa"/>
                  <w:vAlign w:val="center"/>
                </w:tcPr>
                <w:p>
                  <w:pPr>
                    <w:pStyle w:val="42"/>
                  </w:pPr>
                  <w:r>
                    <w:rPr>
                      <w:rFonts w:hint="eastAsia"/>
                    </w:rPr>
                    <w:t>西</w:t>
                  </w:r>
                </w:p>
              </w:tc>
              <w:tc>
                <w:tcPr>
                  <w:tcW w:w="567" w:type="dxa"/>
                  <w:vAlign w:val="center"/>
                </w:tcPr>
                <w:p>
                  <w:pPr>
                    <w:pStyle w:val="42"/>
                  </w:pPr>
                  <w:r>
                    <w:rPr>
                      <w:rFonts w:hint="eastAsia"/>
                    </w:rPr>
                    <w:t>2</w:t>
                  </w:r>
                </w:p>
              </w:tc>
              <w:tc>
                <w:tcPr>
                  <w:tcW w:w="1036" w:type="dxa"/>
                  <w:vAlign w:val="center"/>
                </w:tcPr>
                <w:p>
                  <w:pPr>
                    <w:pStyle w:val="42"/>
                    <w:rPr>
                      <w:color w:val="0000FF"/>
                    </w:rPr>
                  </w:pPr>
                  <w:r>
                    <w:rPr>
                      <w:rFonts w:hint="eastAsia"/>
                      <w:color w:val="0000FF"/>
                    </w:rPr>
                    <w:t>79.0</w:t>
                  </w:r>
                </w:p>
              </w:tc>
              <w:tc>
                <w:tcPr>
                  <w:tcW w:w="1103" w:type="dxa"/>
                  <w:vMerge w:val="continue"/>
                  <w:vAlign w:val="center"/>
                </w:tcPr>
                <w:p>
                  <w:pPr>
                    <w:pStyle w:val="42"/>
                  </w:pPr>
                </w:p>
              </w:tc>
              <w:tc>
                <w:tcPr>
                  <w:tcW w:w="994" w:type="dxa"/>
                  <w:tcBorders>
                    <w:top w:val="single" w:color="auto" w:sz="4" w:space="0"/>
                  </w:tcBorders>
                  <w:vAlign w:val="center"/>
                </w:tcPr>
                <w:p>
                  <w:pPr>
                    <w:pStyle w:val="42"/>
                  </w:pPr>
                  <w:r>
                    <w:rPr>
                      <w:rFonts w:hint="eastAsia"/>
                    </w:rPr>
                    <w:t>25</w:t>
                  </w:r>
                </w:p>
              </w:tc>
              <w:tc>
                <w:tcPr>
                  <w:tcW w:w="1128" w:type="dxa"/>
                  <w:tcBorders>
                    <w:right w:val="single" w:color="auto" w:sz="4" w:space="0"/>
                  </w:tcBorders>
                  <w:vAlign w:val="center"/>
                </w:tcPr>
                <w:p>
                  <w:pPr>
                    <w:pStyle w:val="42"/>
                  </w:pPr>
                  <w:r>
                    <w:rPr>
                      <w:rFonts w:hint="eastAsia"/>
                    </w:rPr>
                    <w:t>3</w:t>
                  </w:r>
                </w:p>
              </w:tc>
              <w:tc>
                <w:tcPr>
                  <w:tcW w:w="1050" w:type="dxa"/>
                  <w:tcBorders>
                    <w:left w:val="single" w:color="auto" w:sz="4" w:space="0"/>
                  </w:tcBorders>
                  <w:vAlign w:val="center"/>
                </w:tcPr>
                <w:p>
                  <w:pPr>
                    <w:pStyle w:val="42"/>
                    <w:rPr>
                      <w:color w:val="0000FF"/>
                    </w:rPr>
                  </w:pPr>
                  <w:r>
                    <w:rPr>
                      <w:rFonts w:hint="eastAsia"/>
                      <w:color w:val="0000FF"/>
                    </w:rPr>
                    <w:t>50.5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849" w:type="dxa"/>
                  <w:vAlign w:val="center"/>
                </w:tcPr>
                <w:p>
                  <w:pPr>
                    <w:pStyle w:val="42"/>
                  </w:pPr>
                  <w:r>
                    <w:rPr>
                      <w:rFonts w:hint="eastAsia"/>
                    </w:rPr>
                    <w:t>北</w:t>
                  </w:r>
                </w:p>
              </w:tc>
              <w:tc>
                <w:tcPr>
                  <w:tcW w:w="567" w:type="dxa"/>
                  <w:vAlign w:val="center"/>
                </w:tcPr>
                <w:p>
                  <w:pPr>
                    <w:pStyle w:val="42"/>
                  </w:pPr>
                  <w:r>
                    <w:rPr>
                      <w:rFonts w:hint="eastAsia"/>
                    </w:rPr>
                    <w:t>2</w:t>
                  </w:r>
                </w:p>
              </w:tc>
              <w:tc>
                <w:tcPr>
                  <w:tcW w:w="1036" w:type="dxa"/>
                  <w:vAlign w:val="center"/>
                </w:tcPr>
                <w:p>
                  <w:pPr>
                    <w:pStyle w:val="42"/>
                    <w:rPr>
                      <w:color w:val="0000FF"/>
                    </w:rPr>
                  </w:pPr>
                  <w:r>
                    <w:rPr>
                      <w:rFonts w:hint="eastAsia"/>
                      <w:color w:val="0000FF"/>
                    </w:rPr>
                    <w:t>79.0</w:t>
                  </w:r>
                </w:p>
              </w:tc>
              <w:tc>
                <w:tcPr>
                  <w:tcW w:w="1103" w:type="dxa"/>
                  <w:vMerge w:val="continue"/>
                  <w:vAlign w:val="center"/>
                </w:tcPr>
                <w:p>
                  <w:pPr>
                    <w:pStyle w:val="42"/>
                  </w:pPr>
                </w:p>
              </w:tc>
              <w:tc>
                <w:tcPr>
                  <w:tcW w:w="994" w:type="dxa"/>
                  <w:tcBorders>
                    <w:top w:val="single" w:color="auto" w:sz="4" w:space="0"/>
                  </w:tcBorders>
                  <w:vAlign w:val="center"/>
                </w:tcPr>
                <w:p>
                  <w:pPr>
                    <w:pStyle w:val="42"/>
                  </w:pPr>
                  <w:r>
                    <w:rPr>
                      <w:rFonts w:hint="eastAsia"/>
                    </w:rPr>
                    <w:t>25</w:t>
                  </w:r>
                </w:p>
              </w:tc>
              <w:tc>
                <w:tcPr>
                  <w:tcW w:w="1128" w:type="dxa"/>
                  <w:tcBorders>
                    <w:right w:val="single" w:color="auto" w:sz="4" w:space="0"/>
                  </w:tcBorders>
                  <w:vAlign w:val="center"/>
                </w:tcPr>
                <w:p>
                  <w:pPr>
                    <w:pStyle w:val="42"/>
                  </w:pPr>
                  <w:r>
                    <w:rPr>
                      <w:rFonts w:hint="eastAsia"/>
                    </w:rPr>
                    <w:t>3</w:t>
                  </w:r>
                </w:p>
              </w:tc>
              <w:tc>
                <w:tcPr>
                  <w:tcW w:w="1050" w:type="dxa"/>
                  <w:tcBorders>
                    <w:left w:val="single" w:color="auto" w:sz="4" w:space="0"/>
                  </w:tcBorders>
                  <w:vAlign w:val="center"/>
                </w:tcPr>
                <w:p>
                  <w:pPr>
                    <w:pStyle w:val="42"/>
                    <w:rPr>
                      <w:color w:val="0000FF"/>
                    </w:rPr>
                  </w:pPr>
                  <w:r>
                    <w:rPr>
                      <w:rFonts w:hint="eastAsia"/>
                      <w:color w:val="0000FF"/>
                    </w:rPr>
                    <w:t>50.5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13960" w:type="dxa"/>
                  <w:gridSpan w:val="18"/>
                </w:tcPr>
                <w:p>
                  <w:pPr>
                    <w:pStyle w:val="42"/>
                    <w:ind w:firstLine="420" w:firstLineChars="200"/>
                    <w:jc w:val="both"/>
                  </w:pPr>
                  <w:r>
                    <w:rPr>
                      <w:rFonts w:hint="eastAsia"/>
                    </w:rPr>
                    <w:t>注：</w:t>
                  </w:r>
                  <w:r>
                    <w:rPr>
                      <w:rFonts w:hint="eastAsia"/>
                      <w:color w:val="0000FF"/>
                    </w:rPr>
                    <w:t>①项目设备源强参照取自《环境噪声与振动控制工程技术导则》（HJ 2034-2013）及同类项目研究成果《重庆蓉谊商贸有限公司华兴团林采矿场声环境保护措施论证报告》（2022年6月，重庆市生态环境评估中心评审通过版本）。根据该《论证报告》采石场矿山钢架厂房隔声有限，理论隔声值在5dB(A)以上，厂房墙壁在整体悬挂10cm厚隔声屏障的前提下，屋内外隔声值可达25dB(A)以上。拟建项目</w:t>
                  </w:r>
                  <w:r>
                    <w:rPr>
                      <w:rFonts w:hint="eastAsia"/>
                    </w:rPr>
                    <w:t>加工区采用钢架厂房结构，</w:t>
                  </w:r>
                  <w:r>
                    <w:rPr>
                      <w:rFonts w:hint="eastAsia" w:ascii="宋体" w:hAnsi="宋体"/>
                    </w:rPr>
                    <w:t>本次评价隔声取值</w:t>
                  </w:r>
                  <w:r>
                    <w:rPr>
                      <w:rFonts w:hint="eastAsia" w:eastAsiaTheme="minorEastAsia"/>
                    </w:rPr>
                    <w:t>5</w:t>
                  </w:r>
                  <w:r>
                    <w:t>dB(A)</w:t>
                  </w:r>
                  <w:r>
                    <w:rPr>
                      <w:rFonts w:hint="eastAsia"/>
                    </w:rPr>
                    <w:t>；考虑加工区临近南侧厂界，为确保厂界达标，建设单位拟将加工区南侧厂房悬挂10cm厚隔声屏障，</w:t>
                  </w:r>
                  <w:r>
                    <w:rPr>
                      <w:rFonts w:hint="eastAsia" w:ascii="宋体" w:hAnsi="宋体"/>
                      <w:color w:val="0000FF"/>
                    </w:rPr>
                    <w:t>隔声取值</w:t>
                  </w:r>
                  <w:r>
                    <w:rPr>
                      <w:color w:val="0000FF"/>
                    </w:rPr>
                    <w:t>2</w:t>
                  </w:r>
                  <w:r>
                    <w:rPr>
                      <w:rFonts w:hint="eastAsia" w:eastAsiaTheme="minorEastAsia"/>
                      <w:color w:val="0000FF"/>
                    </w:rPr>
                    <w:t>5</w:t>
                  </w:r>
                  <w:r>
                    <w:rPr>
                      <w:color w:val="0000FF"/>
                    </w:rPr>
                    <w:t>dB(A)</w:t>
                  </w:r>
                  <w:r>
                    <w:rPr>
                      <w:rFonts w:hint="eastAsia"/>
                    </w:rPr>
                    <w:t>。②空压机房为砖混结构，</w:t>
                  </w:r>
                  <w:r>
                    <w:rPr>
                      <w:rFonts w:hint="eastAsia" w:ascii="宋体" w:hAnsi="宋体" w:cs="宋体"/>
                    </w:rPr>
                    <w:t>理论</w:t>
                  </w:r>
                  <w:r>
                    <w:rPr>
                      <w:rFonts w:hint="eastAsia"/>
                    </w:rPr>
                    <w:t>隔声值在25</w:t>
                  </w:r>
                  <w:r>
                    <w:t>dB(A)</w:t>
                  </w:r>
                  <w:r>
                    <w:rPr>
                      <w:rFonts w:hint="eastAsia" w:ascii="宋体" w:hAnsi="宋体"/>
                    </w:rPr>
                    <w:t>以上，本次评价取值</w:t>
                  </w:r>
                  <w:r>
                    <w:t>2</w:t>
                  </w:r>
                  <w:r>
                    <w:rPr>
                      <w:rFonts w:hint="eastAsia" w:eastAsiaTheme="minorEastAsia"/>
                    </w:rPr>
                    <w:t>5</w:t>
                  </w:r>
                  <w:r>
                    <w:t>dB(A)</w:t>
                  </w:r>
                  <w:r>
                    <w:rPr>
                      <w:rFonts w:hint="eastAsia"/>
                    </w:rPr>
                    <w:t>。③</w:t>
                  </w:r>
                  <w:r>
                    <w:rPr>
                      <w:rFonts w:hint="eastAsia"/>
                      <w:color w:val="0000FF"/>
                    </w:rPr>
                    <w:t>以加工区中心为坐标原点（0，0）。④</w:t>
                  </w:r>
                  <w:r>
                    <w:rPr>
                      <w:rFonts w:hint="eastAsia"/>
                    </w:rPr>
                    <w:t>厂界范围为项目占地范围。</w:t>
                  </w:r>
                </w:p>
              </w:tc>
            </w:tr>
          </w:tbl>
          <w:p>
            <w:pPr>
              <w:adjustRightInd w:val="0"/>
              <w:snapToGrid w:val="0"/>
              <w:spacing w:line="360" w:lineRule="auto"/>
              <w:ind w:firstLine="480" w:firstLineChars="200"/>
              <w:jc w:val="left"/>
              <w:rPr>
                <w:sz w:val="24"/>
              </w:rPr>
            </w:pPr>
          </w:p>
          <w:p>
            <w:pPr>
              <w:adjustRightInd w:val="0"/>
              <w:snapToGrid w:val="0"/>
              <w:spacing w:line="360" w:lineRule="auto"/>
              <w:ind w:firstLine="480" w:firstLineChars="200"/>
              <w:jc w:val="left"/>
              <w:rPr>
                <w:sz w:val="24"/>
              </w:rPr>
            </w:pPr>
          </w:p>
        </w:tc>
      </w:tr>
    </w:tbl>
    <w:p/>
    <w:p>
      <w:pPr>
        <w:sectPr>
          <w:pgSz w:w="16838" w:h="11906" w:orient="landscape"/>
          <w:pgMar w:top="1440" w:right="1080" w:bottom="1440" w:left="1080" w:header="851" w:footer="1077" w:gutter="0"/>
          <w:cols w:space="720" w:num="1"/>
          <w:docGrid w:linePitch="312" w:charSpace="0"/>
        </w:sectPr>
      </w:pP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0"/>
        <w:gridCol w:w="92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163" w:hRule="atLeast"/>
          <w:jc w:val="center"/>
        </w:trPr>
        <w:tc>
          <w:tcPr>
            <w:tcW w:w="480" w:type="dxa"/>
            <w:vAlign w:val="center"/>
          </w:tcPr>
          <w:p>
            <w:pPr>
              <w:adjustRightInd w:val="0"/>
              <w:snapToGrid w:val="0"/>
              <w:jc w:val="center"/>
              <w:rPr>
                <w:sz w:val="24"/>
              </w:rPr>
            </w:pPr>
            <w:r>
              <w:rPr>
                <w:sz w:val="24"/>
              </w:rPr>
              <w:t>运营期生态环境影响分析</w:t>
            </w:r>
          </w:p>
        </w:tc>
        <w:tc>
          <w:tcPr>
            <w:tcW w:w="9246" w:type="dxa"/>
          </w:tcPr>
          <w:p>
            <w:pPr>
              <w:adjustRightInd w:val="0"/>
              <w:snapToGrid w:val="0"/>
              <w:spacing w:line="360" w:lineRule="auto"/>
              <w:ind w:firstLine="482" w:firstLineChars="200"/>
              <w:jc w:val="left"/>
              <w:rPr>
                <w:b/>
                <w:sz w:val="24"/>
              </w:rPr>
            </w:pPr>
            <w:r>
              <w:rPr>
                <w:b/>
                <w:sz w:val="24"/>
              </w:rPr>
              <w:t>2）环境影响分析</w:t>
            </w:r>
          </w:p>
          <w:p>
            <w:pPr>
              <w:adjustRightInd w:val="0"/>
              <w:snapToGrid w:val="0"/>
              <w:spacing w:line="360" w:lineRule="auto"/>
              <w:ind w:firstLine="480" w:firstLineChars="200"/>
              <w:jc w:val="left"/>
              <w:rPr>
                <w:bCs/>
                <w:sz w:val="24"/>
              </w:rPr>
            </w:pPr>
            <w:r>
              <w:rPr>
                <w:rFonts w:hint="eastAsia" w:ascii="宋体" w:hAnsi="宋体" w:cs="宋体"/>
                <w:sz w:val="24"/>
              </w:rPr>
              <w:t>①</w:t>
            </w:r>
            <w:r>
              <w:rPr>
                <w:bCs/>
                <w:sz w:val="24"/>
              </w:rPr>
              <w:t>预测模式及内容</w:t>
            </w:r>
          </w:p>
          <w:p>
            <w:pPr>
              <w:adjustRightInd w:val="0"/>
              <w:snapToGrid w:val="0"/>
              <w:spacing w:line="360" w:lineRule="auto"/>
              <w:ind w:firstLine="480" w:firstLineChars="200"/>
              <w:jc w:val="left"/>
              <w:rPr>
                <w:sz w:val="24"/>
              </w:rPr>
            </w:pPr>
            <w:r>
              <w:rPr>
                <w:sz w:val="24"/>
              </w:rPr>
              <w:t>根据声源分布情况及矿山所在地环境特征，采区机械设备位置是不固定的，矿区各场界环境噪声也是变化的，因此主要对各噪声源衰减距离进行预测，以此分析采区噪声对周围环境的影响。工业</w:t>
            </w:r>
            <w:r>
              <w:rPr>
                <w:rFonts w:hint="eastAsia"/>
                <w:sz w:val="24"/>
              </w:rPr>
              <w:t>广场</w:t>
            </w:r>
            <w:r>
              <w:rPr>
                <w:sz w:val="24"/>
              </w:rPr>
              <w:t>的噪声源</w:t>
            </w:r>
            <w:r>
              <w:rPr>
                <w:bCs/>
                <w:sz w:val="24"/>
              </w:rPr>
              <w:t>主要是破碎、筛分设备，属于固定噪声源，因此主要进行</w:t>
            </w:r>
            <w:r>
              <w:rPr>
                <w:rFonts w:hint="eastAsia"/>
                <w:bCs/>
                <w:sz w:val="24"/>
              </w:rPr>
              <w:t>厂界</w:t>
            </w:r>
            <w:r>
              <w:rPr>
                <w:bCs/>
                <w:sz w:val="24"/>
              </w:rPr>
              <w:t>噪声达标分析。</w:t>
            </w:r>
          </w:p>
          <w:p>
            <w:pPr>
              <w:adjustRightInd w:val="0"/>
              <w:snapToGrid w:val="0"/>
              <w:spacing w:line="360" w:lineRule="auto"/>
              <w:ind w:firstLine="480" w:firstLineChars="200"/>
              <w:jc w:val="left"/>
              <w:rPr>
                <w:sz w:val="24"/>
              </w:rPr>
            </w:pPr>
            <w:r>
              <w:rPr>
                <w:sz w:val="24"/>
              </w:rPr>
              <w:t>根据《环境影响评价技术导则·声环境》（HJ2.4-2021），采用如下噪声预测模式：</w:t>
            </w:r>
          </w:p>
          <w:p>
            <w:pPr>
              <w:adjustRightInd w:val="0"/>
              <w:snapToGrid w:val="0"/>
              <w:spacing w:line="360" w:lineRule="auto"/>
              <w:ind w:firstLine="480" w:firstLineChars="200"/>
              <w:rPr>
                <w:sz w:val="24"/>
              </w:rPr>
            </w:pPr>
            <w:r>
              <w:rPr>
                <w:sz w:val="24"/>
              </w:rPr>
              <w:t>Ⅰ、室外声源在预测点产生的声级计算模型：</w:t>
            </w:r>
          </w:p>
          <w:p>
            <w:pPr>
              <w:adjustRightInd w:val="0"/>
              <w:snapToGrid w:val="0"/>
              <w:spacing w:line="360" w:lineRule="auto"/>
              <w:ind w:firstLine="480" w:firstLineChars="200"/>
              <w:rPr>
                <w:sz w:val="24"/>
              </w:rPr>
            </w:pPr>
            <w:r>
              <w:rPr>
                <w:sz w:val="24"/>
              </w:rPr>
              <w:t>无指向性点声源几何发散衰减的基本公式是：</w:t>
            </w:r>
          </w:p>
          <w:p>
            <w:pPr>
              <w:adjustRightInd w:val="0"/>
              <w:snapToGrid w:val="0"/>
              <w:spacing w:line="360" w:lineRule="auto"/>
              <w:jc w:val="center"/>
              <w:rPr>
                <w:sz w:val="24"/>
              </w:rPr>
            </w:pPr>
            <w:r>
              <w:rPr>
                <w:sz w:val="24"/>
              </w:rPr>
              <w:drawing>
                <wp:inline distT="0" distB="0" distL="0" distR="0">
                  <wp:extent cx="2275205" cy="351155"/>
                  <wp:effectExtent l="0" t="0" r="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275205" cy="351155"/>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sz w:val="24"/>
              </w:rPr>
              <w:t>式中：</w:t>
            </w:r>
            <w:r>
              <w:rPr>
                <w:i/>
                <w:iCs/>
                <w:sz w:val="24"/>
              </w:rPr>
              <w:t>Lp(r)</w:t>
            </w:r>
            <w:r>
              <w:rPr>
                <w:sz w:val="24"/>
              </w:rPr>
              <w:t>——预测点处声压级，dB；</w:t>
            </w:r>
          </w:p>
          <w:p>
            <w:pPr>
              <w:adjustRightInd w:val="0"/>
              <w:snapToGrid w:val="0"/>
              <w:spacing w:line="360" w:lineRule="auto"/>
              <w:ind w:firstLine="1200" w:firstLineChars="500"/>
              <w:rPr>
                <w:sz w:val="24"/>
              </w:rPr>
            </w:pPr>
            <w:r>
              <w:rPr>
                <w:i/>
                <w:iCs/>
                <w:sz w:val="24"/>
              </w:rPr>
              <w:t>Lp(r</w:t>
            </w:r>
            <w:r>
              <w:rPr>
                <w:i/>
                <w:iCs/>
                <w:sz w:val="24"/>
                <w:vertAlign w:val="subscript"/>
              </w:rPr>
              <w:t>0</w:t>
            </w:r>
            <w:r>
              <w:rPr>
                <w:i/>
                <w:iCs/>
                <w:sz w:val="24"/>
              </w:rPr>
              <w:t>)</w:t>
            </w:r>
            <w:r>
              <w:rPr>
                <w:sz w:val="24"/>
              </w:rPr>
              <w:t>——参考位置</w:t>
            </w:r>
            <w:r>
              <w:rPr>
                <w:i/>
                <w:iCs/>
                <w:sz w:val="24"/>
              </w:rPr>
              <w:t>r0</w:t>
            </w:r>
            <w:r>
              <w:rPr>
                <w:sz w:val="24"/>
              </w:rPr>
              <w:t>处的声压级，dB；</w:t>
            </w:r>
          </w:p>
          <w:p>
            <w:pPr>
              <w:adjustRightInd w:val="0"/>
              <w:snapToGrid w:val="0"/>
              <w:spacing w:line="360" w:lineRule="auto"/>
              <w:ind w:firstLine="1200" w:firstLineChars="500"/>
              <w:rPr>
                <w:sz w:val="24"/>
              </w:rPr>
            </w:pPr>
            <w:r>
              <w:rPr>
                <w:i/>
                <w:iCs/>
                <w:sz w:val="24"/>
              </w:rPr>
              <w:t>r</w:t>
            </w:r>
            <w:r>
              <w:rPr>
                <w:sz w:val="24"/>
              </w:rPr>
              <w:t>——预测点距声源的距离；</w:t>
            </w:r>
          </w:p>
          <w:p>
            <w:pPr>
              <w:adjustRightInd w:val="0"/>
              <w:snapToGrid w:val="0"/>
              <w:spacing w:line="360" w:lineRule="auto"/>
              <w:ind w:firstLine="1200" w:firstLineChars="500"/>
              <w:rPr>
                <w:sz w:val="24"/>
              </w:rPr>
            </w:pPr>
            <w:r>
              <w:rPr>
                <w:i/>
                <w:iCs/>
                <w:sz w:val="24"/>
              </w:rPr>
              <w:t>r</w:t>
            </w:r>
            <w:r>
              <w:rPr>
                <w:i/>
                <w:iCs/>
                <w:sz w:val="24"/>
                <w:vertAlign w:val="subscript"/>
              </w:rPr>
              <w:t>0</w:t>
            </w:r>
            <w:r>
              <w:rPr>
                <w:sz w:val="24"/>
              </w:rPr>
              <w:t>——参考位置距声源的距离。</w:t>
            </w:r>
          </w:p>
          <w:p>
            <w:pPr>
              <w:adjustRightInd w:val="0"/>
              <w:snapToGrid w:val="0"/>
              <w:spacing w:line="360" w:lineRule="auto"/>
              <w:ind w:firstLine="480" w:firstLineChars="200"/>
              <w:rPr>
                <w:sz w:val="24"/>
              </w:rPr>
            </w:pPr>
            <w:r>
              <w:rPr>
                <w:sz w:val="24"/>
              </w:rPr>
              <w:t>Ⅱ、室内声源等效室外声源声功率级计算方法</w:t>
            </w:r>
          </w:p>
          <w:p>
            <w:pPr>
              <w:adjustRightInd w:val="0"/>
              <w:snapToGrid w:val="0"/>
              <w:spacing w:line="360" w:lineRule="auto"/>
              <w:ind w:firstLine="480" w:firstLineChars="200"/>
              <w:rPr>
                <w:sz w:val="24"/>
              </w:rPr>
            </w:pPr>
            <w:r>
              <w:rPr>
                <w:sz w:val="24"/>
              </w:rPr>
              <w:t>如图4-</w:t>
            </w:r>
            <w:r>
              <w:rPr>
                <w:rFonts w:hint="eastAsia"/>
                <w:sz w:val="24"/>
              </w:rPr>
              <w:t>6</w:t>
            </w:r>
            <w:r>
              <w:rPr>
                <w:sz w:val="24"/>
              </w:rPr>
              <w:t>所示，声源位于室内，室内声源可采用等效室外声源声功率级法进行计算。设靠近开口处（或窗户）室内、室外某倍频带的声压级或A声级分别为</w:t>
            </w:r>
            <w:r>
              <w:rPr>
                <w:i/>
                <w:iCs/>
                <w:sz w:val="24"/>
              </w:rPr>
              <w:t>Lp1</w:t>
            </w:r>
            <w:r>
              <w:rPr>
                <w:sz w:val="24"/>
              </w:rPr>
              <w:t>和</w:t>
            </w:r>
            <w:r>
              <w:rPr>
                <w:i/>
                <w:iCs/>
                <w:sz w:val="24"/>
              </w:rPr>
              <w:t>Lp2</w:t>
            </w:r>
            <w:r>
              <w:rPr>
                <w:sz w:val="24"/>
              </w:rPr>
              <w:t>。若声源所在室内声场为近似扩散声场，则室外的倍频带声压级可按下式近似求出：</w:t>
            </w:r>
          </w:p>
          <w:p>
            <w:pPr>
              <w:adjustRightInd w:val="0"/>
              <w:snapToGrid w:val="0"/>
              <w:spacing w:line="360" w:lineRule="auto"/>
              <w:jc w:val="center"/>
              <w:rPr>
                <w:sz w:val="24"/>
              </w:rPr>
            </w:pPr>
            <w:r>
              <w:rPr>
                <w:sz w:val="24"/>
              </w:rPr>
              <w:drawing>
                <wp:inline distT="0" distB="0" distL="0" distR="0">
                  <wp:extent cx="1784985" cy="328930"/>
                  <wp:effectExtent l="0" t="0" r="0" b="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784985" cy="328930"/>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sz w:val="24"/>
              </w:rPr>
              <w:t>式中：</w:t>
            </w:r>
            <w:r>
              <w:rPr>
                <w:i/>
                <w:iCs/>
                <w:sz w:val="24"/>
              </w:rPr>
              <w:t>Lp1</w:t>
            </w:r>
            <w:r>
              <w:rPr>
                <w:sz w:val="24"/>
              </w:rPr>
              <w:t>—靠近开口处（或窗户）室内某倍频带的声压级或A声级，dB；</w:t>
            </w:r>
          </w:p>
          <w:p>
            <w:pPr>
              <w:adjustRightInd w:val="0"/>
              <w:snapToGrid w:val="0"/>
              <w:spacing w:line="360" w:lineRule="auto"/>
              <w:ind w:firstLine="1200" w:firstLineChars="500"/>
              <w:rPr>
                <w:sz w:val="24"/>
              </w:rPr>
            </w:pPr>
            <w:r>
              <w:rPr>
                <w:i/>
                <w:iCs/>
                <w:sz w:val="24"/>
              </w:rPr>
              <w:t>Lp2</w:t>
            </w:r>
            <w:r>
              <w:rPr>
                <w:sz w:val="24"/>
              </w:rPr>
              <w:t>—靠近开口处（或窗户）室外某倍频带的声压级或A声级，dB；</w:t>
            </w:r>
          </w:p>
          <w:p>
            <w:pPr>
              <w:adjustRightInd w:val="0"/>
              <w:snapToGrid w:val="0"/>
              <w:spacing w:line="360" w:lineRule="auto"/>
              <w:ind w:firstLine="1200" w:firstLineChars="500"/>
              <w:rPr>
                <w:sz w:val="24"/>
              </w:rPr>
            </w:pPr>
            <w:r>
              <w:rPr>
                <w:i/>
                <w:iCs/>
                <w:sz w:val="24"/>
              </w:rPr>
              <w:t>TL</w:t>
            </w:r>
            <w:r>
              <w:rPr>
                <w:sz w:val="24"/>
              </w:rPr>
              <w:t>—隔墙（或窗户）倍频带或A声级的隔声量，dB。</w:t>
            </w:r>
          </w:p>
          <w:p>
            <w:pPr>
              <w:adjustRightInd w:val="0"/>
              <w:snapToGrid w:val="0"/>
              <w:spacing w:line="360" w:lineRule="auto"/>
              <w:jc w:val="center"/>
              <w:rPr>
                <w:sz w:val="24"/>
              </w:rPr>
            </w:pPr>
            <w:r>
              <w:rPr>
                <w:sz w:val="24"/>
              </w:rPr>
              <w:drawing>
                <wp:inline distT="0" distB="0" distL="0" distR="0">
                  <wp:extent cx="2743200" cy="1360805"/>
                  <wp:effectExtent l="0" t="0" r="0" b="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743200" cy="1360805"/>
                          </a:xfrm>
                          <a:prstGeom prst="rect">
                            <a:avLst/>
                          </a:prstGeom>
                          <a:noFill/>
                          <a:ln>
                            <a:noFill/>
                          </a:ln>
                        </pic:spPr>
                      </pic:pic>
                    </a:graphicData>
                  </a:graphic>
                </wp:inline>
              </w:drawing>
            </w:r>
          </w:p>
          <w:p>
            <w:pPr>
              <w:adjustRightInd w:val="0"/>
              <w:snapToGrid w:val="0"/>
              <w:spacing w:line="360" w:lineRule="auto"/>
              <w:jc w:val="center"/>
              <w:rPr>
                <w:b/>
                <w:bCs/>
                <w:sz w:val="24"/>
                <w:lang w:bidi="en-US"/>
              </w:rPr>
            </w:pPr>
            <w:r>
              <w:rPr>
                <w:b/>
                <w:bCs/>
                <w:sz w:val="24"/>
                <w:lang w:bidi="en-US"/>
              </w:rPr>
              <w:t>图4-</w:t>
            </w:r>
            <w:r>
              <w:rPr>
                <w:rFonts w:hint="eastAsia"/>
                <w:b/>
                <w:bCs/>
                <w:sz w:val="24"/>
                <w:lang w:bidi="en-US"/>
              </w:rPr>
              <w:t>6</w:t>
            </w:r>
            <w:r>
              <w:rPr>
                <w:b/>
                <w:bCs/>
                <w:sz w:val="24"/>
                <w:lang w:bidi="en-US"/>
              </w:rPr>
              <w:t xml:space="preserve">  室内声源等效为室外声源图例</w:t>
            </w:r>
          </w:p>
          <w:p>
            <w:pPr>
              <w:adjustRightInd w:val="0"/>
              <w:snapToGrid w:val="0"/>
              <w:spacing w:line="360" w:lineRule="auto"/>
              <w:ind w:firstLine="480" w:firstLineChars="200"/>
              <w:jc w:val="left"/>
              <w:rPr>
                <w:sz w:val="24"/>
              </w:rPr>
            </w:pPr>
            <w:r>
              <w:rPr>
                <w:rFonts w:hint="eastAsia"/>
                <w:bCs/>
                <w:sz w:val="24"/>
              </w:rPr>
              <w:t>可按下式计算某一室内声源靠近围护结构处产生的倍频带声压级或A声级：</w:t>
            </w:r>
          </w:p>
          <w:p>
            <w:pPr>
              <w:adjustRightInd w:val="0"/>
              <w:snapToGrid w:val="0"/>
              <w:spacing w:line="360" w:lineRule="auto"/>
              <w:jc w:val="center"/>
              <w:rPr>
                <w:i/>
                <w:sz w:val="24"/>
              </w:rPr>
            </w:pPr>
            <m:oMathPara>
              <m:oMath>
                <m:sSub>
                  <m:sSubPr>
                    <m:ctrlPr>
                      <w:rPr>
                        <w:rFonts w:ascii="Cambria Math" w:hAnsi="Cambria Math" w:eastAsia="Cambria Math" w:cs="Cambria Math"/>
                        <w:i/>
                      </w:rPr>
                    </m:ctrlPr>
                  </m:sSubPr>
                  <m:e>
                    <m:r>
                      <w:rPr>
                        <w:rFonts w:ascii="Cambria Math" w:hAnsi="Cambria Math" w:eastAsia="Cambria Math" w:cs="Cambria Math"/>
                      </w:rPr>
                      <m:t>L</m:t>
                    </m:r>
                    <m:ctrlPr>
                      <w:rPr>
                        <w:rFonts w:ascii="Cambria Math" w:hAnsi="Cambria Math" w:eastAsia="Cambria Math" w:cs="Cambria Math"/>
                        <w:i/>
                      </w:rPr>
                    </m:ctrlPr>
                  </m:e>
                  <m:sub>
                    <m:r>
                      <w:rPr>
                        <w:rFonts w:ascii="Cambria Math" w:hAnsi="Cambria Math" w:eastAsia="Cambria Math" w:cs="Cambria Math"/>
                      </w:rPr>
                      <m:t>p1</m:t>
                    </m:r>
                    <m:ctrlPr>
                      <w:rPr>
                        <w:rFonts w:ascii="Cambria Math" w:hAnsi="Cambria Math" w:eastAsia="Cambria Math" w:cs="Cambria Math"/>
                        <w:i/>
                      </w:rPr>
                    </m:ctrlPr>
                  </m:sub>
                </m:sSub>
                <m:r>
                  <m:rPr>
                    <m:sty m:val="p"/>
                  </m:rPr>
                  <w:rPr>
                    <w:rFonts w:ascii="Cambria Math" w:hAnsi="Cambria Math" w:eastAsia="Cambria Math" w:cs="Cambria Math"/>
                  </w:rPr>
                  <m:t>=</m:t>
                </m:r>
                <m:sSub>
                  <m:sSubPr>
                    <m:ctrlPr>
                      <w:rPr>
                        <w:rFonts w:ascii="Cambria Math" w:hAnsi="Cambria Math" w:eastAsia="Cambria Math" w:cs="Cambria Math"/>
                      </w:rPr>
                    </m:ctrlPr>
                  </m:sSubPr>
                  <m:e>
                    <m:r>
                      <w:rPr>
                        <w:rFonts w:ascii="Cambria Math" w:hAnsi="Cambria Math" w:eastAsia="Cambria Math" w:cs="Cambria Math"/>
                      </w:rPr>
                      <m:t>L</m:t>
                    </m:r>
                    <m:ctrlPr>
                      <w:rPr>
                        <w:rFonts w:ascii="Cambria Math" w:hAnsi="Cambria Math" w:eastAsia="Cambria Math" w:cs="Cambria Math"/>
                      </w:rPr>
                    </m:ctrlPr>
                  </m:e>
                  <m:sub>
                    <m:r>
                      <w:rPr>
                        <w:rFonts w:hint="eastAsia" w:ascii="Cambria Math" w:hAnsi="Cambria Math" w:cs="Cambria Math"/>
                      </w:rPr>
                      <m:t>w</m:t>
                    </m:r>
                    <m:ctrlPr>
                      <w:rPr>
                        <w:rFonts w:ascii="Cambria Math" w:hAnsi="Cambria Math" w:eastAsia="Cambria Math" w:cs="Cambria Math"/>
                      </w:rPr>
                    </m:ctrlPr>
                  </m:sub>
                </m:sSub>
                <m:r>
                  <m:rPr>
                    <m:sty m:val="p"/>
                  </m:rPr>
                  <w:rPr>
                    <w:rFonts w:ascii="Cambria Math" w:hAnsi="Cambria Math" w:eastAsia="Cambria Math"/>
                  </w:rPr>
                  <m:t>+10</m:t>
                </m:r>
                <m:r>
                  <m:rPr>
                    <m:sty m:val="p"/>
                  </m:rPr>
                  <w:rPr>
                    <w:rFonts w:hint="eastAsia" w:ascii="Cambria Math" w:hAnsi="Cambria Math"/>
                  </w:rPr>
                  <m:t>lg</m:t>
                </m:r>
                <m:d>
                  <m:dPr>
                    <m:ctrlPr>
                      <w:rPr>
                        <w:rFonts w:ascii="Cambria Math" w:hAnsi="Cambria Math"/>
                      </w:rPr>
                    </m:ctrlPr>
                  </m:dPr>
                  <m:e>
                    <m:f>
                      <m:fPr>
                        <m:ctrlPr>
                          <w:rPr>
                            <w:rFonts w:ascii="Cambria Math" w:hAnsi="Cambria Math"/>
                            <w:i/>
                          </w:rPr>
                        </m:ctrlPr>
                      </m:fPr>
                      <m:num>
                        <m:r>
                          <w:rPr>
                            <w:rFonts w:ascii="Cambria Math" w:hAnsi="Cambria Math"/>
                          </w:rPr>
                          <m:t>Q</m:t>
                        </m:r>
                        <m:ctrlPr>
                          <w:rPr>
                            <w:rFonts w:ascii="Cambria Math" w:hAnsi="Cambria Math"/>
                            <w:i/>
                          </w:rPr>
                        </m:ctrlPr>
                      </m:num>
                      <m:den>
                        <m:r>
                          <w:rPr>
                            <w:rFonts w:ascii="Cambria Math" w:hAnsi="Cambria Math"/>
                          </w:rPr>
                          <m:t>4π</m:t>
                        </m:r>
                        <m:sSup>
                          <m:sSupPr>
                            <m:ctrlPr>
                              <w:rPr>
                                <w:rFonts w:ascii="Cambria Math" w:hAnsi="Cambria Math"/>
                                <w:i/>
                              </w:rPr>
                            </m:ctrlPr>
                          </m:sSupPr>
                          <m:e>
                            <m:r>
                              <w:rPr>
                                <w:rFonts w:ascii="Cambria Math" w:hAnsi="Cambria Math"/>
                              </w:rPr>
                              <m:t>γ</m:t>
                            </m:r>
                            <m:ctrlPr>
                              <w:rPr>
                                <w:rFonts w:ascii="Cambria Math" w:hAnsi="Cambria Math"/>
                                <w:i/>
                              </w:rPr>
                            </m:ctrlPr>
                          </m:e>
                          <m:sup>
                            <m:r>
                              <w:rPr>
                                <w:rFonts w:ascii="Cambria Math" w:hAnsi="Cambria Math"/>
                              </w:rPr>
                              <m:t>2</m:t>
                            </m:r>
                            <m:ctrlPr>
                              <w:rPr>
                                <w:rFonts w:ascii="Cambria Math" w:hAnsi="Cambria Math"/>
                                <w:i/>
                              </w:rPr>
                            </m:ctrlPr>
                          </m:sup>
                        </m:sSup>
                        <m:ctrlPr>
                          <w:rPr>
                            <w:rFonts w:ascii="Cambria Math" w:hAnsi="Cambria Math"/>
                            <w:i/>
                          </w:rPr>
                        </m:ctrlPr>
                      </m:den>
                    </m:f>
                    <m:r>
                      <w:rPr>
                        <w:rFonts w:ascii="Cambria Math" w:hAnsi="Cambria Math"/>
                      </w:rPr>
                      <m:t>+</m:t>
                    </m:r>
                    <m:f>
                      <m:fPr>
                        <m:ctrlPr>
                          <w:rPr>
                            <w:rFonts w:ascii="Cambria Math" w:hAnsi="Cambria Math"/>
                            <w:i/>
                          </w:rPr>
                        </m:ctrlPr>
                      </m:fPr>
                      <m:num>
                        <m:r>
                          <w:rPr>
                            <w:rFonts w:ascii="Cambria Math" w:hAnsi="Cambria Math"/>
                          </w:rPr>
                          <m:t>4</m:t>
                        </m:r>
                        <m:ctrlPr>
                          <w:rPr>
                            <w:rFonts w:ascii="Cambria Math" w:hAnsi="Cambria Math"/>
                            <w:i/>
                          </w:rPr>
                        </m:ctrlPr>
                      </m:num>
                      <m:den>
                        <m:r>
                          <w:rPr>
                            <w:rFonts w:ascii="Cambria Math" w:hAnsi="Cambria Math"/>
                          </w:rPr>
                          <m:t>R</m:t>
                        </m:r>
                        <m:ctrlPr>
                          <w:rPr>
                            <w:rFonts w:ascii="Cambria Math" w:hAnsi="Cambria Math"/>
                            <w:i/>
                          </w:rPr>
                        </m:ctrlPr>
                      </m:den>
                    </m:f>
                    <m:ctrlPr>
                      <w:rPr>
                        <w:rFonts w:ascii="Cambria Math" w:hAnsi="Cambria Math"/>
                      </w:rPr>
                    </m:ctrlPr>
                  </m:e>
                </m:d>
              </m:oMath>
            </m:oMathPara>
          </w:p>
          <w:p>
            <w:pPr>
              <w:adjustRightInd w:val="0"/>
              <w:snapToGrid w:val="0"/>
              <w:spacing w:line="360" w:lineRule="auto"/>
              <w:ind w:firstLine="480" w:firstLineChars="200"/>
              <w:rPr>
                <w:bCs/>
                <w:sz w:val="24"/>
              </w:rPr>
            </w:pPr>
            <w:r>
              <w:rPr>
                <w:rFonts w:hint="eastAsia"/>
                <w:bCs/>
                <w:sz w:val="24"/>
              </w:rPr>
              <w:t>式中：</w:t>
            </w:r>
            <w:r>
              <w:rPr>
                <w:rFonts w:hint="eastAsia"/>
                <w:bCs/>
                <w:i/>
                <w:sz w:val="24"/>
              </w:rPr>
              <w:t>L</w:t>
            </w:r>
            <w:r>
              <w:rPr>
                <w:rFonts w:hint="eastAsia"/>
                <w:bCs/>
                <w:i/>
                <w:sz w:val="24"/>
                <w:vertAlign w:val="subscript"/>
              </w:rPr>
              <w:t>p</w:t>
            </w:r>
            <w:r>
              <w:rPr>
                <w:bCs/>
                <w:i/>
                <w:sz w:val="24"/>
                <w:vertAlign w:val="subscript"/>
              </w:rPr>
              <w:t>1</w:t>
            </w:r>
            <w:r>
              <w:rPr>
                <w:rFonts w:hint="eastAsia"/>
                <w:bCs/>
                <w:sz w:val="24"/>
              </w:rPr>
              <w:t>——靠近开口处（或窗户）室内某倍频带的声压级或A声级，dB；</w:t>
            </w:r>
          </w:p>
          <w:p>
            <w:pPr>
              <w:adjustRightInd w:val="0"/>
              <w:snapToGrid w:val="0"/>
              <w:spacing w:line="360" w:lineRule="auto"/>
              <w:ind w:firstLine="1200" w:firstLineChars="500"/>
              <w:rPr>
                <w:bCs/>
                <w:sz w:val="24"/>
              </w:rPr>
            </w:pPr>
            <w:r>
              <w:rPr>
                <w:rFonts w:hint="eastAsia"/>
                <w:bCs/>
                <w:i/>
                <w:sz w:val="24"/>
              </w:rPr>
              <w:t>Lw</w:t>
            </w:r>
            <w:r>
              <w:rPr>
                <w:rFonts w:hint="eastAsia"/>
                <w:bCs/>
                <w:sz w:val="24"/>
              </w:rPr>
              <w:t>——点声源声功率级（A计权或倍频带)，dB；</w:t>
            </w:r>
          </w:p>
          <w:p>
            <w:pPr>
              <w:adjustRightInd w:val="0"/>
              <w:snapToGrid w:val="0"/>
              <w:spacing w:line="360" w:lineRule="auto"/>
              <w:ind w:firstLine="1200" w:firstLineChars="500"/>
              <w:rPr>
                <w:bCs/>
                <w:sz w:val="24"/>
              </w:rPr>
            </w:pPr>
            <w:r>
              <w:rPr>
                <w:bCs/>
                <w:i/>
                <w:sz w:val="24"/>
              </w:rPr>
              <w:t>Q</w:t>
            </w:r>
            <w:r>
              <w:rPr>
                <w:rFonts w:hint="eastAsia"/>
                <w:bCs/>
                <w:sz w:val="24"/>
              </w:rPr>
              <w:t>——指向性因数；通常对无指向性声源，当声源放在房间中心时，</w:t>
            </w:r>
            <w:r>
              <w:rPr>
                <w:bCs/>
                <w:i/>
                <w:sz w:val="24"/>
              </w:rPr>
              <w:t>Q</w:t>
            </w:r>
            <w:r>
              <w:rPr>
                <w:rFonts w:hint="eastAsia"/>
                <w:bCs/>
                <w:sz w:val="24"/>
              </w:rPr>
              <w:t>=1；当放在一面墙的中心时，</w:t>
            </w:r>
            <w:r>
              <w:rPr>
                <w:bCs/>
                <w:i/>
                <w:sz w:val="24"/>
              </w:rPr>
              <w:t>Q</w:t>
            </w:r>
            <w:r>
              <w:rPr>
                <w:rFonts w:hint="eastAsia"/>
                <w:bCs/>
                <w:sz w:val="24"/>
              </w:rPr>
              <w:t>=2；当放在两面墙夹角处时，</w:t>
            </w:r>
            <w:r>
              <w:rPr>
                <w:rFonts w:hint="eastAsia"/>
                <w:bCs/>
                <w:i/>
                <w:sz w:val="24"/>
              </w:rPr>
              <w:t>Q</w:t>
            </w:r>
            <w:r>
              <w:rPr>
                <w:bCs/>
                <w:sz w:val="24"/>
              </w:rPr>
              <w:t>=</w:t>
            </w:r>
            <w:r>
              <w:rPr>
                <w:rFonts w:hint="eastAsia"/>
                <w:bCs/>
                <w:sz w:val="24"/>
              </w:rPr>
              <w:t>4；当放在三面墙夹角处时，</w:t>
            </w:r>
            <w:r>
              <w:rPr>
                <w:rFonts w:hint="eastAsia"/>
                <w:bCs/>
                <w:i/>
                <w:sz w:val="24"/>
              </w:rPr>
              <w:t>Q</w:t>
            </w:r>
            <w:r>
              <w:rPr>
                <w:rFonts w:hint="eastAsia"/>
                <w:bCs/>
                <w:sz w:val="24"/>
              </w:rPr>
              <w:t>=8；</w:t>
            </w:r>
          </w:p>
          <w:p>
            <w:pPr>
              <w:adjustRightInd w:val="0"/>
              <w:snapToGrid w:val="0"/>
              <w:spacing w:line="360" w:lineRule="auto"/>
              <w:ind w:firstLine="1200" w:firstLineChars="500"/>
              <w:rPr>
                <w:bCs/>
                <w:sz w:val="24"/>
              </w:rPr>
            </w:pPr>
            <w:r>
              <w:rPr>
                <w:rFonts w:hint="eastAsia"/>
                <w:bCs/>
                <w:i/>
                <w:sz w:val="24"/>
              </w:rPr>
              <w:t>R</w:t>
            </w:r>
            <w:r>
              <w:rPr>
                <w:rFonts w:hint="eastAsia"/>
                <w:bCs/>
                <w:sz w:val="24"/>
              </w:rPr>
              <w:t>——房间常数；R=Sa/(1-a)，S为房间内表面面积，m</w:t>
            </w:r>
            <w:r>
              <w:rPr>
                <w:bCs/>
                <w:sz w:val="24"/>
                <w:vertAlign w:val="superscript"/>
              </w:rPr>
              <w:t>2</w:t>
            </w:r>
            <w:r>
              <w:rPr>
                <w:rFonts w:hint="eastAsia"/>
                <w:bCs/>
                <w:sz w:val="24"/>
              </w:rPr>
              <w:t>；a为平均吸声系数；</w:t>
            </w:r>
          </w:p>
          <w:p>
            <w:pPr>
              <w:adjustRightInd w:val="0"/>
              <w:snapToGrid w:val="0"/>
              <w:spacing w:line="360" w:lineRule="auto"/>
              <w:ind w:firstLine="1200" w:firstLineChars="500"/>
              <w:rPr>
                <w:sz w:val="24"/>
              </w:rPr>
            </w:pPr>
            <w:r>
              <w:rPr>
                <w:bCs/>
                <w:i/>
                <w:sz w:val="24"/>
              </w:rPr>
              <w:t>r</w:t>
            </w:r>
            <w:r>
              <w:rPr>
                <w:rFonts w:hint="eastAsia"/>
                <w:bCs/>
                <w:sz w:val="24"/>
              </w:rPr>
              <w:t>——声源到靠近围护结构某点处的距离，m。</w:t>
            </w:r>
          </w:p>
          <w:p>
            <w:pPr>
              <w:adjustRightInd w:val="0"/>
              <w:snapToGrid w:val="0"/>
              <w:spacing w:line="360" w:lineRule="auto"/>
              <w:ind w:firstLine="480" w:firstLineChars="200"/>
              <w:rPr>
                <w:sz w:val="24"/>
              </w:rPr>
            </w:pPr>
            <w:r>
              <w:rPr>
                <w:sz w:val="24"/>
              </w:rPr>
              <w:t>然后按下式计算出所有室内声源在围护结构处产生的</w:t>
            </w:r>
            <w:r>
              <w:rPr>
                <w:i/>
                <w:iCs/>
                <w:sz w:val="24"/>
              </w:rPr>
              <w:t>i</w:t>
            </w:r>
            <w:r>
              <w:rPr>
                <w:sz w:val="24"/>
              </w:rPr>
              <w:t>倍频带叠加声压级：</w:t>
            </w:r>
          </w:p>
          <w:p>
            <w:pPr>
              <w:adjustRightInd w:val="0"/>
              <w:snapToGrid w:val="0"/>
              <w:spacing w:line="360" w:lineRule="auto"/>
              <w:jc w:val="center"/>
              <w:rPr>
                <w:sz w:val="24"/>
              </w:rPr>
            </w:pPr>
            <w:r>
              <w:rPr>
                <w:sz w:val="24"/>
              </w:rPr>
              <w:drawing>
                <wp:inline distT="0" distB="0" distL="0" distR="0">
                  <wp:extent cx="2011680" cy="556260"/>
                  <wp:effectExtent l="0" t="0" r="0" b="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011680" cy="556260"/>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sz w:val="24"/>
              </w:rPr>
              <w:t>式中：</w:t>
            </w:r>
            <w:r>
              <w:rPr>
                <w:i/>
                <w:sz w:val="24"/>
              </w:rPr>
              <w:t>Lp1i(T)</w:t>
            </w:r>
            <w:r>
              <w:rPr>
                <w:sz w:val="24"/>
              </w:rPr>
              <w:t>——靠近围护结构处室内</w:t>
            </w:r>
            <w:r>
              <w:rPr>
                <w:i/>
                <w:iCs/>
                <w:sz w:val="24"/>
              </w:rPr>
              <w:t>N</w:t>
            </w:r>
            <w:r>
              <w:rPr>
                <w:sz w:val="24"/>
              </w:rPr>
              <w:t>个声源</w:t>
            </w:r>
            <w:r>
              <w:rPr>
                <w:i/>
                <w:iCs/>
                <w:sz w:val="24"/>
              </w:rPr>
              <w:t>i</w:t>
            </w:r>
            <w:r>
              <w:rPr>
                <w:sz w:val="24"/>
              </w:rPr>
              <w:t>倍频带的叠加声压级，dB；</w:t>
            </w:r>
          </w:p>
          <w:p>
            <w:pPr>
              <w:adjustRightInd w:val="0"/>
              <w:snapToGrid w:val="0"/>
              <w:spacing w:line="360" w:lineRule="auto"/>
              <w:ind w:firstLine="1200" w:firstLineChars="500"/>
              <w:rPr>
                <w:sz w:val="24"/>
              </w:rPr>
            </w:pPr>
            <w:r>
              <w:rPr>
                <w:i/>
                <w:iCs/>
                <w:sz w:val="24"/>
              </w:rPr>
              <w:t>Lp1ij</w:t>
            </w:r>
            <w:r>
              <w:rPr>
                <w:sz w:val="24"/>
              </w:rPr>
              <w:t>——室内</w:t>
            </w:r>
            <w:r>
              <w:rPr>
                <w:i/>
                <w:iCs/>
                <w:sz w:val="24"/>
              </w:rPr>
              <w:t>j</w:t>
            </w:r>
            <w:r>
              <w:rPr>
                <w:sz w:val="24"/>
              </w:rPr>
              <w:t>声源</w:t>
            </w:r>
            <w:r>
              <w:rPr>
                <w:i/>
                <w:iCs/>
                <w:sz w:val="24"/>
              </w:rPr>
              <w:t>i</w:t>
            </w:r>
            <w:r>
              <w:rPr>
                <w:sz w:val="24"/>
              </w:rPr>
              <w:t>倍频带的声压级，dB；</w:t>
            </w:r>
          </w:p>
          <w:p>
            <w:pPr>
              <w:adjustRightInd w:val="0"/>
              <w:snapToGrid w:val="0"/>
              <w:spacing w:line="360" w:lineRule="auto"/>
              <w:ind w:firstLine="1200" w:firstLineChars="500"/>
              <w:rPr>
                <w:sz w:val="24"/>
              </w:rPr>
            </w:pPr>
            <w:r>
              <w:rPr>
                <w:i/>
                <w:sz w:val="24"/>
              </w:rPr>
              <w:t>N</w:t>
            </w:r>
            <w:r>
              <w:rPr>
                <w:sz w:val="24"/>
              </w:rPr>
              <w:t>——室内声源总数。</w:t>
            </w:r>
          </w:p>
          <w:p>
            <w:pPr>
              <w:adjustRightInd w:val="0"/>
              <w:snapToGrid w:val="0"/>
              <w:spacing w:line="360" w:lineRule="auto"/>
              <w:ind w:firstLine="480" w:firstLineChars="200"/>
              <w:rPr>
                <w:bCs/>
                <w:sz w:val="24"/>
              </w:rPr>
            </w:pPr>
            <w:r>
              <w:rPr>
                <w:rFonts w:hint="eastAsia"/>
                <w:bCs/>
                <w:sz w:val="24"/>
              </w:rPr>
              <w:t>在室内近似为扩散声场时，按下式计算出靠近室外围护结构处的声压级：</w:t>
            </w:r>
          </w:p>
          <w:p>
            <w:pPr>
              <w:adjustRightInd w:val="0"/>
              <w:snapToGrid w:val="0"/>
              <w:spacing w:line="360" w:lineRule="auto"/>
              <w:rPr>
                <w:bCs/>
                <w:sz w:val="24"/>
              </w:rPr>
            </w:pPr>
            <m:oMathPara>
              <m:oMath>
                <m:sSub>
                  <m:sSubPr>
                    <m:ctrlPr>
                      <w:rPr>
                        <w:rFonts w:ascii="Cambria Math" w:hAnsi="Cambria Math" w:eastAsia="等线"/>
                        <w:i/>
                        <w:szCs w:val="22"/>
                      </w:rPr>
                    </m:ctrlPr>
                  </m:sSubPr>
                  <m:e>
                    <m:r>
                      <w:rPr>
                        <w:rFonts w:ascii="Cambria Math" w:hAnsi="Cambria Math" w:eastAsia="等线"/>
                        <w:szCs w:val="22"/>
                      </w:rPr>
                      <m:t>L</m:t>
                    </m:r>
                    <m:ctrlPr>
                      <w:rPr>
                        <w:rFonts w:ascii="Cambria Math" w:hAnsi="Cambria Math" w:eastAsia="等线"/>
                        <w:i/>
                        <w:szCs w:val="22"/>
                      </w:rPr>
                    </m:ctrlPr>
                  </m:e>
                  <m:sub>
                    <m:r>
                      <w:rPr>
                        <w:rFonts w:ascii="Cambria Math" w:hAnsi="Cambria Math" w:eastAsia="等线"/>
                        <w:szCs w:val="22"/>
                      </w:rPr>
                      <m:t>p2i</m:t>
                    </m:r>
                    <m:ctrlPr>
                      <w:rPr>
                        <w:rFonts w:ascii="Cambria Math" w:hAnsi="Cambria Math" w:eastAsia="等线"/>
                        <w:i/>
                        <w:szCs w:val="22"/>
                      </w:rPr>
                    </m:ctrlPr>
                  </m:sub>
                </m:sSub>
                <m:d>
                  <m:dPr>
                    <m:ctrlPr>
                      <w:rPr>
                        <w:rFonts w:ascii="Cambria Math" w:hAnsi="Cambria Math" w:eastAsia="等线"/>
                        <w:i/>
                        <w:szCs w:val="22"/>
                      </w:rPr>
                    </m:ctrlPr>
                  </m:dPr>
                  <m:e>
                    <m:r>
                      <w:rPr>
                        <w:rFonts w:ascii="Cambria Math" w:hAnsi="Cambria Math" w:eastAsia="等线"/>
                        <w:szCs w:val="22"/>
                      </w:rPr>
                      <m:t>T</m:t>
                    </m:r>
                    <m:ctrlPr>
                      <w:rPr>
                        <w:rFonts w:ascii="Cambria Math" w:hAnsi="Cambria Math" w:eastAsia="等线"/>
                        <w:i/>
                        <w:szCs w:val="22"/>
                      </w:rPr>
                    </m:ctrlPr>
                  </m:e>
                </m:d>
                <m:r>
                  <w:rPr>
                    <w:rFonts w:ascii="Cambria Math" w:hAnsi="Cambria Math" w:eastAsia="等线"/>
                    <w:szCs w:val="22"/>
                  </w:rPr>
                  <m:t>=</m:t>
                </m:r>
                <m:sSub>
                  <m:sSubPr>
                    <m:ctrlPr>
                      <w:rPr>
                        <w:rFonts w:ascii="Cambria Math" w:hAnsi="Cambria Math" w:eastAsia="等线"/>
                        <w:i/>
                        <w:szCs w:val="22"/>
                      </w:rPr>
                    </m:ctrlPr>
                  </m:sSubPr>
                  <m:e>
                    <m:r>
                      <w:rPr>
                        <w:rFonts w:ascii="Cambria Math" w:hAnsi="Cambria Math" w:eastAsia="等线"/>
                        <w:szCs w:val="22"/>
                      </w:rPr>
                      <m:t>L</m:t>
                    </m:r>
                    <m:ctrlPr>
                      <w:rPr>
                        <w:rFonts w:ascii="Cambria Math" w:hAnsi="Cambria Math" w:eastAsia="等线"/>
                        <w:i/>
                        <w:szCs w:val="22"/>
                      </w:rPr>
                    </m:ctrlPr>
                  </m:e>
                  <m:sub>
                    <m:r>
                      <w:rPr>
                        <w:rFonts w:ascii="Cambria Math" w:hAnsi="Cambria Math" w:eastAsia="等线"/>
                        <w:szCs w:val="22"/>
                      </w:rPr>
                      <m:t>pli</m:t>
                    </m:r>
                    <m:ctrlPr>
                      <w:rPr>
                        <w:rFonts w:ascii="Cambria Math" w:hAnsi="Cambria Math" w:eastAsia="等线"/>
                        <w:i/>
                        <w:szCs w:val="22"/>
                      </w:rPr>
                    </m:ctrlPr>
                  </m:sub>
                </m:sSub>
                <m:d>
                  <m:dPr>
                    <m:ctrlPr>
                      <w:rPr>
                        <w:rFonts w:ascii="Cambria Math" w:hAnsi="Cambria Math" w:eastAsia="等线"/>
                        <w:i/>
                        <w:szCs w:val="22"/>
                      </w:rPr>
                    </m:ctrlPr>
                  </m:dPr>
                  <m:e>
                    <m:r>
                      <w:rPr>
                        <w:rFonts w:ascii="Cambria Math" w:hAnsi="Cambria Math" w:eastAsia="等线"/>
                        <w:szCs w:val="22"/>
                      </w:rPr>
                      <m:t>T</m:t>
                    </m:r>
                    <m:ctrlPr>
                      <w:rPr>
                        <w:rFonts w:ascii="Cambria Math" w:hAnsi="Cambria Math" w:eastAsia="等线"/>
                        <w:i/>
                        <w:szCs w:val="22"/>
                      </w:rPr>
                    </m:ctrlPr>
                  </m:e>
                </m:d>
                <m:r>
                  <w:rPr>
                    <w:rFonts w:ascii="Cambria Math" w:hAnsi="Cambria Math" w:eastAsia="等线"/>
                    <w:szCs w:val="22"/>
                  </w:rPr>
                  <m:t>-</m:t>
                </m:r>
                <m:d>
                  <m:dPr>
                    <m:ctrlPr>
                      <w:rPr>
                        <w:rFonts w:ascii="Cambria Math" w:hAnsi="Cambria Math" w:eastAsia="等线"/>
                        <w:i/>
                        <w:szCs w:val="22"/>
                      </w:rPr>
                    </m:ctrlPr>
                  </m:dPr>
                  <m:e>
                    <m:r>
                      <w:rPr>
                        <w:rFonts w:ascii="Cambria Math" w:hAnsi="Cambria Math" w:eastAsia="等线"/>
                        <w:szCs w:val="22"/>
                      </w:rPr>
                      <m:t>T</m:t>
                    </m:r>
                    <m:sSub>
                      <m:sSubPr>
                        <m:ctrlPr>
                          <w:rPr>
                            <w:rFonts w:ascii="Cambria Math" w:hAnsi="Cambria Math" w:eastAsia="等线"/>
                            <w:i/>
                            <w:szCs w:val="22"/>
                          </w:rPr>
                        </m:ctrlPr>
                      </m:sSubPr>
                      <m:e>
                        <m:r>
                          <w:rPr>
                            <w:rFonts w:ascii="Cambria Math" w:hAnsi="Cambria Math" w:eastAsia="等线"/>
                            <w:szCs w:val="22"/>
                          </w:rPr>
                          <m:t>L</m:t>
                        </m:r>
                        <m:ctrlPr>
                          <w:rPr>
                            <w:rFonts w:ascii="Cambria Math" w:hAnsi="Cambria Math" w:eastAsia="等线"/>
                            <w:i/>
                            <w:szCs w:val="22"/>
                          </w:rPr>
                        </m:ctrlPr>
                      </m:e>
                      <m:sub>
                        <m:r>
                          <w:rPr>
                            <w:rFonts w:ascii="Cambria Math" w:hAnsi="Cambria Math" w:eastAsia="等线"/>
                            <w:szCs w:val="22"/>
                          </w:rPr>
                          <m:t>i</m:t>
                        </m:r>
                        <m:ctrlPr>
                          <w:rPr>
                            <w:rFonts w:ascii="Cambria Math" w:hAnsi="Cambria Math" w:eastAsia="等线"/>
                            <w:i/>
                            <w:szCs w:val="22"/>
                          </w:rPr>
                        </m:ctrlPr>
                      </m:sub>
                    </m:sSub>
                    <m:r>
                      <w:rPr>
                        <w:rFonts w:ascii="Cambria Math" w:hAnsi="Cambria Math" w:eastAsia="等线"/>
                        <w:szCs w:val="22"/>
                      </w:rPr>
                      <m:t>+6</m:t>
                    </m:r>
                    <m:ctrlPr>
                      <w:rPr>
                        <w:rFonts w:ascii="Cambria Math" w:hAnsi="Cambria Math" w:eastAsia="等线"/>
                        <w:i/>
                        <w:szCs w:val="22"/>
                      </w:rPr>
                    </m:ctrlPr>
                  </m:e>
                </m:d>
              </m:oMath>
            </m:oMathPara>
          </w:p>
          <w:p>
            <w:pPr>
              <w:adjustRightInd w:val="0"/>
              <w:snapToGrid w:val="0"/>
              <w:spacing w:line="360" w:lineRule="auto"/>
              <w:ind w:firstLine="480" w:firstLineChars="200"/>
              <w:rPr>
                <w:bCs/>
                <w:sz w:val="24"/>
              </w:rPr>
            </w:pPr>
            <w:r>
              <w:rPr>
                <w:rFonts w:hint="eastAsia"/>
                <w:bCs/>
                <w:sz w:val="24"/>
              </w:rPr>
              <w:t>式中：</w:t>
            </w:r>
            <w:r>
              <w:rPr>
                <w:rFonts w:hint="eastAsia"/>
                <w:bCs/>
                <w:i/>
                <w:sz w:val="24"/>
              </w:rPr>
              <w:t>L</w:t>
            </w:r>
            <w:r>
              <w:rPr>
                <w:rFonts w:hint="eastAsia"/>
                <w:bCs/>
                <w:i/>
                <w:sz w:val="24"/>
                <w:vertAlign w:val="subscript"/>
              </w:rPr>
              <w:t>p</w:t>
            </w:r>
            <w:r>
              <w:rPr>
                <w:bCs/>
                <w:i/>
                <w:sz w:val="24"/>
                <w:vertAlign w:val="subscript"/>
              </w:rPr>
              <w:t>2i</w:t>
            </w:r>
            <w:r>
              <w:rPr>
                <w:rFonts w:hint="eastAsia"/>
                <w:bCs/>
                <w:i/>
                <w:sz w:val="24"/>
              </w:rPr>
              <w:t>(T)</w:t>
            </w:r>
            <w:r>
              <w:rPr>
                <w:rFonts w:hint="eastAsia"/>
                <w:bCs/>
                <w:sz w:val="24"/>
              </w:rPr>
              <w:t>——靠近围护结构处室外N个声源i倍频带的叠加声压级，dB；</w:t>
            </w:r>
          </w:p>
          <w:p>
            <w:pPr>
              <w:adjustRightInd w:val="0"/>
              <w:snapToGrid w:val="0"/>
              <w:spacing w:line="360" w:lineRule="auto"/>
              <w:ind w:firstLine="1200" w:firstLineChars="500"/>
              <w:rPr>
                <w:bCs/>
                <w:sz w:val="24"/>
              </w:rPr>
            </w:pPr>
            <w:r>
              <w:rPr>
                <w:rFonts w:hint="eastAsia"/>
                <w:bCs/>
                <w:i/>
                <w:sz w:val="24"/>
              </w:rPr>
              <w:t>L</w:t>
            </w:r>
            <w:r>
              <w:rPr>
                <w:rFonts w:hint="eastAsia"/>
                <w:bCs/>
                <w:i/>
                <w:sz w:val="24"/>
                <w:vertAlign w:val="subscript"/>
              </w:rPr>
              <w:t>p</w:t>
            </w:r>
            <w:r>
              <w:rPr>
                <w:bCs/>
                <w:i/>
                <w:sz w:val="24"/>
                <w:vertAlign w:val="subscript"/>
              </w:rPr>
              <w:t>li</w:t>
            </w:r>
            <w:r>
              <w:rPr>
                <w:rFonts w:hint="eastAsia"/>
                <w:bCs/>
                <w:i/>
                <w:sz w:val="24"/>
              </w:rPr>
              <w:t>(T)</w:t>
            </w:r>
            <w:r>
              <w:rPr>
                <w:rFonts w:hint="eastAsia"/>
                <w:bCs/>
                <w:sz w:val="24"/>
              </w:rPr>
              <w:t>——靠近围护结构处室内N个声源i倍频带的叠加声压级，dB；</w:t>
            </w:r>
          </w:p>
          <w:p>
            <w:pPr>
              <w:adjustRightInd w:val="0"/>
              <w:snapToGrid w:val="0"/>
              <w:spacing w:line="360" w:lineRule="auto"/>
              <w:ind w:firstLine="1200" w:firstLineChars="500"/>
              <w:rPr>
                <w:bCs/>
                <w:sz w:val="24"/>
              </w:rPr>
            </w:pPr>
            <w:r>
              <w:rPr>
                <w:rFonts w:hint="eastAsia"/>
                <w:bCs/>
                <w:i/>
                <w:sz w:val="24"/>
              </w:rPr>
              <w:t>TL</w:t>
            </w:r>
            <w:r>
              <w:rPr>
                <w:bCs/>
                <w:i/>
                <w:sz w:val="24"/>
                <w:vertAlign w:val="subscript"/>
              </w:rPr>
              <w:t>i</w:t>
            </w:r>
            <w:r>
              <w:rPr>
                <w:rFonts w:hint="eastAsia"/>
                <w:bCs/>
                <w:sz w:val="24"/>
              </w:rPr>
              <w:t>——围护结构i倍频带的隔声量，dB。</w:t>
            </w:r>
          </w:p>
          <w:p>
            <w:pPr>
              <w:adjustRightInd w:val="0"/>
              <w:snapToGrid w:val="0"/>
              <w:spacing w:line="360" w:lineRule="auto"/>
              <w:ind w:firstLine="480" w:firstLineChars="200"/>
              <w:rPr>
                <w:bCs/>
                <w:sz w:val="24"/>
              </w:rPr>
            </w:pPr>
            <w:r>
              <w:rPr>
                <w:rFonts w:hint="eastAsia"/>
                <w:bCs/>
                <w:sz w:val="24"/>
              </w:rPr>
              <w:t>然后按下式将室外声源的声压级和透过面积换算成等效的室外声源，计算出中心位置位于透声面积（S）处的等效声源的倍频带声功率级。</w:t>
            </w:r>
          </w:p>
          <w:p>
            <w:pPr>
              <w:adjustRightInd w:val="0"/>
              <w:snapToGrid w:val="0"/>
              <w:spacing w:line="360" w:lineRule="auto"/>
              <w:jc w:val="center"/>
              <w:rPr>
                <w:i/>
                <w:sz w:val="24"/>
              </w:rPr>
            </w:pPr>
            <m:oMathPara>
              <m:oMath>
                <m:sSub>
                  <m:sSubPr>
                    <m:ctrlPr>
                      <w:rPr>
                        <w:rFonts w:ascii="Cambria Math" w:hAnsi="Cambria Math" w:eastAsia="等线"/>
                        <w:i/>
                      </w:rPr>
                    </m:ctrlPr>
                  </m:sSubPr>
                  <m:e>
                    <m:r>
                      <w:rPr>
                        <w:rFonts w:ascii="Cambria Math" w:hAnsi="Cambria Math"/>
                      </w:rPr>
                      <m:t>L</m:t>
                    </m:r>
                    <m:ctrlPr>
                      <w:rPr>
                        <w:rFonts w:ascii="Cambria Math" w:hAnsi="Cambria Math" w:eastAsia="等线"/>
                        <w:i/>
                      </w:rPr>
                    </m:ctrlPr>
                  </m:e>
                  <m:sub>
                    <m:r>
                      <w:rPr>
                        <w:rFonts w:ascii="Cambria Math" w:hAnsi="Cambria Math"/>
                      </w:rPr>
                      <m:t>w</m:t>
                    </m:r>
                    <m:ctrlPr>
                      <w:rPr>
                        <w:rFonts w:ascii="Cambria Math" w:hAnsi="Cambria Math" w:eastAsia="等线"/>
                        <w:i/>
                      </w:rPr>
                    </m:ctrlPr>
                  </m:sub>
                </m:sSub>
                <m:r>
                  <w:rPr>
                    <w:rFonts w:ascii="Cambria Math" w:hAnsi="Cambria Math"/>
                  </w:rPr>
                  <m:t>=</m:t>
                </m:r>
                <m:sSub>
                  <m:sSubPr>
                    <m:ctrlPr>
                      <w:rPr>
                        <w:rFonts w:ascii="Cambria Math" w:hAnsi="Cambria Math" w:eastAsia="等线"/>
                        <w:i/>
                      </w:rPr>
                    </m:ctrlPr>
                  </m:sSubPr>
                  <m:e>
                    <m:r>
                      <w:rPr>
                        <w:rFonts w:ascii="Cambria Math" w:hAnsi="Cambria Math"/>
                      </w:rPr>
                      <m:t>L</m:t>
                    </m:r>
                    <m:ctrlPr>
                      <w:rPr>
                        <w:rFonts w:ascii="Cambria Math" w:hAnsi="Cambria Math" w:eastAsia="等线"/>
                        <w:i/>
                      </w:rPr>
                    </m:ctrlPr>
                  </m:e>
                  <m:sub>
                    <m:r>
                      <w:rPr>
                        <w:rFonts w:ascii="Cambria Math" w:hAnsi="Cambria Math"/>
                      </w:rPr>
                      <m:t>p2</m:t>
                    </m:r>
                    <m:ctrlPr>
                      <w:rPr>
                        <w:rFonts w:ascii="Cambria Math" w:hAnsi="Cambria Math" w:eastAsia="等线"/>
                        <w:i/>
                      </w:rPr>
                    </m:ctrlPr>
                  </m:sub>
                </m:sSub>
                <m:d>
                  <m:dPr>
                    <m:ctrlPr>
                      <w:rPr>
                        <w:rFonts w:ascii="Cambria Math" w:hAnsi="Cambria Math" w:eastAsia="等线"/>
                        <w:i/>
                      </w:rPr>
                    </m:ctrlPr>
                  </m:dPr>
                  <m:e>
                    <m:r>
                      <w:rPr>
                        <w:rFonts w:ascii="Cambria Math" w:hAnsi="Cambria Math"/>
                      </w:rPr>
                      <m:t>T</m:t>
                    </m:r>
                    <m:ctrlPr>
                      <w:rPr>
                        <w:rFonts w:ascii="Cambria Math" w:hAnsi="Cambria Math" w:eastAsia="等线"/>
                        <w:i/>
                      </w:rPr>
                    </m:ctrlPr>
                  </m:e>
                </m:d>
                <m:r>
                  <w:rPr>
                    <w:rFonts w:ascii="Cambria Math" w:hAnsi="Cambria Math"/>
                  </w:rPr>
                  <m:t>+10lgS</m:t>
                </m:r>
              </m:oMath>
            </m:oMathPara>
          </w:p>
          <w:p>
            <w:pPr>
              <w:adjustRightInd w:val="0"/>
              <w:snapToGrid w:val="0"/>
              <w:spacing w:line="360" w:lineRule="auto"/>
              <w:ind w:firstLine="480" w:firstLineChars="200"/>
              <w:rPr>
                <w:bCs/>
                <w:sz w:val="24"/>
              </w:rPr>
            </w:pPr>
            <w:r>
              <w:rPr>
                <w:rFonts w:hint="eastAsia"/>
                <w:bCs/>
                <w:sz w:val="24"/>
              </w:rPr>
              <w:t>式中：</w:t>
            </w:r>
            <w:r>
              <w:rPr>
                <w:rFonts w:hint="eastAsia"/>
                <w:bCs/>
                <w:i/>
                <w:sz w:val="24"/>
              </w:rPr>
              <w:t>Lw</w:t>
            </w:r>
            <w:r>
              <w:rPr>
                <w:rFonts w:hint="eastAsia"/>
                <w:bCs/>
                <w:sz w:val="24"/>
              </w:rPr>
              <w:t>——中心位置位于透声面积（S）处的等效声源的倍频带声功率级，dB；</w:t>
            </w:r>
          </w:p>
          <w:p>
            <w:pPr>
              <w:adjustRightInd w:val="0"/>
              <w:snapToGrid w:val="0"/>
              <w:spacing w:line="360" w:lineRule="auto"/>
              <w:ind w:firstLine="1200" w:firstLineChars="500"/>
              <w:rPr>
                <w:bCs/>
                <w:sz w:val="24"/>
              </w:rPr>
            </w:pPr>
            <w:r>
              <w:rPr>
                <w:rFonts w:hint="eastAsia"/>
                <w:bCs/>
                <w:i/>
                <w:sz w:val="24"/>
              </w:rPr>
              <w:t>L</w:t>
            </w:r>
            <w:r>
              <w:rPr>
                <w:rFonts w:hint="eastAsia"/>
                <w:bCs/>
                <w:i/>
                <w:sz w:val="24"/>
                <w:vertAlign w:val="subscript"/>
              </w:rPr>
              <w:t>p</w:t>
            </w:r>
            <w:r>
              <w:rPr>
                <w:bCs/>
                <w:i/>
                <w:sz w:val="24"/>
                <w:vertAlign w:val="subscript"/>
              </w:rPr>
              <w:t>2</w:t>
            </w:r>
            <w:r>
              <w:rPr>
                <w:rFonts w:hint="eastAsia"/>
                <w:bCs/>
                <w:i/>
                <w:sz w:val="24"/>
              </w:rPr>
              <w:t>(T)</w:t>
            </w:r>
            <w:r>
              <w:rPr>
                <w:rFonts w:hint="eastAsia"/>
                <w:bCs/>
                <w:sz w:val="24"/>
              </w:rPr>
              <w:t>——靠近围护结构处室外声源的声压级，dB；</w:t>
            </w:r>
          </w:p>
          <w:p>
            <w:pPr>
              <w:adjustRightInd w:val="0"/>
              <w:snapToGrid w:val="0"/>
              <w:spacing w:line="360" w:lineRule="auto"/>
              <w:ind w:firstLine="1200" w:firstLineChars="500"/>
              <w:rPr>
                <w:bCs/>
                <w:sz w:val="24"/>
              </w:rPr>
            </w:pPr>
            <w:r>
              <w:rPr>
                <w:bCs/>
                <w:i/>
                <w:sz w:val="24"/>
              </w:rPr>
              <w:t>S</w:t>
            </w:r>
            <w:r>
              <w:rPr>
                <w:rFonts w:hint="eastAsia"/>
                <w:bCs/>
                <w:sz w:val="24"/>
              </w:rPr>
              <w:t>—透声面积，m</w:t>
            </w:r>
            <w:r>
              <w:rPr>
                <w:rFonts w:hint="eastAsia"/>
                <w:bCs/>
                <w:sz w:val="24"/>
                <w:vertAlign w:val="superscript"/>
              </w:rPr>
              <w:t>2</w:t>
            </w:r>
            <w:r>
              <w:rPr>
                <w:rFonts w:hint="eastAsia"/>
                <w:bCs/>
                <w:sz w:val="24"/>
              </w:rPr>
              <w:t>。</w:t>
            </w:r>
          </w:p>
          <w:p>
            <w:pPr>
              <w:adjustRightInd w:val="0"/>
              <w:snapToGrid w:val="0"/>
              <w:spacing w:line="360" w:lineRule="auto"/>
              <w:ind w:firstLine="480" w:firstLineChars="200"/>
              <w:rPr>
                <w:sz w:val="24"/>
              </w:rPr>
            </w:pPr>
            <w:r>
              <w:rPr>
                <w:sz w:val="24"/>
              </w:rPr>
              <w:t>然后按室外声源预测方法计算预测点处的A声级</w:t>
            </w:r>
            <w:r>
              <w:rPr>
                <w:rFonts w:hint="eastAsia"/>
                <w:sz w:val="24"/>
              </w:rPr>
              <w:t>。</w:t>
            </w:r>
          </w:p>
          <w:p>
            <w:pPr>
              <w:adjustRightInd w:val="0"/>
              <w:snapToGrid w:val="0"/>
              <w:spacing w:line="360" w:lineRule="auto"/>
              <w:ind w:firstLine="480" w:firstLineChars="200"/>
              <w:rPr>
                <w:sz w:val="24"/>
              </w:rPr>
            </w:pPr>
            <w:r>
              <w:rPr>
                <w:sz w:val="24"/>
              </w:rPr>
              <w:t>Ⅲ</w:t>
            </w:r>
            <w:r>
              <w:rPr>
                <w:rFonts w:hint="eastAsia"/>
                <w:sz w:val="24"/>
              </w:rPr>
              <w:t>、厂界预测点贡献值</w:t>
            </w:r>
          </w:p>
          <w:p>
            <w:pPr>
              <w:adjustRightInd w:val="0"/>
              <w:snapToGrid w:val="0"/>
              <w:spacing w:line="360" w:lineRule="auto"/>
              <w:jc w:val="center"/>
              <w:rPr>
                <w:b/>
                <w:sz w:val="24"/>
              </w:rPr>
            </w:pPr>
            <w:r>
              <w:rPr>
                <w:rFonts w:hint="eastAsia"/>
                <w:b/>
                <w:sz w:val="24"/>
              </w:rPr>
              <w:object>
                <v:shape id="_x0000_i1035" o:spt="75" type="#_x0000_t75" style="height:37.6pt;width:208.5pt;" o:ole="t" filled="f" o:preferrelative="t" stroked="f" coordsize="21600,21600">
                  <v:path/>
                  <v:fill on="f" focussize="0,0"/>
                  <v:stroke on="f" joinstyle="miter"/>
                  <v:imagedata r:id="rId45" o:title=""/>
                  <o:lock v:ext="edit" aspectratio="t"/>
                  <w10:wrap type="none"/>
                  <w10:anchorlock/>
                </v:shape>
                <o:OLEObject Type="Embed" ProgID="Equation.3" ShapeID="_x0000_i1035" DrawAspect="Content" ObjectID="_1468075735" r:id="rId44">
                  <o:LockedField>false</o:LockedField>
                </o:OLEObject>
              </w:object>
            </w:r>
          </w:p>
          <w:p>
            <w:pPr>
              <w:adjustRightInd w:val="0"/>
              <w:snapToGrid w:val="0"/>
              <w:spacing w:line="360" w:lineRule="auto"/>
              <w:ind w:firstLine="480" w:firstLineChars="200"/>
              <w:rPr>
                <w:sz w:val="24"/>
              </w:rPr>
            </w:pPr>
            <w:r>
              <w:rPr>
                <w:rFonts w:hint="eastAsia"/>
                <w:sz w:val="24"/>
              </w:rPr>
              <w:t>式中：</w:t>
            </w:r>
            <w:r>
              <w:rPr>
                <w:rFonts w:hint="eastAsia"/>
                <w:i/>
                <w:sz w:val="24"/>
              </w:rPr>
              <w:t>Leqg</w:t>
            </w:r>
            <w:r>
              <w:rPr>
                <w:sz w:val="24"/>
              </w:rPr>
              <w:t>——</w:t>
            </w:r>
            <w:r>
              <w:rPr>
                <w:rFonts w:hint="eastAsia"/>
                <w:sz w:val="24"/>
              </w:rPr>
              <w:t>建设项目声源在预测点产生的噪声贡献值，</w:t>
            </w:r>
            <w:r>
              <w:rPr>
                <w:sz w:val="24"/>
              </w:rPr>
              <w:t>dB；</w:t>
            </w:r>
          </w:p>
          <w:p>
            <w:pPr>
              <w:adjustRightInd w:val="0"/>
              <w:snapToGrid w:val="0"/>
              <w:spacing w:line="360" w:lineRule="auto"/>
              <w:ind w:firstLine="1200" w:firstLineChars="500"/>
              <w:rPr>
                <w:sz w:val="24"/>
              </w:rPr>
            </w:pPr>
            <w:r>
              <w:rPr>
                <w:rFonts w:hint="eastAsia"/>
                <w:i/>
                <w:sz w:val="24"/>
              </w:rPr>
              <w:t>T</w:t>
            </w:r>
            <w:r>
              <w:rPr>
                <w:sz w:val="24"/>
              </w:rPr>
              <w:t>——</w:t>
            </w:r>
            <w:r>
              <w:rPr>
                <w:rFonts w:hint="eastAsia"/>
                <w:sz w:val="24"/>
              </w:rPr>
              <w:t>用于计算等效声级的时间，S；</w:t>
            </w:r>
          </w:p>
          <w:p>
            <w:pPr>
              <w:adjustRightInd w:val="0"/>
              <w:snapToGrid w:val="0"/>
              <w:spacing w:line="360" w:lineRule="auto"/>
              <w:ind w:firstLine="1200" w:firstLineChars="500"/>
              <w:rPr>
                <w:sz w:val="24"/>
              </w:rPr>
            </w:pPr>
            <w:r>
              <w:rPr>
                <w:rFonts w:hint="eastAsia"/>
                <w:i/>
                <w:sz w:val="24"/>
              </w:rPr>
              <w:t>N</w:t>
            </w:r>
            <w:r>
              <w:rPr>
                <w:sz w:val="24"/>
              </w:rPr>
              <w:t>——</w:t>
            </w:r>
            <w:r>
              <w:rPr>
                <w:rFonts w:hint="eastAsia"/>
                <w:sz w:val="24"/>
              </w:rPr>
              <w:t>室外声源个数；</w:t>
            </w:r>
          </w:p>
          <w:p>
            <w:pPr>
              <w:adjustRightInd w:val="0"/>
              <w:snapToGrid w:val="0"/>
              <w:spacing w:line="360" w:lineRule="auto"/>
              <w:ind w:firstLine="1200" w:firstLineChars="500"/>
              <w:rPr>
                <w:sz w:val="24"/>
              </w:rPr>
            </w:pPr>
            <w:r>
              <w:rPr>
                <w:rFonts w:hint="eastAsia"/>
                <w:i/>
                <w:sz w:val="24"/>
              </w:rPr>
              <w:t>t</w:t>
            </w:r>
            <w:r>
              <w:rPr>
                <w:rFonts w:hint="eastAsia"/>
                <w:i/>
                <w:sz w:val="24"/>
                <w:vertAlign w:val="subscript"/>
              </w:rPr>
              <w:t>i</w:t>
            </w:r>
            <w:r>
              <w:rPr>
                <w:sz w:val="24"/>
              </w:rPr>
              <w:t>——</w:t>
            </w:r>
            <w:r>
              <w:rPr>
                <w:rFonts w:hint="eastAsia"/>
                <w:sz w:val="24"/>
              </w:rPr>
              <w:t>在T时间内i声源工作时间，S；</w:t>
            </w:r>
          </w:p>
          <w:p>
            <w:pPr>
              <w:adjustRightInd w:val="0"/>
              <w:snapToGrid w:val="0"/>
              <w:spacing w:line="360" w:lineRule="auto"/>
              <w:ind w:firstLine="1200" w:firstLineChars="500"/>
              <w:rPr>
                <w:sz w:val="24"/>
              </w:rPr>
            </w:pPr>
            <w:r>
              <w:rPr>
                <w:rFonts w:hint="eastAsia"/>
                <w:i/>
                <w:sz w:val="24"/>
              </w:rPr>
              <w:t>M</w:t>
            </w:r>
            <w:r>
              <w:rPr>
                <w:sz w:val="24"/>
              </w:rPr>
              <w:t>——</w:t>
            </w:r>
            <w:r>
              <w:rPr>
                <w:rFonts w:hint="eastAsia"/>
                <w:sz w:val="24"/>
              </w:rPr>
              <w:t>等效室外声源个数；</w:t>
            </w:r>
          </w:p>
          <w:p>
            <w:pPr>
              <w:adjustRightInd w:val="0"/>
              <w:snapToGrid w:val="0"/>
              <w:spacing w:line="360" w:lineRule="auto"/>
              <w:ind w:firstLine="1200" w:firstLineChars="500"/>
              <w:rPr>
                <w:sz w:val="24"/>
              </w:rPr>
            </w:pPr>
            <w:r>
              <w:rPr>
                <w:rFonts w:hint="eastAsia"/>
                <w:i/>
                <w:sz w:val="24"/>
              </w:rPr>
              <w:t>t</w:t>
            </w:r>
            <w:r>
              <w:rPr>
                <w:rFonts w:hint="eastAsia"/>
                <w:i/>
                <w:sz w:val="24"/>
                <w:vertAlign w:val="subscript"/>
              </w:rPr>
              <w:t>j</w:t>
            </w:r>
            <w:r>
              <w:rPr>
                <w:sz w:val="24"/>
              </w:rPr>
              <w:t>——</w:t>
            </w:r>
            <w:r>
              <w:rPr>
                <w:rFonts w:hint="eastAsia"/>
                <w:sz w:val="24"/>
              </w:rPr>
              <w:t>在T时间内j声源工作时间，S。</w:t>
            </w:r>
          </w:p>
          <w:p>
            <w:pPr>
              <w:adjustRightInd w:val="0"/>
              <w:snapToGrid w:val="0"/>
              <w:spacing w:line="360" w:lineRule="auto"/>
              <w:ind w:firstLine="480" w:firstLineChars="200"/>
              <w:jc w:val="left"/>
              <w:rPr>
                <w:bCs/>
                <w:sz w:val="24"/>
              </w:rPr>
            </w:pPr>
            <w:r>
              <w:rPr>
                <w:rFonts w:hint="eastAsia" w:ascii="宋体" w:hAnsi="宋体" w:cs="宋体"/>
                <w:bCs/>
                <w:sz w:val="24"/>
              </w:rPr>
              <w:t>②</w:t>
            </w:r>
            <w:r>
              <w:rPr>
                <w:bCs/>
                <w:sz w:val="24"/>
              </w:rPr>
              <w:t>评价标准</w:t>
            </w:r>
          </w:p>
          <w:p>
            <w:pPr>
              <w:adjustRightInd w:val="0"/>
              <w:snapToGrid w:val="0"/>
              <w:spacing w:line="360" w:lineRule="auto"/>
              <w:ind w:firstLine="480" w:firstLineChars="200"/>
              <w:jc w:val="left"/>
              <w:rPr>
                <w:bCs/>
                <w:sz w:val="24"/>
              </w:rPr>
            </w:pPr>
            <w:r>
              <w:rPr>
                <w:bCs/>
                <w:sz w:val="24"/>
              </w:rPr>
              <w:t>评价标准采用《工业企业厂界环境噪声排放标准》（GB</w:t>
            </w:r>
            <w:r>
              <w:rPr>
                <w:rFonts w:hint="eastAsia"/>
                <w:bCs/>
                <w:sz w:val="24"/>
              </w:rPr>
              <w:t xml:space="preserve"> </w:t>
            </w:r>
            <w:r>
              <w:rPr>
                <w:bCs/>
                <w:sz w:val="24"/>
              </w:rPr>
              <w:t>12348-2008）中2类声环境功能区标准对</w:t>
            </w:r>
            <w:r>
              <w:rPr>
                <w:rFonts w:hint="eastAsia"/>
                <w:bCs/>
                <w:sz w:val="24"/>
              </w:rPr>
              <w:t>厂界</w:t>
            </w:r>
            <w:r>
              <w:rPr>
                <w:bCs/>
                <w:sz w:val="24"/>
              </w:rPr>
              <w:t>噪声进行评价。对评价关心点的噪声影响，采用《声环境质量标准》（GB3096-2008）中2类声环境功能区标准进行评价。</w:t>
            </w:r>
          </w:p>
          <w:p>
            <w:pPr>
              <w:adjustRightInd w:val="0"/>
              <w:snapToGrid w:val="0"/>
              <w:spacing w:line="360" w:lineRule="auto"/>
              <w:ind w:firstLine="480" w:firstLineChars="200"/>
              <w:jc w:val="left"/>
              <w:rPr>
                <w:bCs/>
                <w:sz w:val="24"/>
              </w:rPr>
            </w:pPr>
            <w:r>
              <w:rPr>
                <w:rFonts w:hint="eastAsia" w:ascii="宋体" w:hAnsi="宋体" w:cs="宋体"/>
                <w:bCs/>
                <w:sz w:val="24"/>
              </w:rPr>
              <w:t>③</w:t>
            </w:r>
            <w:r>
              <w:rPr>
                <w:rFonts w:hint="eastAsia"/>
                <w:bCs/>
                <w:sz w:val="24"/>
              </w:rPr>
              <w:t>噪声预测结果及评价</w:t>
            </w:r>
          </w:p>
          <w:p>
            <w:pPr>
              <w:adjustRightInd w:val="0"/>
              <w:snapToGrid w:val="0"/>
              <w:spacing w:line="360" w:lineRule="auto"/>
              <w:ind w:firstLine="480" w:firstLineChars="200"/>
              <w:jc w:val="left"/>
              <w:rPr>
                <w:sz w:val="24"/>
              </w:rPr>
            </w:pPr>
            <w:r>
              <w:rPr>
                <w:sz w:val="24"/>
              </w:rPr>
              <w:t>Ⅰ</w:t>
            </w:r>
            <w:r>
              <w:rPr>
                <w:rFonts w:hint="eastAsia"/>
                <w:sz w:val="24"/>
              </w:rPr>
              <w:t>、室外声源</w:t>
            </w:r>
          </w:p>
          <w:p>
            <w:pPr>
              <w:adjustRightInd w:val="0"/>
              <w:snapToGrid w:val="0"/>
              <w:spacing w:line="360" w:lineRule="auto"/>
              <w:ind w:firstLine="480" w:firstLineChars="200"/>
              <w:jc w:val="left"/>
              <w:rPr>
                <w:sz w:val="24"/>
              </w:rPr>
            </w:pPr>
            <w:r>
              <w:rPr>
                <w:sz w:val="24"/>
              </w:rPr>
              <w:t>在采用点声源衰减模式计算噪声影响值时，按最不利情况考虑，即预测计算中只考虑采区内各声源至受声点（预测点）的距离衰减，不考虑声屏障隔声和空气吸声等因素的衰减。由于采石场夜间不工作，因此只预测昼间的噪声影响。噪声源随距离的衰减预测结果见表4-</w:t>
            </w:r>
            <w:r>
              <w:rPr>
                <w:rFonts w:hint="eastAsia"/>
                <w:sz w:val="24"/>
              </w:rPr>
              <w:t>20</w:t>
            </w:r>
            <w:r>
              <w:rPr>
                <w:sz w:val="24"/>
              </w:rPr>
              <w:t>。</w:t>
            </w:r>
          </w:p>
          <w:p>
            <w:pPr>
              <w:adjustRightInd w:val="0"/>
              <w:snapToGrid w:val="0"/>
              <w:jc w:val="center"/>
              <w:rPr>
                <w:b/>
                <w:sz w:val="24"/>
              </w:rPr>
            </w:pPr>
            <w:r>
              <w:rPr>
                <w:b/>
                <w:sz w:val="24"/>
              </w:rPr>
              <w:t>表4-</w:t>
            </w:r>
            <w:r>
              <w:rPr>
                <w:rFonts w:hint="eastAsia"/>
                <w:b/>
                <w:sz w:val="24"/>
              </w:rPr>
              <w:t>20</w:t>
            </w:r>
            <w:r>
              <w:rPr>
                <w:b/>
                <w:sz w:val="24"/>
              </w:rPr>
              <w:t xml:space="preserve">  </w:t>
            </w:r>
            <w:r>
              <w:rPr>
                <w:rFonts w:hint="eastAsia"/>
                <w:b/>
                <w:sz w:val="24"/>
              </w:rPr>
              <w:t>开采期间室外</w:t>
            </w:r>
            <w:r>
              <w:rPr>
                <w:b/>
                <w:sz w:val="24"/>
              </w:rPr>
              <w:t>噪声源的距离衰减预测结果    单位：dB（A）</w:t>
            </w:r>
          </w:p>
          <w:tbl>
            <w:tblPr>
              <w:tblStyle w:val="15"/>
              <w:tblW w:w="9010"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49"/>
              <w:gridCol w:w="704"/>
              <w:gridCol w:w="567"/>
              <w:gridCol w:w="568"/>
              <w:gridCol w:w="710"/>
              <w:gridCol w:w="568"/>
              <w:gridCol w:w="568"/>
              <w:gridCol w:w="566"/>
              <w:gridCol w:w="568"/>
              <w:gridCol w:w="708"/>
              <w:gridCol w:w="715"/>
              <w:gridCol w:w="1132"/>
              <w:gridCol w:w="68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68" w:hRule="atLeast"/>
                <w:jc w:val="center"/>
              </w:trPr>
              <w:tc>
                <w:tcPr>
                  <w:tcW w:w="1653" w:type="dxa"/>
                  <w:gridSpan w:val="2"/>
                  <w:vMerge w:val="restart"/>
                  <w:tcBorders>
                    <w:tl2br w:val="single" w:color="auto" w:sz="4" w:space="0"/>
                  </w:tcBorders>
                  <w:vAlign w:val="center"/>
                </w:tcPr>
                <w:p>
                  <w:pPr>
                    <w:pStyle w:val="42"/>
                    <w:jc w:val="right"/>
                  </w:pPr>
                  <w:r>
                    <w:t>距离</w:t>
                  </w:r>
                </w:p>
                <w:p>
                  <w:pPr>
                    <w:pStyle w:val="42"/>
                    <w:jc w:val="left"/>
                  </w:pPr>
                  <w:r>
                    <w:t>噪声</w:t>
                  </w:r>
                </w:p>
              </w:tc>
              <w:tc>
                <w:tcPr>
                  <w:tcW w:w="5538" w:type="dxa"/>
                  <w:gridSpan w:val="9"/>
                  <w:vAlign w:val="center"/>
                </w:tcPr>
                <w:p>
                  <w:pPr>
                    <w:pStyle w:val="42"/>
                  </w:pPr>
                  <w:r>
                    <w:t>预测点至源强的距离（m）</w:t>
                  </w:r>
                </w:p>
              </w:tc>
              <w:tc>
                <w:tcPr>
                  <w:tcW w:w="1132" w:type="dxa"/>
                  <w:vMerge w:val="restart"/>
                  <w:tcBorders>
                    <w:right w:val="single" w:color="auto" w:sz="4" w:space="0"/>
                  </w:tcBorders>
                  <w:vAlign w:val="center"/>
                </w:tcPr>
                <w:p>
                  <w:pPr>
                    <w:pStyle w:val="42"/>
                  </w:pPr>
                  <w:r>
                    <w:t>昼间达标距离(m)</w:t>
                  </w:r>
                </w:p>
              </w:tc>
              <w:tc>
                <w:tcPr>
                  <w:tcW w:w="687" w:type="dxa"/>
                  <w:vMerge w:val="restart"/>
                  <w:tcBorders>
                    <w:left w:val="single" w:color="auto" w:sz="4" w:space="0"/>
                  </w:tcBorders>
                  <w:vAlign w:val="center"/>
                </w:tcPr>
                <w:p>
                  <w:pPr>
                    <w:pStyle w:val="42"/>
                  </w:pPr>
                  <w:r>
                    <w:rPr>
                      <w:rFonts w:hint="eastAsia"/>
                    </w:rPr>
                    <w:t>出现位置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17" w:hRule="atLeast"/>
                <w:jc w:val="center"/>
              </w:trPr>
              <w:tc>
                <w:tcPr>
                  <w:tcW w:w="1653" w:type="dxa"/>
                  <w:gridSpan w:val="2"/>
                  <w:vMerge w:val="continue"/>
                  <w:vAlign w:val="center"/>
                </w:tcPr>
                <w:p>
                  <w:pPr>
                    <w:pStyle w:val="42"/>
                  </w:pPr>
                </w:p>
              </w:tc>
              <w:tc>
                <w:tcPr>
                  <w:tcW w:w="567" w:type="dxa"/>
                  <w:vAlign w:val="center"/>
                </w:tcPr>
                <w:p>
                  <w:pPr>
                    <w:pStyle w:val="42"/>
                  </w:pPr>
                  <w:r>
                    <w:t>10</w:t>
                  </w:r>
                </w:p>
              </w:tc>
              <w:tc>
                <w:tcPr>
                  <w:tcW w:w="568" w:type="dxa"/>
                  <w:vAlign w:val="center"/>
                </w:tcPr>
                <w:p>
                  <w:pPr>
                    <w:pStyle w:val="42"/>
                  </w:pPr>
                  <w:r>
                    <w:t>20</w:t>
                  </w:r>
                </w:p>
              </w:tc>
              <w:tc>
                <w:tcPr>
                  <w:tcW w:w="710" w:type="dxa"/>
                  <w:vAlign w:val="center"/>
                </w:tcPr>
                <w:p>
                  <w:pPr>
                    <w:pStyle w:val="42"/>
                  </w:pPr>
                  <w:r>
                    <w:t>30</w:t>
                  </w:r>
                </w:p>
              </w:tc>
              <w:tc>
                <w:tcPr>
                  <w:tcW w:w="568" w:type="dxa"/>
                  <w:vAlign w:val="center"/>
                </w:tcPr>
                <w:p>
                  <w:pPr>
                    <w:pStyle w:val="42"/>
                  </w:pPr>
                  <w:r>
                    <w:t>40</w:t>
                  </w:r>
                </w:p>
              </w:tc>
              <w:tc>
                <w:tcPr>
                  <w:tcW w:w="568" w:type="dxa"/>
                  <w:vAlign w:val="center"/>
                </w:tcPr>
                <w:p>
                  <w:pPr>
                    <w:pStyle w:val="42"/>
                  </w:pPr>
                  <w:r>
                    <w:t>50</w:t>
                  </w:r>
                </w:p>
              </w:tc>
              <w:tc>
                <w:tcPr>
                  <w:tcW w:w="566" w:type="dxa"/>
                  <w:vAlign w:val="center"/>
                </w:tcPr>
                <w:p>
                  <w:pPr>
                    <w:pStyle w:val="42"/>
                  </w:pPr>
                  <w:r>
                    <w:t>70</w:t>
                  </w:r>
                </w:p>
              </w:tc>
              <w:tc>
                <w:tcPr>
                  <w:tcW w:w="568" w:type="dxa"/>
                  <w:vAlign w:val="center"/>
                </w:tcPr>
                <w:p>
                  <w:pPr>
                    <w:pStyle w:val="42"/>
                  </w:pPr>
                  <w:r>
                    <w:t>100</w:t>
                  </w:r>
                </w:p>
              </w:tc>
              <w:tc>
                <w:tcPr>
                  <w:tcW w:w="708" w:type="dxa"/>
                  <w:vAlign w:val="center"/>
                </w:tcPr>
                <w:p>
                  <w:pPr>
                    <w:pStyle w:val="42"/>
                  </w:pPr>
                  <w:r>
                    <w:t>150</w:t>
                  </w:r>
                </w:p>
              </w:tc>
              <w:tc>
                <w:tcPr>
                  <w:tcW w:w="715" w:type="dxa"/>
                  <w:vAlign w:val="center"/>
                </w:tcPr>
                <w:p>
                  <w:pPr>
                    <w:pStyle w:val="42"/>
                  </w:pPr>
                  <w:r>
                    <w:t>200</w:t>
                  </w:r>
                </w:p>
              </w:tc>
              <w:tc>
                <w:tcPr>
                  <w:tcW w:w="1132" w:type="dxa"/>
                  <w:vMerge w:val="continue"/>
                  <w:tcBorders>
                    <w:right w:val="single" w:color="auto" w:sz="4" w:space="0"/>
                  </w:tcBorders>
                  <w:vAlign w:val="center"/>
                </w:tcPr>
                <w:p>
                  <w:pPr>
                    <w:pStyle w:val="42"/>
                  </w:pPr>
                </w:p>
              </w:tc>
              <w:tc>
                <w:tcPr>
                  <w:tcW w:w="687" w:type="dxa"/>
                  <w:vMerge w:val="continue"/>
                  <w:tcBorders>
                    <w:left w:val="single" w:color="auto" w:sz="4" w:space="0"/>
                  </w:tcBorders>
                  <w:vAlign w:val="center"/>
                </w:tcPr>
                <w:p>
                  <w:pPr>
                    <w:pStyle w:val="42"/>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949" w:type="dxa"/>
                  <w:vAlign w:val="center"/>
                </w:tcPr>
                <w:p>
                  <w:pPr>
                    <w:pStyle w:val="42"/>
                  </w:pPr>
                  <w:r>
                    <w:t>钻机</w:t>
                  </w:r>
                </w:p>
              </w:tc>
              <w:tc>
                <w:tcPr>
                  <w:tcW w:w="704" w:type="dxa"/>
                  <w:vAlign w:val="center"/>
                </w:tcPr>
                <w:p>
                  <w:pPr>
                    <w:pStyle w:val="42"/>
                  </w:pPr>
                  <w:r>
                    <w:t>100</w:t>
                  </w:r>
                </w:p>
              </w:tc>
              <w:tc>
                <w:tcPr>
                  <w:tcW w:w="567" w:type="dxa"/>
                  <w:vAlign w:val="center"/>
                </w:tcPr>
                <w:p>
                  <w:pPr>
                    <w:pStyle w:val="42"/>
                  </w:pPr>
                  <w:r>
                    <w:rPr>
                      <w:rFonts w:hint="eastAsia"/>
                    </w:rPr>
                    <w:t>8</w:t>
                  </w:r>
                  <w:r>
                    <w:t>0</w:t>
                  </w:r>
                </w:p>
              </w:tc>
              <w:tc>
                <w:tcPr>
                  <w:tcW w:w="568" w:type="dxa"/>
                  <w:vAlign w:val="center"/>
                </w:tcPr>
                <w:p>
                  <w:pPr>
                    <w:pStyle w:val="42"/>
                  </w:pPr>
                  <w:r>
                    <w:rPr>
                      <w:rFonts w:hint="eastAsia"/>
                    </w:rPr>
                    <w:t>7</w:t>
                  </w:r>
                  <w:r>
                    <w:t>4</w:t>
                  </w:r>
                </w:p>
              </w:tc>
              <w:tc>
                <w:tcPr>
                  <w:tcW w:w="710" w:type="dxa"/>
                  <w:vAlign w:val="center"/>
                </w:tcPr>
                <w:p>
                  <w:pPr>
                    <w:pStyle w:val="42"/>
                  </w:pPr>
                  <w:r>
                    <w:rPr>
                      <w:rFonts w:hint="eastAsia"/>
                    </w:rPr>
                    <w:t>7</w:t>
                  </w:r>
                  <w:r>
                    <w:t>0.5</w:t>
                  </w:r>
                </w:p>
              </w:tc>
              <w:tc>
                <w:tcPr>
                  <w:tcW w:w="568" w:type="dxa"/>
                  <w:vAlign w:val="center"/>
                </w:tcPr>
                <w:p>
                  <w:pPr>
                    <w:pStyle w:val="42"/>
                  </w:pPr>
                  <w:r>
                    <w:rPr>
                      <w:rFonts w:hint="eastAsia"/>
                    </w:rPr>
                    <w:t>6</w:t>
                  </w:r>
                  <w:r>
                    <w:t>8</w:t>
                  </w:r>
                </w:p>
              </w:tc>
              <w:tc>
                <w:tcPr>
                  <w:tcW w:w="568" w:type="dxa"/>
                  <w:vAlign w:val="center"/>
                </w:tcPr>
                <w:p>
                  <w:pPr>
                    <w:pStyle w:val="42"/>
                  </w:pPr>
                  <w:r>
                    <w:rPr>
                      <w:rFonts w:hint="eastAsia"/>
                    </w:rPr>
                    <w:t>6</w:t>
                  </w:r>
                  <w:r>
                    <w:t>6</w:t>
                  </w:r>
                </w:p>
              </w:tc>
              <w:tc>
                <w:tcPr>
                  <w:tcW w:w="566" w:type="dxa"/>
                  <w:vAlign w:val="center"/>
                </w:tcPr>
                <w:p>
                  <w:pPr>
                    <w:pStyle w:val="42"/>
                  </w:pPr>
                  <w:r>
                    <w:rPr>
                      <w:rFonts w:hint="eastAsia"/>
                    </w:rPr>
                    <w:t>6</w:t>
                  </w:r>
                  <w:r>
                    <w:t>3</w:t>
                  </w:r>
                </w:p>
              </w:tc>
              <w:tc>
                <w:tcPr>
                  <w:tcW w:w="568" w:type="dxa"/>
                  <w:vAlign w:val="center"/>
                </w:tcPr>
                <w:p>
                  <w:pPr>
                    <w:pStyle w:val="42"/>
                  </w:pPr>
                  <w:r>
                    <w:rPr>
                      <w:rFonts w:hint="eastAsia"/>
                    </w:rPr>
                    <w:t>6</w:t>
                  </w:r>
                  <w:r>
                    <w:t>0</w:t>
                  </w:r>
                </w:p>
              </w:tc>
              <w:tc>
                <w:tcPr>
                  <w:tcW w:w="708" w:type="dxa"/>
                  <w:vAlign w:val="center"/>
                </w:tcPr>
                <w:p>
                  <w:pPr>
                    <w:pStyle w:val="42"/>
                  </w:pPr>
                  <w:r>
                    <w:rPr>
                      <w:rFonts w:hint="eastAsia"/>
                    </w:rPr>
                    <w:t>5</w:t>
                  </w:r>
                  <w:r>
                    <w:t>6.5</w:t>
                  </w:r>
                </w:p>
              </w:tc>
              <w:tc>
                <w:tcPr>
                  <w:tcW w:w="715" w:type="dxa"/>
                  <w:vAlign w:val="center"/>
                </w:tcPr>
                <w:p>
                  <w:pPr>
                    <w:pStyle w:val="42"/>
                  </w:pPr>
                  <w:r>
                    <w:rPr>
                      <w:rFonts w:hint="eastAsia"/>
                    </w:rPr>
                    <w:t>5</w:t>
                  </w:r>
                  <w:r>
                    <w:t>4</w:t>
                  </w:r>
                </w:p>
              </w:tc>
              <w:tc>
                <w:tcPr>
                  <w:tcW w:w="1132" w:type="dxa"/>
                  <w:tcBorders>
                    <w:right w:val="single" w:color="auto" w:sz="4" w:space="0"/>
                  </w:tcBorders>
                  <w:vAlign w:val="center"/>
                </w:tcPr>
                <w:p>
                  <w:pPr>
                    <w:pStyle w:val="42"/>
                  </w:pPr>
                  <w:r>
                    <w:rPr>
                      <w:rFonts w:hint="eastAsia"/>
                    </w:rPr>
                    <w:t>1</w:t>
                  </w:r>
                  <w:r>
                    <w:t>00</w:t>
                  </w:r>
                </w:p>
              </w:tc>
              <w:tc>
                <w:tcPr>
                  <w:tcW w:w="687" w:type="dxa"/>
                  <w:tcBorders>
                    <w:left w:val="single" w:color="auto" w:sz="4" w:space="0"/>
                  </w:tcBorders>
                  <w:vAlign w:val="center"/>
                </w:tcPr>
                <w:p>
                  <w:pPr>
                    <w:pStyle w:val="42"/>
                  </w:pPr>
                  <w:r>
                    <w:rPr>
                      <w:rFonts w:hint="eastAsia"/>
                    </w:rPr>
                    <w:t>采区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949" w:type="dxa"/>
                  <w:tcBorders>
                    <w:top w:val="single" w:color="auto" w:sz="4" w:space="0"/>
                    <w:bottom w:val="single" w:color="auto" w:sz="4" w:space="0"/>
                  </w:tcBorders>
                  <w:vAlign w:val="center"/>
                </w:tcPr>
                <w:p>
                  <w:pPr>
                    <w:pStyle w:val="42"/>
                  </w:pPr>
                  <w:r>
                    <w:rPr>
                      <w:rFonts w:hint="eastAsia"/>
                    </w:rPr>
                    <w:t>挖掘机</w:t>
                  </w:r>
                </w:p>
              </w:tc>
              <w:tc>
                <w:tcPr>
                  <w:tcW w:w="704" w:type="dxa"/>
                  <w:vAlign w:val="center"/>
                </w:tcPr>
                <w:p>
                  <w:pPr>
                    <w:pStyle w:val="42"/>
                  </w:pPr>
                  <w:r>
                    <w:rPr>
                      <w:rFonts w:hint="eastAsia"/>
                    </w:rPr>
                    <w:t>8</w:t>
                  </w:r>
                  <w:r>
                    <w:t>4</w:t>
                  </w:r>
                </w:p>
              </w:tc>
              <w:tc>
                <w:tcPr>
                  <w:tcW w:w="567" w:type="dxa"/>
                  <w:vAlign w:val="center"/>
                </w:tcPr>
                <w:p>
                  <w:pPr>
                    <w:pStyle w:val="42"/>
                  </w:pPr>
                  <w:r>
                    <w:rPr>
                      <w:rFonts w:hint="eastAsia"/>
                    </w:rPr>
                    <w:t>7</w:t>
                  </w:r>
                  <w:r>
                    <w:t>8</w:t>
                  </w:r>
                </w:p>
              </w:tc>
              <w:tc>
                <w:tcPr>
                  <w:tcW w:w="568" w:type="dxa"/>
                  <w:vAlign w:val="center"/>
                </w:tcPr>
                <w:p>
                  <w:pPr>
                    <w:pStyle w:val="42"/>
                  </w:pPr>
                  <w:r>
                    <w:rPr>
                      <w:rFonts w:hint="eastAsia"/>
                    </w:rPr>
                    <w:t>7</w:t>
                  </w:r>
                  <w:r>
                    <w:t>2</w:t>
                  </w:r>
                </w:p>
              </w:tc>
              <w:tc>
                <w:tcPr>
                  <w:tcW w:w="710" w:type="dxa"/>
                  <w:vAlign w:val="center"/>
                </w:tcPr>
                <w:p>
                  <w:pPr>
                    <w:pStyle w:val="42"/>
                  </w:pPr>
                  <w:r>
                    <w:rPr>
                      <w:rFonts w:hint="eastAsia"/>
                    </w:rPr>
                    <w:t>6</w:t>
                  </w:r>
                  <w:r>
                    <w:t>8.5</w:t>
                  </w:r>
                </w:p>
              </w:tc>
              <w:tc>
                <w:tcPr>
                  <w:tcW w:w="568" w:type="dxa"/>
                  <w:vAlign w:val="center"/>
                </w:tcPr>
                <w:p>
                  <w:pPr>
                    <w:pStyle w:val="42"/>
                  </w:pPr>
                  <w:r>
                    <w:rPr>
                      <w:rFonts w:hint="eastAsia"/>
                    </w:rPr>
                    <w:t>6</w:t>
                  </w:r>
                  <w:r>
                    <w:t>6</w:t>
                  </w:r>
                </w:p>
              </w:tc>
              <w:tc>
                <w:tcPr>
                  <w:tcW w:w="568" w:type="dxa"/>
                  <w:vAlign w:val="center"/>
                </w:tcPr>
                <w:p>
                  <w:pPr>
                    <w:pStyle w:val="42"/>
                  </w:pPr>
                  <w:r>
                    <w:rPr>
                      <w:rFonts w:hint="eastAsia"/>
                    </w:rPr>
                    <w:t>6</w:t>
                  </w:r>
                  <w:r>
                    <w:t>4</w:t>
                  </w:r>
                </w:p>
              </w:tc>
              <w:tc>
                <w:tcPr>
                  <w:tcW w:w="566" w:type="dxa"/>
                  <w:vAlign w:val="center"/>
                </w:tcPr>
                <w:p>
                  <w:pPr>
                    <w:pStyle w:val="42"/>
                  </w:pPr>
                  <w:r>
                    <w:rPr>
                      <w:rFonts w:hint="eastAsia"/>
                    </w:rPr>
                    <w:t>6</w:t>
                  </w:r>
                  <w:r>
                    <w:t>1</w:t>
                  </w:r>
                </w:p>
              </w:tc>
              <w:tc>
                <w:tcPr>
                  <w:tcW w:w="568" w:type="dxa"/>
                  <w:vAlign w:val="center"/>
                </w:tcPr>
                <w:p>
                  <w:pPr>
                    <w:pStyle w:val="42"/>
                  </w:pPr>
                  <w:r>
                    <w:rPr>
                      <w:rFonts w:hint="eastAsia"/>
                    </w:rPr>
                    <w:t>5</w:t>
                  </w:r>
                  <w:r>
                    <w:t>8</w:t>
                  </w:r>
                </w:p>
              </w:tc>
              <w:tc>
                <w:tcPr>
                  <w:tcW w:w="708" w:type="dxa"/>
                  <w:vAlign w:val="center"/>
                </w:tcPr>
                <w:p>
                  <w:pPr>
                    <w:pStyle w:val="42"/>
                  </w:pPr>
                  <w:r>
                    <w:rPr>
                      <w:rFonts w:hint="eastAsia"/>
                    </w:rPr>
                    <w:t>5</w:t>
                  </w:r>
                  <w:r>
                    <w:t>4.5</w:t>
                  </w:r>
                </w:p>
              </w:tc>
              <w:tc>
                <w:tcPr>
                  <w:tcW w:w="715" w:type="dxa"/>
                  <w:vAlign w:val="center"/>
                </w:tcPr>
                <w:p>
                  <w:pPr>
                    <w:pStyle w:val="42"/>
                  </w:pPr>
                  <w:r>
                    <w:rPr>
                      <w:rFonts w:hint="eastAsia"/>
                    </w:rPr>
                    <w:t>5</w:t>
                  </w:r>
                  <w:r>
                    <w:t>2</w:t>
                  </w:r>
                </w:p>
              </w:tc>
              <w:tc>
                <w:tcPr>
                  <w:tcW w:w="1132" w:type="dxa"/>
                  <w:tcBorders>
                    <w:right w:val="single" w:color="auto" w:sz="4" w:space="0"/>
                  </w:tcBorders>
                  <w:vAlign w:val="center"/>
                </w:tcPr>
                <w:p>
                  <w:pPr>
                    <w:pStyle w:val="42"/>
                  </w:pPr>
                  <w:r>
                    <w:rPr>
                      <w:rFonts w:hint="eastAsia"/>
                    </w:rPr>
                    <w:t>8</w:t>
                  </w:r>
                  <w:r>
                    <w:t>0</w:t>
                  </w:r>
                </w:p>
              </w:tc>
              <w:tc>
                <w:tcPr>
                  <w:tcW w:w="687" w:type="dxa"/>
                  <w:tcBorders>
                    <w:left w:val="single" w:color="auto" w:sz="4" w:space="0"/>
                  </w:tcBorders>
                  <w:vAlign w:val="center"/>
                </w:tcPr>
                <w:p>
                  <w:pPr>
                    <w:pStyle w:val="42"/>
                  </w:pPr>
                  <w:r>
                    <w:rPr>
                      <w:rFonts w:hint="eastAsia"/>
                    </w:rPr>
                    <w:t>采区、排土场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949" w:type="dxa"/>
                  <w:tcBorders>
                    <w:top w:val="single" w:color="auto" w:sz="4" w:space="0"/>
                    <w:bottom w:val="single" w:color="000000" w:sz="6" w:space="0"/>
                  </w:tcBorders>
                  <w:vAlign w:val="center"/>
                </w:tcPr>
                <w:p>
                  <w:pPr>
                    <w:pStyle w:val="42"/>
                  </w:pPr>
                  <w:r>
                    <w:rPr>
                      <w:rFonts w:hint="eastAsia"/>
                    </w:rPr>
                    <w:t>铲车</w:t>
                  </w:r>
                </w:p>
              </w:tc>
              <w:tc>
                <w:tcPr>
                  <w:tcW w:w="704" w:type="dxa"/>
                  <w:vAlign w:val="center"/>
                </w:tcPr>
                <w:p>
                  <w:pPr>
                    <w:pStyle w:val="42"/>
                  </w:pPr>
                  <w:r>
                    <w:rPr>
                      <w:rFonts w:hint="eastAsia"/>
                    </w:rPr>
                    <w:t>8</w:t>
                  </w:r>
                  <w:r>
                    <w:t>4</w:t>
                  </w:r>
                </w:p>
              </w:tc>
              <w:tc>
                <w:tcPr>
                  <w:tcW w:w="567" w:type="dxa"/>
                  <w:vAlign w:val="center"/>
                </w:tcPr>
                <w:p>
                  <w:pPr>
                    <w:pStyle w:val="42"/>
                  </w:pPr>
                  <w:r>
                    <w:rPr>
                      <w:rFonts w:hint="eastAsia"/>
                    </w:rPr>
                    <w:t>7</w:t>
                  </w:r>
                  <w:r>
                    <w:t>8</w:t>
                  </w:r>
                </w:p>
              </w:tc>
              <w:tc>
                <w:tcPr>
                  <w:tcW w:w="568" w:type="dxa"/>
                  <w:vAlign w:val="center"/>
                </w:tcPr>
                <w:p>
                  <w:pPr>
                    <w:pStyle w:val="42"/>
                  </w:pPr>
                  <w:r>
                    <w:rPr>
                      <w:rFonts w:hint="eastAsia"/>
                    </w:rPr>
                    <w:t>7</w:t>
                  </w:r>
                  <w:r>
                    <w:t>2</w:t>
                  </w:r>
                </w:p>
              </w:tc>
              <w:tc>
                <w:tcPr>
                  <w:tcW w:w="710" w:type="dxa"/>
                  <w:vAlign w:val="center"/>
                </w:tcPr>
                <w:p>
                  <w:pPr>
                    <w:pStyle w:val="42"/>
                  </w:pPr>
                  <w:r>
                    <w:rPr>
                      <w:rFonts w:hint="eastAsia"/>
                    </w:rPr>
                    <w:t>6</w:t>
                  </w:r>
                  <w:r>
                    <w:t>8.5</w:t>
                  </w:r>
                </w:p>
              </w:tc>
              <w:tc>
                <w:tcPr>
                  <w:tcW w:w="568" w:type="dxa"/>
                  <w:vAlign w:val="center"/>
                </w:tcPr>
                <w:p>
                  <w:pPr>
                    <w:pStyle w:val="42"/>
                  </w:pPr>
                  <w:r>
                    <w:rPr>
                      <w:rFonts w:hint="eastAsia"/>
                    </w:rPr>
                    <w:t>6</w:t>
                  </w:r>
                  <w:r>
                    <w:t>6</w:t>
                  </w:r>
                </w:p>
              </w:tc>
              <w:tc>
                <w:tcPr>
                  <w:tcW w:w="568" w:type="dxa"/>
                  <w:vAlign w:val="center"/>
                </w:tcPr>
                <w:p>
                  <w:pPr>
                    <w:pStyle w:val="42"/>
                  </w:pPr>
                  <w:r>
                    <w:rPr>
                      <w:rFonts w:hint="eastAsia"/>
                    </w:rPr>
                    <w:t>6</w:t>
                  </w:r>
                  <w:r>
                    <w:t>4</w:t>
                  </w:r>
                </w:p>
              </w:tc>
              <w:tc>
                <w:tcPr>
                  <w:tcW w:w="566" w:type="dxa"/>
                  <w:vAlign w:val="center"/>
                </w:tcPr>
                <w:p>
                  <w:pPr>
                    <w:pStyle w:val="42"/>
                  </w:pPr>
                  <w:r>
                    <w:rPr>
                      <w:rFonts w:hint="eastAsia"/>
                    </w:rPr>
                    <w:t>6</w:t>
                  </w:r>
                  <w:r>
                    <w:t>1</w:t>
                  </w:r>
                </w:p>
              </w:tc>
              <w:tc>
                <w:tcPr>
                  <w:tcW w:w="568" w:type="dxa"/>
                  <w:vAlign w:val="center"/>
                </w:tcPr>
                <w:p>
                  <w:pPr>
                    <w:pStyle w:val="42"/>
                  </w:pPr>
                  <w:r>
                    <w:rPr>
                      <w:rFonts w:hint="eastAsia"/>
                    </w:rPr>
                    <w:t>5</w:t>
                  </w:r>
                  <w:r>
                    <w:t>8</w:t>
                  </w:r>
                </w:p>
              </w:tc>
              <w:tc>
                <w:tcPr>
                  <w:tcW w:w="708" w:type="dxa"/>
                  <w:vAlign w:val="center"/>
                </w:tcPr>
                <w:p>
                  <w:pPr>
                    <w:pStyle w:val="42"/>
                  </w:pPr>
                  <w:r>
                    <w:rPr>
                      <w:rFonts w:hint="eastAsia"/>
                    </w:rPr>
                    <w:t>5</w:t>
                  </w:r>
                  <w:r>
                    <w:t>4.5</w:t>
                  </w:r>
                </w:p>
              </w:tc>
              <w:tc>
                <w:tcPr>
                  <w:tcW w:w="715" w:type="dxa"/>
                  <w:vAlign w:val="center"/>
                </w:tcPr>
                <w:p>
                  <w:pPr>
                    <w:pStyle w:val="42"/>
                  </w:pPr>
                  <w:r>
                    <w:rPr>
                      <w:rFonts w:hint="eastAsia"/>
                    </w:rPr>
                    <w:t>5</w:t>
                  </w:r>
                  <w:r>
                    <w:t>2</w:t>
                  </w:r>
                </w:p>
              </w:tc>
              <w:tc>
                <w:tcPr>
                  <w:tcW w:w="1132" w:type="dxa"/>
                  <w:tcBorders>
                    <w:right w:val="single" w:color="auto" w:sz="4" w:space="0"/>
                  </w:tcBorders>
                  <w:vAlign w:val="center"/>
                </w:tcPr>
                <w:p>
                  <w:pPr>
                    <w:pStyle w:val="42"/>
                  </w:pPr>
                  <w:r>
                    <w:rPr>
                      <w:rFonts w:hint="eastAsia"/>
                    </w:rPr>
                    <w:t>8</w:t>
                  </w:r>
                  <w:r>
                    <w:t>0</w:t>
                  </w:r>
                </w:p>
              </w:tc>
              <w:tc>
                <w:tcPr>
                  <w:tcW w:w="687" w:type="dxa"/>
                  <w:tcBorders>
                    <w:left w:val="single" w:color="auto" w:sz="4" w:space="0"/>
                  </w:tcBorders>
                  <w:vAlign w:val="center"/>
                </w:tcPr>
                <w:p>
                  <w:pPr>
                    <w:pStyle w:val="42"/>
                  </w:pPr>
                  <w:r>
                    <w:rPr>
                      <w:rFonts w:hint="eastAsia"/>
                    </w:rPr>
                    <w:t>采区</w:t>
                  </w:r>
                </w:p>
              </w:tc>
            </w:tr>
          </w:tbl>
          <w:p>
            <w:pPr>
              <w:adjustRightInd w:val="0"/>
              <w:snapToGrid w:val="0"/>
              <w:spacing w:line="360" w:lineRule="auto"/>
              <w:ind w:firstLine="480" w:firstLineChars="200"/>
              <w:rPr>
                <w:sz w:val="24"/>
              </w:rPr>
            </w:pPr>
            <w:r>
              <w:rPr>
                <w:sz w:val="24"/>
              </w:rPr>
              <w:t>根据表4-</w:t>
            </w:r>
            <w:r>
              <w:rPr>
                <w:rFonts w:hint="eastAsia"/>
                <w:sz w:val="24"/>
              </w:rPr>
              <w:t>20</w:t>
            </w:r>
            <w:r>
              <w:rPr>
                <w:sz w:val="24"/>
              </w:rPr>
              <w:t>预测结果可知：当</w:t>
            </w:r>
            <w:r>
              <w:rPr>
                <w:rFonts w:hint="eastAsia"/>
                <w:sz w:val="24"/>
              </w:rPr>
              <w:t>采区、排土场内</w:t>
            </w:r>
            <w:r>
              <w:rPr>
                <w:sz w:val="24"/>
              </w:rPr>
              <w:t>所有设备同时运行</w:t>
            </w:r>
            <w:r>
              <w:rPr>
                <w:rFonts w:hint="eastAsia"/>
                <w:sz w:val="24"/>
              </w:rPr>
              <w:t>、且集中于一点</w:t>
            </w:r>
            <w:r>
              <w:rPr>
                <w:sz w:val="24"/>
              </w:rPr>
              <w:t>时，达到</w:t>
            </w:r>
            <w:r>
              <w:rPr>
                <w:bCs/>
                <w:sz w:val="24"/>
              </w:rPr>
              <w:t>《工业企业厂界环境噪声排放标准》（GB12348-2008）</w:t>
            </w:r>
            <w:r>
              <w:rPr>
                <w:sz w:val="24"/>
              </w:rPr>
              <w:t>中2类标准，</w:t>
            </w:r>
            <w:r>
              <w:rPr>
                <w:rFonts w:hint="eastAsia"/>
                <w:sz w:val="24"/>
              </w:rPr>
              <w:t>采区、</w:t>
            </w:r>
            <w:r>
              <w:rPr>
                <w:rFonts w:hint="eastAsia"/>
                <w:color w:val="0000FF"/>
                <w:sz w:val="24"/>
              </w:rPr>
              <w:t>弃渣场</w:t>
            </w:r>
            <w:r>
              <w:rPr>
                <w:rFonts w:hint="eastAsia"/>
                <w:sz w:val="24"/>
              </w:rPr>
              <w:t>、</w:t>
            </w:r>
            <w:r>
              <w:rPr>
                <w:rFonts w:hint="eastAsia"/>
                <w:color w:val="0000FF"/>
                <w:sz w:val="24"/>
              </w:rPr>
              <w:t>排土场</w:t>
            </w:r>
            <w:r>
              <w:rPr>
                <w:sz w:val="24"/>
              </w:rPr>
              <w:t>的昼间达标距离</w:t>
            </w:r>
            <w:r>
              <w:rPr>
                <w:rFonts w:hint="eastAsia"/>
                <w:sz w:val="24"/>
              </w:rPr>
              <w:t>分布</w:t>
            </w:r>
            <w:r>
              <w:rPr>
                <w:sz w:val="24"/>
              </w:rPr>
              <w:t>约为</w:t>
            </w:r>
            <w:r>
              <w:rPr>
                <w:rFonts w:hint="eastAsia"/>
                <w:sz w:val="24"/>
              </w:rPr>
              <w:t>112</w:t>
            </w:r>
            <w:r>
              <w:rPr>
                <w:sz w:val="24"/>
              </w:rPr>
              <w:t>m</w:t>
            </w:r>
            <w:r>
              <w:rPr>
                <w:rFonts w:hint="eastAsia"/>
                <w:sz w:val="24"/>
              </w:rPr>
              <w:t>、80m、80m</w:t>
            </w:r>
            <w:r>
              <w:rPr>
                <w:sz w:val="24"/>
              </w:rPr>
              <w:t>。</w:t>
            </w:r>
          </w:p>
          <w:p>
            <w:pPr>
              <w:adjustRightInd w:val="0"/>
              <w:snapToGrid w:val="0"/>
              <w:spacing w:line="360" w:lineRule="auto"/>
              <w:ind w:firstLine="480" w:firstLineChars="200"/>
              <w:rPr>
                <w:sz w:val="24"/>
              </w:rPr>
            </w:pPr>
            <w:r>
              <w:rPr>
                <w:rFonts w:hint="eastAsia"/>
                <w:sz w:val="24"/>
              </w:rPr>
              <w:t>经调查，矿山开采期间采区、</w:t>
            </w:r>
            <w:r>
              <w:rPr>
                <w:rFonts w:hint="eastAsia"/>
                <w:color w:val="0000FF"/>
                <w:sz w:val="24"/>
              </w:rPr>
              <w:t>弃渣场</w:t>
            </w:r>
            <w:r>
              <w:rPr>
                <w:rFonts w:hint="eastAsia"/>
                <w:sz w:val="24"/>
              </w:rPr>
              <w:t>边界2</w:t>
            </w:r>
            <w:r>
              <w:rPr>
                <w:sz w:val="24"/>
              </w:rPr>
              <w:t>00m</w:t>
            </w:r>
            <w:r>
              <w:rPr>
                <w:rFonts w:hint="eastAsia"/>
                <w:sz w:val="24"/>
              </w:rPr>
              <w:t>范围无声环境保护目标分布；</w:t>
            </w:r>
            <w:r>
              <w:rPr>
                <w:rFonts w:hint="eastAsia"/>
                <w:color w:val="0000FF"/>
                <w:sz w:val="24"/>
              </w:rPr>
              <w:t>排土场</w:t>
            </w:r>
            <w:r>
              <w:rPr>
                <w:rFonts w:hint="eastAsia"/>
                <w:sz w:val="24"/>
              </w:rPr>
              <w:t>边界2</w:t>
            </w:r>
            <w:r>
              <w:rPr>
                <w:sz w:val="24"/>
              </w:rPr>
              <w:t>00m</w:t>
            </w:r>
            <w:r>
              <w:rPr>
                <w:rFonts w:hint="eastAsia"/>
                <w:sz w:val="24"/>
              </w:rPr>
              <w:t>范围内有6户居民住宅，</w:t>
            </w:r>
            <w:r>
              <w:rPr>
                <w:rFonts w:hint="eastAsia"/>
                <w:color w:val="0000FF"/>
                <w:sz w:val="24"/>
              </w:rPr>
              <w:t>排土场</w:t>
            </w:r>
            <w:r>
              <w:rPr>
                <w:rFonts w:hint="eastAsia"/>
                <w:sz w:val="24"/>
              </w:rPr>
              <w:t>机械噪声对周边各敏感点噪声影响预测结果见表4</w:t>
            </w:r>
            <w:r>
              <w:rPr>
                <w:sz w:val="24"/>
              </w:rPr>
              <w:t>-2</w:t>
            </w:r>
            <w:r>
              <w:rPr>
                <w:rFonts w:hint="eastAsia"/>
                <w:sz w:val="24"/>
              </w:rPr>
              <w:t>1</w:t>
            </w:r>
            <w:r>
              <w:rPr>
                <w:sz w:val="24"/>
              </w:rPr>
              <w:t>。</w:t>
            </w:r>
          </w:p>
          <w:p>
            <w:pPr>
              <w:adjustRightInd w:val="0"/>
              <w:snapToGrid w:val="0"/>
              <w:jc w:val="center"/>
            </w:pPr>
            <w:r>
              <w:rPr>
                <w:rFonts w:hint="eastAsia"/>
                <w:b/>
                <w:sz w:val="24"/>
              </w:rPr>
              <w:t>表4</w:t>
            </w:r>
            <w:r>
              <w:rPr>
                <w:b/>
                <w:sz w:val="24"/>
              </w:rPr>
              <w:t>-2</w:t>
            </w:r>
            <w:r>
              <w:rPr>
                <w:rFonts w:hint="eastAsia"/>
                <w:b/>
                <w:sz w:val="24"/>
              </w:rPr>
              <w:t>1</w:t>
            </w:r>
            <w:r>
              <w:rPr>
                <w:b/>
                <w:sz w:val="24"/>
              </w:rPr>
              <w:t xml:space="preserve">  </w:t>
            </w:r>
            <w:r>
              <w:rPr>
                <w:rFonts w:hint="eastAsia"/>
                <w:b/>
                <w:color w:val="0000FF"/>
                <w:sz w:val="24"/>
              </w:rPr>
              <w:t>排土场</w:t>
            </w:r>
            <w:r>
              <w:rPr>
                <w:rFonts w:hint="eastAsia"/>
                <w:b/>
                <w:sz w:val="24"/>
              </w:rPr>
              <w:t>各敏感点处的噪声影响预测结果</w:t>
            </w:r>
          </w:p>
          <w:tbl>
            <w:tblPr>
              <w:tblStyle w:val="1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3"/>
              <w:gridCol w:w="1276"/>
              <w:gridCol w:w="1134"/>
              <w:gridCol w:w="1276"/>
              <w:gridCol w:w="1134"/>
              <w:gridCol w:w="1134"/>
              <w:gridCol w:w="1266"/>
              <w:gridCol w:w="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8" w:hRule="atLeast"/>
              </w:trPr>
              <w:tc>
                <w:tcPr>
                  <w:tcW w:w="1093" w:type="dxa"/>
                  <w:vAlign w:val="center"/>
                </w:tcPr>
                <w:p>
                  <w:pPr>
                    <w:pStyle w:val="42"/>
                  </w:pPr>
                  <w:r>
                    <w:rPr>
                      <w:rFonts w:hint="eastAsia" w:ascii="宋体" w:hAnsi="宋体" w:cs="宋体"/>
                    </w:rPr>
                    <w:t>保护目标</w:t>
                  </w:r>
                </w:p>
              </w:tc>
              <w:tc>
                <w:tcPr>
                  <w:tcW w:w="1276" w:type="dxa"/>
                  <w:vAlign w:val="center"/>
                </w:tcPr>
                <w:p>
                  <w:pPr>
                    <w:pStyle w:val="42"/>
                  </w:pPr>
                  <w:r>
                    <w:rPr>
                      <w:rFonts w:hint="eastAsia" w:ascii="宋体" w:hAnsi="宋体" w:cs="宋体"/>
                    </w:rPr>
                    <w:t>最近距离（</w:t>
                  </w:r>
                  <w:r>
                    <w:rPr>
                      <w:rFonts w:hint="eastAsia"/>
                    </w:rPr>
                    <w:t>m</w:t>
                  </w:r>
                  <w:r>
                    <w:rPr>
                      <w:rFonts w:hint="eastAsia" w:ascii="宋体" w:hAnsi="宋体" w:cs="宋体"/>
                    </w:rPr>
                    <w:t>）</w:t>
                  </w:r>
                </w:p>
              </w:tc>
              <w:tc>
                <w:tcPr>
                  <w:tcW w:w="1134" w:type="dxa"/>
                  <w:vAlign w:val="center"/>
                </w:tcPr>
                <w:p>
                  <w:pPr>
                    <w:pStyle w:val="42"/>
                    <w:rPr>
                      <w:kern w:val="0"/>
                    </w:rPr>
                  </w:pPr>
                  <w:r>
                    <w:rPr>
                      <w:rFonts w:hint="eastAsia" w:ascii="宋体" w:hAnsi="宋体" w:cs="宋体"/>
                      <w:kern w:val="0"/>
                    </w:rPr>
                    <w:t>背景值</w:t>
                  </w:r>
                  <w:r>
                    <w:rPr>
                      <w:kern w:val="0"/>
                    </w:rPr>
                    <w:t>(dB(A))</w:t>
                  </w:r>
                </w:p>
              </w:tc>
              <w:tc>
                <w:tcPr>
                  <w:tcW w:w="1276" w:type="dxa"/>
                  <w:vAlign w:val="center"/>
                </w:tcPr>
                <w:p>
                  <w:pPr>
                    <w:pStyle w:val="42"/>
                    <w:rPr>
                      <w:kern w:val="0"/>
                    </w:rPr>
                  </w:pPr>
                  <w:r>
                    <w:rPr>
                      <w:rFonts w:hint="eastAsia" w:ascii="宋体" w:hAnsi="宋体" w:cs="宋体"/>
                      <w:kern w:val="0"/>
                    </w:rPr>
                    <w:t>标准值</w:t>
                  </w:r>
                  <w:r>
                    <w:rPr>
                      <w:kern w:val="0"/>
                    </w:rPr>
                    <w:t>(dB(A))</w:t>
                  </w:r>
                </w:p>
              </w:tc>
              <w:tc>
                <w:tcPr>
                  <w:tcW w:w="1134" w:type="dxa"/>
                  <w:vAlign w:val="center"/>
                </w:tcPr>
                <w:p>
                  <w:pPr>
                    <w:pStyle w:val="42"/>
                    <w:rPr>
                      <w:kern w:val="0"/>
                    </w:rPr>
                  </w:pPr>
                  <w:r>
                    <w:rPr>
                      <w:rFonts w:hint="eastAsia" w:ascii="宋体" w:hAnsi="宋体" w:cs="宋体"/>
                      <w:kern w:val="0"/>
                    </w:rPr>
                    <w:t>贡献值</w:t>
                  </w:r>
                  <w:r>
                    <w:rPr>
                      <w:kern w:val="0"/>
                    </w:rPr>
                    <w:t>(dB(A))</w:t>
                  </w:r>
                </w:p>
              </w:tc>
              <w:tc>
                <w:tcPr>
                  <w:tcW w:w="1134" w:type="dxa"/>
                  <w:vAlign w:val="center"/>
                </w:tcPr>
                <w:p>
                  <w:pPr>
                    <w:pStyle w:val="42"/>
                    <w:rPr>
                      <w:kern w:val="0"/>
                    </w:rPr>
                  </w:pPr>
                  <w:r>
                    <w:rPr>
                      <w:rFonts w:hint="eastAsia" w:ascii="宋体" w:hAnsi="宋体" w:cs="宋体"/>
                      <w:kern w:val="0"/>
                    </w:rPr>
                    <w:t>预测值</w:t>
                  </w:r>
                  <w:r>
                    <w:rPr>
                      <w:kern w:val="0"/>
                    </w:rPr>
                    <w:t>(dB(A))</w:t>
                  </w:r>
                </w:p>
              </w:tc>
              <w:tc>
                <w:tcPr>
                  <w:tcW w:w="1266" w:type="dxa"/>
                  <w:vAlign w:val="center"/>
                </w:tcPr>
                <w:p>
                  <w:pPr>
                    <w:pStyle w:val="42"/>
                    <w:rPr>
                      <w:kern w:val="0"/>
                    </w:rPr>
                  </w:pPr>
                  <w:r>
                    <w:rPr>
                      <w:rFonts w:hint="eastAsia" w:ascii="宋体" w:hAnsi="宋体" w:cs="宋体"/>
                      <w:kern w:val="0"/>
                    </w:rPr>
                    <w:t>较现状增量</w:t>
                  </w:r>
                  <w:r>
                    <w:rPr>
                      <w:kern w:val="0"/>
                    </w:rPr>
                    <w:t>(dB(A))</w:t>
                  </w:r>
                </w:p>
              </w:tc>
              <w:tc>
                <w:tcPr>
                  <w:tcW w:w="701" w:type="dxa"/>
                  <w:vAlign w:val="center"/>
                </w:tcPr>
                <w:p>
                  <w:pPr>
                    <w:pStyle w:val="42"/>
                  </w:pPr>
                  <w:r>
                    <w:rPr>
                      <w:rFonts w:hint="eastAsia" w:ascii="宋体" w:hAnsi="宋体" w:cs="宋体"/>
                    </w:rPr>
                    <w:t>达标情况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1093" w:type="dxa"/>
                  <w:vAlign w:val="center"/>
                </w:tcPr>
                <w:p>
                  <w:pPr>
                    <w:pStyle w:val="42"/>
                  </w:pPr>
                  <w:r>
                    <w:rPr>
                      <w:rFonts w:hint="eastAsia"/>
                    </w:rPr>
                    <w:t>双泉乡城镇居民区</w:t>
                  </w:r>
                  <w:r>
                    <w:rPr>
                      <w:rFonts w:hint="eastAsia"/>
                      <w:color w:val="0000FF"/>
                    </w:rPr>
                    <w:t>（部分）</w:t>
                  </w:r>
                </w:p>
              </w:tc>
              <w:tc>
                <w:tcPr>
                  <w:tcW w:w="1276" w:type="dxa"/>
                  <w:vAlign w:val="center"/>
                </w:tcPr>
                <w:p>
                  <w:pPr>
                    <w:pStyle w:val="42"/>
                  </w:pPr>
                  <w:r>
                    <w:rPr>
                      <w:rFonts w:hint="eastAsia"/>
                    </w:rPr>
                    <w:t>189</w:t>
                  </w:r>
                </w:p>
              </w:tc>
              <w:tc>
                <w:tcPr>
                  <w:tcW w:w="1134" w:type="dxa"/>
                  <w:vAlign w:val="center"/>
                </w:tcPr>
                <w:p>
                  <w:pPr>
                    <w:pStyle w:val="42"/>
                    <w:rPr>
                      <w:rFonts w:eastAsiaTheme="minorEastAsia"/>
                    </w:rPr>
                  </w:pPr>
                  <w:r>
                    <w:rPr>
                      <w:rFonts w:hint="eastAsia" w:eastAsiaTheme="minorEastAsia"/>
                    </w:rPr>
                    <w:t>53</w:t>
                  </w:r>
                </w:p>
              </w:tc>
              <w:tc>
                <w:tcPr>
                  <w:tcW w:w="1276" w:type="dxa"/>
                  <w:vAlign w:val="center"/>
                </w:tcPr>
                <w:p>
                  <w:pPr>
                    <w:pStyle w:val="42"/>
                  </w:pPr>
                  <w:r>
                    <w:rPr>
                      <w:rFonts w:hint="eastAsia"/>
                    </w:rPr>
                    <w:t>60</w:t>
                  </w:r>
                </w:p>
              </w:tc>
              <w:tc>
                <w:tcPr>
                  <w:tcW w:w="1134" w:type="dxa"/>
                  <w:vAlign w:val="center"/>
                </w:tcPr>
                <w:p>
                  <w:pPr>
                    <w:pStyle w:val="42"/>
                    <w:rPr>
                      <w:rFonts w:eastAsiaTheme="minorEastAsia"/>
                      <w:color w:val="0000FF"/>
                    </w:rPr>
                  </w:pPr>
                  <w:r>
                    <w:rPr>
                      <w:rFonts w:hint="eastAsia" w:eastAsiaTheme="minorEastAsia"/>
                      <w:color w:val="0000FF"/>
                    </w:rPr>
                    <w:t>52.5</w:t>
                  </w:r>
                </w:p>
              </w:tc>
              <w:tc>
                <w:tcPr>
                  <w:tcW w:w="1134" w:type="dxa"/>
                  <w:vAlign w:val="center"/>
                </w:tcPr>
                <w:p>
                  <w:pPr>
                    <w:pStyle w:val="42"/>
                    <w:rPr>
                      <w:rFonts w:eastAsia="等线"/>
                      <w:color w:val="0000FF"/>
                    </w:rPr>
                  </w:pPr>
                  <w:r>
                    <w:rPr>
                      <w:rFonts w:hint="eastAsia" w:eastAsia="等线"/>
                      <w:color w:val="0000FF"/>
                    </w:rPr>
                    <w:t>55.8</w:t>
                  </w:r>
                </w:p>
              </w:tc>
              <w:tc>
                <w:tcPr>
                  <w:tcW w:w="1266" w:type="dxa"/>
                  <w:vAlign w:val="center"/>
                </w:tcPr>
                <w:p>
                  <w:pPr>
                    <w:pStyle w:val="42"/>
                    <w:rPr>
                      <w:rFonts w:eastAsia="等线"/>
                    </w:rPr>
                  </w:pPr>
                  <w:r>
                    <w:rPr>
                      <w:rFonts w:hint="eastAsia" w:eastAsia="等线"/>
                      <w:color w:val="0000FF"/>
                    </w:rPr>
                    <w:t>3.3</w:t>
                  </w:r>
                </w:p>
              </w:tc>
              <w:tc>
                <w:tcPr>
                  <w:tcW w:w="701" w:type="dxa"/>
                  <w:vAlign w:val="center"/>
                </w:tcPr>
                <w:p>
                  <w:pPr>
                    <w:pStyle w:val="42"/>
                  </w:pPr>
                  <w:r>
                    <w:rPr>
                      <w:rFonts w:hint="eastAsia"/>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9014" w:type="dxa"/>
                  <w:gridSpan w:val="8"/>
                  <w:vAlign w:val="center"/>
                </w:tcPr>
                <w:p>
                  <w:pPr>
                    <w:pStyle w:val="42"/>
                    <w:ind w:firstLine="420" w:firstLineChars="200"/>
                    <w:jc w:val="both"/>
                  </w:pPr>
                  <w:r>
                    <w:rPr>
                      <w:rFonts w:hint="eastAsia" w:ascii="宋体" w:hAnsi="宋体" w:cs="宋体"/>
                    </w:rPr>
                    <w:t>注：噪声背景值取自</w:t>
                  </w:r>
                  <w:r>
                    <w:rPr>
                      <w:rFonts w:hint="eastAsia"/>
                    </w:rPr>
                    <w:t>202</w:t>
                  </w:r>
                  <w:r>
                    <w:rPr>
                      <w:rFonts w:hint="eastAsia" w:eastAsiaTheme="minorEastAsia"/>
                    </w:rPr>
                    <w:t>5</w:t>
                  </w:r>
                  <w:r>
                    <w:rPr>
                      <w:rFonts w:hint="eastAsia" w:ascii="宋体" w:hAnsi="宋体" w:cs="宋体"/>
                    </w:rPr>
                    <w:t>年</w:t>
                  </w:r>
                  <w:r>
                    <w:rPr>
                      <w:rFonts w:hint="eastAsia" w:eastAsiaTheme="minorEastAsia"/>
                    </w:rPr>
                    <w:t>6</w:t>
                  </w:r>
                  <w:r>
                    <w:rPr>
                      <w:rFonts w:hint="eastAsia" w:ascii="宋体" w:hAnsi="宋体" w:cs="宋体"/>
                    </w:rPr>
                    <w:t>月</w:t>
                  </w:r>
                  <w:r>
                    <w:rPr>
                      <w:rFonts w:hint="eastAsia"/>
                    </w:rPr>
                    <w:t>19</w:t>
                  </w:r>
                  <w:r>
                    <w:rPr>
                      <w:rFonts w:hint="eastAsia" w:ascii="宋体" w:hAnsi="宋体" w:cs="宋体"/>
                    </w:rPr>
                    <w:t>日，区域环境噪声监测值。</w:t>
                  </w:r>
                </w:p>
              </w:tc>
            </w:tr>
          </w:tbl>
          <w:p>
            <w:pPr>
              <w:adjustRightInd w:val="0"/>
              <w:snapToGrid w:val="0"/>
              <w:spacing w:line="360" w:lineRule="auto"/>
              <w:ind w:firstLine="480" w:firstLineChars="200"/>
              <w:rPr>
                <w:sz w:val="24"/>
              </w:rPr>
            </w:pPr>
            <w:r>
              <w:rPr>
                <w:rFonts w:hint="eastAsia"/>
                <w:sz w:val="24"/>
              </w:rPr>
              <w:t>由此，拟建项目开采期间采区、</w:t>
            </w:r>
            <w:r>
              <w:rPr>
                <w:rFonts w:hint="eastAsia"/>
                <w:color w:val="0000FF"/>
                <w:sz w:val="24"/>
              </w:rPr>
              <w:t>弃渣场</w:t>
            </w:r>
            <w:r>
              <w:rPr>
                <w:rFonts w:hint="eastAsia"/>
                <w:sz w:val="24"/>
              </w:rPr>
              <w:t>、</w:t>
            </w:r>
            <w:r>
              <w:rPr>
                <w:rFonts w:hint="eastAsia"/>
                <w:color w:val="0000FF"/>
                <w:sz w:val="24"/>
              </w:rPr>
              <w:t>排土场</w:t>
            </w:r>
            <w:r>
              <w:rPr>
                <w:rFonts w:hint="eastAsia"/>
                <w:sz w:val="24"/>
              </w:rPr>
              <w:t>的机械活动对周边声环境的影响较小。</w:t>
            </w:r>
          </w:p>
          <w:p>
            <w:pPr>
              <w:adjustRightInd w:val="0"/>
              <w:snapToGrid w:val="0"/>
              <w:spacing w:line="360" w:lineRule="auto"/>
              <w:ind w:firstLine="480" w:firstLineChars="200"/>
              <w:rPr>
                <w:sz w:val="24"/>
              </w:rPr>
            </w:pPr>
            <w:r>
              <w:rPr>
                <w:sz w:val="24"/>
              </w:rPr>
              <w:t>Ⅱ</w:t>
            </w:r>
            <w:r>
              <w:rPr>
                <w:rFonts w:hint="eastAsia"/>
                <w:sz w:val="24"/>
              </w:rPr>
              <w:t>、室内声源</w:t>
            </w:r>
          </w:p>
          <w:p>
            <w:pPr>
              <w:adjustRightInd w:val="0"/>
              <w:snapToGrid w:val="0"/>
              <w:spacing w:line="360" w:lineRule="auto"/>
              <w:ind w:firstLine="480" w:firstLineChars="200"/>
              <w:rPr>
                <w:sz w:val="24"/>
              </w:rPr>
            </w:pPr>
            <w:r>
              <w:rPr>
                <w:rFonts w:hint="eastAsia"/>
                <w:sz w:val="24"/>
              </w:rPr>
              <w:t>各厂界噪声贡献值预测结果统计情况见表4</w:t>
            </w:r>
            <w:r>
              <w:rPr>
                <w:sz w:val="24"/>
              </w:rPr>
              <w:t>-2</w:t>
            </w:r>
            <w:r>
              <w:rPr>
                <w:rFonts w:hint="eastAsia"/>
                <w:sz w:val="24"/>
              </w:rPr>
              <w:t>2。</w:t>
            </w:r>
          </w:p>
          <w:p>
            <w:pPr>
              <w:adjustRightInd w:val="0"/>
              <w:snapToGrid w:val="0"/>
              <w:jc w:val="center"/>
              <w:rPr>
                <w:b/>
                <w:sz w:val="24"/>
              </w:rPr>
            </w:pPr>
            <w:r>
              <w:rPr>
                <w:b/>
                <w:sz w:val="24"/>
              </w:rPr>
              <w:t>表4-2</w:t>
            </w:r>
            <w:r>
              <w:rPr>
                <w:rFonts w:hint="eastAsia"/>
                <w:b/>
                <w:sz w:val="24"/>
              </w:rPr>
              <w:t>2</w:t>
            </w:r>
            <w:r>
              <w:rPr>
                <w:b/>
                <w:sz w:val="24"/>
              </w:rPr>
              <w:t xml:space="preserve">  </w:t>
            </w:r>
            <w:r>
              <w:rPr>
                <w:rFonts w:hint="eastAsia"/>
                <w:b/>
                <w:sz w:val="24"/>
              </w:rPr>
              <w:t>厂界噪声贡献值</w:t>
            </w:r>
            <w:r>
              <w:rPr>
                <w:b/>
                <w:sz w:val="24"/>
              </w:rPr>
              <w:t>预测结果</w:t>
            </w:r>
          </w:p>
          <w:tbl>
            <w:tblPr>
              <w:tblStyle w:val="1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60"/>
              <w:gridCol w:w="1107"/>
              <w:gridCol w:w="1500"/>
              <w:gridCol w:w="1266"/>
              <w:gridCol w:w="1385"/>
              <w:gridCol w:w="984"/>
              <w:gridCol w:w="1127"/>
              <w:gridCol w:w="8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47" w:hRule="atLeast"/>
                <w:tblHeader/>
              </w:trPr>
              <w:tc>
                <w:tcPr>
                  <w:tcW w:w="760" w:type="dxa"/>
                  <w:vMerge w:val="restart"/>
                  <w:vAlign w:val="center"/>
                </w:tcPr>
                <w:p>
                  <w:pPr>
                    <w:pStyle w:val="42"/>
                  </w:pPr>
                  <w:r>
                    <w:rPr>
                      <w:rFonts w:hint="eastAsia"/>
                    </w:rPr>
                    <w:t>建筑名称</w:t>
                  </w:r>
                </w:p>
              </w:tc>
              <w:tc>
                <w:tcPr>
                  <w:tcW w:w="1107" w:type="dxa"/>
                  <w:vMerge w:val="restart"/>
                  <w:vAlign w:val="center"/>
                </w:tcPr>
                <w:p>
                  <w:pPr>
                    <w:pStyle w:val="42"/>
                  </w:pPr>
                  <w:r>
                    <w:t>预测场界</w:t>
                  </w:r>
                </w:p>
              </w:tc>
              <w:tc>
                <w:tcPr>
                  <w:tcW w:w="1500" w:type="dxa"/>
                  <w:vMerge w:val="restart"/>
                  <w:vAlign w:val="center"/>
                </w:tcPr>
                <w:p>
                  <w:pPr>
                    <w:pStyle w:val="42"/>
                  </w:pPr>
                  <w:r>
                    <w:t>主要受影响噪声源</w:t>
                  </w:r>
                </w:p>
              </w:tc>
              <w:tc>
                <w:tcPr>
                  <w:tcW w:w="2651" w:type="dxa"/>
                  <w:gridSpan w:val="2"/>
                  <w:vAlign w:val="center"/>
                </w:tcPr>
                <w:p>
                  <w:pPr>
                    <w:pStyle w:val="42"/>
                  </w:pPr>
                  <w:r>
                    <w:rPr>
                      <w:rFonts w:hint="eastAsia"/>
                    </w:rPr>
                    <w:t>室外厂界噪声贡献值</w:t>
                  </w:r>
                  <w:r>
                    <w:rPr>
                      <w:kern w:val="0"/>
                    </w:rPr>
                    <w:t>(dB(A))</w:t>
                  </w:r>
                </w:p>
              </w:tc>
              <w:tc>
                <w:tcPr>
                  <w:tcW w:w="2111" w:type="dxa"/>
                  <w:gridSpan w:val="2"/>
                  <w:vAlign w:val="center"/>
                </w:tcPr>
                <w:p>
                  <w:pPr>
                    <w:pStyle w:val="42"/>
                  </w:pPr>
                  <w:r>
                    <w:rPr>
                      <w:rFonts w:hint="eastAsia"/>
                    </w:rPr>
                    <w:t>标准值</w:t>
                  </w:r>
                  <w:r>
                    <w:t>(dB(A))</w:t>
                  </w:r>
                </w:p>
              </w:tc>
              <w:tc>
                <w:tcPr>
                  <w:tcW w:w="885" w:type="dxa"/>
                  <w:vMerge w:val="restart"/>
                  <w:vAlign w:val="center"/>
                </w:tcPr>
                <w:p>
                  <w:pPr>
                    <w:pStyle w:val="42"/>
                  </w:pPr>
                  <w:r>
                    <w:rPr>
                      <w:rFonts w:hint="eastAsia"/>
                    </w:rPr>
                    <w:t>达标情况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8" w:hRule="atLeast"/>
                <w:tblHeader/>
              </w:trPr>
              <w:tc>
                <w:tcPr>
                  <w:tcW w:w="760" w:type="dxa"/>
                  <w:vMerge w:val="continue"/>
                  <w:vAlign w:val="center"/>
                </w:tcPr>
                <w:p>
                  <w:pPr>
                    <w:pStyle w:val="42"/>
                  </w:pPr>
                </w:p>
              </w:tc>
              <w:tc>
                <w:tcPr>
                  <w:tcW w:w="1107" w:type="dxa"/>
                  <w:vMerge w:val="continue"/>
                  <w:vAlign w:val="center"/>
                </w:tcPr>
                <w:p>
                  <w:pPr>
                    <w:pStyle w:val="42"/>
                  </w:pPr>
                </w:p>
              </w:tc>
              <w:tc>
                <w:tcPr>
                  <w:tcW w:w="1500" w:type="dxa"/>
                  <w:vMerge w:val="continue"/>
                  <w:vAlign w:val="center"/>
                </w:tcPr>
                <w:p>
                  <w:pPr>
                    <w:pStyle w:val="42"/>
                  </w:pPr>
                </w:p>
              </w:tc>
              <w:tc>
                <w:tcPr>
                  <w:tcW w:w="1266" w:type="dxa"/>
                  <w:vAlign w:val="center"/>
                </w:tcPr>
                <w:p>
                  <w:pPr>
                    <w:pStyle w:val="42"/>
                  </w:pPr>
                  <w:r>
                    <w:rPr>
                      <w:rFonts w:hint="eastAsia"/>
                    </w:rPr>
                    <w:t>昼间</w:t>
                  </w:r>
                </w:p>
              </w:tc>
              <w:tc>
                <w:tcPr>
                  <w:tcW w:w="1385" w:type="dxa"/>
                  <w:vAlign w:val="center"/>
                </w:tcPr>
                <w:p>
                  <w:pPr>
                    <w:pStyle w:val="42"/>
                  </w:pPr>
                  <w:r>
                    <w:rPr>
                      <w:rFonts w:hint="eastAsia"/>
                    </w:rPr>
                    <w:t>夜间</w:t>
                  </w:r>
                </w:p>
              </w:tc>
              <w:tc>
                <w:tcPr>
                  <w:tcW w:w="984" w:type="dxa"/>
                  <w:vAlign w:val="center"/>
                </w:tcPr>
                <w:p>
                  <w:pPr>
                    <w:pStyle w:val="42"/>
                  </w:pPr>
                  <w:r>
                    <w:rPr>
                      <w:rFonts w:hint="eastAsia"/>
                    </w:rPr>
                    <w:t>昼间</w:t>
                  </w:r>
                </w:p>
              </w:tc>
              <w:tc>
                <w:tcPr>
                  <w:tcW w:w="1127" w:type="dxa"/>
                  <w:vAlign w:val="center"/>
                </w:tcPr>
                <w:p>
                  <w:pPr>
                    <w:pStyle w:val="42"/>
                  </w:pPr>
                  <w:r>
                    <w:rPr>
                      <w:rFonts w:hint="eastAsia"/>
                    </w:rPr>
                    <w:t>夜间</w:t>
                  </w:r>
                </w:p>
              </w:tc>
              <w:tc>
                <w:tcPr>
                  <w:tcW w:w="885" w:type="dxa"/>
                  <w:vMerge w:val="continue"/>
                  <w:vAlign w:val="center"/>
                </w:tcPr>
                <w:p>
                  <w:pPr>
                    <w:pStyle w:val="4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60" w:type="dxa"/>
                  <w:vMerge w:val="restart"/>
                  <w:vAlign w:val="center"/>
                </w:tcPr>
                <w:p>
                  <w:pPr>
                    <w:pStyle w:val="42"/>
                  </w:pPr>
                  <w:r>
                    <w:rPr>
                      <w:rFonts w:hint="eastAsia"/>
                    </w:rPr>
                    <w:t>工业广场</w:t>
                  </w:r>
                </w:p>
              </w:tc>
              <w:tc>
                <w:tcPr>
                  <w:tcW w:w="1107" w:type="dxa"/>
                  <w:vAlign w:val="center"/>
                </w:tcPr>
                <w:p>
                  <w:pPr>
                    <w:pStyle w:val="42"/>
                  </w:pPr>
                  <w:r>
                    <w:t>东侧</w:t>
                  </w:r>
                </w:p>
              </w:tc>
              <w:tc>
                <w:tcPr>
                  <w:tcW w:w="1500" w:type="dxa"/>
                  <w:vMerge w:val="restart"/>
                  <w:vAlign w:val="center"/>
                </w:tcPr>
                <w:p>
                  <w:pPr>
                    <w:pStyle w:val="42"/>
                  </w:pPr>
                  <w:r>
                    <w:rPr>
                      <w:rFonts w:hint="eastAsia"/>
                    </w:rPr>
                    <w:t>破碎机、振动筛、空压机</w:t>
                  </w:r>
                </w:p>
              </w:tc>
              <w:tc>
                <w:tcPr>
                  <w:tcW w:w="1266" w:type="dxa"/>
                  <w:vAlign w:val="center"/>
                </w:tcPr>
                <w:p>
                  <w:pPr>
                    <w:pStyle w:val="42"/>
                    <w:rPr>
                      <w:color w:val="0000FF"/>
                    </w:rPr>
                  </w:pPr>
                  <w:r>
                    <w:rPr>
                      <w:rFonts w:eastAsia="等线"/>
                      <w:color w:val="0000FF"/>
                      <w:szCs w:val="21"/>
                    </w:rPr>
                    <w:t>53.9</w:t>
                  </w:r>
                </w:p>
              </w:tc>
              <w:tc>
                <w:tcPr>
                  <w:tcW w:w="1385" w:type="dxa"/>
                  <w:vAlign w:val="center"/>
                </w:tcPr>
                <w:p>
                  <w:pPr>
                    <w:pStyle w:val="42"/>
                  </w:pPr>
                  <w:r>
                    <w:rPr>
                      <w:rFonts w:hint="eastAsia"/>
                    </w:rPr>
                    <w:t>-</w:t>
                  </w:r>
                </w:p>
              </w:tc>
              <w:tc>
                <w:tcPr>
                  <w:tcW w:w="984" w:type="dxa"/>
                  <w:vAlign w:val="center"/>
                </w:tcPr>
                <w:p>
                  <w:pPr>
                    <w:pStyle w:val="42"/>
                  </w:pPr>
                  <w:r>
                    <w:rPr>
                      <w:rFonts w:hint="eastAsia"/>
                    </w:rPr>
                    <w:t>6</w:t>
                  </w:r>
                  <w:r>
                    <w:t>0</w:t>
                  </w:r>
                </w:p>
              </w:tc>
              <w:tc>
                <w:tcPr>
                  <w:tcW w:w="1127" w:type="dxa"/>
                  <w:vAlign w:val="center"/>
                </w:tcPr>
                <w:p>
                  <w:pPr>
                    <w:pStyle w:val="42"/>
                  </w:pPr>
                  <w:r>
                    <w:rPr>
                      <w:rFonts w:hint="eastAsia"/>
                    </w:rPr>
                    <w:t>-</w:t>
                  </w:r>
                </w:p>
              </w:tc>
              <w:tc>
                <w:tcPr>
                  <w:tcW w:w="885" w:type="dxa"/>
                  <w:vAlign w:val="center"/>
                </w:tcPr>
                <w:p>
                  <w:pPr>
                    <w:pStyle w:val="42"/>
                  </w:pPr>
                  <w:r>
                    <w:rPr>
                      <w:rFonts w:hint="eastAsia"/>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60" w:type="dxa"/>
                  <w:vMerge w:val="continue"/>
                  <w:vAlign w:val="center"/>
                </w:tcPr>
                <w:p>
                  <w:pPr>
                    <w:pStyle w:val="42"/>
                  </w:pPr>
                </w:p>
              </w:tc>
              <w:tc>
                <w:tcPr>
                  <w:tcW w:w="1107" w:type="dxa"/>
                  <w:vAlign w:val="center"/>
                </w:tcPr>
                <w:p>
                  <w:pPr>
                    <w:pStyle w:val="42"/>
                  </w:pPr>
                  <w:r>
                    <w:t>南侧</w:t>
                  </w:r>
                </w:p>
              </w:tc>
              <w:tc>
                <w:tcPr>
                  <w:tcW w:w="1500" w:type="dxa"/>
                  <w:vMerge w:val="continue"/>
                  <w:vAlign w:val="center"/>
                </w:tcPr>
                <w:p>
                  <w:pPr>
                    <w:pStyle w:val="42"/>
                  </w:pPr>
                </w:p>
              </w:tc>
              <w:tc>
                <w:tcPr>
                  <w:tcW w:w="1266" w:type="dxa"/>
                  <w:vAlign w:val="center"/>
                </w:tcPr>
                <w:p>
                  <w:pPr>
                    <w:pStyle w:val="42"/>
                    <w:rPr>
                      <w:color w:val="0000FF"/>
                    </w:rPr>
                  </w:pPr>
                  <w:r>
                    <w:rPr>
                      <w:rFonts w:eastAsia="等线"/>
                      <w:color w:val="0000FF"/>
                      <w:szCs w:val="21"/>
                    </w:rPr>
                    <w:t>46.7</w:t>
                  </w:r>
                </w:p>
              </w:tc>
              <w:tc>
                <w:tcPr>
                  <w:tcW w:w="1385" w:type="dxa"/>
                  <w:vAlign w:val="center"/>
                </w:tcPr>
                <w:p>
                  <w:pPr>
                    <w:pStyle w:val="42"/>
                  </w:pPr>
                  <w:r>
                    <w:rPr>
                      <w:rFonts w:hint="eastAsia"/>
                    </w:rPr>
                    <w:t>-</w:t>
                  </w:r>
                </w:p>
              </w:tc>
              <w:tc>
                <w:tcPr>
                  <w:tcW w:w="984" w:type="dxa"/>
                  <w:vAlign w:val="center"/>
                </w:tcPr>
                <w:p>
                  <w:pPr>
                    <w:pStyle w:val="42"/>
                  </w:pPr>
                  <w:r>
                    <w:rPr>
                      <w:rFonts w:hint="eastAsia"/>
                    </w:rPr>
                    <w:t>6</w:t>
                  </w:r>
                  <w:r>
                    <w:t>0</w:t>
                  </w:r>
                </w:p>
              </w:tc>
              <w:tc>
                <w:tcPr>
                  <w:tcW w:w="1127" w:type="dxa"/>
                  <w:vAlign w:val="center"/>
                </w:tcPr>
                <w:p>
                  <w:pPr>
                    <w:pStyle w:val="42"/>
                  </w:pPr>
                  <w:r>
                    <w:rPr>
                      <w:rFonts w:hint="eastAsia"/>
                    </w:rPr>
                    <w:t>-</w:t>
                  </w:r>
                </w:p>
              </w:tc>
              <w:tc>
                <w:tcPr>
                  <w:tcW w:w="885" w:type="dxa"/>
                  <w:vAlign w:val="center"/>
                </w:tcPr>
                <w:p>
                  <w:pPr>
                    <w:pStyle w:val="42"/>
                  </w:pPr>
                  <w:r>
                    <w:rPr>
                      <w:rFonts w:hint="eastAsia"/>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60" w:type="dxa"/>
                  <w:vMerge w:val="continue"/>
                  <w:vAlign w:val="center"/>
                </w:tcPr>
                <w:p>
                  <w:pPr>
                    <w:pStyle w:val="42"/>
                  </w:pPr>
                </w:p>
              </w:tc>
              <w:tc>
                <w:tcPr>
                  <w:tcW w:w="1107" w:type="dxa"/>
                  <w:vAlign w:val="center"/>
                </w:tcPr>
                <w:p>
                  <w:pPr>
                    <w:pStyle w:val="42"/>
                  </w:pPr>
                  <w:r>
                    <w:t>西侧</w:t>
                  </w:r>
                </w:p>
              </w:tc>
              <w:tc>
                <w:tcPr>
                  <w:tcW w:w="1500" w:type="dxa"/>
                  <w:vMerge w:val="continue"/>
                  <w:vAlign w:val="center"/>
                </w:tcPr>
                <w:p>
                  <w:pPr>
                    <w:pStyle w:val="42"/>
                  </w:pPr>
                </w:p>
              </w:tc>
              <w:tc>
                <w:tcPr>
                  <w:tcW w:w="1266" w:type="dxa"/>
                  <w:vAlign w:val="center"/>
                </w:tcPr>
                <w:p>
                  <w:pPr>
                    <w:pStyle w:val="42"/>
                    <w:rPr>
                      <w:color w:val="0000FF"/>
                    </w:rPr>
                  </w:pPr>
                  <w:r>
                    <w:rPr>
                      <w:rFonts w:eastAsia="等线"/>
                      <w:color w:val="0000FF"/>
                      <w:szCs w:val="21"/>
                    </w:rPr>
                    <w:t>55.8</w:t>
                  </w:r>
                </w:p>
              </w:tc>
              <w:tc>
                <w:tcPr>
                  <w:tcW w:w="1385" w:type="dxa"/>
                  <w:vAlign w:val="center"/>
                </w:tcPr>
                <w:p>
                  <w:pPr>
                    <w:pStyle w:val="42"/>
                  </w:pPr>
                  <w:r>
                    <w:rPr>
                      <w:rFonts w:hint="eastAsia"/>
                    </w:rPr>
                    <w:t>-</w:t>
                  </w:r>
                </w:p>
              </w:tc>
              <w:tc>
                <w:tcPr>
                  <w:tcW w:w="984" w:type="dxa"/>
                  <w:vAlign w:val="center"/>
                </w:tcPr>
                <w:p>
                  <w:pPr>
                    <w:pStyle w:val="42"/>
                  </w:pPr>
                  <w:r>
                    <w:rPr>
                      <w:rFonts w:hint="eastAsia"/>
                    </w:rPr>
                    <w:t>6</w:t>
                  </w:r>
                  <w:r>
                    <w:t>0</w:t>
                  </w:r>
                </w:p>
              </w:tc>
              <w:tc>
                <w:tcPr>
                  <w:tcW w:w="1127" w:type="dxa"/>
                  <w:vAlign w:val="center"/>
                </w:tcPr>
                <w:p>
                  <w:pPr>
                    <w:pStyle w:val="42"/>
                  </w:pPr>
                  <w:r>
                    <w:rPr>
                      <w:rFonts w:hint="eastAsia"/>
                    </w:rPr>
                    <w:t>-</w:t>
                  </w:r>
                </w:p>
              </w:tc>
              <w:tc>
                <w:tcPr>
                  <w:tcW w:w="885" w:type="dxa"/>
                  <w:vAlign w:val="center"/>
                </w:tcPr>
                <w:p>
                  <w:pPr>
                    <w:pStyle w:val="42"/>
                  </w:pPr>
                  <w:r>
                    <w:rPr>
                      <w:rFonts w:hint="eastAsia"/>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60" w:type="dxa"/>
                  <w:vMerge w:val="continue"/>
                  <w:vAlign w:val="center"/>
                </w:tcPr>
                <w:p>
                  <w:pPr>
                    <w:pStyle w:val="42"/>
                  </w:pPr>
                </w:p>
              </w:tc>
              <w:tc>
                <w:tcPr>
                  <w:tcW w:w="1107" w:type="dxa"/>
                  <w:vAlign w:val="center"/>
                </w:tcPr>
                <w:p>
                  <w:pPr>
                    <w:pStyle w:val="42"/>
                  </w:pPr>
                  <w:r>
                    <w:t>北侧</w:t>
                  </w:r>
                </w:p>
              </w:tc>
              <w:tc>
                <w:tcPr>
                  <w:tcW w:w="1500" w:type="dxa"/>
                  <w:vMerge w:val="continue"/>
                  <w:vAlign w:val="center"/>
                </w:tcPr>
                <w:p>
                  <w:pPr>
                    <w:pStyle w:val="42"/>
                  </w:pPr>
                </w:p>
              </w:tc>
              <w:tc>
                <w:tcPr>
                  <w:tcW w:w="1266" w:type="dxa"/>
                  <w:vAlign w:val="center"/>
                </w:tcPr>
                <w:p>
                  <w:pPr>
                    <w:pStyle w:val="42"/>
                    <w:rPr>
                      <w:color w:val="0000FF"/>
                    </w:rPr>
                  </w:pPr>
                  <w:r>
                    <w:rPr>
                      <w:rFonts w:eastAsia="等线"/>
                      <w:color w:val="0000FF"/>
                      <w:szCs w:val="21"/>
                    </w:rPr>
                    <w:t>52.3</w:t>
                  </w:r>
                </w:p>
              </w:tc>
              <w:tc>
                <w:tcPr>
                  <w:tcW w:w="1385" w:type="dxa"/>
                  <w:vAlign w:val="center"/>
                </w:tcPr>
                <w:p>
                  <w:pPr>
                    <w:pStyle w:val="42"/>
                  </w:pPr>
                  <w:r>
                    <w:rPr>
                      <w:rFonts w:hint="eastAsia"/>
                    </w:rPr>
                    <w:t>-</w:t>
                  </w:r>
                </w:p>
              </w:tc>
              <w:tc>
                <w:tcPr>
                  <w:tcW w:w="984" w:type="dxa"/>
                  <w:vAlign w:val="center"/>
                </w:tcPr>
                <w:p>
                  <w:pPr>
                    <w:pStyle w:val="42"/>
                  </w:pPr>
                  <w:r>
                    <w:rPr>
                      <w:rFonts w:hint="eastAsia"/>
                    </w:rPr>
                    <w:t>6</w:t>
                  </w:r>
                  <w:r>
                    <w:t>0</w:t>
                  </w:r>
                </w:p>
              </w:tc>
              <w:tc>
                <w:tcPr>
                  <w:tcW w:w="1127" w:type="dxa"/>
                  <w:vAlign w:val="center"/>
                </w:tcPr>
                <w:p>
                  <w:pPr>
                    <w:pStyle w:val="42"/>
                  </w:pPr>
                  <w:r>
                    <w:rPr>
                      <w:rFonts w:hint="eastAsia"/>
                    </w:rPr>
                    <w:t>-</w:t>
                  </w:r>
                </w:p>
              </w:tc>
              <w:tc>
                <w:tcPr>
                  <w:tcW w:w="885" w:type="dxa"/>
                  <w:vAlign w:val="center"/>
                </w:tcPr>
                <w:p>
                  <w:pPr>
                    <w:pStyle w:val="42"/>
                  </w:pPr>
                  <w:r>
                    <w:rPr>
                      <w:rFonts w:hint="eastAsia"/>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9014" w:type="dxa"/>
                  <w:gridSpan w:val="8"/>
                  <w:vAlign w:val="center"/>
                </w:tcPr>
                <w:p>
                  <w:pPr>
                    <w:pStyle w:val="42"/>
                    <w:ind w:firstLine="420" w:firstLineChars="200"/>
                    <w:jc w:val="both"/>
                  </w:pPr>
                  <w:r>
                    <w:rPr>
                      <w:rFonts w:hint="eastAsia"/>
                    </w:rPr>
                    <w:t>注：加工区、空压机房夜间不生产，无噪声影响。</w:t>
                  </w:r>
                </w:p>
              </w:tc>
            </w:tr>
          </w:tbl>
          <w:p>
            <w:pPr>
              <w:adjustRightInd w:val="0"/>
              <w:snapToGrid w:val="0"/>
              <w:spacing w:line="360" w:lineRule="auto"/>
              <w:ind w:firstLine="480" w:firstLineChars="200"/>
              <w:rPr>
                <w:sz w:val="24"/>
              </w:rPr>
            </w:pPr>
            <w:r>
              <w:rPr>
                <w:rFonts w:hint="eastAsia"/>
                <w:sz w:val="24"/>
              </w:rPr>
              <w:t>根据预测，项目运行期间，四侧厂界昼间噪声贡献值可满足《工业企业厂界环境噪声排放标准》</w:t>
            </w:r>
            <w:r>
              <w:rPr>
                <w:kern w:val="0"/>
                <w:sz w:val="24"/>
              </w:rPr>
              <w:t>（GB</w:t>
            </w:r>
            <w:r>
              <w:rPr>
                <w:rFonts w:hint="eastAsia"/>
                <w:kern w:val="0"/>
                <w:sz w:val="24"/>
              </w:rPr>
              <w:t xml:space="preserve"> </w:t>
            </w:r>
            <w:r>
              <w:rPr>
                <w:kern w:val="0"/>
                <w:sz w:val="24"/>
              </w:rPr>
              <w:t>12348-2008）中2类标准</w:t>
            </w:r>
            <w:r>
              <w:rPr>
                <w:rFonts w:hint="eastAsia"/>
                <w:kern w:val="0"/>
                <w:sz w:val="24"/>
              </w:rPr>
              <w:t>的要求，实现达标排放。</w:t>
            </w:r>
          </w:p>
          <w:p>
            <w:pPr>
              <w:adjustRightInd w:val="0"/>
              <w:snapToGrid w:val="0"/>
              <w:spacing w:line="360" w:lineRule="auto"/>
              <w:ind w:firstLine="480" w:firstLineChars="200"/>
              <w:rPr>
                <w:sz w:val="24"/>
              </w:rPr>
            </w:pPr>
            <w:r>
              <w:rPr>
                <w:rFonts w:hint="eastAsia"/>
                <w:sz w:val="24"/>
              </w:rPr>
              <w:t>经调查，项目运行期间，项目加工区、空压机房边界2</w:t>
            </w:r>
            <w:r>
              <w:rPr>
                <w:sz w:val="24"/>
              </w:rPr>
              <w:t>00m</w:t>
            </w:r>
            <w:r>
              <w:rPr>
                <w:rFonts w:hint="eastAsia"/>
                <w:sz w:val="24"/>
              </w:rPr>
              <w:t>范围无声环境保护目标分布，加工区、空压机房内设备机械噪声对周边声环境的影响较小</w:t>
            </w:r>
            <w:r>
              <w:rPr>
                <w:sz w:val="24"/>
              </w:rPr>
              <w:t>。</w:t>
            </w:r>
          </w:p>
          <w:p>
            <w:pPr>
              <w:adjustRightInd w:val="0"/>
              <w:snapToGrid w:val="0"/>
              <w:spacing w:line="360" w:lineRule="auto"/>
              <w:ind w:firstLine="482" w:firstLineChars="200"/>
              <w:rPr>
                <w:b/>
                <w:bCs/>
                <w:sz w:val="24"/>
              </w:rPr>
            </w:pPr>
            <w:r>
              <w:rPr>
                <w:b/>
                <w:bCs/>
                <w:sz w:val="24"/>
              </w:rPr>
              <w:t>2）爆破噪声及振动</w:t>
            </w:r>
          </w:p>
          <w:p>
            <w:pPr>
              <w:adjustRightInd w:val="0"/>
              <w:snapToGrid w:val="0"/>
              <w:spacing w:line="360" w:lineRule="auto"/>
              <w:ind w:firstLine="480" w:firstLineChars="200"/>
              <w:rPr>
                <w:sz w:val="24"/>
              </w:rPr>
            </w:pPr>
            <w:r>
              <w:rPr>
                <w:rFonts w:hint="eastAsia"/>
                <w:sz w:val="24"/>
              </w:rPr>
              <w:t>①爆破噪声影响</w:t>
            </w:r>
          </w:p>
          <w:p>
            <w:pPr>
              <w:adjustRightInd w:val="0"/>
              <w:snapToGrid w:val="0"/>
              <w:spacing w:line="360" w:lineRule="auto"/>
              <w:ind w:firstLine="480" w:firstLineChars="200"/>
              <w:rPr>
                <w:sz w:val="24"/>
              </w:rPr>
            </w:pPr>
            <w:r>
              <w:rPr>
                <w:rFonts w:hint="eastAsia"/>
                <w:sz w:val="24"/>
              </w:rPr>
              <w:t>矿山开采爆破过程将产生强烈的冲击噪声，</w:t>
            </w:r>
            <w:r>
              <w:rPr>
                <w:sz w:val="24"/>
              </w:rPr>
              <w:t>产生的瞬间突发性噪声达120~130dB（A），在100m远处测得的噪声强度为90dB，在500m远时分别为60dB。</w:t>
            </w:r>
          </w:p>
          <w:p>
            <w:pPr>
              <w:adjustRightInd w:val="0"/>
              <w:snapToGrid w:val="0"/>
              <w:spacing w:line="360" w:lineRule="auto"/>
              <w:ind w:firstLine="480" w:firstLineChars="200"/>
              <w:rPr>
                <w:sz w:val="24"/>
              </w:rPr>
            </w:pPr>
            <w:r>
              <w:rPr>
                <w:sz w:val="24"/>
              </w:rPr>
              <w:t>爆破声为瞬间突发噪声，噪声级高，而且伴随发生振动，影响范围较大。但是，该采石场采用深孔微差爆破法，膨化硝铵炸药威力有限，仅起到开裂松动作用，从源头上较好地预防了噪声影响；此外，爆破声持续时间短，频率低，为可逆不利影响，爆破结束后即消失。</w:t>
            </w:r>
          </w:p>
          <w:p>
            <w:pPr>
              <w:adjustRightInd w:val="0"/>
              <w:snapToGrid w:val="0"/>
              <w:spacing w:line="360" w:lineRule="auto"/>
              <w:ind w:firstLine="480" w:firstLineChars="200"/>
              <w:rPr>
                <w:sz w:val="24"/>
              </w:rPr>
            </w:pPr>
            <w:r>
              <w:rPr>
                <w:rFonts w:hint="eastAsia"/>
                <w:sz w:val="24"/>
              </w:rPr>
              <w:t>拟建项目扩建后为中型矿山，开采期间采区</w:t>
            </w:r>
            <w:r>
              <w:rPr>
                <w:sz w:val="24"/>
              </w:rPr>
              <w:t>爆破</w:t>
            </w:r>
            <w:r>
              <w:rPr>
                <w:rFonts w:hint="eastAsia"/>
                <w:sz w:val="24"/>
              </w:rPr>
              <w:t>需</w:t>
            </w:r>
            <w:r>
              <w:rPr>
                <w:sz w:val="24"/>
              </w:rPr>
              <w:t>设置</w:t>
            </w:r>
            <w:r>
              <w:rPr>
                <w:rFonts w:hint="eastAsia"/>
                <w:sz w:val="24"/>
              </w:rPr>
              <w:t>不低于</w:t>
            </w:r>
            <w:r>
              <w:rPr>
                <w:sz w:val="24"/>
              </w:rPr>
              <w:t>200m</w:t>
            </w:r>
            <w:r>
              <w:rPr>
                <w:rFonts w:hint="eastAsia"/>
                <w:sz w:val="24"/>
              </w:rPr>
              <w:t>的</w:t>
            </w:r>
            <w:r>
              <w:rPr>
                <w:sz w:val="24"/>
              </w:rPr>
              <w:t>安全防护距离，安全防护距离内的</w:t>
            </w:r>
            <w:r>
              <w:rPr>
                <w:rFonts w:hint="eastAsia"/>
                <w:sz w:val="24"/>
              </w:rPr>
              <w:t>建筑将全部空置</w:t>
            </w:r>
            <w:r>
              <w:rPr>
                <w:sz w:val="24"/>
              </w:rPr>
              <w:t>，在爆破前将在爆破区外设置200m安全警戒线，对警戒线内的行人将全部进行临时撤离，且爆破作业全部在昼间进行。因此，预计项目爆破施工产生的噪声对周边居民及行人的</w:t>
            </w:r>
            <w:r>
              <w:rPr>
                <w:rFonts w:hint="eastAsia"/>
                <w:sz w:val="24"/>
              </w:rPr>
              <w:t>声环境</w:t>
            </w:r>
            <w:r>
              <w:rPr>
                <w:sz w:val="24"/>
              </w:rPr>
              <w:t>影响较小</w:t>
            </w:r>
            <w:r>
              <w:rPr>
                <w:rFonts w:hint="eastAsia"/>
                <w:sz w:val="24"/>
              </w:rPr>
              <w:t>。</w:t>
            </w:r>
          </w:p>
          <w:p>
            <w:pPr>
              <w:adjustRightInd w:val="0"/>
              <w:snapToGrid w:val="0"/>
              <w:spacing w:line="360" w:lineRule="auto"/>
              <w:ind w:firstLine="480" w:firstLineChars="200"/>
              <w:rPr>
                <w:bCs/>
                <w:sz w:val="24"/>
              </w:rPr>
            </w:pPr>
            <w:r>
              <w:rPr>
                <w:rFonts w:hint="eastAsia"/>
                <w:bCs/>
                <w:sz w:val="24"/>
              </w:rPr>
              <w:t>②爆破振动影响</w:t>
            </w:r>
          </w:p>
          <w:p>
            <w:pPr>
              <w:adjustRightInd w:val="0"/>
              <w:snapToGrid w:val="0"/>
              <w:spacing w:line="360" w:lineRule="auto"/>
              <w:ind w:firstLine="480" w:firstLineChars="200"/>
              <w:rPr>
                <w:bCs/>
                <w:sz w:val="24"/>
              </w:rPr>
            </w:pPr>
            <w:r>
              <w:rPr>
                <w:rFonts w:hint="eastAsia"/>
                <w:bCs/>
                <w:sz w:val="24"/>
              </w:rPr>
              <w:t>爆破振动安全允许距离可用以下公式计算：</w:t>
            </w:r>
          </w:p>
          <w:p>
            <w:pPr>
              <w:adjustRightInd w:val="0"/>
              <w:snapToGrid w:val="0"/>
              <w:spacing w:line="360" w:lineRule="auto"/>
              <w:jc w:val="center"/>
              <w:rPr>
                <w:bCs/>
                <w:sz w:val="24"/>
              </w:rPr>
            </w:pPr>
            <w:r>
              <w:rPr>
                <w:kern w:val="44"/>
              </w:rPr>
              <w:drawing>
                <wp:inline distT="0" distB="0" distL="0" distR="0">
                  <wp:extent cx="1137285" cy="545465"/>
                  <wp:effectExtent l="0" t="0" r="5715" b="6985"/>
                  <wp:docPr id="15440489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48982" name="图片 4"/>
                          <pic:cNvPicPr>
                            <a:picLocks noChangeAspect="1" noChangeArrowheads="1"/>
                          </pic:cNvPicPr>
                        </pic:nvPicPr>
                        <pic:blipFill>
                          <a:blip r:embed="rId46">
                            <a:extLst>
                              <a:ext uri="{28A0092B-C50C-407E-A947-70E740481C1C}">
                                <a14:useLocalDpi xmlns:a14="http://schemas.microsoft.com/office/drawing/2010/main" val="0"/>
                              </a:ext>
                            </a:extLst>
                          </a:blip>
                          <a:srcRect r="29169" b="2937"/>
                          <a:stretch>
                            <a:fillRect/>
                          </a:stretch>
                        </pic:blipFill>
                        <pic:spPr>
                          <a:xfrm>
                            <a:off x="0" y="0"/>
                            <a:ext cx="1137285" cy="545465"/>
                          </a:xfrm>
                          <a:prstGeom prst="rect">
                            <a:avLst/>
                          </a:prstGeom>
                          <a:noFill/>
                          <a:ln>
                            <a:noFill/>
                          </a:ln>
                        </pic:spPr>
                      </pic:pic>
                    </a:graphicData>
                  </a:graphic>
                </wp:inline>
              </w:drawing>
            </w:r>
          </w:p>
          <w:p>
            <w:pPr>
              <w:adjustRightInd w:val="0"/>
              <w:snapToGrid w:val="0"/>
              <w:spacing w:line="360" w:lineRule="auto"/>
              <w:ind w:firstLine="480" w:firstLineChars="200"/>
              <w:rPr>
                <w:bCs/>
                <w:sz w:val="24"/>
              </w:rPr>
            </w:pPr>
            <w:r>
              <w:rPr>
                <w:bCs/>
                <w:sz w:val="24"/>
              </w:rPr>
              <w:t>式中：</w:t>
            </w:r>
          </w:p>
          <w:p>
            <w:pPr>
              <w:adjustRightInd w:val="0"/>
              <w:snapToGrid w:val="0"/>
              <w:spacing w:line="360" w:lineRule="auto"/>
              <w:ind w:firstLine="480" w:firstLineChars="200"/>
              <w:rPr>
                <w:bCs/>
                <w:sz w:val="24"/>
              </w:rPr>
            </w:pPr>
            <w:r>
              <w:rPr>
                <w:bCs/>
                <w:i/>
                <w:iCs/>
                <w:sz w:val="24"/>
              </w:rPr>
              <w:t>R</w:t>
            </w:r>
            <w:r>
              <w:rPr>
                <w:bCs/>
                <w:sz w:val="24"/>
              </w:rPr>
              <w:t>——爆破振动安全允许距离，单位为米（m）。</w:t>
            </w:r>
          </w:p>
          <w:p>
            <w:pPr>
              <w:adjustRightInd w:val="0"/>
              <w:snapToGrid w:val="0"/>
              <w:spacing w:line="360" w:lineRule="auto"/>
              <w:ind w:firstLine="480" w:firstLineChars="200"/>
              <w:rPr>
                <w:bCs/>
                <w:sz w:val="24"/>
              </w:rPr>
            </w:pPr>
            <w:r>
              <w:rPr>
                <w:bCs/>
                <w:i/>
                <w:iCs/>
                <w:sz w:val="24"/>
              </w:rPr>
              <w:t>Q</w:t>
            </w:r>
            <w:r>
              <w:rPr>
                <w:bCs/>
                <w:sz w:val="24"/>
              </w:rPr>
              <w:t>——炸药量，齐发爆破为总药量，延时爆破为最大一段药量，单位为千克（kg）；矿山的开采规模为</w:t>
            </w:r>
            <w:r>
              <w:rPr>
                <w:rFonts w:hint="eastAsia"/>
                <w:bCs/>
                <w:sz w:val="24"/>
              </w:rPr>
              <w:t>51</w:t>
            </w:r>
            <w:r>
              <w:rPr>
                <w:bCs/>
                <w:sz w:val="24"/>
              </w:rPr>
              <w:t>万t/a，设计爆破单孔装药量为1.35kg，每次爆破孔数量预计最大为</w:t>
            </w:r>
            <w:r>
              <w:rPr>
                <w:rFonts w:hint="eastAsia"/>
                <w:bCs/>
                <w:sz w:val="24"/>
              </w:rPr>
              <w:t>64</w:t>
            </w:r>
            <w:r>
              <w:rPr>
                <w:bCs/>
                <w:sz w:val="24"/>
              </w:rPr>
              <w:t>个，单次爆破最大装药量Q为</w:t>
            </w:r>
            <w:r>
              <w:rPr>
                <w:rFonts w:hint="eastAsia"/>
                <w:bCs/>
                <w:sz w:val="24"/>
              </w:rPr>
              <w:t>86.4</w:t>
            </w:r>
            <w:r>
              <w:rPr>
                <w:bCs/>
                <w:sz w:val="24"/>
              </w:rPr>
              <w:t>kg。</w:t>
            </w:r>
          </w:p>
          <w:p>
            <w:pPr>
              <w:adjustRightInd w:val="0"/>
              <w:snapToGrid w:val="0"/>
              <w:spacing w:line="360" w:lineRule="auto"/>
              <w:ind w:firstLine="480" w:firstLineChars="200"/>
              <w:rPr>
                <w:bCs/>
                <w:sz w:val="24"/>
              </w:rPr>
            </w:pPr>
            <w:r>
              <w:rPr>
                <w:bCs/>
                <w:i/>
                <w:iCs/>
                <w:sz w:val="24"/>
              </w:rPr>
              <w:t>V</w:t>
            </w:r>
            <w:r>
              <w:rPr>
                <w:bCs/>
                <w:sz w:val="24"/>
              </w:rPr>
              <w:t>——保护对象所在地质点振动安全允许速度，单位为厘米每秒（cm/s)；</w:t>
            </w:r>
          </w:p>
          <w:p>
            <w:pPr>
              <w:adjustRightInd w:val="0"/>
              <w:snapToGrid w:val="0"/>
              <w:spacing w:line="360" w:lineRule="auto"/>
              <w:ind w:firstLine="480" w:firstLineChars="200"/>
              <w:rPr>
                <w:bCs/>
                <w:sz w:val="24"/>
              </w:rPr>
            </w:pPr>
            <w:r>
              <w:rPr>
                <w:bCs/>
                <w:sz w:val="24"/>
              </w:rPr>
              <w:t>按一般砖房、非抗震的大型砌块建筑物取值为2.5cm/s。</w:t>
            </w:r>
          </w:p>
          <w:p>
            <w:pPr>
              <w:adjustRightInd w:val="0"/>
              <w:snapToGrid w:val="0"/>
              <w:spacing w:line="360" w:lineRule="auto"/>
              <w:ind w:firstLine="480" w:firstLineChars="200"/>
              <w:rPr>
                <w:bCs/>
                <w:sz w:val="24"/>
              </w:rPr>
            </w:pPr>
            <w:r>
              <w:rPr>
                <w:bCs/>
                <w:i/>
                <w:iCs/>
                <w:sz w:val="24"/>
              </w:rPr>
              <w:t>K</w:t>
            </w:r>
            <w:r>
              <w:rPr>
                <w:bCs/>
                <w:sz w:val="24"/>
              </w:rPr>
              <w:t>、</w:t>
            </w:r>
            <w:r>
              <w:rPr>
                <w:bCs/>
                <w:i/>
                <w:iCs/>
                <w:sz w:val="24"/>
              </w:rPr>
              <w:t>a</w:t>
            </w:r>
            <w:r>
              <w:rPr>
                <w:bCs/>
                <w:sz w:val="24"/>
              </w:rPr>
              <w:t>——与爆破点至计算保护对象间的地形、地质条件有关的系数和衰减指数，按爆破规程中选取，</w:t>
            </w:r>
            <w:r>
              <w:rPr>
                <w:bCs/>
                <w:i/>
                <w:iCs/>
                <w:sz w:val="24"/>
              </w:rPr>
              <w:t>K</w:t>
            </w:r>
            <w:r>
              <w:rPr>
                <w:bCs/>
                <w:sz w:val="24"/>
              </w:rPr>
              <w:t>为200，</w:t>
            </w:r>
            <w:r>
              <w:rPr>
                <w:bCs/>
                <w:i/>
                <w:iCs/>
                <w:sz w:val="24"/>
              </w:rPr>
              <w:t>a</w:t>
            </w:r>
            <w:r>
              <w:rPr>
                <w:bCs/>
                <w:sz w:val="24"/>
              </w:rPr>
              <w:t>为1.6。</w:t>
            </w:r>
          </w:p>
          <w:p>
            <w:pPr>
              <w:adjustRightInd w:val="0"/>
              <w:snapToGrid w:val="0"/>
              <w:spacing w:line="360" w:lineRule="auto"/>
              <w:ind w:firstLine="480" w:firstLineChars="200"/>
              <w:rPr>
                <w:bCs/>
                <w:sz w:val="24"/>
              </w:rPr>
            </w:pPr>
            <w:r>
              <w:rPr>
                <w:bCs/>
                <w:sz w:val="24"/>
              </w:rPr>
              <w:t>经计算，拟建项目采区的爆破振动影响距离均为</w:t>
            </w:r>
            <w:r>
              <w:rPr>
                <w:rFonts w:hint="eastAsia"/>
                <w:bCs/>
                <w:sz w:val="24"/>
              </w:rPr>
              <w:t>68.38</w:t>
            </w:r>
            <w:r>
              <w:rPr>
                <w:bCs/>
                <w:sz w:val="24"/>
              </w:rPr>
              <w:t>m</w:t>
            </w:r>
            <w:r>
              <w:rPr>
                <w:rFonts w:hint="eastAsia"/>
                <w:bCs/>
                <w:sz w:val="24"/>
              </w:rPr>
              <w:t>，</w:t>
            </w:r>
            <w:r>
              <w:rPr>
                <w:bCs/>
                <w:sz w:val="24"/>
              </w:rPr>
              <w:t>而拟建项目开采期间</w:t>
            </w:r>
            <w:r>
              <w:rPr>
                <w:rFonts w:hint="eastAsia"/>
                <w:bCs/>
                <w:sz w:val="24"/>
              </w:rPr>
              <w:t>采区</w:t>
            </w:r>
            <w:r>
              <w:rPr>
                <w:bCs/>
                <w:sz w:val="24"/>
              </w:rPr>
              <w:t>周边</w:t>
            </w:r>
            <w:r>
              <w:rPr>
                <w:rFonts w:hint="eastAsia"/>
                <w:bCs/>
                <w:sz w:val="24"/>
              </w:rPr>
              <w:t>3</w:t>
            </w:r>
            <w:r>
              <w:rPr>
                <w:bCs/>
                <w:sz w:val="24"/>
              </w:rPr>
              <w:t>00</w:t>
            </w:r>
            <w:r>
              <w:rPr>
                <w:rFonts w:hint="eastAsia"/>
                <w:bCs/>
                <w:sz w:val="24"/>
              </w:rPr>
              <w:t>m范围内无居民居住，且在爆破前将在爆破区外设置200m安全警戒线，对警戒线内的行人将全部进行临时撤离，</w:t>
            </w:r>
            <w:r>
              <w:rPr>
                <w:bCs/>
                <w:sz w:val="24"/>
              </w:rPr>
              <w:t>因此，预计爆破振动不会对周边</w:t>
            </w:r>
            <w:r>
              <w:rPr>
                <w:rFonts w:hint="eastAsia"/>
                <w:bCs/>
                <w:sz w:val="24"/>
              </w:rPr>
              <w:t>居民、行人</w:t>
            </w:r>
            <w:r>
              <w:rPr>
                <w:bCs/>
                <w:sz w:val="24"/>
              </w:rPr>
              <w:t>产生影响</w:t>
            </w:r>
            <w:r>
              <w:rPr>
                <w:rFonts w:hint="eastAsia"/>
                <w:bCs/>
                <w:sz w:val="24"/>
              </w:rPr>
              <w:t>。</w:t>
            </w:r>
          </w:p>
          <w:p>
            <w:pPr>
              <w:adjustRightInd w:val="0"/>
              <w:snapToGrid w:val="0"/>
              <w:spacing w:line="360" w:lineRule="auto"/>
              <w:ind w:firstLine="482" w:firstLineChars="200"/>
              <w:jc w:val="left"/>
              <w:rPr>
                <w:b/>
                <w:bCs/>
                <w:sz w:val="24"/>
              </w:rPr>
            </w:pPr>
            <w:r>
              <w:rPr>
                <w:b/>
                <w:bCs/>
                <w:sz w:val="24"/>
              </w:rPr>
              <w:t>3）声环境监测要求</w:t>
            </w:r>
          </w:p>
          <w:p>
            <w:pPr>
              <w:adjustRightInd w:val="0"/>
              <w:snapToGrid w:val="0"/>
              <w:spacing w:line="360" w:lineRule="auto"/>
              <w:ind w:firstLine="480" w:firstLineChars="200"/>
              <w:jc w:val="left"/>
              <w:rPr>
                <w:sz w:val="24"/>
              </w:rPr>
            </w:pPr>
            <w:r>
              <w:rPr>
                <w:sz w:val="24"/>
              </w:rPr>
              <w:t>根据</w:t>
            </w:r>
            <w:r>
              <w:rPr>
                <w:rFonts w:hint="eastAsia"/>
                <w:color w:val="0000FF"/>
                <w:sz w:val="24"/>
              </w:rPr>
              <w:t>《排污许可证申请与核发技术规范 工业噪声》（HJ 1301-2023）</w:t>
            </w:r>
            <w:r>
              <w:rPr>
                <w:sz w:val="24"/>
              </w:rPr>
              <w:t>，拟建项目噪声自行监测要求情况见表</w:t>
            </w:r>
            <w:r>
              <w:rPr>
                <w:rFonts w:hint="eastAsia"/>
                <w:sz w:val="24"/>
              </w:rPr>
              <w:t>4</w:t>
            </w:r>
            <w:r>
              <w:rPr>
                <w:sz w:val="24"/>
              </w:rPr>
              <w:t>-2</w:t>
            </w:r>
            <w:r>
              <w:rPr>
                <w:rFonts w:hint="eastAsia"/>
                <w:sz w:val="24"/>
              </w:rPr>
              <w:t>3</w:t>
            </w:r>
            <w:r>
              <w:rPr>
                <w:sz w:val="24"/>
              </w:rPr>
              <w:t>。</w:t>
            </w:r>
          </w:p>
          <w:p>
            <w:pPr>
              <w:adjustRightInd w:val="0"/>
              <w:snapToGrid w:val="0"/>
              <w:jc w:val="center"/>
              <w:rPr>
                <w:b/>
                <w:sz w:val="24"/>
              </w:rPr>
            </w:pPr>
            <w:r>
              <w:rPr>
                <w:b/>
                <w:sz w:val="24"/>
              </w:rPr>
              <w:t>表4-2</w:t>
            </w:r>
            <w:r>
              <w:rPr>
                <w:rFonts w:hint="eastAsia"/>
                <w:b/>
                <w:sz w:val="24"/>
              </w:rPr>
              <w:t>3</w:t>
            </w:r>
            <w:r>
              <w:rPr>
                <w:b/>
                <w:sz w:val="24"/>
              </w:rPr>
              <w:t xml:space="preserve">  噪声自行监测情况一览表</w:t>
            </w:r>
          </w:p>
          <w:tbl>
            <w:tblPr>
              <w:tblStyle w:val="15"/>
              <w:tblW w:w="9014"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45"/>
              <w:gridCol w:w="1842"/>
              <w:gridCol w:w="1419"/>
              <w:gridCol w:w="38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945" w:type="dxa"/>
                  <w:vAlign w:val="center"/>
                </w:tcPr>
                <w:p>
                  <w:pPr>
                    <w:adjustRightInd w:val="0"/>
                    <w:snapToGrid w:val="0"/>
                    <w:jc w:val="center"/>
                    <w:rPr>
                      <w:bCs/>
                      <w:szCs w:val="21"/>
                    </w:rPr>
                  </w:pPr>
                  <w:r>
                    <w:rPr>
                      <w:bCs/>
                      <w:szCs w:val="21"/>
                    </w:rPr>
                    <w:t>监测点位</w:t>
                  </w:r>
                </w:p>
              </w:tc>
              <w:tc>
                <w:tcPr>
                  <w:tcW w:w="1842" w:type="dxa"/>
                  <w:vAlign w:val="center"/>
                </w:tcPr>
                <w:p>
                  <w:pPr>
                    <w:adjustRightInd w:val="0"/>
                    <w:snapToGrid w:val="0"/>
                    <w:jc w:val="center"/>
                    <w:rPr>
                      <w:szCs w:val="21"/>
                    </w:rPr>
                  </w:pPr>
                  <w:r>
                    <w:rPr>
                      <w:szCs w:val="21"/>
                    </w:rPr>
                    <w:t>监测指标</w:t>
                  </w:r>
                </w:p>
              </w:tc>
              <w:tc>
                <w:tcPr>
                  <w:tcW w:w="1419" w:type="dxa"/>
                  <w:vAlign w:val="center"/>
                </w:tcPr>
                <w:p>
                  <w:pPr>
                    <w:adjustRightInd w:val="0"/>
                    <w:snapToGrid w:val="0"/>
                    <w:jc w:val="center"/>
                    <w:rPr>
                      <w:szCs w:val="21"/>
                    </w:rPr>
                  </w:pPr>
                  <w:r>
                    <w:rPr>
                      <w:szCs w:val="21"/>
                    </w:rPr>
                    <w:t>监测频次</w:t>
                  </w:r>
                </w:p>
              </w:tc>
              <w:tc>
                <w:tcPr>
                  <w:tcW w:w="3808" w:type="dxa"/>
                  <w:vAlign w:val="center"/>
                </w:tcPr>
                <w:p>
                  <w:pPr>
                    <w:adjustRightInd w:val="0"/>
                    <w:snapToGrid w:val="0"/>
                    <w:jc w:val="center"/>
                    <w:rPr>
                      <w:szCs w:val="21"/>
                    </w:rPr>
                  </w:pPr>
                  <w:r>
                    <w:rPr>
                      <w:szCs w:val="21"/>
                    </w:rPr>
                    <w:t>执行标准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945" w:type="dxa"/>
                  <w:vAlign w:val="center"/>
                </w:tcPr>
                <w:p>
                  <w:pPr>
                    <w:adjustRightInd w:val="0"/>
                    <w:snapToGrid w:val="0"/>
                    <w:jc w:val="center"/>
                    <w:rPr>
                      <w:szCs w:val="21"/>
                    </w:rPr>
                  </w:pPr>
                  <w:r>
                    <w:rPr>
                      <w:rFonts w:hint="eastAsia"/>
                      <w:szCs w:val="21"/>
                    </w:rPr>
                    <w:t>四侧</w:t>
                  </w:r>
                  <w:r>
                    <w:rPr>
                      <w:szCs w:val="21"/>
                    </w:rPr>
                    <w:t>厂界</w:t>
                  </w:r>
                  <w:r>
                    <w:rPr>
                      <w:rFonts w:hint="eastAsia"/>
                      <w:szCs w:val="21"/>
                    </w:rPr>
                    <w:t>（用地红线）</w:t>
                  </w:r>
                  <w:r>
                    <w:rPr>
                      <w:szCs w:val="21"/>
                    </w:rPr>
                    <w:t>外1m</w:t>
                  </w:r>
                </w:p>
              </w:tc>
              <w:tc>
                <w:tcPr>
                  <w:tcW w:w="1842" w:type="dxa"/>
                  <w:vAlign w:val="center"/>
                </w:tcPr>
                <w:p>
                  <w:pPr>
                    <w:adjustRightInd w:val="0"/>
                    <w:snapToGrid w:val="0"/>
                    <w:jc w:val="center"/>
                    <w:rPr>
                      <w:szCs w:val="21"/>
                    </w:rPr>
                  </w:pPr>
                  <w:r>
                    <w:rPr>
                      <w:szCs w:val="21"/>
                    </w:rPr>
                    <w:t>等效连续A声级（Leq）</w:t>
                  </w:r>
                </w:p>
              </w:tc>
              <w:tc>
                <w:tcPr>
                  <w:tcW w:w="1419" w:type="dxa"/>
                  <w:vAlign w:val="center"/>
                </w:tcPr>
                <w:p>
                  <w:pPr>
                    <w:adjustRightInd w:val="0"/>
                    <w:snapToGrid w:val="0"/>
                    <w:jc w:val="center"/>
                    <w:rPr>
                      <w:szCs w:val="21"/>
                    </w:rPr>
                  </w:pPr>
                  <w:r>
                    <w:rPr>
                      <w:rFonts w:hint="eastAsia"/>
                      <w:szCs w:val="21"/>
                    </w:rPr>
                    <w:t>生产期间</w:t>
                  </w:r>
                  <w:r>
                    <w:rPr>
                      <w:szCs w:val="21"/>
                    </w:rPr>
                    <w:t>每季度一次</w:t>
                  </w:r>
                </w:p>
              </w:tc>
              <w:tc>
                <w:tcPr>
                  <w:tcW w:w="3808" w:type="dxa"/>
                  <w:vAlign w:val="center"/>
                </w:tcPr>
                <w:p>
                  <w:pPr>
                    <w:adjustRightInd w:val="0"/>
                    <w:snapToGrid w:val="0"/>
                    <w:jc w:val="center"/>
                    <w:rPr>
                      <w:szCs w:val="21"/>
                    </w:rPr>
                  </w:pPr>
                  <w:r>
                    <w:rPr>
                      <w:bCs/>
                      <w:szCs w:val="21"/>
                    </w:rPr>
                    <w:t>《工业企业厂界环境噪声排放标准》</w:t>
                  </w:r>
                  <w:r>
                    <w:rPr>
                      <w:szCs w:val="21"/>
                    </w:rPr>
                    <w:t>（GB12348-2008）</w:t>
                  </w:r>
                  <w:r>
                    <w:rPr>
                      <w:bCs/>
                      <w:szCs w:val="21"/>
                    </w:rPr>
                    <w:t>2类标准要求</w:t>
                  </w:r>
                </w:p>
              </w:tc>
            </w:tr>
          </w:tbl>
          <w:p>
            <w:pPr>
              <w:adjustRightInd w:val="0"/>
              <w:snapToGrid w:val="0"/>
              <w:spacing w:line="360" w:lineRule="auto"/>
              <w:ind w:firstLine="482" w:firstLineChars="200"/>
              <w:jc w:val="left"/>
              <w:rPr>
                <w:b/>
                <w:sz w:val="24"/>
              </w:rPr>
            </w:pPr>
            <w:r>
              <w:rPr>
                <w:b/>
                <w:sz w:val="24"/>
              </w:rPr>
              <w:t>（4）固体废物</w:t>
            </w:r>
          </w:p>
          <w:p>
            <w:pPr>
              <w:adjustRightInd w:val="0"/>
              <w:snapToGrid w:val="0"/>
              <w:spacing w:line="360" w:lineRule="auto"/>
              <w:ind w:firstLine="480" w:firstLineChars="200"/>
              <w:jc w:val="left"/>
              <w:rPr>
                <w:sz w:val="24"/>
              </w:rPr>
            </w:pPr>
            <w:r>
              <w:rPr>
                <w:sz w:val="24"/>
              </w:rPr>
              <w:t>项目运营期产生的固体废物主要为矿山剥离物（表土</w:t>
            </w:r>
            <w:r>
              <w:rPr>
                <w:rFonts w:hint="eastAsia"/>
                <w:color w:val="0000FF"/>
                <w:sz w:val="24"/>
              </w:rPr>
              <w:t>、风化废石</w:t>
            </w:r>
            <w:r>
              <w:rPr>
                <w:sz w:val="24"/>
              </w:rPr>
              <w:t>）、</w:t>
            </w:r>
            <w:r>
              <w:rPr>
                <w:rFonts w:hint="eastAsia"/>
                <w:sz w:val="24"/>
              </w:rPr>
              <w:t>设备保养</w:t>
            </w:r>
            <w:r>
              <w:rPr>
                <w:sz w:val="24"/>
              </w:rPr>
              <w:t>危废</w:t>
            </w:r>
            <w:r>
              <w:rPr>
                <w:rFonts w:hint="eastAsia"/>
                <w:sz w:val="24"/>
              </w:rPr>
              <w:t>、灰渣、</w:t>
            </w:r>
            <w:r>
              <w:rPr>
                <w:sz w:val="24"/>
              </w:rPr>
              <w:t>生活垃圾</w:t>
            </w:r>
            <w:r>
              <w:rPr>
                <w:rFonts w:hint="eastAsia"/>
                <w:sz w:val="24"/>
              </w:rPr>
              <w:t>、</w:t>
            </w:r>
            <w:r>
              <w:rPr>
                <w:rFonts w:hint="eastAsia"/>
                <w:bCs/>
                <w:spacing w:val="10"/>
                <w:sz w:val="24"/>
              </w:rPr>
              <w:t>雨水沉淀池</w:t>
            </w:r>
            <w:r>
              <w:rPr>
                <w:rFonts w:hint="eastAsia"/>
                <w:sz w:val="24"/>
              </w:rPr>
              <w:t>及沉砂凼</w:t>
            </w:r>
            <w:r>
              <w:rPr>
                <w:rFonts w:hint="eastAsia"/>
                <w:bCs/>
                <w:spacing w:val="10"/>
                <w:sz w:val="24"/>
              </w:rPr>
              <w:t>泥沙</w:t>
            </w:r>
            <w:r>
              <w:rPr>
                <w:sz w:val="24"/>
              </w:rPr>
              <w:t>。</w:t>
            </w:r>
          </w:p>
          <w:p>
            <w:pPr>
              <w:adjustRightInd w:val="0"/>
              <w:snapToGrid w:val="0"/>
              <w:spacing w:line="360" w:lineRule="auto"/>
              <w:ind w:firstLine="480" w:firstLineChars="200"/>
              <w:rPr>
                <w:sz w:val="24"/>
              </w:rPr>
            </w:pPr>
            <w:r>
              <w:rPr>
                <w:rFonts w:hint="eastAsia" w:ascii="宋体" w:hAnsi="宋体" w:cs="宋体"/>
                <w:sz w:val="24"/>
              </w:rPr>
              <w:t>①</w:t>
            </w:r>
            <w:r>
              <w:rPr>
                <w:sz w:val="24"/>
              </w:rPr>
              <w:t>矿山剥离物（表土</w:t>
            </w:r>
            <w:r>
              <w:rPr>
                <w:rFonts w:hint="eastAsia"/>
                <w:color w:val="0000FF"/>
                <w:sz w:val="24"/>
              </w:rPr>
              <w:t>、风化废石</w:t>
            </w:r>
            <w:r>
              <w:rPr>
                <w:sz w:val="24"/>
              </w:rPr>
              <w:t>）</w:t>
            </w:r>
          </w:p>
          <w:p>
            <w:pPr>
              <w:adjustRightInd w:val="0"/>
              <w:snapToGrid w:val="0"/>
              <w:spacing w:line="360" w:lineRule="auto"/>
              <w:ind w:firstLine="480" w:firstLineChars="200"/>
              <w:rPr>
                <w:sz w:val="24"/>
              </w:rPr>
            </w:pPr>
            <w:r>
              <w:rPr>
                <w:sz w:val="24"/>
              </w:rPr>
              <w:t>根据项目</w:t>
            </w:r>
            <w:r>
              <w:rPr>
                <w:rFonts w:hint="eastAsia"/>
                <w:bCs/>
                <w:sz w:val="24"/>
              </w:rPr>
              <w:t>前文分析</w:t>
            </w:r>
            <w:r>
              <w:rPr>
                <w:sz w:val="24"/>
              </w:rPr>
              <w:t>，</w:t>
            </w:r>
            <w:r>
              <w:rPr>
                <w:rFonts w:hint="eastAsia"/>
                <w:sz w:val="24"/>
              </w:rPr>
              <w:t>开采期间，采区表土剥离量总量约为24750</w:t>
            </w:r>
            <w:r>
              <w:rPr>
                <w:sz w:val="24"/>
              </w:rPr>
              <w:t>m</w:t>
            </w:r>
            <w:r>
              <w:rPr>
                <w:sz w:val="24"/>
                <w:vertAlign w:val="superscript"/>
              </w:rPr>
              <w:t>3</w:t>
            </w:r>
            <w:r>
              <w:rPr>
                <w:rFonts w:hint="eastAsia"/>
                <w:sz w:val="24"/>
              </w:rPr>
              <w:t>（17679</w:t>
            </w:r>
            <w:r>
              <w:rPr>
                <w:sz w:val="24"/>
              </w:rPr>
              <w:t>t</w:t>
            </w:r>
            <w:r>
              <w:rPr>
                <w:rFonts w:hint="eastAsia"/>
                <w:sz w:val="24"/>
              </w:rPr>
              <w:t>），</w:t>
            </w:r>
            <w:r>
              <w:rPr>
                <w:rFonts w:hint="eastAsia"/>
                <w:color w:val="0000FF"/>
                <w:sz w:val="24"/>
              </w:rPr>
              <w:t>其中：耕作层约4950</w:t>
            </w:r>
            <w:r>
              <w:rPr>
                <w:color w:val="0000FF"/>
                <w:sz w:val="24"/>
              </w:rPr>
              <w:t>m</w:t>
            </w:r>
            <w:r>
              <w:rPr>
                <w:rFonts w:hint="eastAsia"/>
                <w:color w:val="0000FF"/>
                <w:sz w:val="24"/>
                <w:vertAlign w:val="superscript"/>
              </w:rPr>
              <w:t>3</w:t>
            </w:r>
            <w:r>
              <w:rPr>
                <w:rFonts w:hint="eastAsia"/>
                <w:color w:val="0000FF"/>
                <w:sz w:val="24"/>
              </w:rPr>
              <w:t>（3536t）、心土层约19800</w:t>
            </w:r>
            <w:r>
              <w:rPr>
                <w:color w:val="0000FF"/>
                <w:sz w:val="24"/>
              </w:rPr>
              <w:t>m</w:t>
            </w:r>
            <w:r>
              <w:rPr>
                <w:rFonts w:hint="eastAsia"/>
                <w:color w:val="0000FF"/>
                <w:sz w:val="24"/>
                <w:vertAlign w:val="superscript"/>
              </w:rPr>
              <w:t>3</w:t>
            </w:r>
            <w:r>
              <w:rPr>
                <w:rFonts w:hint="eastAsia"/>
                <w:color w:val="0000FF"/>
                <w:sz w:val="24"/>
              </w:rPr>
              <w:t>（14143t）；采区风化废石剔除量2475</w:t>
            </w:r>
            <w:r>
              <w:rPr>
                <w:color w:val="0000FF"/>
                <w:sz w:val="24"/>
              </w:rPr>
              <w:t>m</w:t>
            </w:r>
            <w:r>
              <w:rPr>
                <w:color w:val="0000FF"/>
                <w:sz w:val="24"/>
                <w:vertAlign w:val="superscript"/>
              </w:rPr>
              <w:t>3</w:t>
            </w:r>
            <w:r>
              <w:rPr>
                <w:rFonts w:hint="eastAsia"/>
                <w:color w:val="0000FF"/>
                <w:sz w:val="24"/>
              </w:rPr>
              <w:t>（6188</w:t>
            </w:r>
            <w:r>
              <w:rPr>
                <w:color w:val="0000FF"/>
                <w:sz w:val="24"/>
              </w:rPr>
              <w:t>t</w:t>
            </w:r>
            <w:r>
              <w:rPr>
                <w:rFonts w:hint="eastAsia"/>
                <w:color w:val="0000FF"/>
                <w:sz w:val="24"/>
              </w:rPr>
              <w:t>）。</w:t>
            </w:r>
            <w:r>
              <w:rPr>
                <w:rFonts w:hint="eastAsia"/>
                <w:sz w:val="24"/>
              </w:rPr>
              <w:t>开采</w:t>
            </w:r>
            <w:r>
              <w:rPr>
                <w:sz w:val="24"/>
              </w:rPr>
              <w:t>期间，采区</w:t>
            </w:r>
            <w:r>
              <w:rPr>
                <w:rFonts w:hint="eastAsia"/>
                <w:sz w:val="24"/>
              </w:rPr>
              <w:t>采取“</w:t>
            </w:r>
            <w:r>
              <w:rPr>
                <w:sz w:val="24"/>
              </w:rPr>
              <w:t>边剥离、边开采、边复垦</w:t>
            </w:r>
            <w:r>
              <w:rPr>
                <w:rFonts w:hint="eastAsia"/>
                <w:sz w:val="24"/>
              </w:rPr>
              <w:t>”</w:t>
            </w:r>
            <w:r>
              <w:rPr>
                <w:sz w:val="24"/>
              </w:rPr>
              <w:t>的方式，项目开采年限约</w:t>
            </w:r>
            <w:r>
              <w:rPr>
                <w:rFonts w:hint="eastAsia"/>
                <w:sz w:val="24"/>
              </w:rPr>
              <w:t>2.7a</w:t>
            </w:r>
            <w:r>
              <w:rPr>
                <w:sz w:val="24"/>
              </w:rPr>
              <w:t>，则采区剥离表土量约为</w:t>
            </w:r>
            <w:r>
              <w:rPr>
                <w:rFonts w:hint="eastAsia"/>
                <w:sz w:val="24"/>
              </w:rPr>
              <w:t>9167</w:t>
            </w:r>
            <w:r>
              <w:rPr>
                <w:sz w:val="24"/>
              </w:rPr>
              <w:t>m</w:t>
            </w:r>
            <w:r>
              <w:rPr>
                <w:sz w:val="24"/>
                <w:vertAlign w:val="superscript"/>
              </w:rPr>
              <w:t>3</w:t>
            </w:r>
            <w:r>
              <w:rPr>
                <w:sz w:val="24"/>
              </w:rPr>
              <w:t>/a</w:t>
            </w:r>
            <w:r>
              <w:rPr>
                <w:rFonts w:hint="eastAsia"/>
                <w:sz w:val="24"/>
              </w:rPr>
              <w:t>（</w:t>
            </w:r>
            <w:r>
              <w:rPr>
                <w:rFonts w:hint="eastAsia"/>
                <w:color w:val="0000FF"/>
                <w:sz w:val="24"/>
              </w:rPr>
              <w:t>6548</w:t>
            </w:r>
            <w:r>
              <w:rPr>
                <w:sz w:val="24"/>
              </w:rPr>
              <w:t>t/a</w:t>
            </w:r>
            <w:r>
              <w:rPr>
                <w:rFonts w:hint="eastAsia"/>
                <w:sz w:val="24"/>
              </w:rPr>
              <w:t>）</w:t>
            </w:r>
            <w:r>
              <w:rPr>
                <w:rFonts w:hint="eastAsia"/>
                <w:color w:val="0000FF"/>
                <w:sz w:val="24"/>
              </w:rPr>
              <w:t>，其中：耕作层约1833</w:t>
            </w:r>
            <w:r>
              <w:rPr>
                <w:color w:val="0000FF"/>
                <w:sz w:val="24"/>
              </w:rPr>
              <w:t>m</w:t>
            </w:r>
            <w:r>
              <w:rPr>
                <w:rFonts w:hint="eastAsia"/>
                <w:color w:val="0000FF"/>
                <w:sz w:val="24"/>
                <w:vertAlign w:val="superscript"/>
              </w:rPr>
              <w:t>3</w:t>
            </w:r>
            <w:r>
              <w:rPr>
                <w:color w:val="0000FF"/>
                <w:sz w:val="24"/>
              </w:rPr>
              <w:t>/a</w:t>
            </w:r>
            <w:r>
              <w:rPr>
                <w:rFonts w:hint="eastAsia"/>
                <w:color w:val="0000FF"/>
                <w:sz w:val="24"/>
              </w:rPr>
              <w:t>（1310t</w:t>
            </w:r>
            <w:r>
              <w:rPr>
                <w:color w:val="0000FF"/>
                <w:sz w:val="24"/>
              </w:rPr>
              <w:t>/a</w:t>
            </w:r>
            <w:r>
              <w:rPr>
                <w:rFonts w:hint="eastAsia"/>
                <w:color w:val="0000FF"/>
                <w:sz w:val="24"/>
              </w:rPr>
              <w:t>）、心土层约7334</w:t>
            </w:r>
            <w:r>
              <w:rPr>
                <w:color w:val="0000FF"/>
                <w:sz w:val="24"/>
              </w:rPr>
              <w:t>m</w:t>
            </w:r>
            <w:r>
              <w:rPr>
                <w:rFonts w:hint="eastAsia"/>
                <w:color w:val="0000FF"/>
                <w:sz w:val="24"/>
                <w:vertAlign w:val="superscript"/>
              </w:rPr>
              <w:t>3</w:t>
            </w:r>
            <w:r>
              <w:rPr>
                <w:color w:val="0000FF"/>
                <w:sz w:val="24"/>
              </w:rPr>
              <w:t>/a</w:t>
            </w:r>
            <w:r>
              <w:rPr>
                <w:rFonts w:hint="eastAsia"/>
                <w:color w:val="0000FF"/>
                <w:sz w:val="24"/>
              </w:rPr>
              <w:t>（5238t</w:t>
            </w:r>
            <w:r>
              <w:rPr>
                <w:color w:val="0000FF"/>
                <w:sz w:val="24"/>
              </w:rPr>
              <w:t>/a</w:t>
            </w:r>
            <w:r>
              <w:rPr>
                <w:rFonts w:hint="eastAsia"/>
                <w:color w:val="0000FF"/>
                <w:sz w:val="24"/>
              </w:rPr>
              <w:t>）；采区风化废石剔除量917</w:t>
            </w:r>
            <w:r>
              <w:rPr>
                <w:color w:val="0000FF"/>
                <w:sz w:val="24"/>
              </w:rPr>
              <w:t>m</w:t>
            </w:r>
            <w:r>
              <w:rPr>
                <w:color w:val="0000FF"/>
                <w:sz w:val="24"/>
                <w:vertAlign w:val="superscript"/>
              </w:rPr>
              <w:t>3</w:t>
            </w:r>
            <w:r>
              <w:rPr>
                <w:color w:val="0000FF"/>
                <w:sz w:val="24"/>
              </w:rPr>
              <w:t>/a</w:t>
            </w:r>
            <w:r>
              <w:rPr>
                <w:rFonts w:hint="eastAsia"/>
                <w:color w:val="0000FF"/>
                <w:sz w:val="24"/>
              </w:rPr>
              <w:t>（2292</w:t>
            </w:r>
            <w:r>
              <w:rPr>
                <w:color w:val="0000FF"/>
                <w:sz w:val="24"/>
              </w:rPr>
              <w:t>t/a</w:t>
            </w:r>
            <w:r>
              <w:rPr>
                <w:rFonts w:hint="eastAsia"/>
                <w:color w:val="0000FF"/>
                <w:sz w:val="24"/>
              </w:rPr>
              <w:t>）。</w:t>
            </w:r>
          </w:p>
          <w:p>
            <w:pPr>
              <w:adjustRightInd w:val="0"/>
              <w:snapToGrid w:val="0"/>
              <w:spacing w:line="360" w:lineRule="auto"/>
              <w:ind w:firstLine="480" w:firstLineChars="200"/>
              <w:rPr>
                <w:sz w:val="24"/>
              </w:rPr>
            </w:pPr>
            <w:r>
              <w:rPr>
                <w:sz w:val="24"/>
              </w:rPr>
              <w:t>开采期间</w:t>
            </w:r>
            <w:r>
              <w:rPr>
                <w:rFonts w:hint="eastAsia"/>
                <w:sz w:val="24"/>
              </w:rPr>
              <w:t>，</w:t>
            </w:r>
            <w:r>
              <w:rPr>
                <w:sz w:val="24"/>
              </w:rPr>
              <w:t>采区</w:t>
            </w:r>
            <w:r>
              <w:rPr>
                <w:rFonts w:hint="eastAsia"/>
                <w:sz w:val="24"/>
              </w:rPr>
              <w:t>采用“边开采、边复垦”的方式进行开采，</w:t>
            </w:r>
            <w:r>
              <w:rPr>
                <w:rFonts w:hint="eastAsia"/>
                <w:color w:val="0000FF"/>
                <w:sz w:val="24"/>
              </w:rPr>
              <w:t>第1台阶剥离</w:t>
            </w:r>
            <w:r>
              <w:rPr>
                <w:color w:val="0000FF"/>
                <w:sz w:val="24"/>
              </w:rPr>
              <w:t>表土</w:t>
            </w:r>
            <w:r>
              <w:rPr>
                <w:rFonts w:hint="eastAsia"/>
                <w:color w:val="0000FF"/>
                <w:sz w:val="24"/>
              </w:rPr>
              <w:t>层中耕作层、心土层分开剥离后，</w:t>
            </w:r>
            <w:r>
              <w:rPr>
                <w:color w:val="0000FF"/>
                <w:sz w:val="24"/>
              </w:rPr>
              <w:t>由车辆运至排土场</w:t>
            </w:r>
            <w:r>
              <w:rPr>
                <w:rFonts w:hint="eastAsia"/>
                <w:color w:val="0000FF"/>
                <w:sz w:val="24"/>
              </w:rPr>
              <w:t>内</w:t>
            </w:r>
            <w:r>
              <w:rPr>
                <w:color w:val="0000FF"/>
                <w:sz w:val="24"/>
              </w:rPr>
              <w:t>临时</w:t>
            </w:r>
            <w:r>
              <w:rPr>
                <w:rFonts w:hint="eastAsia"/>
                <w:color w:val="0000FF"/>
                <w:sz w:val="24"/>
              </w:rPr>
              <w:t>分区</w:t>
            </w:r>
            <w:r>
              <w:rPr>
                <w:color w:val="0000FF"/>
                <w:sz w:val="24"/>
              </w:rPr>
              <w:t>堆存</w:t>
            </w:r>
            <w:r>
              <w:rPr>
                <w:rFonts w:hint="eastAsia"/>
                <w:color w:val="0000FF"/>
                <w:sz w:val="24"/>
              </w:rPr>
              <w:t>；第1台阶剥离风化废石</w:t>
            </w:r>
            <w:r>
              <w:rPr>
                <w:color w:val="0000FF"/>
                <w:sz w:val="24"/>
              </w:rPr>
              <w:t>由车辆运至</w:t>
            </w:r>
            <w:r>
              <w:rPr>
                <w:rFonts w:hint="eastAsia"/>
                <w:color w:val="0000FF"/>
                <w:sz w:val="24"/>
              </w:rPr>
              <w:t>弃渣场内</w:t>
            </w:r>
            <w:r>
              <w:rPr>
                <w:color w:val="0000FF"/>
                <w:sz w:val="24"/>
              </w:rPr>
              <w:t>临时堆存</w:t>
            </w:r>
            <w:r>
              <w:rPr>
                <w:rFonts w:hint="eastAsia"/>
                <w:color w:val="0000FF"/>
                <w:sz w:val="24"/>
              </w:rPr>
              <w:t>。第2~5台阶剥离</w:t>
            </w:r>
            <w:r>
              <w:rPr>
                <w:color w:val="0000FF"/>
                <w:sz w:val="24"/>
              </w:rPr>
              <w:t>表土</w:t>
            </w:r>
            <w:r>
              <w:rPr>
                <w:rFonts w:hint="eastAsia"/>
                <w:color w:val="0000FF"/>
                <w:sz w:val="24"/>
              </w:rPr>
              <w:t>层（耕作层、心土层）、风化废石均优先运至上一台阶绿化覆土（由下至上分别摊铺风化废石、心土层、耕作层），余方再分别</w:t>
            </w:r>
            <w:r>
              <w:rPr>
                <w:color w:val="0000FF"/>
                <w:sz w:val="24"/>
              </w:rPr>
              <w:t>运至</w:t>
            </w:r>
            <w:r>
              <w:rPr>
                <w:rFonts w:hint="eastAsia"/>
                <w:color w:val="0000FF"/>
                <w:sz w:val="24"/>
              </w:rPr>
              <w:t>排土场、弃渣场内</w:t>
            </w:r>
            <w:r>
              <w:rPr>
                <w:color w:val="0000FF"/>
                <w:sz w:val="24"/>
              </w:rPr>
              <w:t>临时堆存</w:t>
            </w:r>
            <w:r>
              <w:rPr>
                <w:rFonts w:hint="eastAsia"/>
                <w:sz w:val="24"/>
              </w:rPr>
              <w:t>，</w:t>
            </w:r>
            <w:r>
              <w:rPr>
                <w:sz w:val="24"/>
              </w:rPr>
              <w:t>闭矿期</w:t>
            </w:r>
            <w:r>
              <w:rPr>
                <w:rFonts w:hint="eastAsia"/>
                <w:sz w:val="24"/>
              </w:rPr>
              <w:t>再</w:t>
            </w:r>
            <w:r>
              <w:rPr>
                <w:sz w:val="24"/>
              </w:rPr>
              <w:t>用于</w:t>
            </w:r>
            <w:r>
              <w:rPr>
                <w:rFonts w:hint="eastAsia"/>
                <w:sz w:val="24"/>
              </w:rPr>
              <w:t>全厂绿化复垦</w:t>
            </w:r>
            <w:r>
              <w:rPr>
                <w:sz w:val="24"/>
              </w:rPr>
              <w:t>。</w:t>
            </w:r>
          </w:p>
          <w:p>
            <w:pPr>
              <w:adjustRightInd w:val="0"/>
              <w:snapToGrid w:val="0"/>
              <w:spacing w:line="360" w:lineRule="auto"/>
              <w:ind w:firstLine="480" w:firstLineChars="200"/>
              <w:rPr>
                <w:sz w:val="24"/>
              </w:rPr>
            </w:pPr>
            <w:r>
              <w:rPr>
                <w:rFonts w:hint="eastAsia" w:ascii="宋体" w:hAnsi="宋体" w:cs="宋体"/>
                <w:sz w:val="24"/>
              </w:rPr>
              <w:t>②</w:t>
            </w:r>
            <w:r>
              <w:rPr>
                <w:rFonts w:hint="eastAsia"/>
                <w:sz w:val="24"/>
              </w:rPr>
              <w:t>设备保养</w:t>
            </w:r>
            <w:r>
              <w:rPr>
                <w:sz w:val="24"/>
              </w:rPr>
              <w:t>危废</w:t>
            </w:r>
          </w:p>
          <w:p>
            <w:pPr>
              <w:adjustRightInd w:val="0"/>
              <w:snapToGrid w:val="0"/>
              <w:spacing w:line="360" w:lineRule="auto"/>
              <w:ind w:firstLine="480" w:firstLineChars="200"/>
              <w:rPr>
                <w:sz w:val="24"/>
              </w:rPr>
            </w:pPr>
            <w:r>
              <w:rPr>
                <w:sz w:val="24"/>
              </w:rPr>
              <w:t>项目在运营期间，场内外运输车辆均在酉阳县</w:t>
            </w:r>
            <w:r>
              <w:rPr>
                <w:rFonts w:hint="eastAsia"/>
                <w:sz w:val="24"/>
              </w:rPr>
              <w:t>双泉乡</w:t>
            </w:r>
            <w:r>
              <w:rPr>
                <w:sz w:val="24"/>
              </w:rPr>
              <w:t>汽修厂定期保养、更换机油，厂区内不设运输车辆保养、维修车间。</w:t>
            </w:r>
          </w:p>
          <w:p>
            <w:pPr>
              <w:adjustRightInd w:val="0"/>
              <w:snapToGrid w:val="0"/>
              <w:spacing w:line="360" w:lineRule="auto"/>
              <w:ind w:firstLine="480" w:firstLineChars="200"/>
              <w:rPr>
                <w:sz w:val="24"/>
              </w:rPr>
            </w:pPr>
            <w:r>
              <w:rPr>
                <w:sz w:val="24"/>
              </w:rPr>
              <w:t>项目运营期间开采、装载设备定期维护</w:t>
            </w:r>
            <w:r>
              <w:rPr>
                <w:rFonts w:hint="eastAsia"/>
                <w:sz w:val="24"/>
              </w:rPr>
              <w:t>保养</w:t>
            </w:r>
            <w:r>
              <w:rPr>
                <w:sz w:val="24"/>
              </w:rPr>
              <w:t>过程中产生的废机油识别为废矿物油，产生量为0.</w:t>
            </w:r>
            <w:r>
              <w:rPr>
                <w:rFonts w:hint="eastAsia"/>
                <w:sz w:val="24"/>
              </w:rPr>
              <w:t>2</w:t>
            </w:r>
            <w:r>
              <w:rPr>
                <w:sz w:val="24"/>
              </w:rPr>
              <w:t>t/a，废矿物油属于国家危险废物名录中编号为HW08类危险废物。</w:t>
            </w:r>
          </w:p>
          <w:p>
            <w:pPr>
              <w:adjustRightInd w:val="0"/>
              <w:snapToGrid w:val="0"/>
              <w:spacing w:line="360" w:lineRule="auto"/>
              <w:ind w:firstLine="480" w:firstLineChars="200"/>
              <w:rPr>
                <w:sz w:val="24"/>
              </w:rPr>
            </w:pPr>
            <w:r>
              <w:rPr>
                <w:rFonts w:hint="eastAsia"/>
                <w:sz w:val="24"/>
              </w:rPr>
              <w:t>项目空压机为螺杆式，空压机内水蒸气压缩冷凝会产生含油废液，根据建设单位提供资料，空压机含油液体产生量约0.05t/a，含油冷凝液</w:t>
            </w:r>
            <w:r>
              <w:rPr>
                <w:sz w:val="24"/>
              </w:rPr>
              <w:t>属于国家危险废物名录中编号为</w:t>
            </w:r>
            <w:r>
              <w:rPr>
                <w:bCs/>
                <w:sz w:val="24"/>
              </w:rPr>
              <w:t>HW</w:t>
            </w:r>
            <w:r>
              <w:rPr>
                <w:rFonts w:hint="eastAsia"/>
                <w:bCs/>
                <w:sz w:val="24"/>
              </w:rPr>
              <w:t>0</w:t>
            </w:r>
            <w:r>
              <w:rPr>
                <w:bCs/>
                <w:sz w:val="24"/>
              </w:rPr>
              <w:t>9类危险废物</w:t>
            </w:r>
            <w:r>
              <w:rPr>
                <w:rFonts w:hint="eastAsia"/>
                <w:bCs/>
                <w:sz w:val="24"/>
              </w:rPr>
              <w:t>。</w:t>
            </w:r>
          </w:p>
          <w:p>
            <w:pPr>
              <w:adjustRightInd w:val="0"/>
              <w:snapToGrid w:val="0"/>
              <w:spacing w:line="360" w:lineRule="auto"/>
              <w:ind w:firstLine="480" w:firstLineChars="200"/>
              <w:rPr>
                <w:bCs/>
                <w:sz w:val="24"/>
              </w:rPr>
            </w:pPr>
            <w:r>
              <w:rPr>
                <w:rFonts w:hint="eastAsia"/>
                <w:sz w:val="24"/>
              </w:rPr>
              <w:t>设备</w:t>
            </w:r>
            <w:r>
              <w:rPr>
                <w:sz w:val="24"/>
              </w:rPr>
              <w:t>维护</w:t>
            </w:r>
            <w:r>
              <w:rPr>
                <w:rFonts w:hint="eastAsia"/>
                <w:sz w:val="24"/>
              </w:rPr>
              <w:t>保养</w:t>
            </w:r>
            <w:r>
              <w:rPr>
                <w:bCs/>
                <w:sz w:val="24"/>
              </w:rPr>
              <w:t>过程中产生的废弃沾染油污手套等劳保用品及抹布的量约0.</w:t>
            </w:r>
            <w:r>
              <w:rPr>
                <w:rFonts w:hint="eastAsia"/>
                <w:bCs/>
                <w:sz w:val="24"/>
              </w:rPr>
              <w:t>02</w:t>
            </w:r>
            <w:r>
              <w:rPr>
                <w:bCs/>
                <w:sz w:val="24"/>
              </w:rPr>
              <w:t>t/a，废弃的含油抹布及劳保用品属于国家危险废物名录中编号为HW49类危险废物。</w:t>
            </w:r>
          </w:p>
          <w:p>
            <w:pPr>
              <w:adjustRightInd w:val="0"/>
              <w:snapToGrid w:val="0"/>
              <w:spacing w:line="360" w:lineRule="auto"/>
              <w:ind w:firstLine="480" w:firstLineChars="200"/>
              <w:rPr>
                <w:bCs/>
                <w:sz w:val="24"/>
              </w:rPr>
            </w:pPr>
            <w:r>
              <w:rPr>
                <w:rFonts w:hint="eastAsia"/>
                <w:bCs/>
                <w:sz w:val="24"/>
              </w:rPr>
              <w:t>针对危险废物，</w:t>
            </w:r>
            <w:r>
              <w:rPr>
                <w:bCs/>
                <w:sz w:val="24"/>
              </w:rPr>
              <w:t>应该按国家《危险废物贮存污染控制标准》（GB</w:t>
            </w:r>
            <w:r>
              <w:rPr>
                <w:rFonts w:hint="eastAsia"/>
                <w:bCs/>
                <w:sz w:val="24"/>
              </w:rPr>
              <w:t xml:space="preserve"> </w:t>
            </w:r>
            <w:r>
              <w:rPr>
                <w:bCs/>
                <w:sz w:val="24"/>
              </w:rPr>
              <w:t>18597-2023）的要求设置贮存场所，定期交有危险固废</w:t>
            </w:r>
            <w:r>
              <w:rPr>
                <w:rFonts w:hint="eastAsia"/>
                <w:bCs/>
                <w:sz w:val="24"/>
              </w:rPr>
              <w:t>收运</w:t>
            </w:r>
            <w:r>
              <w:rPr>
                <w:bCs/>
                <w:sz w:val="24"/>
              </w:rPr>
              <w:t>处置资质单位处置。</w:t>
            </w:r>
            <w:r>
              <w:rPr>
                <w:rFonts w:hint="eastAsia"/>
                <w:bCs/>
                <w:sz w:val="24"/>
              </w:rPr>
              <w:t>同时，危废贮存点按规定</w:t>
            </w:r>
            <w:r>
              <w:rPr>
                <w:bCs/>
                <w:sz w:val="24"/>
              </w:rPr>
              <w:t>采</w:t>
            </w:r>
            <w:r>
              <w:rPr>
                <w:rFonts w:ascii="宋体" w:hAnsi="宋体"/>
                <w:bCs/>
                <w:sz w:val="24"/>
              </w:rPr>
              <w:t>取“六防”（防风、防雨、防晒、防渗、防漏、防腐）</w:t>
            </w:r>
            <w:r>
              <w:rPr>
                <w:bCs/>
                <w:sz w:val="24"/>
              </w:rPr>
              <w:t>措施及泄漏物收集措施。</w:t>
            </w:r>
          </w:p>
          <w:p>
            <w:pPr>
              <w:adjustRightInd w:val="0"/>
              <w:snapToGrid w:val="0"/>
              <w:spacing w:line="360" w:lineRule="auto"/>
              <w:ind w:firstLine="480" w:firstLineChars="200"/>
              <w:rPr>
                <w:sz w:val="24"/>
              </w:rPr>
            </w:pPr>
            <w:r>
              <w:rPr>
                <w:rFonts w:hint="eastAsia"/>
                <w:sz w:val="24"/>
              </w:rPr>
              <w:t>对此</w:t>
            </w:r>
            <w:r>
              <w:rPr>
                <w:sz w:val="24"/>
              </w:rPr>
              <w:t>，项目</w:t>
            </w:r>
            <w:r>
              <w:rPr>
                <w:bCs/>
                <w:sz w:val="24"/>
              </w:rPr>
              <w:t>在</w:t>
            </w:r>
            <w:r>
              <w:rPr>
                <w:rFonts w:hint="eastAsia"/>
                <w:bCs/>
                <w:sz w:val="24"/>
              </w:rPr>
              <w:t>办公楼1F西部区域</w:t>
            </w:r>
            <w:r>
              <w:rPr>
                <w:bCs/>
                <w:sz w:val="24"/>
              </w:rPr>
              <w:t>建设约8m</w:t>
            </w:r>
            <w:r>
              <w:rPr>
                <w:bCs/>
                <w:sz w:val="24"/>
                <w:vertAlign w:val="superscript"/>
              </w:rPr>
              <w:t>2</w:t>
            </w:r>
            <w:r>
              <w:rPr>
                <w:bCs/>
                <w:sz w:val="24"/>
              </w:rPr>
              <w:t>危废贮存点</w:t>
            </w:r>
            <w:r>
              <w:rPr>
                <w:rFonts w:hint="eastAsia"/>
                <w:bCs/>
                <w:sz w:val="24"/>
              </w:rPr>
              <w:t>，</w:t>
            </w:r>
            <w:r>
              <w:rPr>
                <w:bCs/>
                <w:sz w:val="24"/>
              </w:rPr>
              <w:t>并用含油固废收集桶进行集中收集后</w:t>
            </w:r>
            <w:r>
              <w:rPr>
                <w:rFonts w:hint="eastAsia"/>
                <w:bCs/>
                <w:sz w:val="24"/>
              </w:rPr>
              <w:t>，连带收集桶一起</w:t>
            </w:r>
            <w:r>
              <w:rPr>
                <w:bCs/>
                <w:sz w:val="24"/>
              </w:rPr>
              <w:t>定期交由有资质的单位</w:t>
            </w:r>
            <w:r>
              <w:rPr>
                <w:rFonts w:hint="eastAsia"/>
                <w:bCs/>
                <w:sz w:val="24"/>
              </w:rPr>
              <w:t>收运处置。根据建设单位多年的运行经验</w:t>
            </w:r>
            <w:r>
              <w:rPr>
                <w:rFonts w:hint="eastAsia"/>
                <w:bCs/>
                <w:color w:val="0000FF"/>
                <w:sz w:val="24"/>
              </w:rPr>
              <w:t>推算</w:t>
            </w:r>
            <w:r>
              <w:rPr>
                <w:rFonts w:hint="eastAsia"/>
                <w:bCs/>
                <w:sz w:val="24"/>
              </w:rPr>
              <w:t>，废收集桶使用量约0.1</w:t>
            </w:r>
            <w:r>
              <w:rPr>
                <w:sz w:val="24"/>
              </w:rPr>
              <w:t>t/a，</w:t>
            </w:r>
            <w:r>
              <w:rPr>
                <w:rFonts w:hint="eastAsia"/>
                <w:sz w:val="24"/>
              </w:rPr>
              <w:t>其也</w:t>
            </w:r>
            <w:r>
              <w:rPr>
                <w:sz w:val="24"/>
              </w:rPr>
              <w:t>属于国家危险废物名录中编号为HW08类危险废物</w:t>
            </w:r>
            <w:r>
              <w:rPr>
                <w:rFonts w:hint="eastAsia"/>
                <w:sz w:val="24"/>
              </w:rPr>
              <w:t>。</w:t>
            </w:r>
          </w:p>
          <w:p>
            <w:pPr>
              <w:adjustRightInd w:val="0"/>
              <w:snapToGrid w:val="0"/>
              <w:spacing w:line="360" w:lineRule="auto"/>
              <w:ind w:firstLine="480" w:firstLineChars="200"/>
              <w:rPr>
                <w:bCs/>
                <w:sz w:val="24"/>
              </w:rPr>
            </w:pPr>
            <w:r>
              <w:rPr>
                <w:rFonts w:hint="eastAsia"/>
                <w:sz w:val="24"/>
              </w:rPr>
              <w:t>拟建项目危废产生情况及储存场所基本情况详见表4-24、表4-25。</w:t>
            </w:r>
          </w:p>
          <w:p>
            <w:pPr>
              <w:adjustRightInd w:val="0"/>
              <w:snapToGrid w:val="0"/>
              <w:jc w:val="center"/>
              <w:rPr>
                <w:b/>
                <w:sz w:val="24"/>
              </w:rPr>
            </w:pPr>
            <w:r>
              <w:rPr>
                <w:b/>
                <w:sz w:val="24"/>
              </w:rPr>
              <w:t>表4-2</w:t>
            </w:r>
            <w:r>
              <w:rPr>
                <w:rFonts w:hint="eastAsia"/>
                <w:b/>
                <w:sz w:val="24"/>
              </w:rPr>
              <w:t>4</w:t>
            </w:r>
            <w:r>
              <w:rPr>
                <w:b/>
                <w:sz w:val="24"/>
              </w:rPr>
              <w:t xml:space="preserve">  项目营运期危险废物产生量汇总表</w:t>
            </w:r>
          </w:p>
          <w:tbl>
            <w:tblPr>
              <w:tblStyle w:val="15"/>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1275"/>
              <w:gridCol w:w="1606"/>
              <w:gridCol w:w="1230"/>
              <w:gridCol w:w="2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2237" w:type="dxa"/>
                  <w:vAlign w:val="center"/>
                </w:tcPr>
                <w:p>
                  <w:pPr>
                    <w:pStyle w:val="42"/>
                  </w:pPr>
                  <w:r>
                    <w:t>危险废物名称</w:t>
                  </w:r>
                </w:p>
              </w:tc>
              <w:tc>
                <w:tcPr>
                  <w:tcW w:w="1275" w:type="dxa"/>
                  <w:vAlign w:val="center"/>
                </w:tcPr>
                <w:p>
                  <w:pPr>
                    <w:pStyle w:val="42"/>
                  </w:pPr>
                  <w:r>
                    <w:t>类别</w:t>
                  </w:r>
                </w:p>
              </w:tc>
              <w:tc>
                <w:tcPr>
                  <w:tcW w:w="1606" w:type="dxa"/>
                  <w:vAlign w:val="center"/>
                </w:tcPr>
                <w:p>
                  <w:pPr>
                    <w:pStyle w:val="42"/>
                  </w:pPr>
                  <w:r>
                    <w:t>代码</w:t>
                  </w:r>
                </w:p>
              </w:tc>
              <w:tc>
                <w:tcPr>
                  <w:tcW w:w="1230" w:type="dxa"/>
                  <w:vAlign w:val="center"/>
                </w:tcPr>
                <w:p>
                  <w:pPr>
                    <w:pStyle w:val="42"/>
                  </w:pPr>
                  <w:r>
                    <w:t>产生量</w:t>
                  </w:r>
                </w:p>
              </w:tc>
              <w:tc>
                <w:tcPr>
                  <w:tcW w:w="2672" w:type="dxa"/>
                  <w:vAlign w:val="center"/>
                </w:tcPr>
                <w:p>
                  <w:pPr>
                    <w:pStyle w:val="42"/>
                  </w:pPr>
                  <w:r>
                    <w:t>生产工序</w:t>
                  </w:r>
                </w:p>
              </w:tc>
            </w:tr>
            <w:tr>
              <w:tblPrEx>
                <w:tblLayout w:type="fixed"/>
                <w:tblCellMar>
                  <w:top w:w="0" w:type="dxa"/>
                  <w:left w:w="108" w:type="dxa"/>
                  <w:bottom w:w="0" w:type="dxa"/>
                  <w:right w:w="108" w:type="dxa"/>
                </w:tblCellMar>
              </w:tblPrEx>
              <w:trPr>
                <w:trHeight w:val="357" w:hRule="atLeast"/>
              </w:trPr>
              <w:tc>
                <w:tcPr>
                  <w:tcW w:w="2237" w:type="dxa"/>
                  <w:vAlign w:val="center"/>
                </w:tcPr>
                <w:p>
                  <w:pPr>
                    <w:pStyle w:val="42"/>
                  </w:pPr>
                  <w:r>
                    <w:t>废矿物油</w:t>
                  </w:r>
                </w:p>
              </w:tc>
              <w:tc>
                <w:tcPr>
                  <w:tcW w:w="1275" w:type="dxa"/>
                  <w:vAlign w:val="center"/>
                </w:tcPr>
                <w:p>
                  <w:pPr>
                    <w:pStyle w:val="42"/>
                  </w:pPr>
                  <w:r>
                    <w:t>HW08</w:t>
                  </w:r>
                </w:p>
              </w:tc>
              <w:tc>
                <w:tcPr>
                  <w:tcW w:w="1606" w:type="dxa"/>
                  <w:vAlign w:val="center"/>
                </w:tcPr>
                <w:p>
                  <w:pPr>
                    <w:pStyle w:val="42"/>
                  </w:pPr>
                  <w:r>
                    <w:t>900-249-08</w:t>
                  </w:r>
                </w:p>
              </w:tc>
              <w:tc>
                <w:tcPr>
                  <w:tcW w:w="1230" w:type="dxa"/>
                  <w:vAlign w:val="center"/>
                </w:tcPr>
                <w:p>
                  <w:pPr>
                    <w:pStyle w:val="42"/>
                  </w:pPr>
                  <w:r>
                    <w:t>0.</w:t>
                  </w:r>
                  <w:r>
                    <w:rPr>
                      <w:rFonts w:hint="eastAsia"/>
                    </w:rPr>
                    <w:t>2</w:t>
                  </w:r>
                  <w:r>
                    <w:t>t/a</w:t>
                  </w:r>
                </w:p>
              </w:tc>
              <w:tc>
                <w:tcPr>
                  <w:tcW w:w="2672" w:type="dxa"/>
                  <w:vAlign w:val="center"/>
                </w:tcPr>
                <w:p>
                  <w:pPr>
                    <w:pStyle w:val="42"/>
                  </w:pPr>
                  <w:r>
                    <w:t>设备维护保养</w:t>
                  </w:r>
                </w:p>
              </w:tc>
            </w:tr>
            <w:tr>
              <w:tblPrEx>
                <w:tblLayout w:type="fixed"/>
                <w:tblCellMar>
                  <w:top w:w="0" w:type="dxa"/>
                  <w:left w:w="108" w:type="dxa"/>
                  <w:bottom w:w="0" w:type="dxa"/>
                  <w:right w:w="108" w:type="dxa"/>
                </w:tblCellMar>
              </w:tblPrEx>
              <w:trPr>
                <w:trHeight w:val="357" w:hRule="atLeast"/>
              </w:trPr>
              <w:tc>
                <w:tcPr>
                  <w:tcW w:w="2237" w:type="dxa"/>
                  <w:vAlign w:val="center"/>
                </w:tcPr>
                <w:p>
                  <w:pPr>
                    <w:pStyle w:val="42"/>
                  </w:pPr>
                  <w:r>
                    <w:t>含油抹布及劳保用品</w:t>
                  </w:r>
                </w:p>
              </w:tc>
              <w:tc>
                <w:tcPr>
                  <w:tcW w:w="1275" w:type="dxa"/>
                  <w:vAlign w:val="center"/>
                </w:tcPr>
                <w:p>
                  <w:pPr>
                    <w:pStyle w:val="42"/>
                  </w:pPr>
                  <w:r>
                    <w:t>HW49</w:t>
                  </w:r>
                </w:p>
              </w:tc>
              <w:tc>
                <w:tcPr>
                  <w:tcW w:w="1606" w:type="dxa"/>
                  <w:vAlign w:val="center"/>
                </w:tcPr>
                <w:p>
                  <w:pPr>
                    <w:pStyle w:val="42"/>
                  </w:pPr>
                  <w:r>
                    <w:t>900-041-49</w:t>
                  </w:r>
                </w:p>
              </w:tc>
              <w:tc>
                <w:tcPr>
                  <w:tcW w:w="1230" w:type="dxa"/>
                  <w:vAlign w:val="center"/>
                </w:tcPr>
                <w:p>
                  <w:pPr>
                    <w:pStyle w:val="42"/>
                  </w:pPr>
                  <w:r>
                    <w:t>0.</w:t>
                  </w:r>
                  <w:r>
                    <w:rPr>
                      <w:rFonts w:hint="eastAsia"/>
                    </w:rPr>
                    <w:t>02</w:t>
                  </w:r>
                  <w:r>
                    <w:t>t/a</w:t>
                  </w:r>
                </w:p>
              </w:tc>
              <w:tc>
                <w:tcPr>
                  <w:tcW w:w="2672" w:type="dxa"/>
                  <w:vAlign w:val="center"/>
                </w:tcPr>
                <w:p>
                  <w:pPr>
                    <w:pStyle w:val="42"/>
                  </w:pPr>
                  <w:r>
                    <w:t>设备维护保养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2237" w:type="dxa"/>
                  <w:vAlign w:val="center"/>
                </w:tcPr>
                <w:p>
                  <w:pPr>
                    <w:pStyle w:val="42"/>
                  </w:pPr>
                  <w:r>
                    <w:rPr>
                      <w:rFonts w:hint="eastAsia"/>
                    </w:rPr>
                    <w:t>含油冷凝液</w:t>
                  </w:r>
                </w:p>
              </w:tc>
              <w:tc>
                <w:tcPr>
                  <w:tcW w:w="1275" w:type="dxa"/>
                  <w:vAlign w:val="center"/>
                </w:tcPr>
                <w:p>
                  <w:pPr>
                    <w:pStyle w:val="42"/>
                  </w:pPr>
                  <w:r>
                    <w:t>HW</w:t>
                  </w:r>
                  <w:r>
                    <w:rPr>
                      <w:rFonts w:hint="eastAsia"/>
                    </w:rPr>
                    <w:t>0</w:t>
                  </w:r>
                  <w:r>
                    <w:t>9</w:t>
                  </w:r>
                </w:p>
              </w:tc>
              <w:tc>
                <w:tcPr>
                  <w:tcW w:w="1606" w:type="dxa"/>
                  <w:vAlign w:val="center"/>
                </w:tcPr>
                <w:p>
                  <w:pPr>
                    <w:pStyle w:val="42"/>
                  </w:pPr>
                  <w:r>
                    <w:t>900-007-09</w:t>
                  </w:r>
                </w:p>
              </w:tc>
              <w:tc>
                <w:tcPr>
                  <w:tcW w:w="1230" w:type="dxa"/>
                  <w:vAlign w:val="center"/>
                </w:tcPr>
                <w:p>
                  <w:pPr>
                    <w:pStyle w:val="42"/>
                  </w:pPr>
                  <w:r>
                    <w:t>0.05t/a</w:t>
                  </w:r>
                </w:p>
              </w:tc>
              <w:tc>
                <w:tcPr>
                  <w:tcW w:w="2672" w:type="dxa"/>
                  <w:vAlign w:val="center"/>
                </w:tcPr>
                <w:p>
                  <w:pPr>
                    <w:pStyle w:val="42"/>
                  </w:pPr>
                  <w:r>
                    <w:t>设备维护保养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2237" w:type="dxa"/>
                  <w:vAlign w:val="center"/>
                </w:tcPr>
                <w:p>
                  <w:pPr>
                    <w:pStyle w:val="42"/>
                  </w:pPr>
                  <w:r>
                    <w:rPr>
                      <w:rFonts w:hint="eastAsia"/>
                    </w:rPr>
                    <w:t>废收集桶</w:t>
                  </w:r>
                </w:p>
              </w:tc>
              <w:tc>
                <w:tcPr>
                  <w:tcW w:w="1275" w:type="dxa"/>
                  <w:vAlign w:val="center"/>
                </w:tcPr>
                <w:p>
                  <w:pPr>
                    <w:pStyle w:val="42"/>
                  </w:pPr>
                  <w:r>
                    <w:t>HW08</w:t>
                  </w:r>
                </w:p>
              </w:tc>
              <w:tc>
                <w:tcPr>
                  <w:tcW w:w="1606" w:type="dxa"/>
                  <w:vAlign w:val="center"/>
                </w:tcPr>
                <w:p>
                  <w:pPr>
                    <w:pStyle w:val="42"/>
                  </w:pPr>
                  <w:r>
                    <w:t>900-249-08</w:t>
                  </w:r>
                </w:p>
              </w:tc>
              <w:tc>
                <w:tcPr>
                  <w:tcW w:w="1230" w:type="dxa"/>
                  <w:vAlign w:val="center"/>
                </w:tcPr>
                <w:p>
                  <w:pPr>
                    <w:pStyle w:val="42"/>
                  </w:pPr>
                  <w:r>
                    <w:t>0.1t/a</w:t>
                  </w:r>
                </w:p>
              </w:tc>
              <w:tc>
                <w:tcPr>
                  <w:tcW w:w="2672" w:type="dxa"/>
                  <w:vAlign w:val="center"/>
                </w:tcPr>
                <w:p>
                  <w:pPr>
                    <w:pStyle w:val="42"/>
                  </w:pPr>
                  <w:r>
                    <w:t>设备维护保养</w:t>
                  </w:r>
                  <w:r>
                    <w:rPr>
                      <w:rFonts w:hint="eastAsia"/>
                    </w:rPr>
                    <w:t>、危废存放</w:t>
                  </w:r>
                </w:p>
              </w:tc>
            </w:tr>
          </w:tbl>
          <w:p>
            <w:pPr>
              <w:adjustRightInd w:val="0"/>
              <w:snapToGrid w:val="0"/>
              <w:jc w:val="center"/>
              <w:rPr>
                <w:b/>
                <w:sz w:val="24"/>
              </w:rPr>
            </w:pPr>
            <w:r>
              <w:rPr>
                <w:b/>
                <w:sz w:val="24"/>
              </w:rPr>
              <w:t>表4-2</w:t>
            </w:r>
            <w:r>
              <w:rPr>
                <w:rFonts w:hint="eastAsia"/>
                <w:b/>
                <w:sz w:val="24"/>
              </w:rPr>
              <w:t>5</w:t>
            </w:r>
            <w:r>
              <w:rPr>
                <w:b/>
                <w:sz w:val="24"/>
              </w:rPr>
              <w:t xml:space="preserve">  项目危险废物储存场所基本情况</w:t>
            </w:r>
          </w:p>
          <w:tbl>
            <w:tblPr>
              <w:tblStyle w:val="15"/>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034"/>
              <w:gridCol w:w="1344"/>
              <w:gridCol w:w="1344"/>
              <w:gridCol w:w="1402"/>
              <w:gridCol w:w="1120"/>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trPr>
              <w:tc>
                <w:tcPr>
                  <w:tcW w:w="1708" w:type="dxa"/>
                  <w:vAlign w:val="center"/>
                </w:tcPr>
                <w:p>
                  <w:pPr>
                    <w:pStyle w:val="42"/>
                  </w:pPr>
                  <w:r>
                    <w:t>危险废物名称</w:t>
                  </w:r>
                </w:p>
              </w:tc>
              <w:tc>
                <w:tcPr>
                  <w:tcW w:w="1034" w:type="dxa"/>
                  <w:vAlign w:val="center"/>
                </w:tcPr>
                <w:p>
                  <w:pPr>
                    <w:pStyle w:val="42"/>
                  </w:pPr>
                  <w:r>
                    <w:t>类别</w:t>
                  </w:r>
                </w:p>
              </w:tc>
              <w:tc>
                <w:tcPr>
                  <w:tcW w:w="1344" w:type="dxa"/>
                  <w:vAlign w:val="center"/>
                </w:tcPr>
                <w:p>
                  <w:pPr>
                    <w:pStyle w:val="42"/>
                  </w:pPr>
                  <w:r>
                    <w:t>代码</w:t>
                  </w:r>
                </w:p>
              </w:tc>
              <w:tc>
                <w:tcPr>
                  <w:tcW w:w="1344" w:type="dxa"/>
                  <w:vAlign w:val="center"/>
                </w:tcPr>
                <w:p>
                  <w:pPr>
                    <w:pStyle w:val="42"/>
                  </w:pPr>
                  <w:r>
                    <w:t>位置</w:t>
                  </w:r>
                </w:p>
              </w:tc>
              <w:tc>
                <w:tcPr>
                  <w:tcW w:w="1402" w:type="dxa"/>
                  <w:vAlign w:val="center"/>
                </w:tcPr>
                <w:p>
                  <w:pPr>
                    <w:pStyle w:val="42"/>
                  </w:pPr>
                  <w:r>
                    <w:t>占地面积</w:t>
                  </w:r>
                </w:p>
              </w:tc>
              <w:tc>
                <w:tcPr>
                  <w:tcW w:w="1120" w:type="dxa"/>
                  <w:vAlign w:val="center"/>
                </w:tcPr>
                <w:p>
                  <w:pPr>
                    <w:pStyle w:val="42"/>
                  </w:pPr>
                  <w:r>
                    <w:t>储存能力</w:t>
                  </w:r>
                </w:p>
              </w:tc>
              <w:tc>
                <w:tcPr>
                  <w:tcW w:w="1068" w:type="dxa"/>
                  <w:vAlign w:val="center"/>
                </w:tcPr>
                <w:p>
                  <w:pPr>
                    <w:pStyle w:val="42"/>
                  </w:pPr>
                  <w:r>
                    <w:rPr>
                      <w:rFonts w:hint="eastAsia"/>
                    </w:rPr>
                    <w:t>最大</w:t>
                  </w:r>
                  <w:r>
                    <w:t>储存周期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1708" w:type="dxa"/>
                  <w:vAlign w:val="center"/>
                </w:tcPr>
                <w:p>
                  <w:pPr>
                    <w:pStyle w:val="42"/>
                  </w:pPr>
                  <w:r>
                    <w:t>废矿物油</w:t>
                  </w:r>
                </w:p>
              </w:tc>
              <w:tc>
                <w:tcPr>
                  <w:tcW w:w="1034" w:type="dxa"/>
                  <w:vAlign w:val="center"/>
                </w:tcPr>
                <w:p>
                  <w:pPr>
                    <w:pStyle w:val="42"/>
                  </w:pPr>
                  <w:r>
                    <w:t>HW08</w:t>
                  </w:r>
                </w:p>
              </w:tc>
              <w:tc>
                <w:tcPr>
                  <w:tcW w:w="1344" w:type="dxa"/>
                  <w:vAlign w:val="center"/>
                </w:tcPr>
                <w:p>
                  <w:pPr>
                    <w:pStyle w:val="42"/>
                  </w:pPr>
                  <w:r>
                    <w:t>900-249-08</w:t>
                  </w:r>
                </w:p>
              </w:tc>
              <w:tc>
                <w:tcPr>
                  <w:tcW w:w="1344" w:type="dxa"/>
                  <w:vAlign w:val="center"/>
                </w:tcPr>
                <w:p>
                  <w:pPr>
                    <w:pStyle w:val="42"/>
                  </w:pPr>
                  <w:r>
                    <w:t>危废贮存点</w:t>
                  </w:r>
                </w:p>
              </w:tc>
              <w:tc>
                <w:tcPr>
                  <w:tcW w:w="1402" w:type="dxa"/>
                  <w:vAlign w:val="center"/>
                </w:tcPr>
                <w:p>
                  <w:pPr>
                    <w:pStyle w:val="42"/>
                  </w:pPr>
                  <w:r>
                    <w:t>5m</w:t>
                  </w:r>
                  <w:r>
                    <w:rPr>
                      <w:vertAlign w:val="superscript"/>
                    </w:rPr>
                    <w:t>2</w:t>
                  </w:r>
                </w:p>
              </w:tc>
              <w:tc>
                <w:tcPr>
                  <w:tcW w:w="1120" w:type="dxa"/>
                  <w:vAlign w:val="center"/>
                </w:tcPr>
                <w:p>
                  <w:pPr>
                    <w:pStyle w:val="42"/>
                  </w:pPr>
                  <w:r>
                    <w:t>1.5t</w:t>
                  </w:r>
                </w:p>
              </w:tc>
              <w:tc>
                <w:tcPr>
                  <w:tcW w:w="1068" w:type="dxa"/>
                  <w:vAlign w:val="center"/>
                </w:tcPr>
                <w:p>
                  <w:pPr>
                    <w:pStyle w:val="42"/>
                  </w:pPr>
                  <w:r>
                    <w:rPr>
                      <w:rFonts w:hint="eastAsia"/>
                    </w:rPr>
                    <w:t>12</w:t>
                  </w:r>
                  <w: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1708" w:type="dxa"/>
                  <w:vAlign w:val="center"/>
                </w:tcPr>
                <w:p>
                  <w:pPr>
                    <w:pStyle w:val="42"/>
                  </w:pPr>
                  <w:r>
                    <w:t>含油抹布及手套</w:t>
                  </w:r>
                </w:p>
              </w:tc>
              <w:tc>
                <w:tcPr>
                  <w:tcW w:w="1034" w:type="dxa"/>
                  <w:vAlign w:val="center"/>
                </w:tcPr>
                <w:p>
                  <w:pPr>
                    <w:pStyle w:val="42"/>
                  </w:pPr>
                  <w:r>
                    <w:t>HW49</w:t>
                  </w:r>
                </w:p>
              </w:tc>
              <w:tc>
                <w:tcPr>
                  <w:tcW w:w="1344" w:type="dxa"/>
                  <w:vAlign w:val="center"/>
                </w:tcPr>
                <w:p>
                  <w:pPr>
                    <w:pStyle w:val="42"/>
                  </w:pPr>
                  <w:r>
                    <w:t>900-041-49</w:t>
                  </w:r>
                </w:p>
              </w:tc>
              <w:tc>
                <w:tcPr>
                  <w:tcW w:w="1344" w:type="dxa"/>
                  <w:vAlign w:val="center"/>
                </w:tcPr>
                <w:p>
                  <w:pPr>
                    <w:pStyle w:val="42"/>
                  </w:pPr>
                  <w:r>
                    <w:t>危废贮存点</w:t>
                  </w:r>
                </w:p>
              </w:tc>
              <w:tc>
                <w:tcPr>
                  <w:tcW w:w="1402" w:type="dxa"/>
                  <w:vAlign w:val="center"/>
                </w:tcPr>
                <w:p>
                  <w:pPr>
                    <w:pStyle w:val="42"/>
                  </w:pPr>
                  <w:r>
                    <w:rPr>
                      <w:rFonts w:hint="eastAsia"/>
                    </w:rPr>
                    <w:t>1.5</w:t>
                  </w:r>
                  <w:r>
                    <w:t>m</w:t>
                  </w:r>
                  <w:r>
                    <w:rPr>
                      <w:vertAlign w:val="superscript"/>
                    </w:rPr>
                    <w:t>2</w:t>
                  </w:r>
                </w:p>
              </w:tc>
              <w:tc>
                <w:tcPr>
                  <w:tcW w:w="1120" w:type="dxa"/>
                  <w:vAlign w:val="center"/>
                </w:tcPr>
                <w:p>
                  <w:pPr>
                    <w:pStyle w:val="42"/>
                  </w:pPr>
                  <w:r>
                    <w:rPr>
                      <w:rFonts w:hint="eastAsia"/>
                    </w:rPr>
                    <w:t>0</w:t>
                  </w:r>
                  <w:r>
                    <w:t>.3t</w:t>
                  </w:r>
                </w:p>
              </w:tc>
              <w:tc>
                <w:tcPr>
                  <w:tcW w:w="1068" w:type="dxa"/>
                  <w:vAlign w:val="center"/>
                </w:tcPr>
                <w:p>
                  <w:pPr>
                    <w:pStyle w:val="42"/>
                  </w:pPr>
                  <w:r>
                    <w:rPr>
                      <w:rFonts w:hint="eastAsia"/>
                    </w:rPr>
                    <w:t>12</w:t>
                  </w:r>
                  <w: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1708" w:type="dxa"/>
                  <w:vAlign w:val="center"/>
                </w:tcPr>
                <w:p>
                  <w:pPr>
                    <w:pStyle w:val="42"/>
                  </w:pPr>
                  <w:r>
                    <w:rPr>
                      <w:rFonts w:hint="eastAsia"/>
                    </w:rPr>
                    <w:t>含油冷凝液</w:t>
                  </w:r>
                </w:p>
              </w:tc>
              <w:tc>
                <w:tcPr>
                  <w:tcW w:w="1034" w:type="dxa"/>
                  <w:vAlign w:val="center"/>
                </w:tcPr>
                <w:p>
                  <w:pPr>
                    <w:pStyle w:val="42"/>
                  </w:pPr>
                  <w:r>
                    <w:t>HW</w:t>
                  </w:r>
                  <w:r>
                    <w:rPr>
                      <w:rFonts w:hint="eastAsia"/>
                    </w:rPr>
                    <w:t>0</w:t>
                  </w:r>
                  <w:r>
                    <w:t>9</w:t>
                  </w:r>
                </w:p>
              </w:tc>
              <w:tc>
                <w:tcPr>
                  <w:tcW w:w="1344" w:type="dxa"/>
                  <w:vAlign w:val="center"/>
                </w:tcPr>
                <w:p>
                  <w:pPr>
                    <w:pStyle w:val="42"/>
                  </w:pPr>
                  <w:r>
                    <w:t>900-007-09</w:t>
                  </w:r>
                </w:p>
              </w:tc>
              <w:tc>
                <w:tcPr>
                  <w:tcW w:w="1344" w:type="dxa"/>
                  <w:vAlign w:val="center"/>
                </w:tcPr>
                <w:p>
                  <w:pPr>
                    <w:pStyle w:val="42"/>
                  </w:pPr>
                  <w:r>
                    <w:t>危废贮存点</w:t>
                  </w:r>
                </w:p>
              </w:tc>
              <w:tc>
                <w:tcPr>
                  <w:tcW w:w="1402" w:type="dxa"/>
                  <w:vAlign w:val="center"/>
                </w:tcPr>
                <w:p>
                  <w:pPr>
                    <w:pStyle w:val="42"/>
                  </w:pPr>
                  <w:r>
                    <w:rPr>
                      <w:rFonts w:hint="eastAsia"/>
                    </w:rPr>
                    <w:t>0.5</w:t>
                  </w:r>
                  <w:r>
                    <w:t>m</w:t>
                  </w:r>
                  <w:r>
                    <w:rPr>
                      <w:vertAlign w:val="superscript"/>
                    </w:rPr>
                    <w:t>2</w:t>
                  </w:r>
                </w:p>
              </w:tc>
              <w:tc>
                <w:tcPr>
                  <w:tcW w:w="1120" w:type="dxa"/>
                  <w:vAlign w:val="center"/>
                </w:tcPr>
                <w:p>
                  <w:pPr>
                    <w:pStyle w:val="42"/>
                  </w:pPr>
                  <w:r>
                    <w:rPr>
                      <w:rFonts w:hint="eastAsia"/>
                    </w:rPr>
                    <w:t>0.2t</w:t>
                  </w:r>
                </w:p>
              </w:tc>
              <w:tc>
                <w:tcPr>
                  <w:tcW w:w="1068" w:type="dxa"/>
                  <w:vAlign w:val="center"/>
                </w:tcPr>
                <w:p>
                  <w:pPr>
                    <w:pStyle w:val="42"/>
                  </w:pPr>
                  <w:r>
                    <w:rPr>
                      <w:rFonts w:hint="eastAsia"/>
                    </w:rPr>
                    <w:t>12</w:t>
                  </w:r>
                  <w: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1708" w:type="dxa"/>
                  <w:vAlign w:val="center"/>
                </w:tcPr>
                <w:p>
                  <w:pPr>
                    <w:pStyle w:val="42"/>
                  </w:pPr>
                  <w:r>
                    <w:rPr>
                      <w:rFonts w:hint="eastAsia"/>
                    </w:rPr>
                    <w:t>废收集桶</w:t>
                  </w:r>
                </w:p>
              </w:tc>
              <w:tc>
                <w:tcPr>
                  <w:tcW w:w="1034" w:type="dxa"/>
                  <w:vAlign w:val="center"/>
                </w:tcPr>
                <w:p>
                  <w:pPr>
                    <w:pStyle w:val="42"/>
                  </w:pPr>
                  <w:r>
                    <w:t>HW08</w:t>
                  </w:r>
                </w:p>
              </w:tc>
              <w:tc>
                <w:tcPr>
                  <w:tcW w:w="1344" w:type="dxa"/>
                  <w:vAlign w:val="center"/>
                </w:tcPr>
                <w:p>
                  <w:pPr>
                    <w:pStyle w:val="42"/>
                  </w:pPr>
                  <w:r>
                    <w:t>900-249-08</w:t>
                  </w:r>
                </w:p>
              </w:tc>
              <w:tc>
                <w:tcPr>
                  <w:tcW w:w="1344" w:type="dxa"/>
                  <w:vAlign w:val="center"/>
                </w:tcPr>
                <w:p>
                  <w:pPr>
                    <w:pStyle w:val="42"/>
                  </w:pPr>
                  <w:r>
                    <w:t>危废贮存点</w:t>
                  </w:r>
                </w:p>
              </w:tc>
              <w:tc>
                <w:tcPr>
                  <w:tcW w:w="1402" w:type="dxa"/>
                  <w:vAlign w:val="center"/>
                </w:tcPr>
                <w:p>
                  <w:pPr>
                    <w:pStyle w:val="42"/>
                  </w:pPr>
                  <w:r>
                    <w:rPr>
                      <w:rFonts w:hint="eastAsia"/>
                    </w:rPr>
                    <w:t>/</w:t>
                  </w:r>
                </w:p>
              </w:tc>
              <w:tc>
                <w:tcPr>
                  <w:tcW w:w="1120" w:type="dxa"/>
                  <w:vAlign w:val="center"/>
                </w:tcPr>
                <w:p>
                  <w:pPr>
                    <w:pStyle w:val="42"/>
                  </w:pPr>
                  <w:r>
                    <w:rPr>
                      <w:rFonts w:hint="eastAsia"/>
                    </w:rPr>
                    <w:t>0.3</w:t>
                  </w:r>
                  <w:r>
                    <w:t>t</w:t>
                  </w:r>
                </w:p>
              </w:tc>
              <w:tc>
                <w:tcPr>
                  <w:tcW w:w="1068" w:type="dxa"/>
                  <w:vAlign w:val="center"/>
                </w:tcPr>
                <w:p>
                  <w:pPr>
                    <w:pStyle w:val="42"/>
                  </w:pPr>
                  <w:r>
                    <w:rPr>
                      <w:rFonts w:hint="eastAsia"/>
                    </w:rPr>
                    <w:t>12</w:t>
                  </w:r>
                  <w:r>
                    <w:t>个月</w:t>
                  </w:r>
                </w:p>
              </w:tc>
            </w:tr>
          </w:tbl>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③</w:t>
            </w:r>
            <w:r>
              <w:rPr>
                <w:rFonts w:ascii="宋体" w:hAnsi="宋体" w:cs="宋体"/>
                <w:sz w:val="24"/>
              </w:rPr>
              <w:t>灰渣</w:t>
            </w:r>
          </w:p>
          <w:p>
            <w:pPr>
              <w:adjustRightInd w:val="0"/>
              <w:snapToGrid w:val="0"/>
              <w:spacing w:line="360" w:lineRule="auto"/>
              <w:ind w:firstLine="480" w:firstLineChars="200"/>
              <w:rPr>
                <w:rFonts w:hint="eastAsia" w:ascii="宋体" w:hAnsi="宋体" w:cs="宋体"/>
                <w:sz w:val="24"/>
              </w:rPr>
            </w:pPr>
            <w:r>
              <w:rPr>
                <w:color w:val="0000FF"/>
                <w:sz w:val="24"/>
              </w:rPr>
              <w:t>根据</w:t>
            </w:r>
            <w:r>
              <w:rPr>
                <w:rFonts w:hint="eastAsia"/>
                <w:color w:val="0000FF"/>
                <w:sz w:val="24"/>
              </w:rPr>
              <w:t>前文物料衡算</w:t>
            </w:r>
            <w:r>
              <w:rPr>
                <w:color w:val="0000FF"/>
                <w:sz w:val="24"/>
              </w:rPr>
              <w:t>，项目</w:t>
            </w:r>
            <w:r>
              <w:rPr>
                <w:rFonts w:hint="eastAsia"/>
                <w:color w:val="0000FF"/>
                <w:sz w:val="24"/>
              </w:rPr>
              <w:t>开采</w:t>
            </w:r>
            <w:r>
              <w:rPr>
                <w:color w:val="0000FF"/>
                <w:sz w:val="24"/>
              </w:rPr>
              <w:t>期布袋除尘器</w:t>
            </w:r>
            <w:r>
              <w:rPr>
                <w:rFonts w:hint="eastAsia"/>
                <w:color w:val="0000FF"/>
                <w:sz w:val="24"/>
              </w:rPr>
              <w:t>及加工区室内清扫获取</w:t>
            </w:r>
            <w:r>
              <w:rPr>
                <w:color w:val="0000FF"/>
                <w:sz w:val="24"/>
              </w:rPr>
              <w:t>灰渣量为296.844</w:t>
            </w:r>
            <w:r>
              <w:rPr>
                <w:sz w:val="24"/>
              </w:rPr>
              <w:t>t/a，灰渣</w:t>
            </w:r>
            <w:r>
              <w:rPr>
                <w:rFonts w:hint="eastAsia"/>
                <w:sz w:val="24"/>
              </w:rPr>
              <w:t>也为石灰岩矿粉，可</w:t>
            </w:r>
            <w:r>
              <w:rPr>
                <w:rFonts w:hint="eastAsia"/>
                <w:color w:val="0000FF"/>
                <w:sz w:val="24"/>
              </w:rPr>
              <w:t>掺入粗砂作产品外卖</w:t>
            </w:r>
            <w:r>
              <w:rPr>
                <w:sz w:val="24"/>
              </w:rPr>
              <w:t>，不外排。</w:t>
            </w:r>
          </w:p>
          <w:p>
            <w:pPr>
              <w:adjustRightInd w:val="0"/>
              <w:snapToGrid w:val="0"/>
              <w:spacing w:line="360" w:lineRule="auto"/>
              <w:ind w:firstLine="480" w:firstLineChars="200"/>
              <w:rPr>
                <w:sz w:val="24"/>
              </w:rPr>
            </w:pPr>
            <w:r>
              <w:rPr>
                <w:rFonts w:hint="eastAsia" w:ascii="宋体" w:hAnsi="宋体" w:cs="宋体"/>
                <w:sz w:val="24"/>
              </w:rPr>
              <w:t>④</w:t>
            </w:r>
            <w:r>
              <w:rPr>
                <w:sz w:val="24"/>
              </w:rPr>
              <w:t>生活垃圾</w:t>
            </w:r>
          </w:p>
          <w:p>
            <w:pPr>
              <w:adjustRightInd w:val="0"/>
              <w:snapToGrid w:val="0"/>
              <w:spacing w:line="360" w:lineRule="auto"/>
              <w:ind w:firstLine="480" w:firstLineChars="200"/>
              <w:rPr>
                <w:sz w:val="24"/>
              </w:rPr>
            </w:pPr>
            <w:r>
              <w:rPr>
                <w:sz w:val="24"/>
              </w:rPr>
              <w:t>项目职工人员为15人，其生活垃圾产生量按0.5kg/人·d计算，则生活垃圾产生总量约为2.25t/a。项目</w:t>
            </w:r>
            <w:r>
              <w:rPr>
                <w:rFonts w:hint="eastAsia"/>
                <w:sz w:val="24"/>
              </w:rPr>
              <w:t>办公楼配置若干垃圾桶</w:t>
            </w:r>
            <w:r>
              <w:rPr>
                <w:sz w:val="24"/>
              </w:rPr>
              <w:t>对员工生活垃圾进行集中收集，定期交由当地的环卫部门统一处置。</w:t>
            </w:r>
          </w:p>
          <w:p>
            <w:pPr>
              <w:adjustRightInd w:val="0"/>
              <w:snapToGrid w:val="0"/>
              <w:spacing w:line="360" w:lineRule="auto"/>
              <w:ind w:firstLine="480" w:firstLineChars="200"/>
              <w:rPr>
                <w:sz w:val="24"/>
              </w:rPr>
            </w:pPr>
            <w:r>
              <w:rPr>
                <w:rFonts w:hint="eastAsia" w:ascii="宋体" w:hAnsi="宋体" w:cs="宋体"/>
                <w:sz w:val="24"/>
              </w:rPr>
              <w:t>⑤</w:t>
            </w:r>
            <w:r>
              <w:rPr>
                <w:rFonts w:hint="eastAsia"/>
                <w:sz w:val="24"/>
              </w:rPr>
              <w:t>其他</w:t>
            </w:r>
          </w:p>
          <w:p>
            <w:pPr>
              <w:adjustRightInd w:val="0"/>
              <w:snapToGrid w:val="0"/>
              <w:spacing w:line="360" w:lineRule="auto"/>
              <w:ind w:firstLine="480" w:firstLineChars="200"/>
              <w:rPr>
                <w:sz w:val="24"/>
              </w:rPr>
            </w:pPr>
            <w:r>
              <w:rPr>
                <w:sz w:val="24"/>
              </w:rPr>
              <w:t>除此之外，雨水沉淀池</w:t>
            </w:r>
            <w:r>
              <w:rPr>
                <w:rFonts w:hint="eastAsia"/>
                <w:sz w:val="24"/>
              </w:rPr>
              <w:t>、沉砂凼</w:t>
            </w:r>
            <w:r>
              <w:rPr>
                <w:sz w:val="24"/>
              </w:rPr>
              <w:t>还有少量的泥沙，产生量约</w:t>
            </w:r>
            <w:r>
              <w:rPr>
                <w:rFonts w:hint="eastAsia"/>
                <w:sz w:val="24"/>
              </w:rPr>
              <w:t>5.0</w:t>
            </w:r>
            <w:r>
              <w:rPr>
                <w:sz w:val="24"/>
              </w:rPr>
              <w:t>t/a，定期清掏干化后于排土场分区暂存，闭矿期用于采空区回填</w:t>
            </w:r>
            <w:r>
              <w:rPr>
                <w:rFonts w:hint="eastAsia"/>
                <w:sz w:val="24"/>
              </w:rPr>
              <w:t>。</w:t>
            </w:r>
          </w:p>
          <w:p>
            <w:pPr>
              <w:adjustRightInd w:val="0"/>
              <w:snapToGrid w:val="0"/>
              <w:spacing w:line="360" w:lineRule="auto"/>
              <w:ind w:firstLine="480" w:firstLineChars="200"/>
              <w:rPr>
                <w:sz w:val="24"/>
              </w:rPr>
            </w:pPr>
            <w:r>
              <w:rPr>
                <w:bCs/>
                <w:sz w:val="24"/>
              </w:rPr>
              <w:t>拟建项目固废产生情况见表4-2</w:t>
            </w:r>
            <w:r>
              <w:rPr>
                <w:rFonts w:hint="eastAsia"/>
                <w:bCs/>
                <w:sz w:val="24"/>
              </w:rPr>
              <w:t>6</w:t>
            </w:r>
            <w:r>
              <w:rPr>
                <w:bCs/>
                <w:sz w:val="24"/>
              </w:rPr>
              <w:t>。</w:t>
            </w:r>
          </w:p>
          <w:p>
            <w:pPr>
              <w:adjustRightInd w:val="0"/>
              <w:snapToGrid w:val="0"/>
              <w:jc w:val="center"/>
              <w:rPr>
                <w:b/>
                <w:sz w:val="24"/>
              </w:rPr>
            </w:pPr>
            <w:r>
              <w:rPr>
                <w:b/>
                <w:sz w:val="24"/>
              </w:rPr>
              <w:t>表4-2</w:t>
            </w:r>
            <w:r>
              <w:rPr>
                <w:rFonts w:hint="eastAsia"/>
                <w:b/>
                <w:sz w:val="24"/>
              </w:rPr>
              <w:t>6</w:t>
            </w:r>
            <w:r>
              <w:rPr>
                <w:b/>
                <w:sz w:val="24"/>
              </w:rPr>
              <w:t xml:space="preserve">  运营期固废产生情况汇总表</w:t>
            </w:r>
          </w:p>
          <w:tbl>
            <w:tblPr>
              <w:tblStyle w:val="15"/>
              <w:tblW w:w="9010"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731"/>
              <w:gridCol w:w="1352"/>
              <w:gridCol w:w="569"/>
              <w:gridCol w:w="993"/>
              <w:gridCol w:w="1272"/>
              <w:gridCol w:w="3388"/>
              <w:gridCol w:w="705"/>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blHeader/>
              </w:trPr>
              <w:tc>
                <w:tcPr>
                  <w:tcW w:w="731" w:type="dxa"/>
                  <w:vAlign w:val="center"/>
                </w:tcPr>
                <w:p>
                  <w:pPr>
                    <w:pStyle w:val="42"/>
                  </w:pPr>
                  <w:r>
                    <w:t>固废类别</w:t>
                  </w:r>
                </w:p>
              </w:tc>
              <w:tc>
                <w:tcPr>
                  <w:tcW w:w="1352" w:type="dxa"/>
                  <w:vAlign w:val="center"/>
                </w:tcPr>
                <w:p>
                  <w:pPr>
                    <w:pStyle w:val="42"/>
                  </w:pPr>
                  <w:r>
                    <w:t>污染源</w:t>
                  </w:r>
                </w:p>
              </w:tc>
              <w:tc>
                <w:tcPr>
                  <w:tcW w:w="1562" w:type="dxa"/>
                  <w:gridSpan w:val="2"/>
                  <w:vAlign w:val="center"/>
                </w:tcPr>
                <w:p>
                  <w:pPr>
                    <w:pStyle w:val="42"/>
                  </w:pPr>
                  <w:r>
                    <w:t>污染因子</w:t>
                  </w:r>
                </w:p>
              </w:tc>
              <w:tc>
                <w:tcPr>
                  <w:tcW w:w="1272" w:type="dxa"/>
                  <w:vAlign w:val="center"/>
                </w:tcPr>
                <w:p>
                  <w:pPr>
                    <w:pStyle w:val="42"/>
                  </w:pPr>
                  <w:r>
                    <w:t>产生量</w:t>
                  </w:r>
                </w:p>
              </w:tc>
              <w:tc>
                <w:tcPr>
                  <w:tcW w:w="3388" w:type="dxa"/>
                  <w:vAlign w:val="center"/>
                </w:tcPr>
                <w:p>
                  <w:pPr>
                    <w:pStyle w:val="42"/>
                  </w:pPr>
                  <w:r>
                    <w:t>污染防治措施</w:t>
                  </w:r>
                </w:p>
              </w:tc>
              <w:tc>
                <w:tcPr>
                  <w:tcW w:w="705" w:type="dxa"/>
                  <w:vAlign w:val="center"/>
                </w:tcPr>
                <w:p>
                  <w:pPr>
                    <w:pStyle w:val="42"/>
                  </w:pPr>
                  <w:r>
                    <w:t>排放量</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985" w:hRule="atLeast"/>
              </w:trPr>
              <w:tc>
                <w:tcPr>
                  <w:tcW w:w="731" w:type="dxa"/>
                  <w:vMerge w:val="restart"/>
                  <w:vAlign w:val="center"/>
                </w:tcPr>
                <w:p>
                  <w:pPr>
                    <w:pStyle w:val="42"/>
                  </w:pPr>
                  <w:r>
                    <w:t>一般工业固废</w:t>
                  </w:r>
                </w:p>
              </w:tc>
              <w:tc>
                <w:tcPr>
                  <w:tcW w:w="1352" w:type="dxa"/>
                  <w:vMerge w:val="restart"/>
                  <w:vAlign w:val="center"/>
                </w:tcPr>
                <w:p>
                  <w:pPr>
                    <w:pStyle w:val="42"/>
                  </w:pPr>
                  <w:r>
                    <w:t>矿山剥离物</w:t>
                  </w:r>
                </w:p>
              </w:tc>
              <w:tc>
                <w:tcPr>
                  <w:tcW w:w="569" w:type="dxa"/>
                  <w:vMerge w:val="restart"/>
                  <w:tcBorders>
                    <w:right w:val="single" w:color="auto" w:sz="4" w:space="0"/>
                  </w:tcBorders>
                  <w:vAlign w:val="center"/>
                </w:tcPr>
                <w:p>
                  <w:pPr>
                    <w:pStyle w:val="42"/>
                    <w:rPr>
                      <w:color w:val="0000FF"/>
                    </w:rPr>
                  </w:pPr>
                  <w:r>
                    <w:rPr>
                      <w:color w:val="0000FF"/>
                    </w:rPr>
                    <w:t>表层土</w:t>
                  </w:r>
                </w:p>
              </w:tc>
              <w:tc>
                <w:tcPr>
                  <w:tcW w:w="993" w:type="dxa"/>
                  <w:tcBorders>
                    <w:left w:val="single" w:color="auto" w:sz="4" w:space="0"/>
                  </w:tcBorders>
                  <w:vAlign w:val="center"/>
                </w:tcPr>
                <w:p>
                  <w:pPr>
                    <w:pStyle w:val="42"/>
                    <w:rPr>
                      <w:color w:val="0000FF"/>
                    </w:rPr>
                  </w:pPr>
                  <w:r>
                    <w:rPr>
                      <w:rFonts w:hint="eastAsia"/>
                      <w:color w:val="0000FF"/>
                    </w:rPr>
                    <w:t>耕作层</w:t>
                  </w:r>
                </w:p>
              </w:tc>
              <w:tc>
                <w:tcPr>
                  <w:tcW w:w="1272" w:type="dxa"/>
                  <w:vAlign w:val="center"/>
                </w:tcPr>
                <w:p>
                  <w:pPr>
                    <w:pStyle w:val="42"/>
                    <w:rPr>
                      <w:color w:val="0000FF"/>
                    </w:rPr>
                  </w:pPr>
                  <w:r>
                    <w:rPr>
                      <w:rFonts w:hint="eastAsia"/>
                      <w:color w:val="0000FF"/>
                    </w:rPr>
                    <w:t>1833</w:t>
                  </w:r>
                  <w:r>
                    <w:rPr>
                      <w:color w:val="0000FF"/>
                    </w:rPr>
                    <w:t>m</w:t>
                  </w:r>
                  <w:r>
                    <w:rPr>
                      <w:rFonts w:hint="eastAsia"/>
                      <w:color w:val="0000FF"/>
                      <w:vertAlign w:val="superscript"/>
                    </w:rPr>
                    <w:t>3</w:t>
                  </w:r>
                  <w:r>
                    <w:rPr>
                      <w:color w:val="0000FF"/>
                    </w:rPr>
                    <w:t>/a</w:t>
                  </w:r>
                </w:p>
                <w:p>
                  <w:pPr>
                    <w:pStyle w:val="42"/>
                  </w:pPr>
                  <w:r>
                    <w:rPr>
                      <w:rFonts w:hint="eastAsia"/>
                      <w:color w:val="0000FF"/>
                    </w:rPr>
                    <w:t>（1310t</w:t>
                  </w:r>
                  <w:r>
                    <w:rPr>
                      <w:color w:val="0000FF"/>
                    </w:rPr>
                    <w:t>/a</w:t>
                  </w:r>
                  <w:r>
                    <w:rPr>
                      <w:rFonts w:hint="eastAsia"/>
                      <w:color w:val="0000FF"/>
                    </w:rPr>
                    <w:t>）</w:t>
                  </w:r>
                </w:p>
              </w:tc>
              <w:tc>
                <w:tcPr>
                  <w:tcW w:w="3388" w:type="dxa"/>
                  <w:vMerge w:val="restart"/>
                  <w:vAlign w:val="center"/>
                </w:tcPr>
                <w:p>
                  <w:pPr>
                    <w:pStyle w:val="42"/>
                    <w:rPr>
                      <w:color w:val="0000FF"/>
                    </w:rPr>
                  </w:pPr>
                  <w:r>
                    <w:rPr>
                      <w:color w:val="0000FF"/>
                    </w:rPr>
                    <w:t>采区</w:t>
                  </w:r>
                  <w:r>
                    <w:rPr>
                      <w:rFonts w:hint="eastAsia"/>
                      <w:color w:val="0000FF"/>
                    </w:rPr>
                    <w:t>采用“边开采、边复垦”的方式进行开采，第1台阶剥离</w:t>
                  </w:r>
                  <w:r>
                    <w:rPr>
                      <w:color w:val="0000FF"/>
                    </w:rPr>
                    <w:t>表土</w:t>
                  </w:r>
                  <w:r>
                    <w:rPr>
                      <w:rFonts w:hint="eastAsia"/>
                      <w:color w:val="0000FF"/>
                    </w:rPr>
                    <w:t>层中耕作层、心土层分开剥离后，</w:t>
                  </w:r>
                  <w:r>
                    <w:rPr>
                      <w:color w:val="0000FF"/>
                    </w:rPr>
                    <w:t>由车辆运至排土场</w:t>
                  </w:r>
                  <w:r>
                    <w:rPr>
                      <w:rFonts w:hint="eastAsia"/>
                      <w:color w:val="0000FF"/>
                    </w:rPr>
                    <w:t>内</w:t>
                  </w:r>
                  <w:r>
                    <w:rPr>
                      <w:color w:val="0000FF"/>
                    </w:rPr>
                    <w:t>临时分区堆存；</w:t>
                  </w:r>
                  <w:r>
                    <w:rPr>
                      <w:rFonts w:hint="eastAsia"/>
                      <w:color w:val="0000FF"/>
                    </w:rPr>
                    <w:t>第1台阶剥离</w:t>
                  </w:r>
                  <w:r>
                    <w:rPr>
                      <w:color w:val="0000FF"/>
                    </w:rPr>
                    <w:t>风化废石由车辆运至弃渣场</w:t>
                  </w:r>
                  <w:r>
                    <w:rPr>
                      <w:rFonts w:hint="eastAsia"/>
                      <w:color w:val="0000FF"/>
                    </w:rPr>
                    <w:t>内</w:t>
                  </w:r>
                  <w:r>
                    <w:rPr>
                      <w:color w:val="0000FF"/>
                    </w:rPr>
                    <w:t>临时堆存</w:t>
                  </w:r>
                  <w:r>
                    <w:rPr>
                      <w:rFonts w:hint="eastAsia"/>
                      <w:color w:val="0000FF"/>
                    </w:rPr>
                    <w:t>。第2~5台阶剥离</w:t>
                  </w:r>
                  <w:r>
                    <w:rPr>
                      <w:color w:val="0000FF"/>
                    </w:rPr>
                    <w:t>表土</w:t>
                  </w:r>
                  <w:r>
                    <w:rPr>
                      <w:rFonts w:hint="eastAsia"/>
                      <w:color w:val="0000FF"/>
                    </w:rPr>
                    <w:t>层（耕作层、心土层）</w:t>
                  </w:r>
                  <w:r>
                    <w:rPr>
                      <w:color w:val="0000FF"/>
                    </w:rPr>
                    <w:t>、风化废石</w:t>
                  </w:r>
                  <w:r>
                    <w:rPr>
                      <w:rFonts w:hint="eastAsia"/>
                      <w:color w:val="0000FF"/>
                    </w:rPr>
                    <w:t>均优先运至上一台阶绿化覆土（由下至上分别摊铺风化废石、心土层、耕作层），余方再分别</w:t>
                  </w:r>
                  <w:r>
                    <w:rPr>
                      <w:color w:val="0000FF"/>
                    </w:rPr>
                    <w:t>运至</w:t>
                  </w:r>
                  <w:r>
                    <w:rPr>
                      <w:rFonts w:hint="eastAsia"/>
                      <w:color w:val="0000FF"/>
                    </w:rPr>
                    <w:t>排土场、弃渣场内</w:t>
                  </w:r>
                  <w:r>
                    <w:rPr>
                      <w:color w:val="0000FF"/>
                    </w:rPr>
                    <w:t>临时堆存</w:t>
                  </w:r>
                  <w:r>
                    <w:rPr>
                      <w:rFonts w:hint="eastAsia"/>
                      <w:color w:val="0000FF"/>
                    </w:rPr>
                    <w:t>，</w:t>
                  </w:r>
                  <w:r>
                    <w:rPr>
                      <w:color w:val="0000FF"/>
                    </w:rPr>
                    <w:t>闭矿期</w:t>
                  </w:r>
                  <w:r>
                    <w:rPr>
                      <w:rFonts w:hint="eastAsia"/>
                      <w:color w:val="0000FF"/>
                    </w:rPr>
                    <w:t>再</w:t>
                  </w:r>
                  <w:r>
                    <w:rPr>
                      <w:color w:val="0000FF"/>
                    </w:rPr>
                    <w:t>用于</w:t>
                  </w:r>
                  <w:r>
                    <w:rPr>
                      <w:rFonts w:hint="eastAsia"/>
                      <w:color w:val="0000FF"/>
                    </w:rPr>
                    <w:t>全厂绿化复垦。</w:t>
                  </w:r>
                </w:p>
              </w:tc>
              <w:tc>
                <w:tcPr>
                  <w:tcW w:w="705" w:type="dxa"/>
                  <w:vAlign w:val="center"/>
                </w:tcPr>
                <w:p>
                  <w:pPr>
                    <w:pStyle w:val="42"/>
                    <w:rPr>
                      <w:color w:val="0000FF"/>
                    </w:rPr>
                  </w:pPr>
                  <w:r>
                    <w:rPr>
                      <w:color w:val="0000FF"/>
                    </w:rP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31" w:type="dxa"/>
                  <w:vMerge w:val="continue"/>
                  <w:vAlign w:val="center"/>
                </w:tcPr>
                <w:p>
                  <w:pPr>
                    <w:pStyle w:val="42"/>
                  </w:pPr>
                </w:p>
              </w:tc>
              <w:tc>
                <w:tcPr>
                  <w:tcW w:w="1352" w:type="dxa"/>
                  <w:vMerge w:val="continue"/>
                  <w:vAlign w:val="center"/>
                </w:tcPr>
                <w:p>
                  <w:pPr>
                    <w:pStyle w:val="42"/>
                  </w:pPr>
                </w:p>
              </w:tc>
              <w:tc>
                <w:tcPr>
                  <w:tcW w:w="569" w:type="dxa"/>
                  <w:vMerge w:val="continue"/>
                  <w:tcBorders>
                    <w:right w:val="single" w:color="auto" w:sz="4" w:space="0"/>
                  </w:tcBorders>
                  <w:vAlign w:val="center"/>
                </w:tcPr>
                <w:p>
                  <w:pPr>
                    <w:pStyle w:val="42"/>
                    <w:rPr>
                      <w:color w:val="0000FF"/>
                    </w:rPr>
                  </w:pPr>
                </w:p>
              </w:tc>
              <w:tc>
                <w:tcPr>
                  <w:tcW w:w="993" w:type="dxa"/>
                  <w:tcBorders>
                    <w:left w:val="single" w:color="auto" w:sz="4" w:space="0"/>
                  </w:tcBorders>
                  <w:vAlign w:val="center"/>
                </w:tcPr>
                <w:p>
                  <w:pPr>
                    <w:pStyle w:val="42"/>
                    <w:rPr>
                      <w:color w:val="0000FF"/>
                    </w:rPr>
                  </w:pPr>
                  <w:r>
                    <w:rPr>
                      <w:rFonts w:hint="eastAsia"/>
                      <w:color w:val="0000FF"/>
                    </w:rPr>
                    <w:t>心土层</w:t>
                  </w:r>
                </w:p>
              </w:tc>
              <w:tc>
                <w:tcPr>
                  <w:tcW w:w="1272" w:type="dxa"/>
                  <w:vAlign w:val="center"/>
                </w:tcPr>
                <w:p>
                  <w:pPr>
                    <w:pStyle w:val="42"/>
                    <w:rPr>
                      <w:color w:val="0000FF"/>
                    </w:rPr>
                  </w:pPr>
                  <w:r>
                    <w:rPr>
                      <w:rFonts w:hint="eastAsia"/>
                      <w:color w:val="0000FF"/>
                    </w:rPr>
                    <w:t>7334</w:t>
                  </w:r>
                  <w:r>
                    <w:rPr>
                      <w:color w:val="0000FF"/>
                    </w:rPr>
                    <w:t>m</w:t>
                  </w:r>
                  <w:r>
                    <w:rPr>
                      <w:rFonts w:hint="eastAsia"/>
                      <w:color w:val="0000FF"/>
                      <w:vertAlign w:val="superscript"/>
                    </w:rPr>
                    <w:t>3</w:t>
                  </w:r>
                  <w:r>
                    <w:rPr>
                      <w:color w:val="0000FF"/>
                    </w:rPr>
                    <w:t>/a</w:t>
                  </w:r>
                </w:p>
                <w:p>
                  <w:pPr>
                    <w:pStyle w:val="42"/>
                  </w:pPr>
                  <w:r>
                    <w:rPr>
                      <w:rFonts w:hint="eastAsia"/>
                      <w:color w:val="0000FF"/>
                    </w:rPr>
                    <w:t>（5238t</w:t>
                  </w:r>
                  <w:r>
                    <w:rPr>
                      <w:color w:val="0000FF"/>
                    </w:rPr>
                    <w:t>/a</w:t>
                  </w:r>
                  <w:r>
                    <w:rPr>
                      <w:rFonts w:hint="eastAsia"/>
                      <w:color w:val="0000FF"/>
                    </w:rPr>
                    <w:t>）</w:t>
                  </w:r>
                </w:p>
              </w:tc>
              <w:tc>
                <w:tcPr>
                  <w:tcW w:w="3388" w:type="dxa"/>
                  <w:vMerge w:val="continue"/>
                  <w:vAlign w:val="center"/>
                </w:tcPr>
                <w:p>
                  <w:pPr>
                    <w:pStyle w:val="42"/>
                  </w:pPr>
                </w:p>
              </w:tc>
              <w:tc>
                <w:tcPr>
                  <w:tcW w:w="705" w:type="dxa"/>
                  <w:vAlign w:val="center"/>
                </w:tcPr>
                <w:p>
                  <w:pPr>
                    <w:pStyle w:val="42"/>
                    <w:rPr>
                      <w:color w:val="0000FF"/>
                    </w:rPr>
                  </w:pPr>
                  <w:r>
                    <w:rPr>
                      <w:color w:val="0000FF"/>
                    </w:rP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31" w:type="dxa"/>
                  <w:vMerge w:val="continue"/>
                  <w:vAlign w:val="center"/>
                </w:tcPr>
                <w:p>
                  <w:pPr>
                    <w:pStyle w:val="42"/>
                  </w:pPr>
                </w:p>
              </w:tc>
              <w:tc>
                <w:tcPr>
                  <w:tcW w:w="1352" w:type="dxa"/>
                  <w:vMerge w:val="continue"/>
                  <w:vAlign w:val="center"/>
                </w:tcPr>
                <w:p>
                  <w:pPr>
                    <w:pStyle w:val="42"/>
                  </w:pPr>
                </w:p>
              </w:tc>
              <w:tc>
                <w:tcPr>
                  <w:tcW w:w="1562" w:type="dxa"/>
                  <w:gridSpan w:val="2"/>
                  <w:vAlign w:val="center"/>
                </w:tcPr>
                <w:p>
                  <w:pPr>
                    <w:pStyle w:val="42"/>
                    <w:rPr>
                      <w:color w:val="0000FF"/>
                    </w:rPr>
                  </w:pPr>
                  <w:r>
                    <w:rPr>
                      <w:rFonts w:hint="eastAsia"/>
                      <w:color w:val="0000FF"/>
                    </w:rPr>
                    <w:t>风化废石</w:t>
                  </w:r>
                </w:p>
              </w:tc>
              <w:tc>
                <w:tcPr>
                  <w:tcW w:w="1272" w:type="dxa"/>
                  <w:vAlign w:val="center"/>
                </w:tcPr>
                <w:p>
                  <w:pPr>
                    <w:pStyle w:val="42"/>
                    <w:rPr>
                      <w:color w:val="0000FF"/>
                    </w:rPr>
                  </w:pPr>
                  <w:r>
                    <w:rPr>
                      <w:rFonts w:hint="eastAsia"/>
                      <w:color w:val="0000FF"/>
                    </w:rPr>
                    <w:t>917</w:t>
                  </w:r>
                  <w:r>
                    <w:rPr>
                      <w:color w:val="0000FF"/>
                    </w:rPr>
                    <w:t>m</w:t>
                  </w:r>
                  <w:r>
                    <w:rPr>
                      <w:color w:val="0000FF"/>
                      <w:vertAlign w:val="superscript"/>
                    </w:rPr>
                    <w:t>3</w:t>
                  </w:r>
                  <w:r>
                    <w:rPr>
                      <w:color w:val="0000FF"/>
                    </w:rPr>
                    <w:t>/a</w:t>
                  </w:r>
                </w:p>
                <w:p>
                  <w:pPr>
                    <w:pStyle w:val="42"/>
                    <w:rPr>
                      <w:color w:val="0000FF"/>
                    </w:rPr>
                  </w:pPr>
                  <w:r>
                    <w:rPr>
                      <w:color w:val="0000FF"/>
                    </w:rPr>
                    <w:t>（</w:t>
                  </w:r>
                  <w:r>
                    <w:rPr>
                      <w:rFonts w:hint="eastAsia"/>
                      <w:color w:val="0000FF"/>
                    </w:rPr>
                    <w:t>2292</w:t>
                  </w:r>
                  <w:r>
                    <w:rPr>
                      <w:color w:val="0000FF"/>
                    </w:rPr>
                    <w:t>t/a）</w:t>
                  </w:r>
                </w:p>
              </w:tc>
              <w:tc>
                <w:tcPr>
                  <w:tcW w:w="3388" w:type="dxa"/>
                  <w:vMerge w:val="continue"/>
                  <w:vAlign w:val="center"/>
                </w:tcPr>
                <w:p>
                  <w:pPr>
                    <w:pStyle w:val="42"/>
                    <w:rPr>
                      <w:color w:val="0000FF"/>
                    </w:rPr>
                  </w:pPr>
                </w:p>
              </w:tc>
              <w:tc>
                <w:tcPr>
                  <w:tcW w:w="705" w:type="dxa"/>
                  <w:vAlign w:val="center"/>
                </w:tcPr>
                <w:p>
                  <w:pPr>
                    <w:pStyle w:val="42"/>
                    <w:rPr>
                      <w:color w:val="0000FF"/>
                    </w:rPr>
                  </w:pPr>
                  <w:r>
                    <w:rPr>
                      <w:color w:val="0000FF"/>
                    </w:rP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31" w:type="dxa"/>
                  <w:vMerge w:val="continue"/>
                  <w:vAlign w:val="center"/>
                </w:tcPr>
                <w:p>
                  <w:pPr>
                    <w:pStyle w:val="42"/>
                  </w:pPr>
                </w:p>
              </w:tc>
              <w:tc>
                <w:tcPr>
                  <w:tcW w:w="1352" w:type="dxa"/>
                  <w:vAlign w:val="center"/>
                </w:tcPr>
                <w:p>
                  <w:pPr>
                    <w:pStyle w:val="42"/>
                  </w:pPr>
                  <w:r>
                    <w:rPr>
                      <w:rFonts w:hint="eastAsia"/>
                    </w:rPr>
                    <w:t>灰渣</w:t>
                  </w:r>
                </w:p>
              </w:tc>
              <w:tc>
                <w:tcPr>
                  <w:tcW w:w="1562" w:type="dxa"/>
                  <w:gridSpan w:val="2"/>
                  <w:vAlign w:val="center"/>
                </w:tcPr>
                <w:p>
                  <w:pPr>
                    <w:pStyle w:val="42"/>
                  </w:pPr>
                  <w:r>
                    <w:rPr>
                      <w:rFonts w:hint="eastAsia"/>
                    </w:rPr>
                    <w:t>除尘灰</w:t>
                  </w:r>
                </w:p>
              </w:tc>
              <w:tc>
                <w:tcPr>
                  <w:tcW w:w="1272" w:type="dxa"/>
                  <w:vAlign w:val="center"/>
                </w:tcPr>
                <w:p>
                  <w:pPr>
                    <w:pStyle w:val="42"/>
                  </w:pPr>
                  <w:r>
                    <w:rPr>
                      <w:color w:val="0000FF"/>
                    </w:rPr>
                    <w:t>296.844</w:t>
                  </w:r>
                  <w:r>
                    <w:t>t/a</w:t>
                  </w:r>
                </w:p>
              </w:tc>
              <w:tc>
                <w:tcPr>
                  <w:tcW w:w="3388" w:type="dxa"/>
                  <w:vAlign w:val="center"/>
                </w:tcPr>
                <w:p>
                  <w:pPr>
                    <w:pStyle w:val="42"/>
                  </w:pPr>
                  <w:r>
                    <w:rPr>
                      <w:color w:val="0000FF"/>
                    </w:rPr>
                    <w:t>掺入粗砂作产品外卖</w:t>
                  </w:r>
                  <w:r>
                    <w:rPr>
                      <w:rFonts w:hint="eastAsia"/>
                    </w:rPr>
                    <w:t>。</w:t>
                  </w:r>
                </w:p>
              </w:tc>
              <w:tc>
                <w:tcPr>
                  <w:tcW w:w="705" w:type="dxa"/>
                  <w:vAlign w:val="center"/>
                </w:tcPr>
                <w:p>
                  <w:pPr>
                    <w:pStyle w:val="42"/>
                  </w:pPr>
                  <w:r>
                    <w:rPr>
                      <w:rFonts w:hint="eastAsia"/>
                    </w:rP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31" w:type="dxa"/>
                  <w:vMerge w:val="continue"/>
                  <w:vAlign w:val="center"/>
                </w:tcPr>
                <w:p>
                  <w:pPr>
                    <w:pStyle w:val="42"/>
                  </w:pPr>
                </w:p>
              </w:tc>
              <w:tc>
                <w:tcPr>
                  <w:tcW w:w="1352" w:type="dxa"/>
                  <w:vAlign w:val="center"/>
                </w:tcPr>
                <w:p>
                  <w:pPr>
                    <w:pStyle w:val="42"/>
                  </w:pPr>
                  <w:r>
                    <w:rPr>
                      <w:rFonts w:hint="eastAsia"/>
                    </w:rPr>
                    <w:t>泥沙</w:t>
                  </w:r>
                </w:p>
              </w:tc>
              <w:tc>
                <w:tcPr>
                  <w:tcW w:w="1562" w:type="dxa"/>
                  <w:gridSpan w:val="2"/>
                  <w:vAlign w:val="center"/>
                </w:tcPr>
                <w:p>
                  <w:pPr>
                    <w:pStyle w:val="42"/>
                  </w:pPr>
                  <w:r>
                    <w:rPr>
                      <w:rFonts w:hint="eastAsia"/>
                    </w:rPr>
                    <w:t>泥沙</w:t>
                  </w:r>
                </w:p>
              </w:tc>
              <w:tc>
                <w:tcPr>
                  <w:tcW w:w="1272" w:type="dxa"/>
                  <w:vAlign w:val="center"/>
                </w:tcPr>
                <w:p>
                  <w:pPr>
                    <w:pStyle w:val="42"/>
                  </w:pPr>
                  <w:r>
                    <w:t>5.0t/a</w:t>
                  </w:r>
                </w:p>
              </w:tc>
              <w:tc>
                <w:tcPr>
                  <w:tcW w:w="3388" w:type="dxa"/>
                  <w:vAlign w:val="center"/>
                </w:tcPr>
                <w:p>
                  <w:pPr>
                    <w:pStyle w:val="42"/>
                  </w:pPr>
                  <w:r>
                    <w:t>定期清掏干化后于排土场分区暂存，闭矿期用于采空区回填</w:t>
                  </w:r>
                  <w:r>
                    <w:rPr>
                      <w:rFonts w:hint="eastAsia"/>
                    </w:rPr>
                    <w:t>。</w:t>
                  </w:r>
                </w:p>
              </w:tc>
              <w:tc>
                <w:tcPr>
                  <w:tcW w:w="705" w:type="dxa"/>
                  <w:vAlign w:val="center"/>
                </w:tcPr>
                <w:p>
                  <w:pPr>
                    <w:pStyle w:val="42"/>
                  </w:pPr>
                  <w:r>
                    <w:rPr>
                      <w:rFonts w:hint="eastAsia"/>
                    </w:rP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31" w:type="dxa"/>
                  <w:vMerge w:val="restart"/>
                  <w:vAlign w:val="center"/>
                </w:tcPr>
                <w:p>
                  <w:pPr>
                    <w:pStyle w:val="42"/>
                  </w:pPr>
                  <w:r>
                    <w:t>危险废物</w:t>
                  </w:r>
                </w:p>
              </w:tc>
              <w:tc>
                <w:tcPr>
                  <w:tcW w:w="1352" w:type="dxa"/>
                  <w:vAlign w:val="center"/>
                </w:tcPr>
                <w:p>
                  <w:pPr>
                    <w:pStyle w:val="42"/>
                  </w:pPr>
                  <w:r>
                    <w:t>废矿物油</w:t>
                  </w:r>
                </w:p>
              </w:tc>
              <w:tc>
                <w:tcPr>
                  <w:tcW w:w="1562" w:type="dxa"/>
                  <w:gridSpan w:val="2"/>
                  <w:vAlign w:val="center"/>
                </w:tcPr>
                <w:p>
                  <w:pPr>
                    <w:pStyle w:val="42"/>
                  </w:pPr>
                  <w:r>
                    <w:t>废矿物油</w:t>
                  </w:r>
                </w:p>
              </w:tc>
              <w:tc>
                <w:tcPr>
                  <w:tcW w:w="1272" w:type="dxa"/>
                  <w:vAlign w:val="center"/>
                </w:tcPr>
                <w:p>
                  <w:pPr>
                    <w:pStyle w:val="42"/>
                  </w:pPr>
                  <w:r>
                    <w:t>0.</w:t>
                  </w:r>
                  <w:r>
                    <w:rPr>
                      <w:rFonts w:hint="eastAsia"/>
                    </w:rPr>
                    <w:t>2</w:t>
                  </w:r>
                  <w:r>
                    <w:t>t/a</w:t>
                  </w:r>
                </w:p>
              </w:tc>
              <w:tc>
                <w:tcPr>
                  <w:tcW w:w="3388" w:type="dxa"/>
                  <w:vMerge w:val="restart"/>
                  <w:vAlign w:val="center"/>
                </w:tcPr>
                <w:p>
                  <w:pPr>
                    <w:pStyle w:val="42"/>
                  </w:pPr>
                  <w:r>
                    <w:rPr>
                      <w:bCs/>
                    </w:rPr>
                    <w:t>在</w:t>
                  </w:r>
                  <w:r>
                    <w:rPr>
                      <w:rFonts w:hint="eastAsia"/>
                      <w:bCs/>
                    </w:rPr>
                    <w:t>办公楼1F西部区域</w:t>
                  </w:r>
                  <w:r>
                    <w:rPr>
                      <w:bCs/>
                    </w:rPr>
                    <w:t>建设约8m</w:t>
                  </w:r>
                  <w:r>
                    <w:rPr>
                      <w:bCs/>
                      <w:vertAlign w:val="superscript"/>
                    </w:rPr>
                    <w:t>2</w:t>
                  </w:r>
                  <w:r>
                    <w:rPr>
                      <w:bCs/>
                    </w:rPr>
                    <w:t>危废贮存点</w:t>
                  </w:r>
                  <w:r>
                    <w:t>并用含油固废收集桶进行集中分类收集后，定期交由有资质的单位妥善处置</w:t>
                  </w:r>
                  <w:r>
                    <w:rPr>
                      <w:rFonts w:hint="eastAsia"/>
                    </w:rPr>
                    <w:t>。</w:t>
                  </w:r>
                </w:p>
              </w:tc>
              <w:tc>
                <w:tcPr>
                  <w:tcW w:w="705" w:type="dxa"/>
                  <w:vAlign w:val="center"/>
                </w:tcPr>
                <w:p>
                  <w:pPr>
                    <w:pStyle w:val="42"/>
                  </w:pPr>
                  <w: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31" w:type="dxa"/>
                  <w:vMerge w:val="continue"/>
                  <w:vAlign w:val="center"/>
                </w:tcPr>
                <w:p>
                  <w:pPr>
                    <w:pStyle w:val="42"/>
                  </w:pPr>
                </w:p>
              </w:tc>
              <w:tc>
                <w:tcPr>
                  <w:tcW w:w="1352" w:type="dxa"/>
                  <w:vAlign w:val="center"/>
                </w:tcPr>
                <w:p>
                  <w:pPr>
                    <w:pStyle w:val="42"/>
                  </w:pPr>
                  <w:r>
                    <w:t>含油抹布及劳保用品</w:t>
                  </w:r>
                </w:p>
              </w:tc>
              <w:tc>
                <w:tcPr>
                  <w:tcW w:w="1562" w:type="dxa"/>
                  <w:gridSpan w:val="2"/>
                  <w:vAlign w:val="center"/>
                </w:tcPr>
                <w:p>
                  <w:pPr>
                    <w:pStyle w:val="42"/>
                  </w:pPr>
                  <w:r>
                    <w:t>含油抹布及劳保用品</w:t>
                  </w:r>
                </w:p>
              </w:tc>
              <w:tc>
                <w:tcPr>
                  <w:tcW w:w="1272" w:type="dxa"/>
                  <w:vAlign w:val="center"/>
                </w:tcPr>
                <w:p>
                  <w:pPr>
                    <w:pStyle w:val="42"/>
                  </w:pPr>
                  <w:r>
                    <w:t>0.</w:t>
                  </w:r>
                  <w:r>
                    <w:rPr>
                      <w:rFonts w:hint="eastAsia"/>
                    </w:rPr>
                    <w:t>02</w:t>
                  </w:r>
                  <w:r>
                    <w:t>t/a</w:t>
                  </w:r>
                </w:p>
              </w:tc>
              <w:tc>
                <w:tcPr>
                  <w:tcW w:w="3388" w:type="dxa"/>
                  <w:vMerge w:val="continue"/>
                  <w:vAlign w:val="center"/>
                </w:tcPr>
                <w:p>
                  <w:pPr>
                    <w:pStyle w:val="42"/>
                  </w:pPr>
                </w:p>
              </w:tc>
              <w:tc>
                <w:tcPr>
                  <w:tcW w:w="705" w:type="dxa"/>
                  <w:vAlign w:val="center"/>
                </w:tcPr>
                <w:p>
                  <w:pPr>
                    <w:pStyle w:val="42"/>
                  </w:pPr>
                  <w:r>
                    <w:rPr>
                      <w:rFonts w:hint="eastAsia"/>
                    </w:rP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31" w:type="dxa"/>
                  <w:vMerge w:val="continue"/>
                  <w:vAlign w:val="center"/>
                </w:tcPr>
                <w:p>
                  <w:pPr>
                    <w:pStyle w:val="42"/>
                  </w:pPr>
                </w:p>
              </w:tc>
              <w:tc>
                <w:tcPr>
                  <w:tcW w:w="1352" w:type="dxa"/>
                  <w:vAlign w:val="center"/>
                </w:tcPr>
                <w:p>
                  <w:pPr>
                    <w:pStyle w:val="42"/>
                  </w:pPr>
                  <w:r>
                    <w:rPr>
                      <w:rFonts w:hint="eastAsia"/>
                    </w:rPr>
                    <w:t>含油冷凝液</w:t>
                  </w:r>
                </w:p>
              </w:tc>
              <w:tc>
                <w:tcPr>
                  <w:tcW w:w="1562" w:type="dxa"/>
                  <w:gridSpan w:val="2"/>
                  <w:vAlign w:val="center"/>
                </w:tcPr>
                <w:p>
                  <w:pPr>
                    <w:pStyle w:val="42"/>
                  </w:pPr>
                  <w:r>
                    <w:rPr>
                      <w:rFonts w:hint="eastAsia"/>
                    </w:rPr>
                    <w:t>含油冷凝液</w:t>
                  </w:r>
                </w:p>
              </w:tc>
              <w:tc>
                <w:tcPr>
                  <w:tcW w:w="1272" w:type="dxa"/>
                  <w:vAlign w:val="center"/>
                </w:tcPr>
                <w:p>
                  <w:pPr>
                    <w:pStyle w:val="42"/>
                  </w:pPr>
                  <w:r>
                    <w:t>0.05t/a</w:t>
                  </w:r>
                </w:p>
              </w:tc>
              <w:tc>
                <w:tcPr>
                  <w:tcW w:w="3388" w:type="dxa"/>
                  <w:vMerge w:val="continue"/>
                  <w:vAlign w:val="center"/>
                </w:tcPr>
                <w:p>
                  <w:pPr>
                    <w:pStyle w:val="42"/>
                  </w:pPr>
                </w:p>
              </w:tc>
              <w:tc>
                <w:tcPr>
                  <w:tcW w:w="705" w:type="dxa"/>
                  <w:vAlign w:val="center"/>
                </w:tcPr>
                <w:p>
                  <w:pPr>
                    <w:pStyle w:val="42"/>
                  </w:pPr>
                  <w:r>
                    <w:rPr>
                      <w:rFonts w:hint="eastAsia"/>
                    </w:rP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31" w:type="dxa"/>
                  <w:vMerge w:val="continue"/>
                  <w:vAlign w:val="center"/>
                </w:tcPr>
                <w:p>
                  <w:pPr>
                    <w:pStyle w:val="42"/>
                  </w:pPr>
                </w:p>
              </w:tc>
              <w:tc>
                <w:tcPr>
                  <w:tcW w:w="1352" w:type="dxa"/>
                  <w:vAlign w:val="center"/>
                </w:tcPr>
                <w:p>
                  <w:pPr>
                    <w:pStyle w:val="42"/>
                  </w:pPr>
                  <w:r>
                    <w:rPr>
                      <w:rFonts w:hint="eastAsia"/>
                    </w:rPr>
                    <w:t>废收集桶</w:t>
                  </w:r>
                </w:p>
              </w:tc>
              <w:tc>
                <w:tcPr>
                  <w:tcW w:w="1562" w:type="dxa"/>
                  <w:gridSpan w:val="2"/>
                  <w:vAlign w:val="center"/>
                </w:tcPr>
                <w:p>
                  <w:pPr>
                    <w:pStyle w:val="42"/>
                  </w:pPr>
                  <w:r>
                    <w:rPr>
                      <w:rFonts w:hint="eastAsia"/>
                    </w:rPr>
                    <w:t>废收集桶</w:t>
                  </w:r>
                </w:p>
              </w:tc>
              <w:tc>
                <w:tcPr>
                  <w:tcW w:w="1272" w:type="dxa"/>
                  <w:vAlign w:val="center"/>
                </w:tcPr>
                <w:p>
                  <w:pPr>
                    <w:pStyle w:val="42"/>
                  </w:pPr>
                  <w:r>
                    <w:t>0.1t/a</w:t>
                  </w:r>
                </w:p>
              </w:tc>
              <w:tc>
                <w:tcPr>
                  <w:tcW w:w="3388" w:type="dxa"/>
                  <w:vMerge w:val="continue"/>
                  <w:vAlign w:val="center"/>
                </w:tcPr>
                <w:p>
                  <w:pPr>
                    <w:pStyle w:val="42"/>
                  </w:pPr>
                </w:p>
              </w:tc>
              <w:tc>
                <w:tcPr>
                  <w:tcW w:w="705" w:type="dxa"/>
                  <w:vAlign w:val="center"/>
                </w:tcPr>
                <w:p>
                  <w:pPr>
                    <w:pStyle w:val="42"/>
                  </w:pPr>
                  <w: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255" w:hRule="atLeast"/>
              </w:trPr>
              <w:tc>
                <w:tcPr>
                  <w:tcW w:w="731" w:type="dxa"/>
                  <w:vAlign w:val="center"/>
                </w:tcPr>
                <w:p>
                  <w:pPr>
                    <w:pStyle w:val="42"/>
                  </w:pPr>
                  <w:r>
                    <w:t>生活垃圾</w:t>
                  </w:r>
                </w:p>
              </w:tc>
              <w:tc>
                <w:tcPr>
                  <w:tcW w:w="1352" w:type="dxa"/>
                  <w:vAlign w:val="center"/>
                </w:tcPr>
                <w:p>
                  <w:pPr>
                    <w:pStyle w:val="42"/>
                  </w:pPr>
                  <w:r>
                    <w:t>办公生活</w:t>
                  </w:r>
                </w:p>
              </w:tc>
              <w:tc>
                <w:tcPr>
                  <w:tcW w:w="1562" w:type="dxa"/>
                  <w:gridSpan w:val="2"/>
                  <w:vAlign w:val="center"/>
                </w:tcPr>
                <w:p>
                  <w:pPr>
                    <w:pStyle w:val="42"/>
                  </w:pPr>
                  <w:r>
                    <w:t>生活垃圾</w:t>
                  </w:r>
                </w:p>
              </w:tc>
              <w:tc>
                <w:tcPr>
                  <w:tcW w:w="1272" w:type="dxa"/>
                  <w:vAlign w:val="center"/>
                </w:tcPr>
                <w:p>
                  <w:pPr>
                    <w:pStyle w:val="42"/>
                  </w:pPr>
                  <w:r>
                    <w:t>2.25t/a</w:t>
                  </w:r>
                </w:p>
              </w:tc>
              <w:tc>
                <w:tcPr>
                  <w:tcW w:w="3388" w:type="dxa"/>
                  <w:vAlign w:val="center"/>
                </w:tcPr>
                <w:p>
                  <w:pPr>
                    <w:pStyle w:val="42"/>
                  </w:pPr>
                  <w:r>
                    <w:t>集中收集后交当地环卫部门统一处置</w:t>
                  </w:r>
                  <w:r>
                    <w:rPr>
                      <w:rFonts w:hint="eastAsia"/>
                    </w:rPr>
                    <w:t>。</w:t>
                  </w:r>
                </w:p>
              </w:tc>
              <w:tc>
                <w:tcPr>
                  <w:tcW w:w="705" w:type="dxa"/>
                  <w:vAlign w:val="center"/>
                </w:tcPr>
                <w:p>
                  <w:pPr>
                    <w:pStyle w:val="42"/>
                  </w:pPr>
                  <w:r>
                    <w:t>0</w:t>
                  </w:r>
                </w:p>
              </w:tc>
            </w:tr>
          </w:tbl>
          <w:p>
            <w:pPr>
              <w:adjustRightInd w:val="0"/>
              <w:snapToGrid w:val="0"/>
              <w:spacing w:line="360" w:lineRule="auto"/>
              <w:ind w:firstLine="482" w:firstLineChars="200"/>
              <w:rPr>
                <w:b/>
                <w:sz w:val="24"/>
              </w:rPr>
            </w:pPr>
            <w:r>
              <w:rPr>
                <w:b/>
                <w:sz w:val="24"/>
              </w:rPr>
              <w:t>（5）运输对沿线环境影响</w:t>
            </w:r>
          </w:p>
          <w:p>
            <w:pPr>
              <w:adjustRightInd w:val="0"/>
              <w:snapToGrid w:val="0"/>
              <w:spacing w:line="360" w:lineRule="auto"/>
              <w:ind w:firstLine="480" w:firstLineChars="200"/>
              <w:rPr>
                <w:sz w:val="24"/>
              </w:rPr>
            </w:pPr>
            <w:r>
              <w:rPr>
                <w:rFonts w:hint="eastAsia"/>
                <w:sz w:val="24"/>
              </w:rPr>
              <w:t>1）厂内内部运输的环境影响</w:t>
            </w:r>
          </w:p>
          <w:p>
            <w:pPr>
              <w:adjustRightInd w:val="0"/>
              <w:snapToGrid w:val="0"/>
              <w:spacing w:line="360" w:lineRule="auto"/>
              <w:ind w:firstLine="480" w:firstLineChars="200"/>
              <w:rPr>
                <w:sz w:val="24"/>
              </w:rPr>
            </w:pPr>
            <w:r>
              <w:rPr>
                <w:rFonts w:hint="eastAsia"/>
                <w:sz w:val="24"/>
              </w:rPr>
              <w:t>厂内运输道路均分布在厂区内部，且工业广场紧邻采区，故矿石在运输时，运输距离较短，且运输道路沿线均无环境保护目标分布。</w:t>
            </w:r>
          </w:p>
          <w:p>
            <w:pPr>
              <w:adjustRightInd w:val="0"/>
              <w:snapToGrid w:val="0"/>
              <w:spacing w:line="360" w:lineRule="auto"/>
              <w:ind w:firstLine="480" w:firstLineChars="200"/>
              <w:rPr>
                <w:sz w:val="24"/>
              </w:rPr>
            </w:pPr>
            <w:r>
              <w:rPr>
                <w:rFonts w:hint="eastAsia"/>
                <w:sz w:val="24"/>
              </w:rPr>
              <w:t>因此，厂内内部运输的环境影响较小。</w:t>
            </w:r>
          </w:p>
          <w:p>
            <w:pPr>
              <w:adjustRightInd w:val="0"/>
              <w:snapToGrid w:val="0"/>
              <w:spacing w:line="360" w:lineRule="auto"/>
              <w:ind w:firstLine="480" w:firstLineChars="200"/>
              <w:rPr>
                <w:sz w:val="24"/>
              </w:rPr>
            </w:pPr>
            <w:r>
              <w:rPr>
                <w:rFonts w:hint="eastAsia"/>
                <w:sz w:val="24"/>
              </w:rPr>
              <w:t>2）产品外运的环境影响</w:t>
            </w:r>
          </w:p>
          <w:p>
            <w:pPr>
              <w:adjustRightInd w:val="0"/>
              <w:snapToGrid w:val="0"/>
              <w:spacing w:line="360" w:lineRule="auto"/>
              <w:ind w:firstLine="480" w:firstLineChars="200"/>
              <w:rPr>
                <w:sz w:val="24"/>
              </w:rPr>
            </w:pPr>
            <w:r>
              <w:rPr>
                <w:rFonts w:hint="eastAsia"/>
                <w:sz w:val="24"/>
              </w:rPr>
              <w:t>项目工业广场出口处有6m宽村道连接至S525省道，通过S525省道可将</w:t>
            </w:r>
            <w:r>
              <w:rPr>
                <w:rFonts w:hint="eastAsia"/>
                <w:color w:val="0000FF"/>
                <w:sz w:val="24"/>
              </w:rPr>
              <w:t>成品矿石运至酉阳县及周边区县市政工地作建筑石料</w:t>
            </w:r>
            <w:r>
              <w:rPr>
                <w:rFonts w:hint="eastAsia"/>
                <w:sz w:val="24"/>
              </w:rPr>
              <w:t>。经调查，车辆途径的村道段较短，两侧无临路居民点，S525省道两侧主要为临路居民点或居民区，直距25~200m。</w:t>
            </w:r>
          </w:p>
          <w:p>
            <w:pPr>
              <w:adjustRightInd w:val="0"/>
              <w:snapToGrid w:val="0"/>
              <w:spacing w:line="360" w:lineRule="auto"/>
              <w:ind w:firstLine="480" w:firstLineChars="200"/>
              <w:rPr>
                <w:sz w:val="24"/>
              </w:rPr>
            </w:pPr>
            <w:r>
              <w:rPr>
                <w:sz w:val="24"/>
              </w:rPr>
              <w:t>项目采用运载汽车运输矿石，物料运输过程将产生噪声、燃油尾气、扬尘等，将会对周围环境产生一定影响。</w:t>
            </w:r>
            <w:r>
              <w:rPr>
                <w:rFonts w:hint="eastAsia"/>
                <w:sz w:val="24"/>
              </w:rPr>
              <w:t>但村道、S525省道均为混凝土路面，路况良好，其可</w:t>
            </w:r>
            <w:r>
              <w:rPr>
                <w:sz w:val="24"/>
              </w:rPr>
              <w:t>通过加强车辆运输管理，注重车辆的维护保养，严禁使用冒黑烟车辆，项目出厂车辆均需在</w:t>
            </w:r>
            <w:r>
              <w:rPr>
                <w:rFonts w:hint="eastAsia"/>
                <w:sz w:val="24"/>
              </w:rPr>
              <w:t>“U型”车辆冲洗池</w:t>
            </w:r>
            <w:r>
              <w:rPr>
                <w:sz w:val="24"/>
              </w:rPr>
              <w:t>内冲洗干净后方可驶离，出厂车辆需对车斗采用篷布遮盖，保证所运物料无撒漏、扬散，按规定时间、路线行驶。购置洒水车对场内外运输道路进行定期洒水降尘，</w:t>
            </w:r>
            <w:r>
              <w:rPr>
                <w:rFonts w:hint="eastAsia"/>
                <w:sz w:val="24"/>
              </w:rPr>
              <w:t>可</w:t>
            </w:r>
            <w:r>
              <w:rPr>
                <w:sz w:val="24"/>
              </w:rPr>
              <w:t>减少车辆运输环节对周边临近居民的影响。</w:t>
            </w:r>
          </w:p>
          <w:p>
            <w:pPr>
              <w:adjustRightInd w:val="0"/>
              <w:snapToGrid w:val="0"/>
              <w:spacing w:line="360" w:lineRule="auto"/>
              <w:ind w:firstLine="480" w:firstLineChars="200"/>
              <w:rPr>
                <w:sz w:val="24"/>
              </w:rPr>
            </w:pPr>
            <w:r>
              <w:rPr>
                <w:sz w:val="24"/>
              </w:rPr>
              <w:t>载重汽车行驶过程中将产生一定的交通噪声，根据类比调查资料，运矿车辆运输产生噪声约75dB(A)，运输噪声对公路两侧45m范围内居民有一定影响。</w:t>
            </w:r>
            <w:r>
              <w:rPr>
                <w:rFonts w:hint="eastAsia"/>
                <w:sz w:val="24"/>
              </w:rPr>
              <w:t>则本次</w:t>
            </w:r>
            <w:r>
              <w:rPr>
                <w:sz w:val="24"/>
              </w:rPr>
              <w:t>环评要求</w:t>
            </w:r>
            <w:r>
              <w:rPr>
                <w:rFonts w:hint="eastAsia"/>
                <w:sz w:val="24"/>
              </w:rPr>
              <w:t>：</w:t>
            </w:r>
            <w:r>
              <w:rPr>
                <w:sz w:val="24"/>
              </w:rPr>
              <w:t>运输必须在昼间进行，禁止夜间运输；车辆严禁超载，通过选择设备性能优良的汽车，并加强维护保养，加强运输管理工作，要求在居民点附近经过时减速行驶，以减少对运输道路两侧居民的影响。</w:t>
            </w:r>
          </w:p>
          <w:p>
            <w:pPr>
              <w:adjustRightInd w:val="0"/>
              <w:snapToGrid w:val="0"/>
              <w:spacing w:line="360" w:lineRule="auto"/>
              <w:ind w:firstLine="480" w:firstLineChars="200"/>
              <w:rPr>
                <w:sz w:val="24"/>
              </w:rPr>
            </w:pPr>
            <w:r>
              <w:rPr>
                <w:sz w:val="24"/>
              </w:rPr>
              <w:t>综上所述，在采取上述措施后，道路运输产生的扬尘、废气和噪声对沿线居民的影响可接受。</w:t>
            </w:r>
          </w:p>
          <w:p>
            <w:pPr>
              <w:adjustRightInd w:val="0"/>
              <w:snapToGrid w:val="0"/>
              <w:spacing w:line="360" w:lineRule="auto"/>
              <w:ind w:firstLine="482" w:firstLineChars="200"/>
              <w:rPr>
                <w:b/>
                <w:sz w:val="24"/>
              </w:rPr>
            </w:pPr>
            <w:r>
              <w:rPr>
                <w:b/>
                <w:sz w:val="24"/>
              </w:rPr>
              <w:t>（6）生态环境</w:t>
            </w:r>
          </w:p>
          <w:p>
            <w:pPr>
              <w:adjustRightInd w:val="0"/>
              <w:snapToGrid w:val="0"/>
              <w:spacing w:line="360" w:lineRule="auto"/>
              <w:ind w:firstLine="482" w:firstLineChars="200"/>
              <w:rPr>
                <w:b/>
                <w:sz w:val="24"/>
              </w:rPr>
            </w:pPr>
            <w:r>
              <w:rPr>
                <w:b/>
                <w:sz w:val="24"/>
              </w:rPr>
              <w:t>1）地形地貌影响</w:t>
            </w:r>
          </w:p>
          <w:p>
            <w:pPr>
              <w:adjustRightInd w:val="0"/>
              <w:snapToGrid w:val="0"/>
              <w:spacing w:line="360" w:lineRule="auto"/>
              <w:ind w:firstLine="480" w:firstLineChars="200"/>
              <w:rPr>
                <w:sz w:val="24"/>
              </w:rPr>
            </w:pPr>
            <w:r>
              <w:rPr>
                <w:sz w:val="24"/>
              </w:rPr>
              <w:t>矿山地形为低山地貌，经过石灰岩矿露天开采后，对原有地表土层及岩层进行采石工程，经过不断的开采，原有地形地貌将发生改变。因此，整个矿区现有地形地貌将发生根本改变，石灰岩矿的开采将对地形地貌产生影响严重，造成地形地貌无法恢复，该影响在石灰岩矿闭坑后也无法恢复原貌，但可以通过一定综合治理措施逐步恢复，并形成新塑景观地貌。</w:t>
            </w:r>
          </w:p>
          <w:p>
            <w:pPr>
              <w:adjustRightInd w:val="0"/>
              <w:snapToGrid w:val="0"/>
              <w:spacing w:line="360" w:lineRule="auto"/>
              <w:ind w:firstLine="482" w:firstLineChars="200"/>
              <w:rPr>
                <w:b/>
                <w:sz w:val="24"/>
              </w:rPr>
            </w:pPr>
            <w:r>
              <w:rPr>
                <w:b/>
                <w:sz w:val="24"/>
              </w:rPr>
              <w:t>2）土地资源影响</w:t>
            </w:r>
          </w:p>
          <w:p>
            <w:pPr>
              <w:adjustRightInd w:val="0"/>
              <w:snapToGrid w:val="0"/>
              <w:spacing w:line="360" w:lineRule="auto"/>
              <w:ind w:firstLine="480" w:firstLineChars="200"/>
              <w:rPr>
                <w:sz w:val="24"/>
              </w:rPr>
            </w:pPr>
            <w:r>
              <w:rPr>
                <w:sz w:val="24"/>
              </w:rPr>
              <w:t>灰岩矿的开采会影响区域内原土地利用类型，地表土层受到损毁，地形地貌产生变化，土地资源将受到严重影响，在石灰岩矿开采年限内将无法发挥其原有土地的功能。因此，石灰岩矿的开采将对该区域土地资源产生影响。</w:t>
            </w:r>
          </w:p>
          <w:p>
            <w:pPr>
              <w:adjustRightInd w:val="0"/>
              <w:snapToGrid w:val="0"/>
              <w:spacing w:line="360" w:lineRule="auto"/>
              <w:ind w:firstLine="480" w:firstLineChars="200"/>
              <w:rPr>
                <w:sz w:val="24"/>
              </w:rPr>
            </w:pPr>
            <w:r>
              <w:rPr>
                <w:sz w:val="24"/>
              </w:rPr>
              <w:t>拟建项目开采仅对</w:t>
            </w:r>
            <w:r>
              <w:rPr>
                <w:rFonts w:hint="eastAsia"/>
                <w:sz w:val="24"/>
              </w:rPr>
              <w:t>厂区</w:t>
            </w:r>
            <w:r>
              <w:rPr>
                <w:sz w:val="24"/>
              </w:rPr>
              <w:t>内植被破坏，对</w:t>
            </w:r>
            <w:r>
              <w:rPr>
                <w:rFonts w:hint="eastAsia"/>
                <w:sz w:val="24"/>
              </w:rPr>
              <w:t>厂区</w:t>
            </w:r>
            <w:r>
              <w:rPr>
                <w:sz w:val="24"/>
              </w:rPr>
              <w:t>以外的其他区域植被不会造成破坏，故矿山开采对植被造成的破坏是有限的；矿山开采对土地的占用是短期的，矿山闭矿后进行植被恢复，土地的利用性质将得到恢复。项目建设对土地利用的影响是可以接受的。</w:t>
            </w:r>
          </w:p>
          <w:p>
            <w:pPr>
              <w:adjustRightInd w:val="0"/>
              <w:snapToGrid w:val="0"/>
              <w:spacing w:line="360" w:lineRule="auto"/>
              <w:ind w:firstLine="482" w:firstLineChars="200"/>
              <w:rPr>
                <w:b/>
                <w:sz w:val="24"/>
              </w:rPr>
            </w:pPr>
            <w:r>
              <w:rPr>
                <w:b/>
                <w:sz w:val="24"/>
              </w:rPr>
              <w:t>3）土壤质量影响</w:t>
            </w:r>
          </w:p>
          <w:p>
            <w:pPr>
              <w:adjustRightInd w:val="0"/>
              <w:snapToGrid w:val="0"/>
              <w:spacing w:line="360" w:lineRule="auto"/>
              <w:ind w:firstLine="480" w:firstLineChars="200"/>
              <w:rPr>
                <w:sz w:val="24"/>
              </w:rPr>
            </w:pPr>
            <w:r>
              <w:rPr>
                <w:rFonts w:hint="eastAsia"/>
                <w:sz w:val="24"/>
              </w:rPr>
              <w:t>一般而言</w:t>
            </w:r>
            <w:r>
              <w:rPr>
                <w:sz w:val="24"/>
              </w:rPr>
              <w:t>采区</w:t>
            </w:r>
            <w:r>
              <w:rPr>
                <w:rFonts w:hint="eastAsia"/>
                <w:sz w:val="24"/>
              </w:rPr>
              <w:t>台阶表土剥离后运至排土场堆场，</w:t>
            </w:r>
            <w:r>
              <w:rPr>
                <w:sz w:val="24"/>
              </w:rPr>
              <w:t>该区域土壤结构和理化性质将发生改变，对土壤质量造成影响。</w:t>
            </w:r>
            <w:r>
              <w:rPr>
                <w:rFonts w:hint="eastAsia"/>
                <w:sz w:val="24"/>
              </w:rPr>
              <w:t>但项目采用“边开采、边复垦”的开采方式，</w:t>
            </w:r>
            <w:r>
              <w:rPr>
                <w:rFonts w:hint="eastAsia"/>
                <w:color w:val="0000FF"/>
                <w:sz w:val="24"/>
              </w:rPr>
              <w:t>第1台阶剥离</w:t>
            </w:r>
            <w:r>
              <w:rPr>
                <w:color w:val="0000FF"/>
                <w:sz w:val="24"/>
              </w:rPr>
              <w:t>表土</w:t>
            </w:r>
            <w:r>
              <w:rPr>
                <w:rFonts w:hint="eastAsia"/>
                <w:color w:val="0000FF"/>
                <w:sz w:val="24"/>
              </w:rPr>
              <w:t>层中耕作层、心土层分开剥离后，</w:t>
            </w:r>
            <w:r>
              <w:rPr>
                <w:color w:val="0000FF"/>
                <w:sz w:val="24"/>
              </w:rPr>
              <w:t>由车辆运至排土场</w:t>
            </w:r>
            <w:r>
              <w:rPr>
                <w:rFonts w:hint="eastAsia"/>
                <w:color w:val="0000FF"/>
                <w:sz w:val="24"/>
              </w:rPr>
              <w:t>内</w:t>
            </w:r>
            <w:r>
              <w:rPr>
                <w:color w:val="0000FF"/>
                <w:sz w:val="24"/>
              </w:rPr>
              <w:t>临时分区堆存；</w:t>
            </w:r>
            <w:r>
              <w:rPr>
                <w:rFonts w:hint="eastAsia"/>
                <w:color w:val="0000FF"/>
                <w:sz w:val="24"/>
              </w:rPr>
              <w:t>第1台阶剥离</w:t>
            </w:r>
            <w:r>
              <w:rPr>
                <w:color w:val="0000FF"/>
                <w:sz w:val="24"/>
              </w:rPr>
              <w:t>风化废石由车辆运至弃渣场</w:t>
            </w:r>
            <w:r>
              <w:rPr>
                <w:rFonts w:hint="eastAsia"/>
                <w:color w:val="0000FF"/>
                <w:sz w:val="24"/>
              </w:rPr>
              <w:t>内</w:t>
            </w:r>
            <w:r>
              <w:rPr>
                <w:color w:val="0000FF"/>
                <w:sz w:val="24"/>
              </w:rPr>
              <w:t>临时堆存</w:t>
            </w:r>
            <w:r>
              <w:rPr>
                <w:rFonts w:hint="eastAsia"/>
                <w:color w:val="0000FF"/>
                <w:sz w:val="24"/>
              </w:rPr>
              <w:t>。第2~5台阶剥离</w:t>
            </w:r>
            <w:r>
              <w:rPr>
                <w:color w:val="0000FF"/>
                <w:sz w:val="24"/>
              </w:rPr>
              <w:t>表土</w:t>
            </w:r>
            <w:r>
              <w:rPr>
                <w:rFonts w:hint="eastAsia"/>
                <w:color w:val="0000FF"/>
                <w:sz w:val="24"/>
              </w:rPr>
              <w:t>层（耕作层、心土层）</w:t>
            </w:r>
            <w:r>
              <w:rPr>
                <w:color w:val="0000FF"/>
                <w:sz w:val="24"/>
              </w:rPr>
              <w:t>、风化废石</w:t>
            </w:r>
            <w:r>
              <w:rPr>
                <w:rFonts w:hint="eastAsia"/>
                <w:color w:val="0000FF"/>
                <w:sz w:val="24"/>
              </w:rPr>
              <w:t>均优先运至上一台阶绿化覆土（由下至上分别摊铺风化废石、心土层、耕作层），余方再分别</w:t>
            </w:r>
            <w:r>
              <w:rPr>
                <w:color w:val="0000FF"/>
                <w:sz w:val="24"/>
              </w:rPr>
              <w:t>运至</w:t>
            </w:r>
            <w:r>
              <w:rPr>
                <w:rFonts w:hint="eastAsia"/>
                <w:color w:val="0000FF"/>
                <w:sz w:val="24"/>
              </w:rPr>
              <w:t>排土场、弃渣场内</w:t>
            </w:r>
            <w:r>
              <w:rPr>
                <w:color w:val="0000FF"/>
                <w:sz w:val="24"/>
              </w:rPr>
              <w:t>临时堆存</w:t>
            </w:r>
            <w:r>
              <w:rPr>
                <w:rFonts w:hint="eastAsia"/>
                <w:sz w:val="24"/>
              </w:rPr>
              <w:t>。针对直接转运至其他台阶用于复绿的表土，其土壤结构和理化性质的改变得到了一定程度的减缓。</w:t>
            </w:r>
          </w:p>
          <w:p>
            <w:pPr>
              <w:adjustRightInd w:val="0"/>
              <w:snapToGrid w:val="0"/>
              <w:spacing w:line="360" w:lineRule="auto"/>
              <w:ind w:firstLine="480" w:firstLineChars="200"/>
              <w:rPr>
                <w:sz w:val="24"/>
              </w:rPr>
            </w:pPr>
            <w:r>
              <w:rPr>
                <w:rFonts w:hint="eastAsia"/>
                <w:sz w:val="24"/>
              </w:rPr>
              <w:t>开采期、</w:t>
            </w:r>
            <w:r>
              <w:rPr>
                <w:sz w:val="24"/>
              </w:rPr>
              <w:t>闭矿期通过对</w:t>
            </w:r>
            <w:r>
              <w:rPr>
                <w:rFonts w:hint="eastAsia"/>
                <w:sz w:val="24"/>
              </w:rPr>
              <w:t>终了采面</w:t>
            </w:r>
            <w:r>
              <w:rPr>
                <w:sz w:val="24"/>
              </w:rPr>
              <w:t>进行重新复垦回填，通过配方施肥、作物栽培等土地复垦管护措施，其影响可逆，影响较小。</w:t>
            </w:r>
          </w:p>
          <w:p>
            <w:pPr>
              <w:adjustRightInd w:val="0"/>
              <w:snapToGrid w:val="0"/>
              <w:spacing w:line="360" w:lineRule="auto"/>
              <w:ind w:firstLine="482" w:firstLineChars="200"/>
              <w:rPr>
                <w:b/>
                <w:sz w:val="24"/>
              </w:rPr>
            </w:pPr>
            <w:r>
              <w:rPr>
                <w:b/>
                <w:sz w:val="24"/>
              </w:rPr>
              <w:t>4）水资源影响</w:t>
            </w:r>
          </w:p>
          <w:p>
            <w:pPr>
              <w:adjustRightInd w:val="0"/>
              <w:snapToGrid w:val="0"/>
              <w:spacing w:line="360" w:lineRule="auto"/>
              <w:ind w:firstLine="480" w:firstLineChars="200"/>
              <w:rPr>
                <w:sz w:val="24"/>
              </w:rPr>
            </w:pPr>
            <w:r>
              <w:rPr>
                <w:sz w:val="24"/>
              </w:rPr>
              <w:t>石灰岩矿开采为整体挖损，造成采区内原地表径流体系全部损坏，矿山采矿形成矿坑，在一定程度上会改变出露矿层入渗条件，改变地表水和地下水径流条件，由于汇水面积小，矿山开采对地下水影响较轻，但矿山开采对地表水影响严重。同时进行土地复垦时，也可通过修建截排水及蓄水池等工程措施进行综合安排，改善项目区水资源对灌排的影响。</w:t>
            </w:r>
          </w:p>
          <w:p>
            <w:pPr>
              <w:adjustRightInd w:val="0"/>
              <w:snapToGrid w:val="0"/>
              <w:spacing w:line="360" w:lineRule="auto"/>
              <w:ind w:firstLine="480" w:firstLineChars="200"/>
              <w:rPr>
                <w:sz w:val="24"/>
              </w:rPr>
            </w:pPr>
            <w:r>
              <w:rPr>
                <w:sz w:val="24"/>
              </w:rPr>
              <w:t>因此，评价要求在矿区周围修建截排水沟及沉砂凼，及时对开挖裸露面进行覆土绿化等水土保护措施后，可有效减轻对矿区周边地表水系的不利影响。</w:t>
            </w:r>
          </w:p>
          <w:p>
            <w:pPr>
              <w:adjustRightInd w:val="0"/>
              <w:snapToGrid w:val="0"/>
              <w:spacing w:line="360" w:lineRule="auto"/>
              <w:ind w:firstLine="482" w:firstLineChars="200"/>
              <w:rPr>
                <w:b/>
                <w:sz w:val="24"/>
              </w:rPr>
            </w:pPr>
            <w:r>
              <w:rPr>
                <w:b/>
                <w:sz w:val="24"/>
              </w:rPr>
              <w:t>5）对土地利用的影响分析</w:t>
            </w:r>
          </w:p>
          <w:p>
            <w:pPr>
              <w:adjustRightInd w:val="0"/>
              <w:snapToGrid w:val="0"/>
              <w:spacing w:line="360" w:lineRule="auto"/>
              <w:ind w:firstLine="480" w:firstLineChars="200"/>
              <w:rPr>
                <w:sz w:val="24"/>
              </w:rPr>
            </w:pPr>
            <w:r>
              <w:rPr>
                <w:sz w:val="24"/>
              </w:rPr>
              <w:t>拟建项目占地面积合计为6.9742hm</w:t>
            </w:r>
            <w:r>
              <w:rPr>
                <w:sz w:val="24"/>
                <w:vertAlign w:val="superscript"/>
              </w:rPr>
              <w:t>2</w:t>
            </w:r>
            <w:r>
              <w:rPr>
                <w:sz w:val="24"/>
              </w:rPr>
              <w:t>，含</w:t>
            </w:r>
            <w:r>
              <w:rPr>
                <w:rFonts w:hint="eastAsia"/>
                <w:sz w:val="24"/>
              </w:rPr>
              <w:t>采区、工业广场</w:t>
            </w:r>
            <w:r>
              <w:rPr>
                <w:sz w:val="24"/>
              </w:rPr>
              <w:t>、</w:t>
            </w:r>
            <w:r>
              <w:rPr>
                <w:rFonts w:hint="eastAsia"/>
                <w:sz w:val="24"/>
              </w:rPr>
              <w:t>排土场、场内运输道路</w:t>
            </w:r>
            <w:r>
              <w:rPr>
                <w:sz w:val="24"/>
              </w:rPr>
              <w:t>。项目占地为</w:t>
            </w:r>
            <w:r>
              <w:rPr>
                <w:rFonts w:hint="eastAsia"/>
                <w:sz w:val="24"/>
              </w:rPr>
              <w:t>乔木林地、采矿用地</w:t>
            </w:r>
            <w:r>
              <w:rPr>
                <w:sz w:val="24"/>
              </w:rPr>
              <w:t>，共计</w:t>
            </w:r>
            <w:r>
              <w:rPr>
                <w:rFonts w:hint="eastAsia"/>
                <w:sz w:val="24"/>
              </w:rPr>
              <w:t>2</w:t>
            </w:r>
            <w:r>
              <w:rPr>
                <w:sz w:val="24"/>
              </w:rPr>
              <w:t>种类型。</w:t>
            </w:r>
          </w:p>
          <w:p>
            <w:pPr>
              <w:adjustRightInd w:val="0"/>
              <w:snapToGrid w:val="0"/>
              <w:spacing w:line="360" w:lineRule="auto"/>
              <w:ind w:firstLine="480" w:firstLineChars="200"/>
              <w:rPr>
                <w:sz w:val="24"/>
              </w:rPr>
            </w:pPr>
            <w:r>
              <w:rPr>
                <w:sz w:val="24"/>
              </w:rPr>
              <w:t>拟建项目占地将导致范围内</w:t>
            </w:r>
            <w:r>
              <w:rPr>
                <w:rFonts w:hint="eastAsia"/>
                <w:sz w:val="24"/>
              </w:rPr>
              <w:t>乔木林地</w:t>
            </w:r>
            <w:r>
              <w:rPr>
                <w:sz w:val="24"/>
              </w:rPr>
              <w:t>土地利用类型临时丧失，转变为采矿用地，但不会导致现有土地利用类型在该区域内永久消失。在</w:t>
            </w:r>
            <w:r>
              <w:rPr>
                <w:rFonts w:hint="eastAsia"/>
                <w:sz w:val="24"/>
              </w:rPr>
              <w:t>场内运输</w:t>
            </w:r>
            <w:r>
              <w:rPr>
                <w:sz w:val="24"/>
              </w:rPr>
              <w:t>道路两侧</w:t>
            </w:r>
            <w:r>
              <w:rPr>
                <w:rFonts w:hint="eastAsia"/>
                <w:sz w:val="24"/>
              </w:rPr>
              <w:t>、恢复治理区</w:t>
            </w:r>
            <w:r>
              <w:rPr>
                <w:sz w:val="24"/>
              </w:rPr>
              <w:t>也将采取种植乔木和灌木的措施，使林地类型净损失也有所减少。此外，矿山开采结束后对矿区及相关区域进行复垦绿化，最终将大大减少土地利用类型的变化。</w:t>
            </w:r>
          </w:p>
          <w:p>
            <w:pPr>
              <w:adjustRightInd w:val="0"/>
              <w:snapToGrid w:val="0"/>
              <w:spacing w:line="360" w:lineRule="auto"/>
              <w:ind w:firstLine="480" w:firstLineChars="200"/>
              <w:rPr>
                <w:sz w:val="24"/>
              </w:rPr>
            </w:pPr>
            <w:r>
              <w:rPr>
                <w:sz w:val="24"/>
              </w:rPr>
              <w:t>由此可知，土地利用性质变化</w:t>
            </w:r>
            <w:r>
              <w:rPr>
                <w:rFonts w:hint="eastAsia"/>
                <w:sz w:val="24"/>
              </w:rPr>
              <w:t>具备</w:t>
            </w:r>
            <w:r>
              <w:rPr>
                <w:sz w:val="24"/>
              </w:rPr>
              <w:t>临时</w:t>
            </w:r>
            <w:r>
              <w:rPr>
                <w:rFonts w:hint="eastAsia"/>
                <w:sz w:val="24"/>
              </w:rPr>
              <w:t>性、且变化</w:t>
            </w:r>
            <w:r>
              <w:rPr>
                <w:sz w:val="24"/>
              </w:rPr>
              <w:t>数量有限，从土地生产效率方面来看，土地利用类型变化部分的利用价值是没有降低的，也正是使用了这一部分土地，单位土地面积的直接经济效益明显提高，可迅速将资源优势转化为经济优势，对地方经济发展是积极有利影响。</w:t>
            </w:r>
          </w:p>
          <w:p>
            <w:pPr>
              <w:adjustRightInd w:val="0"/>
              <w:snapToGrid w:val="0"/>
              <w:spacing w:line="360" w:lineRule="auto"/>
              <w:ind w:firstLine="482" w:firstLineChars="200"/>
              <w:rPr>
                <w:b/>
                <w:sz w:val="24"/>
              </w:rPr>
            </w:pPr>
            <w:r>
              <w:rPr>
                <w:b/>
                <w:sz w:val="24"/>
              </w:rPr>
              <w:t>6）对农林业的影响分析</w:t>
            </w:r>
          </w:p>
          <w:p>
            <w:pPr>
              <w:adjustRightInd w:val="0"/>
              <w:snapToGrid w:val="0"/>
              <w:spacing w:line="360" w:lineRule="auto"/>
              <w:ind w:firstLine="480" w:firstLineChars="200"/>
              <w:rPr>
                <w:sz w:val="24"/>
              </w:rPr>
            </w:pPr>
            <w:r>
              <w:rPr>
                <w:sz w:val="24"/>
              </w:rPr>
              <w:t>项目占地主要涉及</w:t>
            </w:r>
            <w:r>
              <w:rPr>
                <w:rFonts w:hint="eastAsia"/>
                <w:sz w:val="24"/>
              </w:rPr>
              <w:t>林地</w:t>
            </w:r>
            <w:r>
              <w:rPr>
                <w:sz w:val="24"/>
              </w:rPr>
              <w:t>。</w:t>
            </w:r>
          </w:p>
          <w:p>
            <w:pPr>
              <w:adjustRightInd w:val="0"/>
              <w:snapToGrid w:val="0"/>
              <w:spacing w:line="360" w:lineRule="auto"/>
              <w:ind w:firstLine="480" w:firstLineChars="200"/>
              <w:rPr>
                <w:sz w:val="24"/>
              </w:rPr>
            </w:pPr>
            <w:r>
              <w:rPr>
                <w:sz w:val="24"/>
              </w:rPr>
              <w:t>经现场勘查，拟建项目占地范围内林地</w:t>
            </w:r>
            <w:r>
              <w:rPr>
                <w:rFonts w:hint="eastAsia"/>
                <w:sz w:val="24"/>
              </w:rPr>
              <w:t>中</w:t>
            </w:r>
            <w:r>
              <w:rPr>
                <w:sz w:val="24"/>
              </w:rPr>
              <w:t>所损毁植被均为当地常见物种，项目开采结束后，将对占地范围内裸露的地表进行生态覆土，撒播草籽种植当地常见的物种，以减缓项目露天开采对区域生态系统造成的破坏。因此，项目建设不会造成项目区林地、农业生态系统发生根本性变化。</w:t>
            </w:r>
          </w:p>
          <w:p>
            <w:pPr>
              <w:adjustRightInd w:val="0"/>
              <w:snapToGrid w:val="0"/>
              <w:spacing w:line="360" w:lineRule="auto"/>
              <w:ind w:firstLine="482" w:firstLineChars="200"/>
              <w:rPr>
                <w:b/>
                <w:sz w:val="24"/>
              </w:rPr>
            </w:pPr>
            <w:r>
              <w:rPr>
                <w:b/>
                <w:sz w:val="24"/>
              </w:rPr>
              <w:t>7）生物多样性影响分析</w:t>
            </w:r>
          </w:p>
          <w:p>
            <w:pPr>
              <w:adjustRightInd w:val="0"/>
              <w:snapToGrid w:val="0"/>
              <w:spacing w:line="360" w:lineRule="auto"/>
              <w:ind w:firstLine="480" w:firstLineChars="200"/>
              <w:rPr>
                <w:sz w:val="24"/>
              </w:rPr>
            </w:pPr>
            <w:r>
              <w:rPr>
                <w:rFonts w:hint="eastAsia" w:ascii="宋体" w:hAnsi="宋体" w:cs="宋体"/>
                <w:sz w:val="24"/>
              </w:rPr>
              <w:t>①</w:t>
            </w:r>
            <w:r>
              <w:rPr>
                <w:sz w:val="24"/>
              </w:rPr>
              <w:t>陆生植物影响</w:t>
            </w:r>
          </w:p>
          <w:p>
            <w:pPr>
              <w:adjustRightInd w:val="0"/>
              <w:snapToGrid w:val="0"/>
              <w:spacing w:line="360" w:lineRule="auto"/>
              <w:ind w:firstLine="480" w:firstLineChars="200"/>
              <w:rPr>
                <w:sz w:val="24"/>
              </w:rPr>
            </w:pPr>
            <w:r>
              <w:rPr>
                <w:sz w:val="24"/>
              </w:rPr>
              <w:t>石灰岩矿山采矿需要采矿工作面以及相应的开采运输系统和必要的开采运输设备。矿山采场目前地表为林木植被所覆盖，随着矿山建设施工及营运开采，这些植被将被剥离而破坏。</w:t>
            </w:r>
            <w:r>
              <w:rPr>
                <w:kern w:val="0"/>
                <w:sz w:val="24"/>
              </w:rPr>
              <w:t>由表3-</w:t>
            </w:r>
            <w:r>
              <w:rPr>
                <w:rFonts w:hint="eastAsia"/>
                <w:kern w:val="0"/>
                <w:sz w:val="24"/>
              </w:rPr>
              <w:t>8</w:t>
            </w:r>
            <w:r>
              <w:rPr>
                <w:kern w:val="0"/>
                <w:sz w:val="24"/>
              </w:rPr>
              <w:t>可知，项目占地范围内现有生物量为143.548t，区域内生态环境一般</w:t>
            </w:r>
            <w:r>
              <w:rPr>
                <w:sz w:val="24"/>
              </w:rPr>
              <w:t>，项目建设开采破坏的生物量较少。</w:t>
            </w:r>
          </w:p>
          <w:p>
            <w:pPr>
              <w:adjustRightInd w:val="0"/>
              <w:snapToGrid w:val="0"/>
              <w:spacing w:line="360" w:lineRule="auto"/>
              <w:ind w:firstLine="480" w:firstLineChars="200"/>
              <w:rPr>
                <w:sz w:val="24"/>
              </w:rPr>
            </w:pPr>
            <w:r>
              <w:rPr>
                <w:rFonts w:hint="eastAsia"/>
                <w:sz w:val="24"/>
              </w:rPr>
              <w:t>植被既是重要的自然资源，又是自然条件（如地质、地貌、气候、土壤等）和人类开发利用资源状况的综合反映，植被作为陆地生物圈的主体，在生态系统中的作用也日益受到重视，尤其是对生态系统变化及稳定起决定性作用。植被净初级生产力（NPP）指绿色植物在单位时间和单位面积上所积累的有机干物质总量，它不仅是表征植物活动的重要变量，而且是判定生态系统碳汇和调节生态过程的主要因子，它直接反映植物群落在自然环境条件下的生产能力，也是生态现状质量评价的重要参数。根据前文植被调查统计数据，调查区内各植被类型净生产力情况见</w:t>
            </w:r>
            <w:r>
              <w:rPr>
                <w:sz w:val="24"/>
              </w:rPr>
              <w:t>表4-2</w:t>
            </w:r>
            <w:r>
              <w:rPr>
                <w:rFonts w:hint="eastAsia"/>
                <w:sz w:val="24"/>
              </w:rPr>
              <w:t>7</w:t>
            </w:r>
            <w:r>
              <w:rPr>
                <w:sz w:val="24"/>
              </w:rPr>
              <w:t>。</w:t>
            </w:r>
          </w:p>
          <w:p>
            <w:pPr>
              <w:adjustRightInd w:val="0"/>
              <w:snapToGrid w:val="0"/>
              <w:jc w:val="center"/>
              <w:rPr>
                <w:b/>
                <w:sz w:val="24"/>
              </w:rPr>
            </w:pPr>
            <w:r>
              <w:rPr>
                <w:b/>
                <w:sz w:val="24"/>
              </w:rPr>
              <w:t>表4-2</w:t>
            </w:r>
            <w:r>
              <w:rPr>
                <w:rFonts w:hint="eastAsia"/>
                <w:b/>
                <w:sz w:val="24"/>
              </w:rPr>
              <w:t>7</w:t>
            </w:r>
            <w:r>
              <w:rPr>
                <w:b/>
                <w:sz w:val="24"/>
              </w:rPr>
              <w:t xml:space="preserve">  不同类型植被区域减少生产力计算</w:t>
            </w:r>
          </w:p>
          <w:tbl>
            <w:tblPr>
              <w:tblStyle w:val="15"/>
              <w:tblW w:w="9010"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98"/>
              <w:gridCol w:w="2552"/>
              <w:gridCol w:w="2708"/>
              <w:gridCol w:w="195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312" w:hRule="atLeast"/>
                <w:tblHeader/>
                <w:jc w:val="center"/>
              </w:trPr>
              <w:tc>
                <w:tcPr>
                  <w:tcW w:w="1798" w:type="dxa"/>
                  <w:vAlign w:val="center"/>
                </w:tcPr>
                <w:p>
                  <w:pPr>
                    <w:spacing w:line="300" w:lineRule="exact"/>
                    <w:jc w:val="center"/>
                  </w:pPr>
                  <w:r>
                    <w:t>类型</w:t>
                  </w:r>
                </w:p>
              </w:tc>
              <w:tc>
                <w:tcPr>
                  <w:tcW w:w="2552" w:type="dxa"/>
                  <w:vAlign w:val="center"/>
                </w:tcPr>
                <w:p>
                  <w:pPr>
                    <w:spacing w:line="300" w:lineRule="exact"/>
                    <w:jc w:val="center"/>
                  </w:pPr>
                  <w:r>
                    <w:t>净生产力 (g/m</w:t>
                  </w:r>
                  <w:r>
                    <w:rPr>
                      <w:vertAlign w:val="superscript"/>
                    </w:rPr>
                    <w:t>2</w:t>
                  </w:r>
                  <w:r>
                    <w:t>.a)</w:t>
                  </w:r>
                </w:p>
              </w:tc>
              <w:tc>
                <w:tcPr>
                  <w:tcW w:w="2708" w:type="dxa"/>
                  <w:vAlign w:val="center"/>
                </w:tcPr>
                <w:p>
                  <w:pPr>
                    <w:spacing w:line="300" w:lineRule="exact"/>
                    <w:jc w:val="center"/>
                  </w:pPr>
                  <w:r>
                    <w:t>受破坏的面积（hm</w:t>
                  </w:r>
                  <w:r>
                    <w:rPr>
                      <w:vertAlign w:val="superscript"/>
                    </w:rPr>
                    <w:t>2</w:t>
                  </w:r>
                  <w:r>
                    <w:t>）</w:t>
                  </w:r>
                </w:p>
              </w:tc>
              <w:tc>
                <w:tcPr>
                  <w:tcW w:w="1952" w:type="dxa"/>
                  <w:vAlign w:val="center"/>
                </w:tcPr>
                <w:p>
                  <w:pPr>
                    <w:spacing w:line="300" w:lineRule="exact"/>
                    <w:jc w:val="center"/>
                  </w:pPr>
                  <w:r>
                    <w:t>减少</w:t>
                  </w:r>
                  <w:r>
                    <w:rPr>
                      <w:rFonts w:hint="eastAsia"/>
                    </w:rPr>
                    <w:t>生产力</w:t>
                  </w:r>
                  <w:r>
                    <w:t>（t/a）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312" w:hRule="atLeast"/>
                <w:jc w:val="center"/>
              </w:trPr>
              <w:tc>
                <w:tcPr>
                  <w:tcW w:w="1798" w:type="dxa"/>
                  <w:vAlign w:val="center"/>
                </w:tcPr>
                <w:p>
                  <w:pPr>
                    <w:spacing w:line="300" w:lineRule="exact"/>
                    <w:jc w:val="center"/>
                  </w:pPr>
                  <w:r>
                    <w:rPr>
                      <w:rFonts w:hint="eastAsia"/>
                    </w:rPr>
                    <w:t>乔木林植被</w:t>
                  </w:r>
                </w:p>
              </w:tc>
              <w:tc>
                <w:tcPr>
                  <w:tcW w:w="2552" w:type="dxa"/>
                  <w:vAlign w:val="center"/>
                </w:tcPr>
                <w:p>
                  <w:pPr>
                    <w:spacing w:line="300" w:lineRule="exact"/>
                    <w:jc w:val="center"/>
                  </w:pPr>
                  <w:r>
                    <w:rPr>
                      <w:rFonts w:hint="eastAsia"/>
                    </w:rPr>
                    <w:t>723</w:t>
                  </w:r>
                </w:p>
              </w:tc>
              <w:tc>
                <w:tcPr>
                  <w:tcW w:w="2708" w:type="dxa"/>
                  <w:vAlign w:val="center"/>
                </w:tcPr>
                <w:p>
                  <w:pPr>
                    <w:spacing w:line="300" w:lineRule="exact"/>
                    <w:jc w:val="center"/>
                  </w:pPr>
                  <w:r>
                    <w:t>1.</w:t>
                  </w:r>
                  <w:r>
                    <w:rPr>
                      <w:rFonts w:hint="eastAsia"/>
                    </w:rPr>
                    <w:t>6091</w:t>
                  </w:r>
                </w:p>
              </w:tc>
              <w:tc>
                <w:tcPr>
                  <w:tcW w:w="1952" w:type="dxa"/>
                  <w:vAlign w:val="center"/>
                </w:tcPr>
                <w:p>
                  <w:pPr>
                    <w:widowControl/>
                    <w:jc w:val="center"/>
                    <w:rPr>
                      <w:rFonts w:eastAsia="等线"/>
                      <w:kern w:val="0"/>
                      <w:szCs w:val="21"/>
                    </w:rPr>
                  </w:pPr>
                  <w:r>
                    <w:rPr>
                      <w:rFonts w:hint="eastAsia" w:eastAsia="等线"/>
                      <w:szCs w:val="21"/>
                    </w:rPr>
                    <w:t>11.634</w:t>
                  </w:r>
                </w:p>
              </w:tc>
            </w:tr>
          </w:tbl>
          <w:p>
            <w:pPr>
              <w:adjustRightInd w:val="0"/>
              <w:snapToGrid w:val="0"/>
              <w:spacing w:line="360" w:lineRule="auto"/>
              <w:ind w:firstLine="480" w:firstLineChars="200"/>
              <w:rPr>
                <w:sz w:val="24"/>
              </w:rPr>
            </w:pPr>
            <w:r>
              <w:rPr>
                <w:sz w:val="24"/>
              </w:rPr>
              <w:t>从表4-</w:t>
            </w:r>
            <w:r>
              <w:rPr>
                <w:rFonts w:hint="eastAsia"/>
                <w:sz w:val="24"/>
              </w:rPr>
              <w:t>27</w:t>
            </w:r>
            <w:r>
              <w:rPr>
                <w:sz w:val="24"/>
              </w:rPr>
              <w:t>可以看出，矿山开采后，在不对开采区域进行恢复植被情况下，矿山占地范围内生产力减少量为11.634t/a。由于矿山占地面积较小，矿山开采导致减少的生产力对整个区域来说，减少的生产力有限。</w:t>
            </w:r>
          </w:p>
          <w:p>
            <w:pPr>
              <w:adjustRightInd w:val="0"/>
              <w:snapToGrid w:val="0"/>
              <w:spacing w:line="360" w:lineRule="auto"/>
              <w:ind w:firstLine="480" w:firstLineChars="200"/>
              <w:rPr>
                <w:sz w:val="24"/>
              </w:rPr>
            </w:pPr>
            <w:r>
              <w:rPr>
                <w:sz w:val="24"/>
              </w:rPr>
              <w:t>此外，矿山将采用</w:t>
            </w:r>
            <w:r>
              <w:rPr>
                <w:rFonts w:hint="eastAsia"/>
                <w:sz w:val="24"/>
              </w:rPr>
              <w:t>边开采边复垦</w:t>
            </w:r>
            <w:r>
              <w:rPr>
                <w:sz w:val="24"/>
              </w:rPr>
              <w:t>的模式，但由于矿山在生态恢复初期，耕地肥力降低，</w:t>
            </w:r>
            <w:r>
              <w:rPr>
                <w:rFonts w:hint="eastAsia"/>
                <w:sz w:val="24"/>
              </w:rPr>
              <w:t>林地、</w:t>
            </w:r>
            <w:r>
              <w:rPr>
                <w:sz w:val="24"/>
              </w:rPr>
              <w:t>灌草地</w:t>
            </w:r>
            <w:r>
              <w:rPr>
                <w:rFonts w:hint="eastAsia"/>
                <w:sz w:val="24"/>
              </w:rPr>
              <w:t>、</w:t>
            </w:r>
            <w:r>
              <w:rPr>
                <w:sz w:val="24"/>
              </w:rPr>
              <w:t>耕地生长较缓慢，且受矿山开采的影响，</w:t>
            </w:r>
            <w:r>
              <w:rPr>
                <w:rFonts w:hint="eastAsia"/>
                <w:sz w:val="24"/>
              </w:rPr>
              <w:t>林地、</w:t>
            </w:r>
            <w:r>
              <w:rPr>
                <w:sz w:val="24"/>
              </w:rPr>
              <w:t>灌草地</w:t>
            </w:r>
            <w:r>
              <w:rPr>
                <w:rFonts w:hint="eastAsia"/>
                <w:sz w:val="24"/>
              </w:rPr>
              <w:t>、</w:t>
            </w:r>
            <w:r>
              <w:rPr>
                <w:sz w:val="24"/>
              </w:rPr>
              <w:t>耕地平均生产力较开矿前均有较大幅度的降低，但是随着矿山闭矿，矿山</w:t>
            </w:r>
            <w:r>
              <w:rPr>
                <w:rFonts w:hint="eastAsia"/>
                <w:sz w:val="24"/>
              </w:rPr>
              <w:t>林地、</w:t>
            </w:r>
            <w:r>
              <w:rPr>
                <w:sz w:val="24"/>
              </w:rPr>
              <w:t>灌草地</w:t>
            </w:r>
            <w:r>
              <w:rPr>
                <w:rFonts w:hint="eastAsia"/>
                <w:sz w:val="24"/>
              </w:rPr>
              <w:t>、</w:t>
            </w:r>
            <w:r>
              <w:rPr>
                <w:sz w:val="24"/>
              </w:rPr>
              <w:t>耕地净生产能力逐步恢复到开采前水平</w:t>
            </w:r>
            <w:r>
              <w:rPr>
                <w:rFonts w:hint="eastAsia"/>
                <w:sz w:val="24"/>
              </w:rPr>
              <w:t>。</w:t>
            </w:r>
          </w:p>
          <w:p>
            <w:pPr>
              <w:adjustRightInd w:val="0"/>
              <w:snapToGrid w:val="0"/>
              <w:spacing w:line="360" w:lineRule="auto"/>
              <w:ind w:firstLine="480" w:firstLineChars="200"/>
              <w:rPr>
                <w:sz w:val="24"/>
              </w:rPr>
            </w:pPr>
            <w:r>
              <w:rPr>
                <w:rFonts w:hint="eastAsia"/>
                <w:sz w:val="24"/>
              </w:rPr>
              <w:t>在矿山开采过程中，应采取科学合理的粉尘、扬尘污染防治措施，减缓本项目粉尘、扬尘对环境的影响。随着矿山开采活动的结束，矿区将进行绿化复垦作业，生产迹地范围植被将逐渐得到恢复。此外，调查范围植物属于原生植被受人类活动破坏后衍生的常见次生植被，无重点保护野生植物分布，不会导致重点保护野生植物物种的灭绝。</w:t>
            </w:r>
          </w:p>
          <w:p>
            <w:pPr>
              <w:adjustRightInd w:val="0"/>
              <w:snapToGrid w:val="0"/>
              <w:spacing w:line="360" w:lineRule="auto"/>
              <w:ind w:firstLine="480" w:firstLineChars="200"/>
              <w:rPr>
                <w:sz w:val="24"/>
              </w:rPr>
            </w:pPr>
            <w:r>
              <w:rPr>
                <w:rFonts w:hint="eastAsia"/>
                <w:sz w:val="24"/>
              </w:rPr>
              <w:t>因此，矿山开采对评价区植物资源的影响是可逆的、短期的轻微不利影响</w:t>
            </w:r>
            <w:r>
              <w:rPr>
                <w:sz w:val="24"/>
              </w:rPr>
              <w:t>。</w:t>
            </w:r>
          </w:p>
          <w:p>
            <w:pPr>
              <w:adjustRightInd w:val="0"/>
              <w:snapToGrid w:val="0"/>
              <w:spacing w:line="360" w:lineRule="auto"/>
              <w:ind w:firstLine="480" w:firstLineChars="200"/>
              <w:rPr>
                <w:sz w:val="24"/>
              </w:rPr>
            </w:pPr>
            <w:r>
              <w:rPr>
                <w:rFonts w:hint="eastAsia" w:ascii="宋体" w:hAnsi="宋体" w:cs="宋体"/>
                <w:sz w:val="24"/>
              </w:rPr>
              <w:t>②</w:t>
            </w:r>
            <w:r>
              <w:rPr>
                <w:sz w:val="24"/>
              </w:rPr>
              <w:t>陆生动物影响</w:t>
            </w:r>
          </w:p>
          <w:p>
            <w:pPr>
              <w:adjustRightInd w:val="0"/>
              <w:snapToGrid w:val="0"/>
              <w:spacing w:line="360" w:lineRule="auto"/>
              <w:ind w:firstLine="480" w:firstLineChars="200"/>
              <w:rPr>
                <w:sz w:val="24"/>
              </w:rPr>
            </w:pPr>
            <w:r>
              <w:rPr>
                <w:rFonts w:hint="eastAsia"/>
                <w:sz w:val="24"/>
              </w:rPr>
              <w:t>由于区域人为活动显著，地带性原生植被已被破坏殆尽，评价范围及周边无连续性的林地分布，动物隐蔽、栖息、繁衍的场所不断缩小或受到严重破坏。结合现场勘查、访问调查和历史调查结果来看，评价范围几无大型野生动物活动，评价范围活动的陆生脊椎动物主要为鸟类和小型啮齿类及两栖类等。</w:t>
            </w:r>
          </w:p>
          <w:p>
            <w:pPr>
              <w:adjustRightInd w:val="0"/>
              <w:snapToGrid w:val="0"/>
              <w:spacing w:line="360" w:lineRule="auto"/>
              <w:ind w:firstLine="480" w:firstLineChars="200"/>
              <w:rPr>
                <w:sz w:val="24"/>
              </w:rPr>
            </w:pPr>
            <w:r>
              <w:rPr>
                <w:rFonts w:hint="eastAsia"/>
                <w:sz w:val="24"/>
              </w:rPr>
              <w:t>项目采用露天开采，矿山开采过程中，地表剥离、矿石开采直接导致以采区地表植被或表土作为栖息地或觅食场所的野生动物生存环境的丧失，如</w:t>
            </w:r>
            <w:r>
              <w:rPr>
                <w:rFonts w:hint="eastAsia"/>
                <w:color w:val="0000FF"/>
                <w:kern w:val="0"/>
                <w:sz w:val="24"/>
              </w:rPr>
              <w:t>褐家鼠、小家鼠</w:t>
            </w:r>
            <w:r>
              <w:rPr>
                <w:rFonts w:hint="eastAsia"/>
                <w:sz w:val="24"/>
              </w:rPr>
              <w:t>等；矿体开挖损毁洞居、穴居的野生动物生活环境，如</w:t>
            </w:r>
            <w:r>
              <w:rPr>
                <w:rFonts w:hint="eastAsia"/>
                <w:color w:val="0000FF"/>
                <w:kern w:val="0"/>
                <w:sz w:val="24"/>
              </w:rPr>
              <w:t>褐家鼠、小家鼠、赤链蛇</w:t>
            </w:r>
            <w:r>
              <w:rPr>
                <w:rFonts w:hint="eastAsia"/>
                <w:sz w:val="24"/>
              </w:rPr>
              <w:t>等；机械开采产生的噪声必然使周边一定距离范围内的野生动物受到惊扰，迫使对惊扰胁迫敏感的动物远离矿区，迁徙到比较幽深的周边环境生活。</w:t>
            </w:r>
          </w:p>
          <w:p>
            <w:pPr>
              <w:adjustRightInd w:val="0"/>
              <w:snapToGrid w:val="0"/>
              <w:spacing w:line="360" w:lineRule="auto"/>
              <w:ind w:firstLine="480" w:firstLineChars="200"/>
              <w:rPr>
                <w:sz w:val="24"/>
              </w:rPr>
            </w:pPr>
            <w:r>
              <w:rPr>
                <w:rFonts w:hint="eastAsia"/>
                <w:sz w:val="24"/>
              </w:rPr>
              <w:t>项目厂区面积不大，周边人为干扰破坏程度低，原来生活在矿山范围内的小型动物完全可以在周边区域找到替代生境。矿山开采结束后，所有生产迹地区域都将进行植被恢复，野生动物的隐蔽、觅食、繁殖等活动范围可得到一定程度的恢复和改善。</w:t>
            </w:r>
          </w:p>
          <w:p>
            <w:pPr>
              <w:adjustRightInd w:val="0"/>
              <w:snapToGrid w:val="0"/>
              <w:spacing w:line="360" w:lineRule="auto"/>
              <w:ind w:firstLine="480" w:firstLineChars="200"/>
              <w:rPr>
                <w:sz w:val="24"/>
              </w:rPr>
            </w:pPr>
            <w:r>
              <w:rPr>
                <w:rFonts w:hint="eastAsia"/>
                <w:sz w:val="24"/>
              </w:rPr>
              <w:t>因此，矿山开采对野生动物的影响是暂时的，不会导致野生动物物种的消失，矿山开采活动结束后不利影响可得到一定程度的恢复</w:t>
            </w:r>
            <w:r>
              <w:rPr>
                <w:sz w:val="24"/>
              </w:rPr>
              <w:t>。</w:t>
            </w:r>
          </w:p>
          <w:p>
            <w:pPr>
              <w:adjustRightInd w:val="0"/>
              <w:snapToGrid w:val="0"/>
              <w:spacing w:line="360" w:lineRule="auto"/>
              <w:ind w:firstLine="482" w:firstLineChars="200"/>
              <w:rPr>
                <w:b/>
                <w:sz w:val="24"/>
              </w:rPr>
            </w:pPr>
            <w:r>
              <w:rPr>
                <w:b/>
                <w:sz w:val="24"/>
              </w:rPr>
              <w:t>8）视觉景观生态影响分析</w:t>
            </w:r>
          </w:p>
          <w:p>
            <w:pPr>
              <w:adjustRightInd w:val="0"/>
              <w:snapToGrid w:val="0"/>
              <w:spacing w:line="360" w:lineRule="auto"/>
              <w:ind w:firstLine="480" w:firstLineChars="200"/>
              <w:rPr>
                <w:sz w:val="24"/>
              </w:rPr>
            </w:pPr>
            <w:r>
              <w:rPr>
                <w:rFonts w:hint="eastAsia" w:ascii="宋体" w:hAnsi="宋体" w:cs="宋体"/>
                <w:sz w:val="24"/>
              </w:rPr>
              <w:t>①</w:t>
            </w:r>
            <w:r>
              <w:rPr>
                <w:sz w:val="24"/>
              </w:rPr>
              <w:t>景观空间结构影响分析</w:t>
            </w:r>
          </w:p>
          <w:p>
            <w:pPr>
              <w:adjustRightInd w:val="0"/>
              <w:snapToGrid w:val="0"/>
              <w:spacing w:line="360" w:lineRule="auto"/>
              <w:ind w:firstLine="480" w:firstLineChars="200"/>
              <w:rPr>
                <w:sz w:val="24"/>
              </w:rPr>
            </w:pPr>
            <w:r>
              <w:rPr>
                <w:sz w:val="24"/>
              </w:rPr>
              <w:t>景观格局的变化在于外界的干扰作用，这些干扰作用往往是综合性的，它包括自然环境、各种生物以及人类社会之间复杂的相互作用。从景观生态学结构与功能相匹配的观点出发，结构是否合理决定了景观功能状况的优劣，决定了我们对自然法则的尊重程度。本项目在采掘的过程中，开挖和剥离地表植被是不可避免的。开挖生石面、剥离地表植被直接破坏景观结构。从景观空间结构分析，维持自然景观生态稳定性的主要是起控制作用的景观组分。</w:t>
            </w:r>
          </w:p>
          <w:p>
            <w:pPr>
              <w:adjustRightInd w:val="0"/>
              <w:snapToGrid w:val="0"/>
              <w:spacing w:line="360" w:lineRule="auto"/>
              <w:ind w:firstLine="480" w:firstLineChars="200"/>
              <w:rPr>
                <w:sz w:val="24"/>
              </w:rPr>
            </w:pPr>
            <w:r>
              <w:rPr>
                <w:sz w:val="24"/>
              </w:rPr>
              <w:t>本区景观的基质是石灰石山地，主要的斑块类型为林地（属于环境资源斑块，是本区分布范围较广，连通程度较高的景观类型）、耕地（属于人类干扰后自然恢复的环境资源斑块类型）、道路系统（是本区景观的线性斑块）、</w:t>
            </w:r>
            <w:r>
              <w:rPr>
                <w:rFonts w:hint="eastAsia"/>
                <w:sz w:val="24"/>
              </w:rPr>
              <w:t>居民住宅</w:t>
            </w:r>
            <w:r>
              <w:rPr>
                <w:sz w:val="24"/>
              </w:rPr>
              <w:t>等人工生态系统。在矿山建设期和开采期，随着植被的剥离和清除，以及山头被逐渐采平，直至挖成露天采坑，景观斑块数量和面积有所减少，工矿用地斑块数量和面积增大，成为生态评价区域的主要干扰斑块，引起生境破碎化程度加剧，林地景观异质性程度降低，不利于当地景观生态体系的稳定。但是项目占地范围有限，通过在开采过程中采取边开采边生态恢复的方式，在闭坑期建议选用矿区现有的乔木种如</w:t>
            </w:r>
            <w:r>
              <w:rPr>
                <w:rFonts w:hint="eastAsia"/>
                <w:sz w:val="24"/>
              </w:rPr>
              <w:t>马尾松</w:t>
            </w:r>
            <w:r>
              <w:rPr>
                <w:sz w:val="24"/>
              </w:rPr>
              <w:t>等树种对占地区域进行植被恢复和景观再造，景观生态会逐渐恢复。</w:t>
            </w:r>
          </w:p>
          <w:p>
            <w:pPr>
              <w:adjustRightInd w:val="0"/>
              <w:snapToGrid w:val="0"/>
              <w:spacing w:line="360" w:lineRule="auto"/>
              <w:ind w:firstLine="480" w:firstLineChars="200"/>
              <w:rPr>
                <w:sz w:val="24"/>
              </w:rPr>
            </w:pPr>
            <w:r>
              <w:rPr>
                <w:rFonts w:hint="eastAsia" w:ascii="宋体" w:hAnsi="宋体" w:cs="宋体"/>
                <w:sz w:val="24"/>
              </w:rPr>
              <w:t>②</w:t>
            </w:r>
            <w:r>
              <w:rPr>
                <w:sz w:val="24"/>
              </w:rPr>
              <w:t>景观视觉影响分析</w:t>
            </w:r>
          </w:p>
          <w:p>
            <w:pPr>
              <w:adjustRightInd w:val="0"/>
              <w:snapToGrid w:val="0"/>
              <w:spacing w:line="360" w:lineRule="auto"/>
              <w:ind w:firstLine="480" w:firstLineChars="200"/>
              <w:rPr>
                <w:sz w:val="24"/>
              </w:rPr>
            </w:pPr>
            <w:r>
              <w:rPr>
                <w:kern w:val="0"/>
                <w:sz w:val="24"/>
              </w:rPr>
              <w:t>经调查，</w:t>
            </w:r>
            <w:r>
              <w:rPr>
                <w:rFonts w:hint="eastAsia"/>
                <w:kern w:val="0"/>
                <w:sz w:val="24"/>
              </w:rPr>
              <w:t>项目厂区西</w:t>
            </w:r>
            <w:r>
              <w:rPr>
                <w:kern w:val="0"/>
                <w:sz w:val="24"/>
              </w:rPr>
              <w:t>侧约</w:t>
            </w:r>
            <w:r>
              <w:rPr>
                <w:rFonts w:hint="eastAsia"/>
                <w:kern w:val="0"/>
                <w:sz w:val="24"/>
              </w:rPr>
              <w:t>256</w:t>
            </w:r>
            <w:r>
              <w:rPr>
                <w:kern w:val="0"/>
                <w:sz w:val="24"/>
              </w:rPr>
              <w:t>m处</w:t>
            </w:r>
            <w:r>
              <w:rPr>
                <w:rFonts w:hint="eastAsia"/>
                <w:kern w:val="0"/>
                <w:sz w:val="24"/>
              </w:rPr>
              <w:t>为S525省</w:t>
            </w:r>
            <w:r>
              <w:rPr>
                <w:kern w:val="0"/>
                <w:sz w:val="24"/>
              </w:rPr>
              <w:t>道</w:t>
            </w:r>
            <w:r>
              <w:rPr>
                <w:rFonts w:hint="eastAsia"/>
                <w:kern w:val="0"/>
                <w:sz w:val="24"/>
              </w:rPr>
              <w:t>，建设单位开采过程中可通过严格依照“开发利用方案”、“可视论证报告”提出的各项优化开采方式及遮挡措施，采用直观可视采区覆盖仿真绿叶网及反向开采相结合的方案，可实现采区开采活动全过程不处于S525省</w:t>
            </w:r>
            <w:r>
              <w:rPr>
                <w:kern w:val="0"/>
                <w:sz w:val="24"/>
              </w:rPr>
              <w:t>道</w:t>
            </w:r>
            <w:r>
              <w:rPr>
                <w:rFonts w:hint="eastAsia"/>
                <w:kern w:val="0"/>
                <w:sz w:val="24"/>
              </w:rPr>
              <w:t>的直观可视范围内</w:t>
            </w:r>
            <w:r>
              <w:rPr>
                <w:rFonts w:hint="eastAsia"/>
                <w:sz w:val="24"/>
              </w:rPr>
              <w:t>，且区域</w:t>
            </w:r>
            <w:r>
              <w:rPr>
                <w:rFonts w:hint="eastAsia"/>
                <w:kern w:val="0"/>
                <w:sz w:val="24"/>
              </w:rPr>
              <w:t>S525省道</w:t>
            </w:r>
            <w:r>
              <w:rPr>
                <w:sz w:val="24"/>
              </w:rPr>
              <w:t>无游览需求，主要是当地村民出行的通道，</w:t>
            </w:r>
            <w:r>
              <w:rPr>
                <w:rFonts w:hint="eastAsia"/>
                <w:sz w:val="24"/>
              </w:rPr>
              <w:t>一般仅部分外出务农的农民，在农林地可见，项目为老矿山，</w:t>
            </w:r>
            <w:r>
              <w:rPr>
                <w:sz w:val="24"/>
              </w:rPr>
              <w:t>居民对其将形成习惯，不利视觉影响可以接受</w:t>
            </w:r>
            <w:r>
              <w:rPr>
                <w:rFonts w:hint="eastAsia"/>
                <w:sz w:val="24"/>
              </w:rPr>
              <w:t>，对周边视觉景观的影响较小。</w:t>
            </w:r>
          </w:p>
          <w:p>
            <w:pPr>
              <w:adjustRightInd w:val="0"/>
              <w:snapToGrid w:val="0"/>
              <w:spacing w:line="360" w:lineRule="auto"/>
              <w:ind w:firstLine="482" w:firstLineChars="200"/>
              <w:rPr>
                <w:b/>
                <w:sz w:val="24"/>
              </w:rPr>
            </w:pPr>
            <w:r>
              <w:rPr>
                <w:b/>
                <w:sz w:val="24"/>
              </w:rPr>
              <w:t>9）水土保持</w:t>
            </w:r>
          </w:p>
          <w:p>
            <w:pPr>
              <w:adjustRightInd w:val="0"/>
              <w:snapToGrid w:val="0"/>
              <w:spacing w:line="360" w:lineRule="auto"/>
              <w:ind w:firstLine="480" w:firstLineChars="200"/>
              <w:rPr>
                <w:sz w:val="24"/>
              </w:rPr>
            </w:pPr>
            <w:r>
              <w:rPr>
                <w:sz w:val="24"/>
              </w:rPr>
              <w:t>目前建设单位</w:t>
            </w:r>
            <w:r>
              <w:rPr>
                <w:rFonts w:hint="eastAsia"/>
                <w:sz w:val="24"/>
              </w:rPr>
              <w:t>正在</w:t>
            </w:r>
            <w:r>
              <w:rPr>
                <w:sz w:val="24"/>
              </w:rPr>
              <w:t>委托第三方有资质的单位编制项目水保方案，本节引用</w:t>
            </w:r>
            <w:r>
              <w:rPr>
                <w:rFonts w:hint="eastAsia"/>
                <w:sz w:val="24"/>
              </w:rPr>
              <w:t>《酉阳县陆合矿业有限责任公司双泉乡大堡坡采石场扩建项目水土保持方案报告书（送审版）》</w:t>
            </w:r>
            <w:r>
              <w:rPr>
                <w:sz w:val="24"/>
              </w:rPr>
              <w:t>中</w:t>
            </w:r>
            <w:r>
              <w:rPr>
                <w:rFonts w:hint="eastAsia"/>
                <w:sz w:val="24"/>
              </w:rPr>
              <w:t>相关结论及水土流失防治措施</w:t>
            </w:r>
            <w:r>
              <w:rPr>
                <w:sz w:val="24"/>
              </w:rPr>
              <w:t>，具体</w:t>
            </w:r>
            <w:r>
              <w:rPr>
                <w:rFonts w:hint="eastAsia"/>
                <w:sz w:val="24"/>
              </w:rPr>
              <w:t>水土保持措施</w:t>
            </w:r>
            <w:r>
              <w:rPr>
                <w:sz w:val="24"/>
              </w:rPr>
              <w:t>以</w:t>
            </w:r>
            <w:r>
              <w:rPr>
                <w:rFonts w:hint="eastAsia"/>
                <w:sz w:val="24"/>
              </w:rPr>
              <w:t>相关主管部门批准的</w:t>
            </w:r>
            <w:r>
              <w:rPr>
                <w:sz w:val="24"/>
              </w:rPr>
              <w:t>水保方案为准。</w:t>
            </w:r>
          </w:p>
          <w:p>
            <w:pPr>
              <w:adjustRightInd w:val="0"/>
              <w:snapToGrid w:val="0"/>
              <w:spacing w:line="360" w:lineRule="auto"/>
              <w:ind w:firstLine="480" w:firstLineChars="200"/>
              <w:rPr>
                <w:sz w:val="24"/>
              </w:rPr>
            </w:pPr>
            <w:r>
              <w:rPr>
                <w:rFonts w:hint="eastAsia"/>
                <w:sz w:val="24"/>
              </w:rPr>
              <w:t>A、结论</w:t>
            </w:r>
          </w:p>
          <w:p>
            <w:pPr>
              <w:adjustRightInd w:val="0"/>
              <w:snapToGrid w:val="0"/>
              <w:spacing w:line="360" w:lineRule="auto"/>
              <w:ind w:firstLine="480" w:firstLineChars="200"/>
              <w:rPr>
                <w:sz w:val="24"/>
              </w:rPr>
            </w:pPr>
            <w:r>
              <w:rPr>
                <w:rFonts w:hint="eastAsia"/>
                <w:sz w:val="24"/>
              </w:rPr>
              <w:t>根据《酉阳县陆合矿业有限责任公司双泉乡大堡坡采石场扩建项目水土保持方案报告书（送审版）》，水土保持措施实施后，至建设期设计水平年、至闭坑治理期末，通过工程水土保持方案的实施，预期工程建设水土流失治理度达95</w:t>
            </w:r>
            <w:r>
              <w:rPr>
                <w:sz w:val="24"/>
              </w:rPr>
              <w:t>%</w:t>
            </w:r>
            <w:r>
              <w:rPr>
                <w:rFonts w:hint="eastAsia"/>
                <w:sz w:val="24"/>
              </w:rPr>
              <w:t>以上，土壤流失控制比达</w:t>
            </w:r>
            <w:r>
              <w:rPr>
                <w:sz w:val="24"/>
              </w:rPr>
              <w:t>1.0</w:t>
            </w:r>
            <w:r>
              <w:rPr>
                <w:rFonts w:hint="eastAsia"/>
                <w:sz w:val="24"/>
              </w:rPr>
              <w:t>，渣土防护率达88</w:t>
            </w:r>
            <w:r>
              <w:rPr>
                <w:sz w:val="24"/>
              </w:rPr>
              <w:t>%</w:t>
            </w:r>
            <w:r>
              <w:rPr>
                <w:rFonts w:hint="eastAsia"/>
                <w:sz w:val="24"/>
              </w:rPr>
              <w:t>以上，表土保护率达到87</w:t>
            </w:r>
            <w:r>
              <w:rPr>
                <w:sz w:val="24"/>
              </w:rPr>
              <w:t>%</w:t>
            </w:r>
            <w:r>
              <w:rPr>
                <w:rFonts w:hint="eastAsia"/>
                <w:sz w:val="24"/>
              </w:rPr>
              <w:t>以上，林草植被恢复率达</w:t>
            </w:r>
            <w:r>
              <w:rPr>
                <w:sz w:val="24"/>
              </w:rPr>
              <w:t>9</w:t>
            </w:r>
            <w:r>
              <w:rPr>
                <w:rFonts w:hint="eastAsia"/>
                <w:sz w:val="24"/>
              </w:rPr>
              <w:t>5</w:t>
            </w:r>
            <w:r>
              <w:rPr>
                <w:sz w:val="24"/>
              </w:rPr>
              <w:t>%</w:t>
            </w:r>
            <w:r>
              <w:rPr>
                <w:rFonts w:hint="eastAsia"/>
                <w:sz w:val="24"/>
              </w:rPr>
              <w:t>以上，林草覆盖率达34.11</w:t>
            </w:r>
            <w:r>
              <w:rPr>
                <w:sz w:val="24"/>
              </w:rPr>
              <w:t>%</w:t>
            </w:r>
            <w:r>
              <w:rPr>
                <w:rFonts w:hint="eastAsia"/>
                <w:sz w:val="24"/>
              </w:rPr>
              <w:t>。各项防治指标均能达标。</w:t>
            </w:r>
          </w:p>
          <w:p>
            <w:pPr>
              <w:adjustRightInd w:val="0"/>
              <w:snapToGrid w:val="0"/>
              <w:spacing w:line="360" w:lineRule="auto"/>
              <w:ind w:firstLine="480" w:firstLineChars="200"/>
              <w:rPr>
                <w:sz w:val="24"/>
              </w:rPr>
            </w:pPr>
            <w:r>
              <w:rPr>
                <w:sz w:val="24"/>
              </w:rPr>
              <w:t>从水土保持的角度综合分析，本项目不存在制约性因素，在采取本方案设计的各项水土保持措施以后，因工程建设引起的水土流失将得到有效治理，水土流失强度将控制在允许范围之内，因此项目建设是可行的。</w:t>
            </w:r>
          </w:p>
          <w:p>
            <w:pPr>
              <w:adjustRightInd w:val="0"/>
              <w:snapToGrid w:val="0"/>
              <w:spacing w:line="360" w:lineRule="auto"/>
              <w:ind w:firstLine="480" w:firstLineChars="200"/>
              <w:rPr>
                <w:sz w:val="24"/>
              </w:rPr>
            </w:pPr>
            <w:r>
              <w:rPr>
                <w:rFonts w:hint="eastAsia"/>
                <w:sz w:val="24"/>
              </w:rPr>
              <w:t>B、</w:t>
            </w:r>
            <w:r>
              <w:rPr>
                <w:sz w:val="24"/>
              </w:rPr>
              <w:t>水土流失防治措施</w:t>
            </w:r>
          </w:p>
          <w:p>
            <w:pPr>
              <w:adjustRightInd w:val="0"/>
              <w:snapToGrid w:val="0"/>
              <w:spacing w:line="360" w:lineRule="auto"/>
              <w:ind w:firstLine="482" w:firstLineChars="200"/>
              <w:rPr>
                <w:bCs/>
                <w:sz w:val="24"/>
              </w:rPr>
            </w:pPr>
            <w:r>
              <w:rPr>
                <w:rFonts w:hint="eastAsia"/>
                <w:b/>
                <w:bCs/>
                <w:sz w:val="24"/>
              </w:rPr>
              <w:t>施工、开采期</w:t>
            </w:r>
            <w:r>
              <w:rPr>
                <w:b/>
                <w:bCs/>
                <w:sz w:val="24"/>
              </w:rPr>
              <w:t>：</w:t>
            </w:r>
            <w:r>
              <w:rPr>
                <w:bCs/>
                <w:sz w:val="24"/>
              </w:rPr>
              <w:t>对场地内原地貌为林地的区域进行表土剥离</w:t>
            </w:r>
            <w:r>
              <w:rPr>
                <w:rFonts w:hint="eastAsia"/>
                <w:bCs/>
                <w:sz w:val="24"/>
              </w:rPr>
              <w:t>，</w:t>
            </w:r>
            <w:r>
              <w:rPr>
                <w:bCs/>
                <w:sz w:val="24"/>
              </w:rPr>
              <w:t>需按设计及时完善</w:t>
            </w:r>
            <w:r>
              <w:rPr>
                <w:rFonts w:hint="eastAsia"/>
                <w:bCs/>
                <w:sz w:val="24"/>
              </w:rPr>
              <w:t>厂区</w:t>
            </w:r>
            <w:r>
              <w:rPr>
                <w:bCs/>
                <w:sz w:val="24"/>
              </w:rPr>
              <w:t>外围截排水措施，末端经</w:t>
            </w:r>
            <w:r>
              <w:rPr>
                <w:rFonts w:hint="eastAsia"/>
                <w:bCs/>
                <w:sz w:val="24"/>
              </w:rPr>
              <w:t>沉砂凼</w:t>
            </w:r>
            <w:r>
              <w:rPr>
                <w:bCs/>
                <w:sz w:val="24"/>
              </w:rPr>
              <w:t>沉淀后汇入相邻</w:t>
            </w:r>
            <w:r>
              <w:rPr>
                <w:rFonts w:hint="eastAsia"/>
                <w:bCs/>
                <w:sz w:val="24"/>
              </w:rPr>
              <w:t>单元的</w:t>
            </w:r>
            <w:r>
              <w:rPr>
                <w:bCs/>
                <w:sz w:val="24"/>
              </w:rPr>
              <w:t>排水系统</w:t>
            </w:r>
            <w:r>
              <w:rPr>
                <w:rFonts w:hint="eastAsia"/>
                <w:bCs/>
                <w:sz w:val="24"/>
              </w:rPr>
              <w:t>，</w:t>
            </w:r>
            <w:r>
              <w:rPr>
                <w:bCs/>
                <w:sz w:val="24"/>
              </w:rPr>
              <w:t>在场地出入口设置洗车池1座</w:t>
            </w:r>
            <w:r>
              <w:rPr>
                <w:rFonts w:hint="eastAsia"/>
                <w:bCs/>
                <w:sz w:val="24"/>
              </w:rPr>
              <w:t>；针对原开采区及界外扰动区域实施修复</w:t>
            </w:r>
            <w:r>
              <w:rPr>
                <w:bCs/>
                <w:sz w:val="24"/>
              </w:rPr>
              <w:t>。</w:t>
            </w:r>
          </w:p>
          <w:p>
            <w:pPr>
              <w:adjustRightInd w:val="0"/>
              <w:snapToGrid w:val="0"/>
              <w:spacing w:line="360" w:lineRule="auto"/>
              <w:ind w:firstLine="480" w:firstLineChars="200"/>
              <w:rPr>
                <w:bCs/>
                <w:sz w:val="24"/>
              </w:rPr>
            </w:pPr>
            <w:r>
              <w:rPr>
                <w:bCs/>
                <w:sz w:val="24"/>
              </w:rPr>
              <w:t>设计截排水沟采用M7.5浆砌片石砌筑，矩形断面，宽0.5m、深0.5m；排水沟</w:t>
            </w:r>
            <w:r>
              <w:rPr>
                <w:rFonts w:hint="eastAsia"/>
                <w:bCs/>
                <w:sz w:val="24"/>
              </w:rPr>
              <w:t>转折处及交汇点</w:t>
            </w:r>
            <w:r>
              <w:rPr>
                <w:bCs/>
                <w:sz w:val="24"/>
              </w:rPr>
              <w:t>设</w:t>
            </w:r>
            <w:r>
              <w:rPr>
                <w:rFonts w:hint="eastAsia"/>
                <w:bCs/>
                <w:sz w:val="24"/>
              </w:rPr>
              <w:t>沉砂凼</w:t>
            </w:r>
            <w:r>
              <w:rPr>
                <w:bCs/>
                <w:sz w:val="24"/>
              </w:rPr>
              <w:t>沉淀，</w:t>
            </w:r>
            <w:r>
              <w:rPr>
                <w:rFonts w:hint="eastAsia"/>
                <w:bCs/>
                <w:sz w:val="24"/>
              </w:rPr>
              <w:t>沉砂凼</w:t>
            </w:r>
            <w:r>
              <w:rPr>
                <w:bCs/>
                <w:sz w:val="24"/>
              </w:rPr>
              <w:t>采用M7.5浆砌片石砌筑，容积1.0m</w:t>
            </w:r>
            <w:r>
              <w:rPr>
                <w:bCs/>
                <w:sz w:val="24"/>
                <w:vertAlign w:val="superscript"/>
              </w:rPr>
              <w:t>3</w:t>
            </w:r>
            <w:r>
              <w:rPr>
                <w:bCs/>
                <w:sz w:val="24"/>
                <w:lang w:bidi="en-US"/>
              </w:rPr>
              <w:t>（长1.0m，宽1.0m，深1.0m）。</w:t>
            </w:r>
          </w:p>
          <w:p>
            <w:pPr>
              <w:adjustRightInd w:val="0"/>
              <w:snapToGrid w:val="0"/>
              <w:spacing w:line="360" w:lineRule="auto"/>
              <w:ind w:firstLine="480" w:firstLineChars="200"/>
              <w:rPr>
                <w:bCs/>
                <w:sz w:val="24"/>
              </w:rPr>
            </w:pPr>
            <w:r>
              <w:rPr>
                <w:bCs/>
                <w:sz w:val="24"/>
              </w:rPr>
              <w:t>经统计，</w:t>
            </w:r>
            <w:r>
              <w:rPr>
                <w:rFonts w:hint="eastAsia"/>
                <w:bCs/>
                <w:sz w:val="24"/>
              </w:rPr>
              <w:t>施工、开采</w:t>
            </w:r>
            <w:r>
              <w:rPr>
                <w:bCs/>
                <w:sz w:val="24"/>
              </w:rPr>
              <w:t>期露天开采区防治区水土保持措施主要工程量如下：</w:t>
            </w:r>
          </w:p>
          <w:p>
            <w:pPr>
              <w:adjustRightInd w:val="0"/>
              <w:snapToGrid w:val="0"/>
              <w:spacing w:line="360" w:lineRule="auto"/>
              <w:ind w:firstLine="480" w:firstLineChars="200"/>
              <w:rPr>
                <w:bCs/>
                <w:sz w:val="24"/>
              </w:rPr>
            </w:pPr>
            <w:r>
              <w:rPr>
                <w:bCs/>
                <w:sz w:val="24"/>
              </w:rPr>
              <w:fldChar w:fldCharType="begin"/>
            </w:r>
            <w:r>
              <w:rPr>
                <w:bCs/>
                <w:sz w:val="24"/>
              </w:rPr>
              <w:instrText xml:space="preserve"> = 1 \* GB3 </w:instrText>
            </w:r>
            <w:r>
              <w:rPr>
                <w:bCs/>
                <w:sz w:val="24"/>
              </w:rPr>
              <w:fldChar w:fldCharType="separate"/>
            </w:r>
            <w:r>
              <w:rPr>
                <w:rFonts w:hint="eastAsia" w:ascii="宋体" w:hAnsi="宋体" w:cs="宋体"/>
                <w:bCs/>
                <w:sz w:val="24"/>
              </w:rPr>
              <w:t>①</w:t>
            </w:r>
            <w:r>
              <w:rPr>
                <w:sz w:val="24"/>
              </w:rPr>
              <w:fldChar w:fldCharType="end"/>
            </w:r>
            <w:r>
              <w:rPr>
                <w:bCs/>
                <w:sz w:val="24"/>
              </w:rPr>
              <w:t>工程措施：截排水沟</w:t>
            </w:r>
            <w:r>
              <w:rPr>
                <w:rFonts w:hint="eastAsia"/>
                <w:bCs/>
                <w:sz w:val="24"/>
              </w:rPr>
              <w:t>1265</w:t>
            </w:r>
            <w:r>
              <w:rPr>
                <w:bCs/>
                <w:sz w:val="24"/>
              </w:rPr>
              <w:t>m，</w:t>
            </w:r>
            <w:r>
              <w:rPr>
                <w:rFonts w:hint="eastAsia"/>
                <w:bCs/>
                <w:sz w:val="24"/>
              </w:rPr>
              <w:t>沉砂凼3</w:t>
            </w:r>
            <w:r>
              <w:rPr>
                <w:bCs/>
                <w:sz w:val="24"/>
              </w:rPr>
              <w:t>座</w:t>
            </w:r>
            <w:r>
              <w:rPr>
                <w:rFonts w:hint="eastAsia"/>
                <w:bCs/>
                <w:sz w:val="24"/>
              </w:rPr>
              <w:t>、</w:t>
            </w:r>
            <w:r>
              <w:rPr>
                <w:bCs/>
                <w:sz w:val="24"/>
              </w:rPr>
              <w:t>洗车池1座</w:t>
            </w:r>
            <w:r>
              <w:rPr>
                <w:rFonts w:hint="eastAsia"/>
                <w:bCs/>
                <w:sz w:val="24"/>
              </w:rPr>
              <w:t>。</w:t>
            </w:r>
          </w:p>
          <w:p>
            <w:pPr>
              <w:adjustRightInd w:val="0"/>
              <w:snapToGrid w:val="0"/>
              <w:spacing w:line="360" w:lineRule="auto"/>
              <w:ind w:firstLine="480" w:firstLineChars="200"/>
              <w:rPr>
                <w:bCs/>
                <w:sz w:val="24"/>
              </w:rPr>
            </w:pPr>
            <w:r>
              <w:rPr>
                <w:bCs/>
                <w:sz w:val="24"/>
              </w:rPr>
              <w:fldChar w:fldCharType="begin"/>
            </w:r>
            <w:r>
              <w:rPr>
                <w:bCs/>
                <w:sz w:val="24"/>
              </w:rPr>
              <w:instrText xml:space="preserve"> = 2 \* GB3 </w:instrText>
            </w:r>
            <w:r>
              <w:rPr>
                <w:bCs/>
                <w:sz w:val="24"/>
              </w:rPr>
              <w:fldChar w:fldCharType="separate"/>
            </w:r>
            <w:r>
              <w:rPr>
                <w:rFonts w:hint="eastAsia" w:ascii="宋体" w:hAnsi="宋体" w:cs="宋体"/>
                <w:bCs/>
                <w:sz w:val="24"/>
              </w:rPr>
              <w:t>②</w:t>
            </w:r>
            <w:r>
              <w:rPr>
                <w:sz w:val="24"/>
              </w:rPr>
              <w:fldChar w:fldCharType="end"/>
            </w:r>
            <w:r>
              <w:rPr>
                <w:bCs/>
                <w:sz w:val="24"/>
              </w:rPr>
              <w:t>临时措施：防雨布苫盖0.8953</w:t>
            </w:r>
            <w:r>
              <w:rPr>
                <w:rFonts w:hint="eastAsia"/>
                <w:bCs/>
                <w:sz w:val="24"/>
              </w:rPr>
              <w:t>h</w:t>
            </w:r>
            <w:r>
              <w:rPr>
                <w:bCs/>
                <w:sz w:val="24"/>
              </w:rPr>
              <w:t>m</w:t>
            </w:r>
            <w:r>
              <w:rPr>
                <w:bCs/>
                <w:sz w:val="24"/>
                <w:vertAlign w:val="superscript"/>
              </w:rPr>
              <w:t>2</w:t>
            </w:r>
            <w:r>
              <w:rPr>
                <w:bCs/>
                <w:sz w:val="24"/>
              </w:rPr>
              <w:t>。</w:t>
            </w:r>
          </w:p>
          <w:p>
            <w:pPr>
              <w:adjustRightInd w:val="0"/>
              <w:snapToGrid w:val="0"/>
              <w:spacing w:line="360" w:lineRule="auto"/>
              <w:ind w:firstLine="480" w:firstLineChars="200"/>
              <w:rPr>
                <w:bCs/>
                <w:sz w:val="24"/>
              </w:rPr>
            </w:pPr>
            <w:r>
              <w:rPr>
                <w:rFonts w:hint="eastAsia"/>
                <w:bCs/>
                <w:sz w:val="24"/>
              </w:rPr>
              <w:t>③</w:t>
            </w:r>
            <w:r>
              <w:rPr>
                <w:bCs/>
                <w:sz w:val="24"/>
              </w:rPr>
              <w:t>植物措施：绿化恢复</w:t>
            </w:r>
            <w:r>
              <w:rPr>
                <w:rFonts w:hint="eastAsia"/>
                <w:bCs/>
                <w:sz w:val="24"/>
              </w:rPr>
              <w:t>3.</w:t>
            </w:r>
            <w:r>
              <w:rPr>
                <w:bCs/>
                <w:sz w:val="24"/>
              </w:rPr>
              <w:t>8466hm</w:t>
            </w:r>
            <w:r>
              <w:rPr>
                <w:bCs/>
                <w:sz w:val="24"/>
                <w:vertAlign w:val="superscript"/>
              </w:rPr>
              <w:t>2</w:t>
            </w:r>
            <w:r>
              <w:rPr>
                <w:rFonts w:hint="eastAsia"/>
                <w:bCs/>
                <w:sz w:val="24"/>
              </w:rPr>
              <w:t>。</w:t>
            </w:r>
          </w:p>
          <w:p>
            <w:pPr>
              <w:adjustRightInd w:val="0"/>
              <w:snapToGrid w:val="0"/>
              <w:spacing w:line="360" w:lineRule="auto"/>
              <w:ind w:firstLine="482" w:firstLineChars="200"/>
              <w:rPr>
                <w:sz w:val="24"/>
              </w:rPr>
            </w:pPr>
            <w:r>
              <w:rPr>
                <w:rFonts w:hint="eastAsia"/>
                <w:b/>
                <w:bCs/>
                <w:sz w:val="24"/>
              </w:rPr>
              <w:t>闭矿</w:t>
            </w:r>
            <w:r>
              <w:rPr>
                <w:b/>
                <w:bCs/>
                <w:sz w:val="24"/>
              </w:rPr>
              <w:t>期：</w:t>
            </w:r>
            <w:r>
              <w:rPr>
                <w:rFonts w:hint="eastAsia"/>
                <w:sz w:val="24"/>
              </w:rPr>
              <w:t>界外</w:t>
            </w:r>
            <w:r>
              <w:rPr>
                <w:rFonts w:hint="eastAsia"/>
                <w:bCs/>
                <w:sz w:val="24"/>
              </w:rPr>
              <w:t>沿用建设期已建排水系统进行排放，沿采坑基底修建截排水沟及蓄水池，再将雨水导出界外</w:t>
            </w:r>
            <w:r>
              <w:rPr>
                <w:bCs/>
                <w:sz w:val="24"/>
              </w:rPr>
              <w:t>。</w:t>
            </w:r>
            <w:r>
              <w:rPr>
                <w:rFonts w:hint="eastAsia"/>
                <w:bCs/>
                <w:sz w:val="24"/>
              </w:rPr>
              <w:t>期间</w:t>
            </w:r>
            <w:r>
              <w:rPr>
                <w:bCs/>
                <w:sz w:val="24"/>
              </w:rPr>
              <w:t>遇雨时，对采区</w:t>
            </w:r>
            <w:r>
              <w:rPr>
                <w:sz w:val="24"/>
              </w:rPr>
              <w:t>临时堆土（料）和裸露土质边坡表面采取防雨布苫盖措施进行防护。</w:t>
            </w:r>
          </w:p>
          <w:p>
            <w:pPr>
              <w:adjustRightInd w:val="0"/>
              <w:snapToGrid w:val="0"/>
              <w:spacing w:line="360" w:lineRule="auto"/>
              <w:ind w:firstLine="480" w:firstLineChars="200"/>
              <w:rPr>
                <w:sz w:val="24"/>
              </w:rPr>
            </w:pPr>
            <w:r>
              <w:rPr>
                <w:bCs/>
                <w:sz w:val="24"/>
              </w:rPr>
              <w:t>设计最终边坡采</w:t>
            </w:r>
            <w:r>
              <w:rPr>
                <w:rFonts w:ascii="宋体" w:hAnsi="宋体"/>
                <w:bCs/>
                <w:sz w:val="24"/>
              </w:rPr>
              <w:t>用“坡率法放坡+回填土+绿化+挡墙”</w:t>
            </w:r>
            <w:r>
              <w:rPr>
                <w:bCs/>
                <w:sz w:val="24"/>
              </w:rPr>
              <w:t>，矿山开采结束后，对开采底盘土地整治及回填表土后，采</w:t>
            </w:r>
            <w:r>
              <w:rPr>
                <w:rFonts w:ascii="宋体" w:hAnsi="宋体"/>
                <w:bCs/>
                <w:sz w:val="24"/>
              </w:rPr>
              <w:t>取“种植乔木+撒播草籽”的</w:t>
            </w:r>
            <w:r>
              <w:rPr>
                <w:bCs/>
                <w:sz w:val="24"/>
              </w:rPr>
              <w:t>方式进行恢复，表土回填平均覆土</w:t>
            </w:r>
            <w:r>
              <w:rPr>
                <w:rFonts w:hint="eastAsia"/>
                <w:bCs/>
                <w:sz w:val="24"/>
              </w:rPr>
              <w:t>50~100</w:t>
            </w:r>
            <w:r>
              <w:rPr>
                <w:bCs/>
                <w:sz w:val="24"/>
              </w:rPr>
              <w:t>cm。</w:t>
            </w:r>
          </w:p>
          <w:p>
            <w:pPr>
              <w:adjustRightInd w:val="0"/>
              <w:snapToGrid w:val="0"/>
              <w:spacing w:line="360" w:lineRule="auto"/>
              <w:ind w:firstLine="480" w:firstLineChars="200"/>
              <w:rPr>
                <w:bCs/>
                <w:sz w:val="24"/>
              </w:rPr>
            </w:pPr>
            <w:r>
              <w:rPr>
                <w:bCs/>
                <w:sz w:val="24"/>
              </w:rPr>
              <w:t>经统计，</w:t>
            </w:r>
            <w:r>
              <w:rPr>
                <w:rFonts w:hint="eastAsia"/>
                <w:bCs/>
                <w:sz w:val="24"/>
              </w:rPr>
              <w:t>闭矿期</w:t>
            </w:r>
            <w:r>
              <w:rPr>
                <w:bCs/>
                <w:sz w:val="24"/>
              </w:rPr>
              <w:t>露天开采区防治区水土保持措施主要工程量如下：</w:t>
            </w:r>
          </w:p>
          <w:p>
            <w:pPr>
              <w:adjustRightInd w:val="0"/>
              <w:snapToGrid w:val="0"/>
              <w:spacing w:line="360" w:lineRule="auto"/>
              <w:ind w:firstLine="480" w:firstLineChars="200"/>
              <w:rPr>
                <w:bCs/>
                <w:sz w:val="24"/>
              </w:rPr>
            </w:pPr>
            <w:r>
              <w:rPr>
                <w:bCs/>
                <w:sz w:val="24"/>
              </w:rPr>
              <w:fldChar w:fldCharType="begin"/>
            </w:r>
            <w:r>
              <w:rPr>
                <w:bCs/>
                <w:sz w:val="24"/>
              </w:rPr>
              <w:instrText xml:space="preserve"> = 1 \* GB3 </w:instrText>
            </w:r>
            <w:r>
              <w:rPr>
                <w:bCs/>
                <w:sz w:val="24"/>
              </w:rPr>
              <w:fldChar w:fldCharType="separate"/>
            </w:r>
            <w:r>
              <w:rPr>
                <w:rFonts w:hint="eastAsia" w:ascii="宋体" w:hAnsi="宋体" w:cs="宋体"/>
                <w:bCs/>
                <w:sz w:val="24"/>
              </w:rPr>
              <w:t>①</w:t>
            </w:r>
            <w:r>
              <w:rPr>
                <w:sz w:val="24"/>
              </w:rPr>
              <w:fldChar w:fldCharType="end"/>
            </w:r>
            <w:r>
              <w:rPr>
                <w:bCs/>
                <w:sz w:val="24"/>
              </w:rPr>
              <w:t>植物措施：绿化恢复</w:t>
            </w:r>
            <w:r>
              <w:rPr>
                <w:rFonts w:hint="eastAsia"/>
                <w:bCs/>
                <w:sz w:val="24"/>
              </w:rPr>
              <w:t>1.3620</w:t>
            </w:r>
            <w:r>
              <w:rPr>
                <w:bCs/>
                <w:sz w:val="24"/>
              </w:rPr>
              <w:t>hm</w:t>
            </w:r>
            <w:r>
              <w:rPr>
                <w:bCs/>
                <w:sz w:val="24"/>
                <w:vertAlign w:val="superscript"/>
              </w:rPr>
              <w:t>2</w:t>
            </w:r>
            <w:r>
              <w:rPr>
                <w:bCs/>
                <w:sz w:val="24"/>
              </w:rPr>
              <w:t>；</w:t>
            </w:r>
          </w:p>
          <w:p>
            <w:pPr>
              <w:adjustRightInd w:val="0"/>
              <w:snapToGrid w:val="0"/>
              <w:spacing w:line="360" w:lineRule="auto"/>
              <w:ind w:firstLine="480" w:firstLineChars="200"/>
              <w:rPr>
                <w:sz w:val="24"/>
              </w:rPr>
            </w:pPr>
            <w:r>
              <w:rPr>
                <w:bCs/>
                <w:sz w:val="24"/>
              </w:rPr>
              <w:fldChar w:fldCharType="begin"/>
            </w:r>
            <w:r>
              <w:rPr>
                <w:bCs/>
                <w:sz w:val="24"/>
              </w:rPr>
              <w:instrText xml:space="preserve"> = 2 \* GB3 </w:instrText>
            </w:r>
            <w:r>
              <w:rPr>
                <w:bCs/>
                <w:sz w:val="24"/>
              </w:rPr>
              <w:fldChar w:fldCharType="separate"/>
            </w:r>
            <w:r>
              <w:rPr>
                <w:rFonts w:hint="eastAsia" w:ascii="宋体" w:hAnsi="宋体" w:cs="宋体"/>
                <w:bCs/>
                <w:sz w:val="24"/>
              </w:rPr>
              <w:t>②</w:t>
            </w:r>
            <w:r>
              <w:rPr>
                <w:sz w:val="24"/>
              </w:rPr>
              <w:fldChar w:fldCharType="end"/>
            </w:r>
            <w:r>
              <w:rPr>
                <w:bCs/>
                <w:sz w:val="24"/>
              </w:rPr>
              <w:t>临时措施：防雨布苫盖</w:t>
            </w:r>
            <w:r>
              <w:rPr>
                <w:rFonts w:hint="eastAsia"/>
                <w:bCs/>
                <w:sz w:val="24"/>
              </w:rPr>
              <w:t>8</w:t>
            </w:r>
            <w:r>
              <w:rPr>
                <w:bCs/>
                <w:sz w:val="24"/>
              </w:rPr>
              <w:t>000m</w:t>
            </w:r>
            <w:r>
              <w:rPr>
                <w:bCs/>
                <w:sz w:val="24"/>
                <w:vertAlign w:val="superscript"/>
              </w:rPr>
              <w:t>2</w:t>
            </w:r>
            <w:r>
              <w:rPr>
                <w:bCs/>
                <w:sz w:val="24"/>
              </w:rPr>
              <w:t>。</w:t>
            </w:r>
          </w:p>
          <w:p>
            <w:pPr>
              <w:adjustRightInd w:val="0"/>
              <w:snapToGrid w:val="0"/>
              <w:spacing w:line="360" w:lineRule="auto"/>
              <w:ind w:firstLine="482" w:firstLineChars="200"/>
              <w:rPr>
                <w:b/>
                <w:sz w:val="24"/>
              </w:rPr>
            </w:pPr>
            <w:r>
              <w:rPr>
                <w:b/>
                <w:sz w:val="24"/>
              </w:rPr>
              <w:t>（7）环境风险</w:t>
            </w:r>
          </w:p>
          <w:p>
            <w:pPr>
              <w:adjustRightInd w:val="0"/>
              <w:snapToGrid w:val="0"/>
              <w:spacing w:line="360" w:lineRule="auto"/>
              <w:ind w:firstLine="480" w:firstLineChars="200"/>
              <w:rPr>
                <w:sz w:val="24"/>
              </w:rPr>
            </w:pPr>
            <w:r>
              <w:rPr>
                <w:sz w:val="24"/>
              </w:rPr>
              <w:t>根据拟建项目生产特点，厂区储存的危险化学品</w:t>
            </w:r>
            <w:r>
              <w:rPr>
                <w:rFonts w:hint="eastAsia"/>
                <w:sz w:val="24"/>
              </w:rPr>
              <w:t>主要为柴油罐内储存的柴油、危废贮存点储存的废矿物油、含油冷凝液，其最大设计储存量分别为3</w:t>
            </w:r>
            <w:r>
              <w:rPr>
                <w:sz w:val="24"/>
              </w:rPr>
              <w:t>0t</w:t>
            </w:r>
            <w:r>
              <w:rPr>
                <w:rFonts w:hint="eastAsia"/>
                <w:sz w:val="24"/>
              </w:rPr>
              <w:t>、1</w:t>
            </w:r>
            <w:r>
              <w:rPr>
                <w:sz w:val="24"/>
              </w:rPr>
              <w:t>.5t</w:t>
            </w:r>
            <w:r>
              <w:rPr>
                <w:rFonts w:hint="eastAsia"/>
                <w:sz w:val="24"/>
              </w:rPr>
              <w:t>、</w:t>
            </w:r>
            <w:r>
              <w:rPr>
                <w:sz w:val="24"/>
              </w:rPr>
              <w:t>0.2t</w:t>
            </w:r>
            <w:r>
              <w:rPr>
                <w:rFonts w:hint="eastAsia"/>
                <w:sz w:val="24"/>
              </w:rPr>
              <w:t>。</w:t>
            </w:r>
          </w:p>
          <w:p>
            <w:pPr>
              <w:adjustRightInd w:val="0"/>
              <w:snapToGrid w:val="0"/>
              <w:spacing w:line="360" w:lineRule="auto"/>
              <w:ind w:firstLine="480" w:firstLineChars="200"/>
              <w:rPr>
                <w:sz w:val="24"/>
              </w:rPr>
            </w:pPr>
            <w:r>
              <w:rPr>
                <w:sz w:val="24"/>
              </w:rPr>
              <w:t>根据《建设项目环境风险评价技术导则》（HJ169-2018），柴油</w:t>
            </w:r>
            <w:r>
              <w:rPr>
                <w:rFonts w:hint="eastAsia"/>
                <w:sz w:val="24"/>
              </w:rPr>
              <w:t>、废矿物油均</w:t>
            </w:r>
            <w:r>
              <w:rPr>
                <w:sz w:val="24"/>
              </w:rPr>
              <w:t>未进行CAS编号，其临界量为2500t。则项目危险物质数量与临界量比值Q=0.0127，小于1。该项目环境风险潜势为I。由此判定的评价工作等级为简单分析。</w:t>
            </w:r>
          </w:p>
          <w:p>
            <w:pPr>
              <w:adjustRightInd w:val="0"/>
              <w:snapToGrid w:val="0"/>
              <w:spacing w:line="360" w:lineRule="auto"/>
              <w:ind w:firstLine="480" w:firstLineChars="200"/>
              <w:rPr>
                <w:sz w:val="24"/>
              </w:rPr>
            </w:pPr>
            <w:r>
              <w:rPr>
                <w:sz w:val="24"/>
              </w:rPr>
              <w:t>环境风险主要包括柴油储罐</w:t>
            </w:r>
            <w:r>
              <w:rPr>
                <w:rFonts w:hint="eastAsia"/>
                <w:sz w:val="24"/>
              </w:rPr>
              <w:t>柴油、危废贮存点废矿物油及含油冷凝液</w:t>
            </w:r>
            <w:r>
              <w:rPr>
                <w:sz w:val="24"/>
              </w:rPr>
              <w:t>泄漏风险</w:t>
            </w:r>
            <w:r>
              <w:rPr>
                <w:rFonts w:hint="eastAsia"/>
                <w:sz w:val="24"/>
              </w:rPr>
              <w:t>；柴油、废矿物油火灾，火灾燃烧过程中产生的烟雾及有害气体可造成较大范围环境污染</w:t>
            </w:r>
            <w:r>
              <w:rPr>
                <w:sz w:val="24"/>
              </w:rPr>
              <w:t>。油罐</w:t>
            </w:r>
            <w:r>
              <w:rPr>
                <w:rFonts w:hint="eastAsia"/>
                <w:sz w:val="24"/>
              </w:rPr>
              <w:t>、危废贮存点</w:t>
            </w:r>
            <w:r>
              <w:rPr>
                <w:sz w:val="24"/>
              </w:rPr>
              <w:t>泄漏将对土壤、地表水、地下水产生影响。</w:t>
            </w:r>
          </w:p>
          <w:p>
            <w:pPr>
              <w:adjustRightInd w:val="0"/>
              <w:snapToGrid w:val="0"/>
              <w:spacing w:line="360" w:lineRule="auto"/>
              <w:ind w:firstLine="480" w:firstLineChars="200"/>
              <w:rPr>
                <w:sz w:val="24"/>
              </w:rPr>
            </w:pPr>
            <w:r>
              <w:rPr>
                <w:sz w:val="24"/>
              </w:rPr>
              <w:t>1）风险分析</w:t>
            </w:r>
          </w:p>
          <w:p>
            <w:pPr>
              <w:adjustRightInd w:val="0"/>
              <w:snapToGrid w:val="0"/>
              <w:spacing w:line="360" w:lineRule="auto"/>
              <w:ind w:firstLine="480" w:firstLineChars="200"/>
              <w:rPr>
                <w:sz w:val="24"/>
              </w:rPr>
            </w:pPr>
            <w:r>
              <w:rPr>
                <w:rFonts w:hint="eastAsia"/>
                <w:sz w:val="24"/>
              </w:rPr>
              <w:t>①柴油罐</w:t>
            </w:r>
            <w:r>
              <w:rPr>
                <w:sz w:val="24"/>
              </w:rPr>
              <w:t>泄漏</w:t>
            </w:r>
            <w:r>
              <w:rPr>
                <w:rFonts w:hint="eastAsia"/>
                <w:sz w:val="24"/>
              </w:rPr>
              <w:t>和火灾</w:t>
            </w:r>
          </w:p>
          <w:p>
            <w:pPr>
              <w:adjustRightInd w:val="0"/>
              <w:snapToGrid w:val="0"/>
              <w:spacing w:line="360" w:lineRule="auto"/>
              <w:ind w:firstLine="480" w:firstLineChars="200"/>
              <w:rPr>
                <w:sz w:val="24"/>
              </w:rPr>
            </w:pPr>
            <w:r>
              <w:rPr>
                <w:sz w:val="24"/>
              </w:rPr>
              <w:t>项目</w:t>
            </w:r>
            <w:r>
              <w:rPr>
                <w:rFonts w:hint="eastAsia"/>
                <w:sz w:val="24"/>
              </w:rPr>
              <w:t>设置1个</w:t>
            </w:r>
            <w:r>
              <w:rPr>
                <w:sz w:val="24"/>
              </w:rPr>
              <w:t>柴油罐，</w:t>
            </w:r>
            <w:r>
              <w:rPr>
                <w:rFonts w:hint="eastAsia"/>
                <w:sz w:val="24"/>
              </w:rPr>
              <w:t>采用</w:t>
            </w:r>
            <w:r>
              <w:rPr>
                <w:sz w:val="24"/>
              </w:rPr>
              <w:t>钢制</w:t>
            </w:r>
            <w:r>
              <w:rPr>
                <w:rFonts w:hint="eastAsia"/>
                <w:sz w:val="24"/>
              </w:rPr>
              <w:t>密闭</w:t>
            </w:r>
            <w:r>
              <w:rPr>
                <w:sz w:val="24"/>
              </w:rPr>
              <w:t>罐</w:t>
            </w:r>
            <w:r>
              <w:rPr>
                <w:rFonts w:hint="eastAsia"/>
                <w:sz w:val="24"/>
              </w:rPr>
              <w:t>储存</w:t>
            </w:r>
            <w:r>
              <w:rPr>
                <w:sz w:val="24"/>
              </w:rPr>
              <w:t>，罐</w:t>
            </w:r>
            <w:r>
              <w:rPr>
                <w:rFonts w:hint="eastAsia"/>
                <w:sz w:val="24"/>
              </w:rPr>
              <w:t>体</w:t>
            </w:r>
            <w:r>
              <w:rPr>
                <w:sz w:val="24"/>
              </w:rPr>
              <w:t>半径约</w:t>
            </w:r>
            <w:r>
              <w:rPr>
                <w:rFonts w:hint="eastAsia"/>
                <w:sz w:val="24"/>
              </w:rPr>
              <w:t>2</w:t>
            </w:r>
            <w:r>
              <w:rPr>
                <w:sz w:val="24"/>
              </w:rPr>
              <w:t>m</w:t>
            </w:r>
            <w:r>
              <w:rPr>
                <w:rFonts w:hint="eastAsia"/>
                <w:sz w:val="24"/>
              </w:rPr>
              <w:t>、</w:t>
            </w:r>
            <w:r>
              <w:rPr>
                <w:sz w:val="24"/>
              </w:rPr>
              <w:t>长</w:t>
            </w:r>
            <w:r>
              <w:rPr>
                <w:rFonts w:hint="eastAsia"/>
                <w:sz w:val="24"/>
              </w:rPr>
              <w:t>约4</w:t>
            </w:r>
            <w:r>
              <w:rPr>
                <w:sz w:val="24"/>
              </w:rPr>
              <w:t>m，</w:t>
            </w:r>
            <w:r>
              <w:rPr>
                <w:rFonts w:hint="eastAsia"/>
                <w:sz w:val="24"/>
              </w:rPr>
              <w:t>容积约5</w:t>
            </w:r>
            <w:r>
              <w:rPr>
                <w:sz w:val="24"/>
              </w:rPr>
              <w:t>0m</w:t>
            </w:r>
            <w:r>
              <w:rPr>
                <w:sz w:val="24"/>
                <w:vertAlign w:val="superscript"/>
              </w:rPr>
              <w:t>3</w:t>
            </w:r>
            <w:r>
              <w:rPr>
                <w:rFonts w:hint="eastAsia"/>
                <w:sz w:val="24"/>
              </w:rPr>
              <w:t>，</w:t>
            </w:r>
            <w:r>
              <w:rPr>
                <w:sz w:val="24"/>
              </w:rPr>
              <w:t>位于</w:t>
            </w:r>
            <w:r>
              <w:rPr>
                <w:rFonts w:hint="eastAsia"/>
                <w:sz w:val="24"/>
              </w:rPr>
              <w:t>卸料口北侧24m处</w:t>
            </w:r>
            <w:r>
              <w:rPr>
                <w:sz w:val="24"/>
              </w:rPr>
              <w:t>，占地面积均约25m</w:t>
            </w:r>
            <w:r>
              <w:rPr>
                <w:sz w:val="24"/>
                <w:vertAlign w:val="superscript"/>
              </w:rPr>
              <w:t>2</w:t>
            </w:r>
            <w:r>
              <w:rPr>
                <w:sz w:val="24"/>
              </w:rPr>
              <w:t>，设计储油量</w:t>
            </w:r>
            <w:r>
              <w:rPr>
                <w:rFonts w:hint="eastAsia"/>
                <w:sz w:val="24"/>
              </w:rPr>
              <w:t>约3</w:t>
            </w:r>
            <w:r>
              <w:rPr>
                <w:sz w:val="24"/>
              </w:rPr>
              <w:t>0t</w:t>
            </w:r>
            <w:r>
              <w:rPr>
                <w:rFonts w:hint="eastAsia"/>
                <w:sz w:val="24"/>
              </w:rPr>
              <w:t>；危废贮存点位于办公楼1F西部区域，面积</w:t>
            </w:r>
            <w:r>
              <w:rPr>
                <w:sz w:val="24"/>
              </w:rPr>
              <w:t>约8m</w:t>
            </w:r>
            <w:r>
              <w:rPr>
                <w:sz w:val="24"/>
                <w:vertAlign w:val="superscript"/>
              </w:rPr>
              <w:t>2</w:t>
            </w:r>
            <w:r>
              <w:rPr>
                <w:sz w:val="24"/>
              </w:rPr>
              <w:t>，</w:t>
            </w:r>
            <w:r>
              <w:rPr>
                <w:rFonts w:hint="eastAsia"/>
                <w:sz w:val="24"/>
              </w:rPr>
              <w:t>采用</w:t>
            </w:r>
            <w:r>
              <w:rPr>
                <w:bCs/>
                <w:sz w:val="24"/>
              </w:rPr>
              <w:t>含油固废收集桶收集</w:t>
            </w:r>
            <w:r>
              <w:rPr>
                <w:rFonts w:hint="eastAsia"/>
                <w:bCs/>
                <w:sz w:val="24"/>
              </w:rPr>
              <w:t>废矿物油，最大设计收集量1</w:t>
            </w:r>
            <w:r>
              <w:rPr>
                <w:bCs/>
                <w:sz w:val="24"/>
              </w:rPr>
              <w:t>.5t</w:t>
            </w:r>
            <w:r>
              <w:rPr>
                <w:rFonts w:hint="eastAsia"/>
                <w:bCs/>
                <w:sz w:val="24"/>
              </w:rPr>
              <w:t>。</w:t>
            </w:r>
          </w:p>
          <w:p>
            <w:pPr>
              <w:adjustRightInd w:val="0"/>
              <w:snapToGrid w:val="0"/>
              <w:spacing w:line="360" w:lineRule="auto"/>
              <w:ind w:firstLine="480" w:firstLineChars="200"/>
              <w:rPr>
                <w:sz w:val="24"/>
              </w:rPr>
            </w:pPr>
            <w:r>
              <w:rPr>
                <w:sz w:val="24"/>
              </w:rPr>
              <w:t>油罐泄漏主要是加油时操作不当、人为失误或者罐体本身出现破裂等引发，</w:t>
            </w:r>
            <w:r>
              <w:rPr>
                <w:rFonts w:hint="eastAsia"/>
                <w:sz w:val="24"/>
              </w:rPr>
              <w:t>废矿物油泄漏主要为危废收运时</w:t>
            </w:r>
            <w:r>
              <w:rPr>
                <w:sz w:val="24"/>
              </w:rPr>
              <w:t>操作不当、人为失误或者</w:t>
            </w:r>
            <w:r>
              <w:rPr>
                <w:bCs/>
                <w:sz w:val="24"/>
              </w:rPr>
              <w:t>含油固废收集桶</w:t>
            </w:r>
            <w:r>
              <w:rPr>
                <w:sz w:val="24"/>
              </w:rPr>
              <w:t>本身出现破裂等引发</w:t>
            </w:r>
            <w:r>
              <w:rPr>
                <w:rFonts w:hint="eastAsia"/>
                <w:sz w:val="24"/>
              </w:rPr>
              <w:t>。以上情况</w:t>
            </w:r>
            <w:r>
              <w:rPr>
                <w:sz w:val="24"/>
              </w:rPr>
              <w:t>若不加以管理，泄漏出的油将外流，污染土壤、地表水及地下水，必须引起重视，加强防范。</w:t>
            </w:r>
          </w:p>
          <w:p>
            <w:pPr>
              <w:adjustRightInd w:val="0"/>
              <w:snapToGrid w:val="0"/>
              <w:spacing w:line="360" w:lineRule="auto"/>
              <w:ind w:firstLine="480" w:firstLineChars="200"/>
              <w:rPr>
                <w:sz w:val="24"/>
              </w:rPr>
            </w:pPr>
            <w:r>
              <w:rPr>
                <w:rFonts w:hint="eastAsia"/>
                <w:sz w:val="24"/>
              </w:rPr>
              <w:t>柴油罐如遇明火、撞击、雷电等会引发火灾，一旦发生火灾，将对周边的建筑和林地等构成完全威胁，同时火灾发生，柴油燃烧后将产生大量烟尘、CO等有害物质污染大气环境。</w:t>
            </w:r>
          </w:p>
          <w:p>
            <w:pPr>
              <w:adjustRightInd w:val="0"/>
              <w:snapToGrid w:val="0"/>
              <w:spacing w:line="360" w:lineRule="auto"/>
              <w:ind w:firstLine="480" w:firstLineChars="200"/>
              <w:rPr>
                <w:sz w:val="24"/>
              </w:rPr>
            </w:pPr>
            <w:r>
              <w:rPr>
                <w:rFonts w:hint="eastAsia"/>
                <w:sz w:val="24"/>
              </w:rPr>
              <w:t>②废矿物油、含油冷凝液泄漏和废矿物油火灾风险分析</w:t>
            </w:r>
          </w:p>
          <w:p>
            <w:pPr>
              <w:adjustRightInd w:val="0"/>
              <w:snapToGrid w:val="0"/>
              <w:spacing w:line="360" w:lineRule="auto"/>
              <w:ind w:firstLine="480" w:firstLineChars="200"/>
              <w:rPr>
                <w:sz w:val="24"/>
              </w:rPr>
            </w:pPr>
            <w:r>
              <w:rPr>
                <w:rFonts w:hint="eastAsia"/>
                <w:sz w:val="24"/>
              </w:rPr>
              <w:t>危废贮存点内废油桶收集桶破损或员工操作不当造成的废矿物油、含油冷凝液泄漏排入周围水体会影响地表水环境，渗漏进入地下水会影响地下水环境，对局部水体、土壤造成污染；如果危废贮存点发生火灾，其内废矿物油火灾燃烧过程中产生的烟雾及有害气体可造成较大范围环境污染。</w:t>
            </w:r>
          </w:p>
          <w:p>
            <w:pPr>
              <w:adjustRightInd w:val="0"/>
              <w:snapToGrid w:val="0"/>
              <w:spacing w:line="360" w:lineRule="auto"/>
              <w:ind w:firstLine="480" w:firstLineChars="200"/>
              <w:rPr>
                <w:sz w:val="24"/>
              </w:rPr>
            </w:pPr>
            <w:r>
              <w:rPr>
                <w:sz w:val="24"/>
              </w:rPr>
              <w:t>2）风险防范措施</w:t>
            </w:r>
          </w:p>
          <w:p>
            <w:pPr>
              <w:adjustRightInd w:val="0"/>
              <w:snapToGrid w:val="0"/>
              <w:spacing w:line="360" w:lineRule="auto"/>
              <w:ind w:firstLine="480" w:firstLineChars="200"/>
              <w:rPr>
                <w:sz w:val="24"/>
              </w:rPr>
            </w:pPr>
            <w:r>
              <w:rPr>
                <w:rFonts w:hint="eastAsia" w:ascii="宋体" w:hAnsi="宋体" w:cs="宋体"/>
                <w:sz w:val="24"/>
              </w:rPr>
              <w:t>①</w:t>
            </w:r>
            <w:r>
              <w:rPr>
                <w:sz w:val="24"/>
              </w:rPr>
              <w:t>将柴油罐设置于地面构筑物内，</w:t>
            </w:r>
            <w:r>
              <w:rPr>
                <w:rFonts w:hint="eastAsia"/>
                <w:bCs/>
                <w:sz w:val="24"/>
              </w:rPr>
              <w:t>危废也收集暂存于室内，</w:t>
            </w:r>
            <w:r>
              <w:rPr>
                <w:sz w:val="24"/>
              </w:rPr>
              <w:t>柴油罐</w:t>
            </w:r>
            <w:r>
              <w:rPr>
                <w:rFonts w:hint="eastAsia"/>
                <w:sz w:val="24"/>
              </w:rPr>
              <w:t>区、危废贮存点</w:t>
            </w:r>
            <w:r>
              <w:rPr>
                <w:sz w:val="24"/>
              </w:rPr>
              <w:t>地面设置防渗性能不低于6.0m厚渗透系数为1.0×10</w:t>
            </w:r>
            <w:r>
              <w:rPr>
                <w:sz w:val="24"/>
                <w:vertAlign w:val="superscript"/>
              </w:rPr>
              <w:t>-7</w:t>
            </w:r>
            <w:r>
              <w:rPr>
                <w:sz w:val="24"/>
              </w:rPr>
              <w:t>cm/s的粘土层的防渗层。</w:t>
            </w:r>
          </w:p>
          <w:p>
            <w:pPr>
              <w:adjustRightInd w:val="0"/>
              <w:snapToGrid w:val="0"/>
              <w:spacing w:line="360" w:lineRule="auto"/>
              <w:ind w:firstLine="480" w:firstLineChars="200"/>
              <w:rPr>
                <w:sz w:val="24"/>
              </w:rPr>
            </w:pPr>
            <w:r>
              <w:rPr>
                <w:rFonts w:hint="eastAsia" w:ascii="宋体" w:hAnsi="宋体" w:cs="宋体"/>
                <w:sz w:val="24"/>
              </w:rPr>
              <w:t>②</w:t>
            </w:r>
            <w:r>
              <w:rPr>
                <w:sz w:val="24"/>
              </w:rPr>
              <w:t>在柴油罐存放点修建围堰，围堰容积50m</w:t>
            </w:r>
            <w:r>
              <w:rPr>
                <w:sz w:val="24"/>
                <w:vertAlign w:val="superscript"/>
              </w:rPr>
              <w:t>3</w:t>
            </w:r>
            <w:r>
              <w:rPr>
                <w:rFonts w:hint="eastAsia"/>
                <w:sz w:val="24"/>
              </w:rPr>
              <w:t>、</w:t>
            </w:r>
            <w:r>
              <w:rPr>
                <w:sz w:val="24"/>
              </w:rPr>
              <w:t>高度</w:t>
            </w:r>
            <w:r>
              <w:rPr>
                <w:rFonts w:hint="eastAsia"/>
                <w:sz w:val="24"/>
              </w:rPr>
              <w:t>1</w:t>
            </w:r>
            <w:r>
              <w:rPr>
                <w:sz w:val="24"/>
              </w:rPr>
              <w:t>m</w:t>
            </w:r>
            <w:r>
              <w:rPr>
                <w:rFonts w:hint="eastAsia"/>
                <w:sz w:val="24"/>
              </w:rPr>
              <w:t>，</w:t>
            </w:r>
            <w:r>
              <w:rPr>
                <w:sz w:val="24"/>
              </w:rPr>
              <w:t>为防止柴油泄露污染地下水，围堰已应进行防渗处置，作为重点防渗区。</w:t>
            </w:r>
          </w:p>
          <w:p>
            <w:pPr>
              <w:adjustRightInd w:val="0"/>
              <w:snapToGrid w:val="0"/>
              <w:spacing w:line="360" w:lineRule="auto"/>
              <w:ind w:firstLine="480" w:firstLineChars="200"/>
              <w:rPr>
                <w:sz w:val="24"/>
              </w:rPr>
            </w:pPr>
            <w:r>
              <w:rPr>
                <w:rFonts w:hint="eastAsia" w:ascii="宋体" w:hAnsi="宋体" w:cs="宋体"/>
                <w:sz w:val="24"/>
              </w:rPr>
              <w:t>③</w:t>
            </w:r>
            <w:r>
              <w:rPr>
                <w:sz w:val="24"/>
              </w:rPr>
              <w:t>柴油不能与强氧化剂混放混运</w:t>
            </w:r>
            <w:r>
              <w:rPr>
                <w:rFonts w:hint="eastAsia"/>
                <w:sz w:val="24"/>
              </w:rPr>
              <w:t>，</w:t>
            </w:r>
            <w:r>
              <w:rPr>
                <w:sz w:val="24"/>
              </w:rPr>
              <w:t>定期对存放物料储罐进行检漏。</w:t>
            </w:r>
          </w:p>
          <w:p>
            <w:pPr>
              <w:adjustRightInd w:val="0"/>
              <w:snapToGrid w:val="0"/>
              <w:spacing w:line="360" w:lineRule="auto"/>
              <w:ind w:firstLine="480" w:firstLineChars="200"/>
              <w:rPr>
                <w:sz w:val="24"/>
              </w:rPr>
            </w:pPr>
            <w:r>
              <w:rPr>
                <w:rFonts w:hint="eastAsia" w:ascii="宋体" w:hAnsi="宋体" w:cs="宋体"/>
                <w:sz w:val="24"/>
              </w:rPr>
              <w:t>④</w:t>
            </w:r>
            <w:r>
              <w:rPr>
                <w:sz w:val="24"/>
              </w:rPr>
              <w:t>柴油在保管和使用时，应建立严格的管理和规章制度，油品装卸、使用时，全过程应有人在现场监督，一旦发生事故，立即采取防范措施。</w:t>
            </w:r>
          </w:p>
          <w:p>
            <w:pPr>
              <w:adjustRightInd w:val="0"/>
              <w:snapToGrid w:val="0"/>
              <w:spacing w:line="360" w:lineRule="auto"/>
              <w:ind w:firstLine="480" w:firstLineChars="200"/>
              <w:rPr>
                <w:sz w:val="24"/>
              </w:rPr>
            </w:pPr>
            <w:r>
              <w:rPr>
                <w:rFonts w:hint="eastAsia" w:ascii="宋体" w:hAnsi="宋体" w:cs="宋体"/>
                <w:sz w:val="24"/>
              </w:rPr>
              <w:t>⑤</w:t>
            </w:r>
            <w:r>
              <w:rPr>
                <w:sz w:val="24"/>
              </w:rPr>
              <w:t>柴油罐</w:t>
            </w:r>
            <w:r>
              <w:rPr>
                <w:rFonts w:hint="eastAsia"/>
                <w:sz w:val="24"/>
              </w:rPr>
              <w:t>区、危废贮存点</w:t>
            </w:r>
            <w:r>
              <w:rPr>
                <w:sz w:val="24"/>
              </w:rPr>
              <w:t>配备干粉灭火器、消防沙、隔油栏、吸油毡等应急物资</w:t>
            </w:r>
            <w:r>
              <w:rPr>
                <w:rFonts w:hint="eastAsia"/>
                <w:sz w:val="24"/>
              </w:rPr>
              <w:t>并</w:t>
            </w:r>
            <w:r>
              <w:rPr>
                <w:sz w:val="24"/>
              </w:rPr>
              <w:t>设置警示标识。</w:t>
            </w:r>
          </w:p>
          <w:p>
            <w:pPr>
              <w:adjustRightInd w:val="0"/>
              <w:snapToGrid w:val="0"/>
              <w:spacing w:line="360" w:lineRule="auto"/>
              <w:ind w:firstLine="480" w:firstLineChars="200"/>
              <w:rPr>
                <w:sz w:val="24"/>
              </w:rPr>
            </w:pPr>
            <w:r>
              <w:rPr>
                <w:rFonts w:hint="eastAsia"/>
                <w:sz w:val="24"/>
              </w:rPr>
              <w:t>⑥危废贮存点内</w:t>
            </w:r>
            <w:r>
              <w:rPr>
                <w:bCs/>
                <w:sz w:val="24"/>
              </w:rPr>
              <w:t>含油固废收集桶</w:t>
            </w:r>
            <w:r>
              <w:rPr>
                <w:rFonts w:hint="eastAsia"/>
                <w:sz w:val="24"/>
              </w:rPr>
              <w:t>下方应设防溢托盘，托盘的容积应能满足（大于）上方盛放物料的体积。</w:t>
            </w:r>
          </w:p>
          <w:p>
            <w:pPr>
              <w:adjustRightInd w:val="0"/>
              <w:snapToGrid w:val="0"/>
              <w:spacing w:line="360" w:lineRule="auto"/>
              <w:ind w:firstLine="480" w:firstLineChars="200"/>
              <w:rPr>
                <w:sz w:val="24"/>
              </w:rPr>
            </w:pPr>
            <w:r>
              <w:rPr>
                <w:sz w:val="24"/>
              </w:rPr>
              <w:t>3）突发环境事件应急预案</w:t>
            </w:r>
          </w:p>
          <w:p>
            <w:pPr>
              <w:adjustRightInd w:val="0"/>
              <w:snapToGrid w:val="0"/>
              <w:spacing w:line="360" w:lineRule="auto"/>
              <w:ind w:firstLine="480" w:firstLineChars="200"/>
              <w:rPr>
                <w:sz w:val="24"/>
              </w:rPr>
            </w:pPr>
            <w:r>
              <w:rPr>
                <w:sz w:val="24"/>
              </w:rPr>
              <w:t>依据《突发环境事件应急管理办法》</w:t>
            </w:r>
            <w:r>
              <w:rPr>
                <w:rFonts w:hint="eastAsia"/>
                <w:sz w:val="24"/>
              </w:rPr>
              <w:t>（</w:t>
            </w:r>
            <w:r>
              <w:rPr>
                <w:sz w:val="24"/>
              </w:rPr>
              <w:t>环保部34号令</w:t>
            </w:r>
            <w:r>
              <w:rPr>
                <w:rFonts w:hint="eastAsia"/>
                <w:sz w:val="24"/>
              </w:rPr>
              <w:t>）</w:t>
            </w:r>
            <w:r>
              <w:rPr>
                <w:sz w:val="24"/>
              </w:rPr>
              <w:t>等要求，建设单位应当按照国务院环境保护主管部门的规定，在开展突发环境事件风险评估和应急资源调查的基础上制定突发环境事件应急预案，报</w:t>
            </w:r>
            <w:r>
              <w:rPr>
                <w:rFonts w:hint="eastAsia"/>
                <w:sz w:val="24"/>
              </w:rPr>
              <w:t>酉阳县生态环境局</w:t>
            </w:r>
            <w:r>
              <w:rPr>
                <w:sz w:val="24"/>
              </w:rPr>
              <w:t>备案。按照预案要求开展应急演练等工作。</w:t>
            </w:r>
          </w:p>
          <w:p>
            <w:pPr>
              <w:adjustRightInd w:val="0"/>
              <w:snapToGrid w:val="0"/>
              <w:spacing w:line="360" w:lineRule="auto"/>
              <w:ind w:firstLine="480" w:firstLineChars="200"/>
              <w:rPr>
                <w:sz w:val="24"/>
              </w:rPr>
            </w:pPr>
            <w:r>
              <w:rPr>
                <w:sz w:val="24"/>
              </w:rPr>
              <w:t>4）结论</w:t>
            </w:r>
          </w:p>
          <w:p>
            <w:pPr>
              <w:adjustRightInd w:val="0"/>
              <w:snapToGrid w:val="0"/>
              <w:spacing w:line="360" w:lineRule="auto"/>
              <w:ind w:firstLine="480" w:firstLineChars="200"/>
              <w:rPr>
                <w:sz w:val="24"/>
              </w:rPr>
            </w:pPr>
            <w:r>
              <w:rPr>
                <w:sz w:val="24"/>
              </w:rPr>
              <w:t>总体上看，拟建项目发生环境风险的几率很小，风险影响小，通过按行业规范要求和环评要求进行风险防范和制定应急措施，该项目环境风险几率和风险影响降低，环境风险可接受。</w:t>
            </w:r>
          </w:p>
          <w:p>
            <w:pPr>
              <w:adjustRightInd w:val="0"/>
              <w:snapToGrid w:val="0"/>
              <w:spacing w:line="360" w:lineRule="auto"/>
              <w:ind w:firstLine="482" w:firstLineChars="200"/>
              <w:rPr>
                <w:b/>
                <w:sz w:val="24"/>
              </w:rPr>
            </w:pPr>
            <w:r>
              <w:rPr>
                <w:b/>
                <w:sz w:val="24"/>
              </w:rPr>
              <w:t>（8）闭矿期环境影响分析</w:t>
            </w:r>
          </w:p>
          <w:p>
            <w:pPr>
              <w:adjustRightInd w:val="0"/>
              <w:snapToGrid w:val="0"/>
              <w:spacing w:line="360" w:lineRule="auto"/>
              <w:ind w:firstLine="480" w:firstLineChars="200"/>
              <w:rPr>
                <w:sz w:val="24"/>
              </w:rPr>
            </w:pPr>
            <w:r>
              <w:rPr>
                <w:rFonts w:hint="eastAsia"/>
                <w:sz w:val="24"/>
              </w:rPr>
              <w:t>随着采区灰岩资源的开采完毕，项目采区开采活动、剥离表土的周转活动均将停止，工业广场矿石加工、</w:t>
            </w:r>
            <w:r>
              <w:rPr>
                <w:sz w:val="24"/>
              </w:rPr>
              <w:t>运输等生产活动随即停止，对自然环境各要素的影响趋于减缓甚至消失。闭矿期环境影响主要表现在以下几个方面：</w:t>
            </w:r>
          </w:p>
          <w:p>
            <w:pPr>
              <w:adjustRightInd w:val="0"/>
              <w:snapToGrid w:val="0"/>
              <w:spacing w:line="360" w:lineRule="auto"/>
              <w:ind w:firstLine="480" w:firstLineChars="200"/>
              <w:rPr>
                <w:sz w:val="24"/>
              </w:rPr>
            </w:pPr>
            <w:r>
              <w:rPr>
                <w:rFonts w:hint="eastAsia"/>
                <w:sz w:val="24"/>
              </w:rPr>
              <w:t>1）随着开采范围内灰岩矿的枯竭，生产的停止，与其相关的设备噪声、大气污染物等也随之停止，区域环境质量将有所好转</w:t>
            </w:r>
            <w:r>
              <w:rPr>
                <w:sz w:val="24"/>
              </w:rPr>
              <w:t>。</w:t>
            </w:r>
          </w:p>
          <w:p>
            <w:pPr>
              <w:adjustRightInd w:val="0"/>
              <w:snapToGrid w:val="0"/>
              <w:spacing w:line="360" w:lineRule="auto"/>
              <w:ind w:firstLine="480" w:firstLineChars="200"/>
              <w:rPr>
                <w:sz w:val="24"/>
              </w:rPr>
            </w:pPr>
            <w:r>
              <w:rPr>
                <w:sz w:val="24"/>
              </w:rPr>
              <w:t>2</w:t>
            </w:r>
            <w:r>
              <w:rPr>
                <w:rFonts w:hint="eastAsia"/>
                <w:sz w:val="24"/>
              </w:rPr>
              <w:t>）</w:t>
            </w:r>
            <w:r>
              <w:rPr>
                <w:sz w:val="24"/>
              </w:rPr>
              <w:t>对</w:t>
            </w:r>
            <w:r>
              <w:rPr>
                <w:rFonts w:hint="eastAsia"/>
                <w:sz w:val="24"/>
              </w:rPr>
              <w:t>工业广场</w:t>
            </w:r>
            <w:r>
              <w:rPr>
                <w:sz w:val="24"/>
              </w:rPr>
              <w:t>的地面设施拆除</w:t>
            </w:r>
            <w:r>
              <w:rPr>
                <w:rFonts w:hint="eastAsia"/>
                <w:sz w:val="24"/>
              </w:rPr>
              <w:t>、</w:t>
            </w:r>
            <w:r>
              <w:rPr>
                <w:sz w:val="24"/>
              </w:rPr>
              <w:t>地面设施</w:t>
            </w:r>
            <w:r>
              <w:rPr>
                <w:rFonts w:hint="eastAsia"/>
                <w:sz w:val="24"/>
              </w:rPr>
              <w:t>压占资源的清理</w:t>
            </w:r>
            <w:r>
              <w:rPr>
                <w:sz w:val="24"/>
              </w:rPr>
              <w:t>及</w:t>
            </w:r>
            <w:r>
              <w:rPr>
                <w:rFonts w:hint="eastAsia"/>
                <w:sz w:val="24"/>
              </w:rPr>
              <w:t>其他</w:t>
            </w:r>
            <w:r>
              <w:rPr>
                <w:sz w:val="24"/>
              </w:rPr>
              <w:t>迹地清理过程中会产生少量的粉尘和固体废物，在采取洒水抑尘和分类处置固体废物措施后，环境影响有限。</w:t>
            </w:r>
          </w:p>
          <w:p>
            <w:pPr>
              <w:adjustRightInd w:val="0"/>
              <w:snapToGrid w:val="0"/>
              <w:spacing w:line="360" w:lineRule="auto"/>
              <w:ind w:firstLine="480" w:firstLineChars="200"/>
              <w:rPr>
                <w:sz w:val="24"/>
              </w:rPr>
            </w:pPr>
            <w:r>
              <w:rPr>
                <w:sz w:val="24"/>
              </w:rPr>
              <w:t>3</w:t>
            </w:r>
            <w:r>
              <w:rPr>
                <w:rFonts w:hint="eastAsia"/>
                <w:sz w:val="24"/>
              </w:rPr>
              <w:t>）</w:t>
            </w:r>
            <w:r>
              <w:rPr>
                <w:sz w:val="24"/>
              </w:rPr>
              <w:t>对采空区进行生态恢复，生产期因破坏山体而造成对植被、动物、景观等生态环境要素的不利影响逐渐恢复</w:t>
            </w:r>
            <w:r>
              <w:rPr>
                <w:rFonts w:hint="eastAsia"/>
                <w:sz w:val="24"/>
              </w:rPr>
              <w:t>。</w:t>
            </w:r>
          </w:p>
          <w:p>
            <w:pPr>
              <w:adjustRightInd w:val="0"/>
              <w:snapToGrid w:val="0"/>
              <w:spacing w:line="360" w:lineRule="auto"/>
              <w:ind w:firstLine="480" w:firstLineChars="200"/>
              <w:rPr>
                <w:sz w:val="24"/>
              </w:rPr>
            </w:pPr>
            <w:r>
              <w:rPr>
                <w:rFonts w:hint="eastAsia"/>
                <w:sz w:val="24"/>
              </w:rPr>
              <w:t>4）采区开采将</w:t>
            </w:r>
            <w:r>
              <w:rPr>
                <w:sz w:val="24"/>
              </w:rPr>
              <w:t>形成一个大的采终坡面，</w:t>
            </w:r>
            <w:r>
              <w:rPr>
                <w:rFonts w:hint="eastAsia"/>
                <w:sz w:val="24"/>
              </w:rPr>
              <w:t>若不对这个巨大裸露采面进行合理的处置，在矿山闭矿期仍可能对环境产生景观和诱发水土流失等不利影响</w:t>
            </w:r>
            <w:r>
              <w:rPr>
                <w:sz w:val="24"/>
              </w:rPr>
              <w:t>。评价要求，矿山闭矿期应严格按照评价制定的生态恢复措施进行生态恢复，维持当地生态环境的可持续发展。</w:t>
            </w:r>
            <w:r>
              <w:rPr>
                <w:rFonts w:hint="eastAsia"/>
                <w:sz w:val="24"/>
              </w:rPr>
              <w:t>在对采空区进行土地复垦、生态恢复之后，矿区内因破坏山体而造成对植被、动物、景观等生态环境要素的不利影响逐渐消失，经人工+自然修复之后，随着时间的变迁，区域生态环境会逐步改善，具有生态正效益。</w:t>
            </w:r>
          </w:p>
          <w:p>
            <w:pPr>
              <w:adjustRightInd w:val="0"/>
              <w:snapToGrid w:val="0"/>
              <w:spacing w:line="360" w:lineRule="auto"/>
              <w:ind w:firstLine="482" w:firstLineChars="200"/>
              <w:rPr>
                <w:b/>
                <w:bCs/>
                <w:sz w:val="24"/>
              </w:rPr>
            </w:pPr>
            <w:r>
              <w:rPr>
                <w:rFonts w:hint="eastAsia"/>
                <w:b/>
                <w:bCs/>
                <w:sz w:val="24"/>
              </w:rPr>
              <w:t>4.11“以新带老”措施、原项目整改措施及“三本账”统计</w:t>
            </w:r>
          </w:p>
          <w:p>
            <w:pPr>
              <w:adjustRightInd w:val="0"/>
              <w:snapToGrid w:val="0"/>
              <w:spacing w:line="360" w:lineRule="auto"/>
              <w:ind w:firstLine="482" w:firstLineChars="200"/>
              <w:rPr>
                <w:b/>
                <w:bCs/>
                <w:sz w:val="24"/>
              </w:rPr>
            </w:pPr>
            <w:r>
              <w:rPr>
                <w:rFonts w:hint="eastAsia"/>
                <w:b/>
                <w:bCs/>
                <w:sz w:val="24"/>
              </w:rPr>
              <w:t>（1）“以新带老”措施</w:t>
            </w:r>
          </w:p>
          <w:p>
            <w:pPr>
              <w:adjustRightInd w:val="0"/>
              <w:snapToGrid w:val="0"/>
              <w:spacing w:line="360" w:lineRule="auto"/>
              <w:ind w:firstLine="480" w:firstLineChars="200"/>
              <w:rPr>
                <w:sz w:val="24"/>
              </w:rPr>
            </w:pPr>
            <w:r>
              <w:rPr>
                <w:rFonts w:hint="eastAsia"/>
                <w:sz w:val="24"/>
              </w:rPr>
              <w:t>1）新增车辆冲洗设施，避让车辆带泥上路，减少车辆运输粉尘的排放；</w:t>
            </w:r>
          </w:p>
          <w:p>
            <w:pPr>
              <w:adjustRightInd w:val="0"/>
              <w:snapToGrid w:val="0"/>
              <w:spacing w:line="360" w:lineRule="auto"/>
              <w:ind w:firstLine="480" w:firstLineChars="200"/>
              <w:rPr>
                <w:color w:val="0000FF"/>
                <w:sz w:val="24"/>
              </w:rPr>
            </w:pPr>
            <w:r>
              <w:rPr>
                <w:rFonts w:hint="eastAsia"/>
                <w:color w:val="0000FF"/>
                <w:sz w:val="24"/>
              </w:rPr>
              <w:t>2）将加工区整体建设为密闭厂房，且对主要生产设备进行有组织收尘、布袋除尘后，排气筒高空排放，助于加大对工艺粉尘的收集处理，减少工艺粉尘的排放；</w:t>
            </w:r>
          </w:p>
          <w:p>
            <w:pPr>
              <w:adjustRightInd w:val="0"/>
              <w:snapToGrid w:val="0"/>
              <w:spacing w:line="360" w:lineRule="auto"/>
              <w:ind w:firstLine="480" w:firstLineChars="200"/>
              <w:rPr>
                <w:sz w:val="24"/>
              </w:rPr>
            </w:pPr>
            <w:r>
              <w:rPr>
                <w:rFonts w:hint="eastAsia"/>
                <w:sz w:val="24"/>
              </w:rPr>
              <w:t>3）采区开采期间钻孔设备除使用自带的捕尘的装置外，还进行湿式作业，进一步减少钻孔粉尘的排放。</w:t>
            </w:r>
          </w:p>
          <w:p>
            <w:pPr>
              <w:adjustRightInd w:val="0"/>
              <w:snapToGrid w:val="0"/>
              <w:spacing w:line="360" w:lineRule="auto"/>
              <w:ind w:firstLine="480" w:firstLineChars="200"/>
              <w:rPr>
                <w:sz w:val="24"/>
              </w:rPr>
            </w:pPr>
            <w:r>
              <w:rPr>
                <w:rFonts w:hint="eastAsia"/>
                <w:sz w:val="24"/>
              </w:rPr>
              <w:t>4）新增</w:t>
            </w:r>
            <w:r>
              <w:rPr>
                <w:bCs/>
                <w:spacing w:val="10"/>
                <w:sz w:val="24"/>
              </w:rPr>
              <w:t>在爆破前采取湿棕垫或稻草覆盖，可大大减少爆破粉尘产生量</w:t>
            </w:r>
            <w:r>
              <w:rPr>
                <w:rFonts w:hint="eastAsia"/>
                <w:bCs/>
                <w:spacing w:val="10"/>
                <w:sz w:val="24"/>
              </w:rPr>
              <w:t>。</w:t>
            </w:r>
          </w:p>
          <w:p>
            <w:pPr>
              <w:adjustRightInd w:val="0"/>
              <w:snapToGrid w:val="0"/>
              <w:spacing w:line="360" w:lineRule="auto"/>
              <w:ind w:firstLine="482" w:firstLineChars="200"/>
              <w:rPr>
                <w:b/>
                <w:bCs/>
                <w:sz w:val="24"/>
              </w:rPr>
            </w:pPr>
            <w:r>
              <w:rPr>
                <w:rFonts w:hint="eastAsia"/>
                <w:b/>
                <w:bCs/>
                <w:sz w:val="24"/>
              </w:rPr>
              <w:t>（2）原项目整改措施</w:t>
            </w:r>
          </w:p>
          <w:p>
            <w:pPr>
              <w:adjustRightInd w:val="0"/>
              <w:snapToGrid w:val="0"/>
              <w:spacing w:line="360" w:lineRule="auto"/>
              <w:ind w:firstLine="480" w:firstLineChars="200"/>
              <w:rPr>
                <w:bCs/>
                <w:kern w:val="0"/>
                <w:sz w:val="24"/>
              </w:rPr>
            </w:pPr>
            <w:r>
              <w:rPr>
                <w:rFonts w:hint="eastAsia"/>
                <w:kern w:val="0"/>
                <w:sz w:val="24"/>
              </w:rPr>
              <w:t>①结合厂区目前地势情况，在矿区西北侧布设约365</w:t>
            </w:r>
            <w:r>
              <w:rPr>
                <w:bCs/>
                <w:kern w:val="0"/>
                <w:sz w:val="24"/>
              </w:rPr>
              <w:t>m截洪沟</w:t>
            </w:r>
            <w:r>
              <w:rPr>
                <w:rFonts w:hint="eastAsia"/>
                <w:bCs/>
                <w:kern w:val="0"/>
                <w:sz w:val="24"/>
              </w:rPr>
              <w:t>，截挡外部雨水；在矿区其他侧、场内运输道路单边、工业广场东侧及南侧共布设约9</w:t>
            </w:r>
            <w:r>
              <w:rPr>
                <w:bCs/>
                <w:kern w:val="0"/>
                <w:sz w:val="24"/>
              </w:rPr>
              <w:t>00m排水沟</w:t>
            </w:r>
            <w:r>
              <w:rPr>
                <w:rFonts w:hint="eastAsia"/>
                <w:bCs/>
                <w:kern w:val="0"/>
                <w:sz w:val="24"/>
              </w:rPr>
              <w:t>，</w:t>
            </w:r>
            <w:r>
              <w:rPr>
                <w:bCs/>
                <w:kern w:val="0"/>
                <w:sz w:val="24"/>
              </w:rPr>
              <w:t>排水沟</w:t>
            </w:r>
            <w:r>
              <w:rPr>
                <w:rFonts w:hint="eastAsia"/>
                <w:bCs/>
                <w:kern w:val="0"/>
                <w:sz w:val="24"/>
              </w:rPr>
              <w:t>末端可</w:t>
            </w:r>
            <w:r>
              <w:rPr>
                <w:rFonts w:hint="eastAsia"/>
                <w:kern w:val="0"/>
                <w:sz w:val="24"/>
              </w:rPr>
              <w:t>设一切换阀，一端接入110m</w:t>
            </w:r>
            <w:r>
              <w:rPr>
                <w:kern w:val="0"/>
                <w:sz w:val="24"/>
                <w:vertAlign w:val="superscript"/>
              </w:rPr>
              <w:t>3</w:t>
            </w:r>
            <w:r>
              <w:rPr>
                <w:rFonts w:hint="eastAsia"/>
                <w:kern w:val="0"/>
                <w:sz w:val="24"/>
              </w:rPr>
              <w:t>雨水沉淀池，</w:t>
            </w:r>
            <w:r>
              <w:rPr>
                <w:rFonts w:hint="eastAsia"/>
                <w:bCs/>
                <w:kern w:val="0"/>
                <w:sz w:val="24"/>
              </w:rPr>
              <w:t>另一端设排水沟连接至厂区外，可人工或自动化切换，以收集厂区初期雨水，导排厂区后期澄清雨水。为更好导排雨水，沉淀泥沙，避免沟道堵塞，在截排水沟转折及交汇点共设置3个容积为1</w:t>
            </w:r>
            <w:r>
              <w:rPr>
                <w:bCs/>
                <w:kern w:val="0"/>
                <w:sz w:val="24"/>
              </w:rPr>
              <w:t>m</w:t>
            </w:r>
            <w:r>
              <w:rPr>
                <w:bCs/>
                <w:kern w:val="0"/>
                <w:sz w:val="24"/>
                <w:vertAlign w:val="superscript"/>
              </w:rPr>
              <w:t>3</w:t>
            </w:r>
            <w:r>
              <w:rPr>
                <w:rFonts w:hint="eastAsia"/>
                <w:bCs/>
                <w:kern w:val="0"/>
                <w:sz w:val="24"/>
              </w:rPr>
              <w:t>的沉砂凼调节雨水流速并初步沉淀雨水中的泥沙。</w:t>
            </w:r>
          </w:p>
          <w:p>
            <w:pPr>
              <w:adjustRightInd w:val="0"/>
              <w:snapToGrid w:val="0"/>
              <w:spacing w:line="360" w:lineRule="auto"/>
              <w:ind w:firstLine="480" w:firstLineChars="200"/>
              <w:rPr>
                <w:kern w:val="0"/>
                <w:sz w:val="24"/>
              </w:rPr>
            </w:pPr>
            <w:r>
              <w:rPr>
                <w:rFonts w:hint="eastAsia"/>
                <w:kern w:val="0"/>
                <w:sz w:val="24"/>
              </w:rPr>
              <w:t>②厂区内的露天堆料区应立即采用帆布（防尘网）苫盖，并尽快清理外卖，且需严禁再次库外堆料。</w:t>
            </w:r>
          </w:p>
          <w:p>
            <w:pPr>
              <w:adjustRightInd w:val="0"/>
              <w:snapToGrid w:val="0"/>
              <w:spacing w:line="360" w:lineRule="auto"/>
              <w:ind w:firstLine="480" w:firstLineChars="200"/>
              <w:rPr>
                <w:kern w:val="0"/>
                <w:sz w:val="24"/>
              </w:rPr>
            </w:pPr>
            <w:r>
              <w:rPr>
                <w:rFonts w:hint="eastAsia"/>
                <w:kern w:val="0"/>
                <w:sz w:val="24"/>
              </w:rPr>
              <w:t>③拟建项目的实施，加工区、采区均需升级改造，则依照现行环保政策，重新制定加工区、采区的废气治理措施。</w:t>
            </w:r>
          </w:p>
          <w:p>
            <w:pPr>
              <w:adjustRightInd w:val="0"/>
              <w:snapToGrid w:val="0"/>
              <w:spacing w:line="360" w:lineRule="auto"/>
              <w:ind w:firstLine="480" w:firstLineChars="200"/>
              <w:rPr>
                <w:kern w:val="0"/>
                <w:sz w:val="24"/>
              </w:rPr>
            </w:pPr>
            <w:r>
              <w:rPr>
                <w:rFonts w:hint="eastAsia"/>
                <w:kern w:val="0"/>
                <w:sz w:val="24"/>
              </w:rPr>
              <w:t>④拟建项目的开采将严格按“开发利用方案”进行开采，做到</w:t>
            </w:r>
            <w:r>
              <w:rPr>
                <w:kern w:val="0"/>
                <w:sz w:val="24"/>
              </w:rPr>
              <w:t>从上至下</w:t>
            </w:r>
            <w:r>
              <w:rPr>
                <w:rFonts w:hint="eastAsia"/>
                <w:kern w:val="0"/>
                <w:sz w:val="24"/>
              </w:rPr>
              <w:t>、分</w:t>
            </w:r>
            <w:r>
              <w:rPr>
                <w:kern w:val="0"/>
                <w:sz w:val="24"/>
              </w:rPr>
              <w:t>台阶</w:t>
            </w:r>
            <w:r>
              <w:rPr>
                <w:rFonts w:hint="eastAsia"/>
                <w:kern w:val="0"/>
                <w:sz w:val="24"/>
              </w:rPr>
              <w:t>依次</w:t>
            </w:r>
            <w:r>
              <w:rPr>
                <w:kern w:val="0"/>
                <w:sz w:val="24"/>
              </w:rPr>
              <w:t>开采</w:t>
            </w:r>
            <w:r>
              <w:rPr>
                <w:rFonts w:hint="eastAsia"/>
                <w:kern w:val="0"/>
                <w:sz w:val="24"/>
              </w:rPr>
              <w:t>，做到开采一台阶、恢复一台阶，尽量减少场地开采裸露面。针对短期不开采的区域，也需使用帆布（防尘网）苫盖。</w:t>
            </w:r>
          </w:p>
          <w:p>
            <w:pPr>
              <w:adjustRightInd w:val="0"/>
              <w:snapToGrid w:val="0"/>
              <w:spacing w:line="360" w:lineRule="auto"/>
              <w:ind w:firstLine="480" w:firstLineChars="200"/>
              <w:rPr>
                <w:sz w:val="24"/>
              </w:rPr>
            </w:pPr>
            <w:r>
              <w:rPr>
                <w:rFonts w:hint="eastAsia"/>
                <w:kern w:val="0"/>
                <w:sz w:val="24"/>
              </w:rPr>
              <w:t>⑤其他：拟建项目的实施，后续厂区内有</w:t>
            </w:r>
            <w:r>
              <w:rPr>
                <w:kern w:val="0"/>
                <w:sz w:val="24"/>
              </w:rPr>
              <w:t>0.8466</w:t>
            </w:r>
            <w:r>
              <w:rPr>
                <w:rFonts w:hint="eastAsia"/>
                <w:kern w:val="0"/>
                <w:sz w:val="24"/>
              </w:rPr>
              <w:t>hm</w:t>
            </w:r>
            <w:r>
              <w:rPr>
                <w:rFonts w:hint="eastAsia"/>
                <w:kern w:val="0"/>
                <w:sz w:val="24"/>
                <w:vertAlign w:val="superscript"/>
              </w:rPr>
              <w:t>2</w:t>
            </w:r>
            <w:r>
              <w:rPr>
                <w:rFonts w:hint="eastAsia"/>
                <w:kern w:val="0"/>
                <w:sz w:val="24"/>
              </w:rPr>
              <w:t>区域不再使用，该区域主要包括原项目部分场内运输道路及历史开采期间落石压占区域，见附图4-1。针对以上区域，拟建项目施工期间将清理浮石，对于存有土方的区域直接种植乔灌、撒播草籽复绿，对于基岩区域覆土后再复绿；复绿植被优先采用施工期间清理的植被，不足部分可外购，外购植株宜采用乡种（栎类、小果蔷薇、火棘、狗牙根等）；基岩区域覆土采用施工期间剥离的表土。</w:t>
            </w:r>
          </w:p>
          <w:p>
            <w:pPr>
              <w:adjustRightInd w:val="0"/>
              <w:snapToGrid w:val="0"/>
              <w:spacing w:line="360" w:lineRule="auto"/>
              <w:ind w:firstLine="482" w:firstLineChars="200"/>
              <w:rPr>
                <w:b/>
                <w:bCs/>
                <w:sz w:val="24"/>
              </w:rPr>
            </w:pPr>
            <w:r>
              <w:rPr>
                <w:rFonts w:hint="eastAsia"/>
                <w:b/>
                <w:bCs/>
                <w:sz w:val="24"/>
              </w:rPr>
              <w:t>（3）“三本账”统计</w:t>
            </w:r>
          </w:p>
          <w:p>
            <w:pPr>
              <w:adjustRightInd w:val="0"/>
              <w:snapToGrid w:val="0"/>
              <w:spacing w:line="360" w:lineRule="auto"/>
              <w:ind w:firstLine="480" w:firstLineChars="200"/>
              <w:rPr>
                <w:sz w:val="24"/>
              </w:rPr>
            </w:pPr>
            <w:r>
              <w:rPr>
                <w:rFonts w:hint="eastAsia"/>
                <w:sz w:val="24"/>
              </w:rPr>
              <w:t>拟建项目建设前、后污染物排放三本帐汇总如表4-28。</w:t>
            </w:r>
          </w:p>
          <w:p>
            <w:pPr>
              <w:adjustRightInd w:val="0"/>
              <w:snapToGrid w:val="0"/>
              <w:jc w:val="center"/>
              <w:rPr>
                <w:b/>
                <w:sz w:val="24"/>
              </w:rPr>
            </w:pPr>
            <w:r>
              <w:rPr>
                <w:b/>
                <w:sz w:val="24"/>
              </w:rPr>
              <w:t>表</w:t>
            </w:r>
            <w:r>
              <w:rPr>
                <w:rFonts w:hint="eastAsia"/>
                <w:b/>
                <w:sz w:val="24"/>
              </w:rPr>
              <w:t>4-28   项目改扩建前后“三本账”分析</w:t>
            </w:r>
          </w:p>
          <w:tbl>
            <w:tblPr>
              <w:tblStyle w:val="15"/>
              <w:tblW w:w="9010"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04"/>
              <w:gridCol w:w="1703"/>
              <w:gridCol w:w="2123"/>
              <w:gridCol w:w="966"/>
              <w:gridCol w:w="768"/>
              <w:gridCol w:w="1049"/>
              <w:gridCol w:w="689"/>
              <w:gridCol w:w="90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tblHeader/>
                <w:jc w:val="center"/>
              </w:trPr>
              <w:tc>
                <w:tcPr>
                  <w:tcW w:w="804" w:type="dxa"/>
                  <w:vMerge w:val="restart"/>
                  <w:vAlign w:val="center"/>
                </w:tcPr>
                <w:p>
                  <w:pPr>
                    <w:pStyle w:val="42"/>
                  </w:pPr>
                  <w:r>
                    <w:rPr>
                      <w:rFonts w:hint="eastAsia"/>
                    </w:rPr>
                    <w:t>分类</w:t>
                  </w:r>
                </w:p>
              </w:tc>
              <w:tc>
                <w:tcPr>
                  <w:tcW w:w="1703" w:type="dxa"/>
                  <w:vMerge w:val="restart"/>
                  <w:vAlign w:val="center"/>
                </w:tcPr>
                <w:p>
                  <w:pPr>
                    <w:pStyle w:val="42"/>
                  </w:pPr>
                  <w:r>
                    <w:rPr>
                      <w:rFonts w:hint="eastAsia"/>
                    </w:rPr>
                    <w:t>污染源</w:t>
                  </w:r>
                </w:p>
              </w:tc>
              <w:tc>
                <w:tcPr>
                  <w:tcW w:w="2123" w:type="dxa"/>
                  <w:vMerge w:val="restart"/>
                  <w:vAlign w:val="center"/>
                </w:tcPr>
                <w:p>
                  <w:pPr>
                    <w:pStyle w:val="42"/>
                  </w:pPr>
                  <w:r>
                    <w:rPr>
                      <w:rFonts w:hint="eastAsia"/>
                    </w:rPr>
                    <w:t>污染物</w:t>
                  </w:r>
                </w:p>
              </w:tc>
              <w:tc>
                <w:tcPr>
                  <w:tcW w:w="4380" w:type="dxa"/>
                  <w:gridSpan w:val="5"/>
                  <w:vAlign w:val="center"/>
                </w:tcPr>
                <w:p>
                  <w:pPr>
                    <w:pStyle w:val="42"/>
                  </w:pPr>
                  <w:r>
                    <w:rPr>
                      <w:rFonts w:hint="eastAsia"/>
                    </w:rPr>
                    <w:t>排放量（</w:t>
                  </w:r>
                  <w:r>
                    <w:t>t/a</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tblHeader/>
                <w:jc w:val="center"/>
              </w:trPr>
              <w:tc>
                <w:tcPr>
                  <w:tcW w:w="804" w:type="dxa"/>
                  <w:vMerge w:val="continue"/>
                  <w:vAlign w:val="center"/>
                </w:tcPr>
                <w:p>
                  <w:pPr>
                    <w:pStyle w:val="42"/>
                  </w:pPr>
                </w:p>
              </w:tc>
              <w:tc>
                <w:tcPr>
                  <w:tcW w:w="1703" w:type="dxa"/>
                  <w:vMerge w:val="continue"/>
                  <w:vAlign w:val="center"/>
                </w:tcPr>
                <w:p>
                  <w:pPr>
                    <w:pStyle w:val="42"/>
                  </w:pPr>
                </w:p>
              </w:tc>
              <w:tc>
                <w:tcPr>
                  <w:tcW w:w="2123" w:type="dxa"/>
                  <w:vMerge w:val="continue"/>
                </w:tcPr>
                <w:p>
                  <w:pPr>
                    <w:pStyle w:val="42"/>
                  </w:pPr>
                </w:p>
              </w:tc>
              <w:tc>
                <w:tcPr>
                  <w:tcW w:w="966" w:type="dxa"/>
                  <w:vAlign w:val="center"/>
                </w:tcPr>
                <w:p>
                  <w:pPr>
                    <w:pStyle w:val="42"/>
                  </w:pPr>
                  <w:r>
                    <w:rPr>
                      <w:rFonts w:hint="eastAsia"/>
                    </w:rPr>
                    <w:t>现状项目</w:t>
                  </w:r>
                </w:p>
              </w:tc>
              <w:tc>
                <w:tcPr>
                  <w:tcW w:w="768" w:type="dxa"/>
                  <w:vAlign w:val="center"/>
                </w:tcPr>
                <w:p>
                  <w:pPr>
                    <w:pStyle w:val="42"/>
                  </w:pPr>
                  <w:r>
                    <w:rPr>
                      <w:rFonts w:hint="eastAsia"/>
                    </w:rPr>
                    <w:t>拟建项目</w:t>
                  </w:r>
                </w:p>
              </w:tc>
              <w:tc>
                <w:tcPr>
                  <w:tcW w:w="1049" w:type="dxa"/>
                  <w:vAlign w:val="center"/>
                </w:tcPr>
                <w:p>
                  <w:pPr>
                    <w:pStyle w:val="42"/>
                  </w:pPr>
                  <w:r>
                    <w:rPr>
                      <w:rFonts w:hint="eastAsia"/>
                    </w:rPr>
                    <w:t>以新带老消减量</w:t>
                  </w:r>
                </w:p>
              </w:tc>
              <w:tc>
                <w:tcPr>
                  <w:tcW w:w="689" w:type="dxa"/>
                  <w:vAlign w:val="center"/>
                </w:tcPr>
                <w:p>
                  <w:pPr>
                    <w:pStyle w:val="42"/>
                  </w:pPr>
                  <w:r>
                    <w:rPr>
                      <w:rFonts w:hint="eastAsia"/>
                    </w:rPr>
                    <w:t>总工程</w:t>
                  </w:r>
                </w:p>
              </w:tc>
              <w:tc>
                <w:tcPr>
                  <w:tcW w:w="908" w:type="dxa"/>
                  <w:vAlign w:val="center"/>
                </w:tcPr>
                <w:p>
                  <w:pPr>
                    <w:pStyle w:val="42"/>
                  </w:pPr>
                  <w:r>
                    <w:rPr>
                      <w:rFonts w:hint="eastAsia"/>
                    </w:rPr>
                    <w:t>变化量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804" w:type="dxa"/>
                  <w:vMerge w:val="restart"/>
                  <w:vAlign w:val="center"/>
                </w:tcPr>
                <w:p>
                  <w:pPr>
                    <w:pStyle w:val="42"/>
                  </w:pPr>
                  <w:r>
                    <w:rPr>
                      <w:rFonts w:hint="eastAsia"/>
                    </w:rPr>
                    <w:t>废气</w:t>
                  </w:r>
                </w:p>
              </w:tc>
              <w:tc>
                <w:tcPr>
                  <w:tcW w:w="1703" w:type="dxa"/>
                  <w:vMerge w:val="restart"/>
                  <w:vAlign w:val="center"/>
                </w:tcPr>
                <w:p>
                  <w:pPr>
                    <w:pStyle w:val="42"/>
                  </w:pPr>
                  <w:r>
                    <w:rPr>
                      <w:rFonts w:hint="eastAsia"/>
                    </w:rPr>
                    <w:t>粉尘</w:t>
                  </w:r>
                </w:p>
              </w:tc>
              <w:tc>
                <w:tcPr>
                  <w:tcW w:w="2123" w:type="dxa"/>
                  <w:vAlign w:val="center"/>
                </w:tcPr>
                <w:p>
                  <w:pPr>
                    <w:pStyle w:val="42"/>
                  </w:pPr>
                  <w:r>
                    <w:rPr>
                      <w:rFonts w:hint="eastAsia"/>
                    </w:rPr>
                    <w:t>颗粒物（有组织）</w:t>
                  </w:r>
                </w:p>
              </w:tc>
              <w:tc>
                <w:tcPr>
                  <w:tcW w:w="966" w:type="dxa"/>
                  <w:vAlign w:val="center"/>
                </w:tcPr>
                <w:p>
                  <w:pPr>
                    <w:pStyle w:val="42"/>
                  </w:pPr>
                  <w:r>
                    <w:rPr>
                      <w:rFonts w:hint="eastAsia"/>
                    </w:rPr>
                    <w:t>0</w:t>
                  </w:r>
                </w:p>
              </w:tc>
              <w:tc>
                <w:tcPr>
                  <w:tcW w:w="768" w:type="dxa"/>
                  <w:vAlign w:val="center"/>
                </w:tcPr>
                <w:p>
                  <w:pPr>
                    <w:pStyle w:val="42"/>
                  </w:pPr>
                  <w:r>
                    <w:rPr>
                      <w:rFonts w:hint="eastAsia"/>
                      <w:color w:val="0000FF"/>
                    </w:rPr>
                    <w:t>2.861</w:t>
                  </w:r>
                </w:p>
              </w:tc>
              <w:tc>
                <w:tcPr>
                  <w:tcW w:w="1049" w:type="dxa"/>
                  <w:vAlign w:val="center"/>
                </w:tcPr>
                <w:p>
                  <w:pPr>
                    <w:pStyle w:val="42"/>
                    <w:rPr>
                      <w:rFonts w:eastAsiaTheme="minorEastAsia"/>
                    </w:rPr>
                  </w:pPr>
                  <w:r>
                    <w:rPr>
                      <w:rFonts w:hint="eastAsia"/>
                    </w:rPr>
                    <w:t>0</w:t>
                  </w:r>
                </w:p>
              </w:tc>
              <w:tc>
                <w:tcPr>
                  <w:tcW w:w="689" w:type="dxa"/>
                  <w:vAlign w:val="center"/>
                </w:tcPr>
                <w:p>
                  <w:pPr>
                    <w:pStyle w:val="42"/>
                  </w:pPr>
                  <w:r>
                    <w:rPr>
                      <w:rFonts w:hint="eastAsia"/>
                      <w:color w:val="0000FF"/>
                    </w:rPr>
                    <w:t>2.861</w:t>
                  </w:r>
                </w:p>
              </w:tc>
              <w:tc>
                <w:tcPr>
                  <w:tcW w:w="908" w:type="dxa"/>
                  <w:vAlign w:val="center"/>
                </w:tcPr>
                <w:p>
                  <w:pPr>
                    <w:pStyle w:val="42"/>
                    <w:rPr>
                      <w:color w:val="0000FF"/>
                    </w:rPr>
                  </w:pPr>
                  <w:r>
                    <w:rPr>
                      <w:rFonts w:hint="eastAsia"/>
                      <w:color w:val="0000FF"/>
                    </w:rPr>
                    <w:t>+2.861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804" w:type="dxa"/>
                  <w:vMerge w:val="continue"/>
                  <w:vAlign w:val="center"/>
                </w:tcPr>
                <w:p>
                  <w:pPr>
                    <w:pStyle w:val="42"/>
                  </w:pPr>
                </w:p>
              </w:tc>
              <w:tc>
                <w:tcPr>
                  <w:tcW w:w="1703" w:type="dxa"/>
                  <w:vMerge w:val="continue"/>
                  <w:vAlign w:val="center"/>
                </w:tcPr>
                <w:p>
                  <w:pPr>
                    <w:pStyle w:val="42"/>
                  </w:pPr>
                </w:p>
              </w:tc>
              <w:tc>
                <w:tcPr>
                  <w:tcW w:w="2123" w:type="dxa"/>
                  <w:vAlign w:val="center"/>
                </w:tcPr>
                <w:p>
                  <w:pPr>
                    <w:pStyle w:val="42"/>
                  </w:pPr>
                  <w:r>
                    <w:rPr>
                      <w:rFonts w:hint="eastAsia"/>
                    </w:rPr>
                    <w:t>颗粒物（无组织）</w:t>
                  </w:r>
                </w:p>
              </w:tc>
              <w:tc>
                <w:tcPr>
                  <w:tcW w:w="966" w:type="dxa"/>
                  <w:vAlign w:val="center"/>
                </w:tcPr>
                <w:p>
                  <w:pPr>
                    <w:pStyle w:val="42"/>
                  </w:pPr>
                  <w:r>
                    <w:rPr>
                      <w:rFonts w:hint="eastAsia"/>
                    </w:rPr>
                    <w:t>15.33</w:t>
                  </w:r>
                </w:p>
              </w:tc>
              <w:tc>
                <w:tcPr>
                  <w:tcW w:w="768" w:type="dxa"/>
                  <w:vAlign w:val="center"/>
                </w:tcPr>
                <w:p>
                  <w:pPr>
                    <w:pStyle w:val="42"/>
                  </w:pPr>
                  <w:r>
                    <w:rPr>
                      <w:color w:val="0000FF"/>
                    </w:rPr>
                    <w:t>8.323</w:t>
                  </w:r>
                </w:p>
              </w:tc>
              <w:tc>
                <w:tcPr>
                  <w:tcW w:w="1049" w:type="dxa"/>
                  <w:vAlign w:val="center"/>
                </w:tcPr>
                <w:p>
                  <w:pPr>
                    <w:pStyle w:val="42"/>
                  </w:pPr>
                  <w:r>
                    <w:rPr>
                      <w:rFonts w:hint="eastAsia"/>
                    </w:rPr>
                    <w:t>15.33</w:t>
                  </w:r>
                </w:p>
              </w:tc>
              <w:tc>
                <w:tcPr>
                  <w:tcW w:w="689" w:type="dxa"/>
                  <w:vAlign w:val="center"/>
                </w:tcPr>
                <w:p>
                  <w:pPr>
                    <w:pStyle w:val="42"/>
                  </w:pPr>
                  <w:r>
                    <w:rPr>
                      <w:color w:val="0000FF"/>
                    </w:rPr>
                    <w:t>8.323</w:t>
                  </w:r>
                </w:p>
              </w:tc>
              <w:tc>
                <w:tcPr>
                  <w:tcW w:w="908" w:type="dxa"/>
                  <w:vAlign w:val="center"/>
                </w:tcPr>
                <w:p>
                  <w:pPr>
                    <w:pStyle w:val="42"/>
                    <w:rPr>
                      <w:color w:val="0000FF"/>
                    </w:rPr>
                  </w:pPr>
                  <w:r>
                    <w:rPr>
                      <w:rFonts w:hint="eastAsia"/>
                      <w:color w:val="0000FF"/>
                    </w:rPr>
                    <w:t>-7.007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804" w:type="dxa"/>
                  <w:vMerge w:val="restart"/>
                  <w:vAlign w:val="center"/>
                </w:tcPr>
                <w:p>
                  <w:pPr>
                    <w:pStyle w:val="42"/>
                  </w:pPr>
                  <w:r>
                    <w:rPr>
                      <w:rFonts w:hint="eastAsia"/>
                    </w:rPr>
                    <w:t>废水</w:t>
                  </w:r>
                </w:p>
              </w:tc>
              <w:tc>
                <w:tcPr>
                  <w:tcW w:w="1703" w:type="dxa"/>
                  <w:vAlign w:val="center"/>
                </w:tcPr>
                <w:p>
                  <w:pPr>
                    <w:pStyle w:val="42"/>
                  </w:pPr>
                  <w:r>
                    <w:rPr>
                      <w:rFonts w:hint="eastAsia"/>
                    </w:rPr>
                    <w:t>生活污水</w:t>
                  </w:r>
                </w:p>
              </w:tc>
              <w:tc>
                <w:tcPr>
                  <w:tcW w:w="2123" w:type="dxa"/>
                  <w:vAlign w:val="center"/>
                </w:tcPr>
                <w:p>
                  <w:pPr>
                    <w:pStyle w:val="42"/>
                  </w:pPr>
                  <w:r>
                    <w:rPr>
                      <w:lang w:bidi="zh-CN"/>
                    </w:rPr>
                    <w:t>COD</w:t>
                  </w:r>
                  <w:r>
                    <w:rPr>
                      <w:lang w:val="zh-CN" w:bidi="zh-CN"/>
                    </w:rPr>
                    <w:t>、</w:t>
                  </w:r>
                  <w:r>
                    <w:rPr>
                      <w:lang w:bidi="zh-CN"/>
                    </w:rPr>
                    <w:t>BOD</w:t>
                  </w:r>
                  <w:r>
                    <w:rPr>
                      <w:vertAlign w:val="subscript"/>
                      <w:lang w:bidi="zh-CN"/>
                    </w:rPr>
                    <w:t>5</w:t>
                  </w:r>
                  <w:r>
                    <w:rPr>
                      <w:lang w:val="zh-CN" w:bidi="zh-CN"/>
                    </w:rPr>
                    <w:t>、</w:t>
                  </w:r>
                  <w:r>
                    <w:rPr>
                      <w:lang w:bidi="zh-CN"/>
                    </w:rPr>
                    <w:t>SS</w:t>
                  </w:r>
                  <w:r>
                    <w:rPr>
                      <w:lang w:val="zh-CN" w:bidi="zh-CN"/>
                    </w:rPr>
                    <w:t>、</w:t>
                  </w:r>
                  <w:r>
                    <w:rPr>
                      <w:lang w:bidi="zh-CN"/>
                    </w:rPr>
                    <w:t>NH</w:t>
                  </w:r>
                  <w:r>
                    <w:rPr>
                      <w:vertAlign w:val="subscript"/>
                      <w:lang w:bidi="zh-CN"/>
                    </w:rPr>
                    <w:t>3</w:t>
                  </w:r>
                  <w:r>
                    <w:rPr>
                      <w:lang w:bidi="zh-CN"/>
                    </w:rPr>
                    <w:t>-N</w:t>
                  </w:r>
                </w:p>
              </w:tc>
              <w:tc>
                <w:tcPr>
                  <w:tcW w:w="966" w:type="dxa"/>
                  <w:vAlign w:val="center"/>
                </w:tcPr>
                <w:p>
                  <w:pPr>
                    <w:pStyle w:val="42"/>
                  </w:pPr>
                  <w:r>
                    <w:rPr>
                      <w:rFonts w:hint="eastAsia"/>
                    </w:rPr>
                    <w:t>0</w:t>
                  </w:r>
                </w:p>
              </w:tc>
              <w:tc>
                <w:tcPr>
                  <w:tcW w:w="768" w:type="dxa"/>
                  <w:vAlign w:val="center"/>
                </w:tcPr>
                <w:p>
                  <w:pPr>
                    <w:pStyle w:val="42"/>
                  </w:pPr>
                  <w:r>
                    <w:rPr>
                      <w:rFonts w:hint="eastAsia"/>
                    </w:rPr>
                    <w:t>0</w:t>
                  </w:r>
                </w:p>
              </w:tc>
              <w:tc>
                <w:tcPr>
                  <w:tcW w:w="1049" w:type="dxa"/>
                  <w:vAlign w:val="center"/>
                </w:tcPr>
                <w:p>
                  <w:pPr>
                    <w:pStyle w:val="42"/>
                  </w:pPr>
                  <w:r>
                    <w:rPr>
                      <w:rFonts w:hint="eastAsia"/>
                    </w:rPr>
                    <w:t>0</w:t>
                  </w:r>
                </w:p>
              </w:tc>
              <w:tc>
                <w:tcPr>
                  <w:tcW w:w="689" w:type="dxa"/>
                  <w:vAlign w:val="center"/>
                </w:tcPr>
                <w:p>
                  <w:pPr>
                    <w:pStyle w:val="42"/>
                  </w:pPr>
                  <w:r>
                    <w:rPr>
                      <w:rFonts w:hint="eastAsia"/>
                    </w:rPr>
                    <w:t>0</w:t>
                  </w:r>
                </w:p>
              </w:tc>
              <w:tc>
                <w:tcPr>
                  <w:tcW w:w="908" w:type="dxa"/>
                  <w:vAlign w:val="center"/>
                </w:tcPr>
                <w:p>
                  <w:pPr>
                    <w:pStyle w:val="42"/>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804" w:type="dxa"/>
                  <w:vMerge w:val="continue"/>
                  <w:vAlign w:val="center"/>
                </w:tcPr>
                <w:p>
                  <w:pPr>
                    <w:pStyle w:val="42"/>
                  </w:pPr>
                </w:p>
              </w:tc>
              <w:tc>
                <w:tcPr>
                  <w:tcW w:w="1703" w:type="dxa"/>
                  <w:vAlign w:val="center"/>
                </w:tcPr>
                <w:p>
                  <w:pPr>
                    <w:pStyle w:val="42"/>
                  </w:pPr>
                  <w:r>
                    <w:rPr>
                      <w:rFonts w:hint="eastAsia"/>
                    </w:rPr>
                    <w:t>车辆冲洗废水</w:t>
                  </w:r>
                </w:p>
              </w:tc>
              <w:tc>
                <w:tcPr>
                  <w:tcW w:w="2123" w:type="dxa"/>
                  <w:vAlign w:val="center"/>
                </w:tcPr>
                <w:p>
                  <w:pPr>
                    <w:pStyle w:val="42"/>
                  </w:pPr>
                  <w:r>
                    <w:rPr>
                      <w:rFonts w:hint="eastAsia"/>
                      <w:lang w:val="zh-CN" w:bidi="zh-CN"/>
                    </w:rPr>
                    <w:t>SS</w:t>
                  </w:r>
                </w:p>
              </w:tc>
              <w:tc>
                <w:tcPr>
                  <w:tcW w:w="966" w:type="dxa"/>
                  <w:vAlign w:val="center"/>
                </w:tcPr>
                <w:p>
                  <w:pPr>
                    <w:pStyle w:val="42"/>
                  </w:pPr>
                  <w:r>
                    <w:rPr>
                      <w:rFonts w:hint="eastAsia"/>
                    </w:rPr>
                    <w:t>0</w:t>
                  </w:r>
                </w:p>
              </w:tc>
              <w:tc>
                <w:tcPr>
                  <w:tcW w:w="768" w:type="dxa"/>
                  <w:vAlign w:val="center"/>
                </w:tcPr>
                <w:p>
                  <w:pPr>
                    <w:pStyle w:val="42"/>
                  </w:pPr>
                  <w:r>
                    <w:rPr>
                      <w:rFonts w:hint="eastAsia"/>
                    </w:rPr>
                    <w:t>0</w:t>
                  </w:r>
                </w:p>
              </w:tc>
              <w:tc>
                <w:tcPr>
                  <w:tcW w:w="1049" w:type="dxa"/>
                  <w:vAlign w:val="center"/>
                </w:tcPr>
                <w:p>
                  <w:pPr>
                    <w:pStyle w:val="42"/>
                  </w:pPr>
                  <w:r>
                    <w:rPr>
                      <w:rFonts w:hint="eastAsia"/>
                    </w:rPr>
                    <w:t>0</w:t>
                  </w:r>
                </w:p>
              </w:tc>
              <w:tc>
                <w:tcPr>
                  <w:tcW w:w="689" w:type="dxa"/>
                  <w:vAlign w:val="center"/>
                </w:tcPr>
                <w:p>
                  <w:pPr>
                    <w:pStyle w:val="42"/>
                  </w:pPr>
                  <w:r>
                    <w:rPr>
                      <w:rFonts w:hint="eastAsia"/>
                    </w:rPr>
                    <w:t>0</w:t>
                  </w:r>
                </w:p>
              </w:tc>
              <w:tc>
                <w:tcPr>
                  <w:tcW w:w="908" w:type="dxa"/>
                  <w:vAlign w:val="center"/>
                </w:tcPr>
                <w:p>
                  <w:pPr>
                    <w:pStyle w:val="42"/>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804" w:type="dxa"/>
                  <w:vMerge w:val="restart"/>
                  <w:vAlign w:val="center"/>
                </w:tcPr>
                <w:p>
                  <w:pPr>
                    <w:pStyle w:val="42"/>
                  </w:pPr>
                  <w:r>
                    <w:rPr>
                      <w:rFonts w:hint="eastAsia"/>
                    </w:rPr>
                    <w:t>固废</w:t>
                  </w:r>
                </w:p>
              </w:tc>
              <w:tc>
                <w:tcPr>
                  <w:tcW w:w="1703" w:type="dxa"/>
                  <w:vAlign w:val="center"/>
                </w:tcPr>
                <w:p>
                  <w:pPr>
                    <w:pStyle w:val="42"/>
                  </w:pPr>
                  <w:r>
                    <w:t>剥离表土</w:t>
                  </w:r>
                </w:p>
              </w:tc>
              <w:tc>
                <w:tcPr>
                  <w:tcW w:w="2123" w:type="dxa"/>
                  <w:vAlign w:val="center"/>
                </w:tcPr>
                <w:p>
                  <w:pPr>
                    <w:pStyle w:val="42"/>
                  </w:pPr>
                  <w:r>
                    <w:t>表土</w:t>
                  </w:r>
                </w:p>
              </w:tc>
              <w:tc>
                <w:tcPr>
                  <w:tcW w:w="966" w:type="dxa"/>
                  <w:vAlign w:val="center"/>
                </w:tcPr>
                <w:p>
                  <w:pPr>
                    <w:pStyle w:val="42"/>
                  </w:pPr>
                  <w:r>
                    <w:rPr>
                      <w:rFonts w:hint="eastAsia"/>
                    </w:rPr>
                    <w:t>0</w:t>
                  </w:r>
                </w:p>
              </w:tc>
              <w:tc>
                <w:tcPr>
                  <w:tcW w:w="768" w:type="dxa"/>
                  <w:vAlign w:val="center"/>
                </w:tcPr>
                <w:p>
                  <w:pPr>
                    <w:pStyle w:val="42"/>
                  </w:pPr>
                  <w:r>
                    <w:rPr>
                      <w:rFonts w:hint="eastAsia"/>
                    </w:rPr>
                    <w:t>0</w:t>
                  </w:r>
                </w:p>
              </w:tc>
              <w:tc>
                <w:tcPr>
                  <w:tcW w:w="1049" w:type="dxa"/>
                  <w:vAlign w:val="center"/>
                </w:tcPr>
                <w:p>
                  <w:pPr>
                    <w:pStyle w:val="42"/>
                  </w:pPr>
                  <w:r>
                    <w:rPr>
                      <w:rFonts w:hint="eastAsia"/>
                    </w:rPr>
                    <w:t>0</w:t>
                  </w:r>
                </w:p>
              </w:tc>
              <w:tc>
                <w:tcPr>
                  <w:tcW w:w="689" w:type="dxa"/>
                  <w:vAlign w:val="center"/>
                </w:tcPr>
                <w:p>
                  <w:pPr>
                    <w:pStyle w:val="42"/>
                  </w:pPr>
                  <w:r>
                    <w:rPr>
                      <w:rFonts w:hint="eastAsia"/>
                    </w:rPr>
                    <w:t>0</w:t>
                  </w:r>
                </w:p>
              </w:tc>
              <w:tc>
                <w:tcPr>
                  <w:tcW w:w="908" w:type="dxa"/>
                  <w:vAlign w:val="center"/>
                </w:tcPr>
                <w:p>
                  <w:pPr>
                    <w:pStyle w:val="42"/>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804" w:type="dxa"/>
                  <w:vMerge w:val="continue"/>
                  <w:vAlign w:val="center"/>
                </w:tcPr>
                <w:p>
                  <w:pPr>
                    <w:pStyle w:val="42"/>
                  </w:pPr>
                </w:p>
              </w:tc>
              <w:tc>
                <w:tcPr>
                  <w:tcW w:w="1703" w:type="dxa"/>
                  <w:vAlign w:val="center"/>
                </w:tcPr>
                <w:p>
                  <w:pPr>
                    <w:pStyle w:val="42"/>
                    <w:rPr>
                      <w:rFonts w:hint="eastAsia" w:ascii="宋体" w:hAnsi="宋体" w:cs="宋体"/>
                    </w:rPr>
                  </w:pPr>
                  <w:r>
                    <w:t>剥离废石</w:t>
                  </w:r>
                </w:p>
              </w:tc>
              <w:tc>
                <w:tcPr>
                  <w:tcW w:w="2123" w:type="dxa"/>
                  <w:vAlign w:val="center"/>
                </w:tcPr>
                <w:p>
                  <w:pPr>
                    <w:pStyle w:val="42"/>
                    <w:rPr>
                      <w:rFonts w:hint="eastAsia" w:ascii="宋体" w:hAnsi="宋体" w:cs="宋体"/>
                    </w:rPr>
                  </w:pPr>
                  <w:r>
                    <w:t>废石</w:t>
                  </w:r>
                </w:p>
              </w:tc>
              <w:tc>
                <w:tcPr>
                  <w:tcW w:w="966" w:type="dxa"/>
                  <w:vAlign w:val="center"/>
                </w:tcPr>
                <w:p>
                  <w:pPr>
                    <w:pStyle w:val="42"/>
                  </w:pPr>
                  <w:r>
                    <w:rPr>
                      <w:rFonts w:hint="eastAsia"/>
                    </w:rPr>
                    <w:t>0</w:t>
                  </w:r>
                </w:p>
              </w:tc>
              <w:tc>
                <w:tcPr>
                  <w:tcW w:w="768" w:type="dxa"/>
                  <w:vAlign w:val="center"/>
                </w:tcPr>
                <w:p>
                  <w:pPr>
                    <w:pStyle w:val="42"/>
                  </w:pPr>
                  <w:r>
                    <w:rPr>
                      <w:rFonts w:hint="eastAsia"/>
                    </w:rPr>
                    <w:t>0</w:t>
                  </w:r>
                </w:p>
              </w:tc>
              <w:tc>
                <w:tcPr>
                  <w:tcW w:w="1049" w:type="dxa"/>
                  <w:vAlign w:val="center"/>
                </w:tcPr>
                <w:p>
                  <w:pPr>
                    <w:pStyle w:val="42"/>
                  </w:pPr>
                  <w:r>
                    <w:rPr>
                      <w:rFonts w:hint="eastAsia"/>
                    </w:rPr>
                    <w:t>0</w:t>
                  </w:r>
                </w:p>
              </w:tc>
              <w:tc>
                <w:tcPr>
                  <w:tcW w:w="689" w:type="dxa"/>
                  <w:vAlign w:val="center"/>
                </w:tcPr>
                <w:p>
                  <w:pPr>
                    <w:pStyle w:val="42"/>
                  </w:pPr>
                  <w:r>
                    <w:rPr>
                      <w:rFonts w:hint="eastAsia"/>
                    </w:rPr>
                    <w:t>0</w:t>
                  </w:r>
                </w:p>
              </w:tc>
              <w:tc>
                <w:tcPr>
                  <w:tcW w:w="908" w:type="dxa"/>
                  <w:vAlign w:val="center"/>
                </w:tcPr>
                <w:p>
                  <w:pPr>
                    <w:pStyle w:val="42"/>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804" w:type="dxa"/>
                  <w:vMerge w:val="continue"/>
                  <w:vAlign w:val="center"/>
                </w:tcPr>
                <w:p>
                  <w:pPr>
                    <w:pStyle w:val="42"/>
                  </w:pPr>
                </w:p>
              </w:tc>
              <w:tc>
                <w:tcPr>
                  <w:tcW w:w="1703" w:type="dxa"/>
                  <w:vAlign w:val="center"/>
                </w:tcPr>
                <w:p>
                  <w:pPr>
                    <w:pStyle w:val="42"/>
                    <w:rPr>
                      <w:rFonts w:hint="eastAsia" w:ascii="宋体" w:hAnsi="宋体" w:cs="宋体"/>
                    </w:rPr>
                  </w:pPr>
                  <w:r>
                    <w:rPr>
                      <w:rFonts w:hint="eastAsia"/>
                    </w:rPr>
                    <w:t>灰渣</w:t>
                  </w:r>
                </w:p>
              </w:tc>
              <w:tc>
                <w:tcPr>
                  <w:tcW w:w="2123" w:type="dxa"/>
                  <w:vAlign w:val="center"/>
                </w:tcPr>
                <w:p>
                  <w:pPr>
                    <w:pStyle w:val="42"/>
                    <w:rPr>
                      <w:rFonts w:hint="eastAsia" w:ascii="宋体" w:hAnsi="宋体" w:cs="宋体"/>
                    </w:rPr>
                  </w:pPr>
                  <w:r>
                    <w:rPr>
                      <w:rFonts w:hint="eastAsia"/>
                    </w:rPr>
                    <w:t>除尘灰</w:t>
                  </w:r>
                </w:p>
              </w:tc>
              <w:tc>
                <w:tcPr>
                  <w:tcW w:w="966" w:type="dxa"/>
                  <w:vAlign w:val="center"/>
                </w:tcPr>
                <w:p>
                  <w:pPr>
                    <w:pStyle w:val="42"/>
                  </w:pPr>
                  <w:r>
                    <w:rPr>
                      <w:rFonts w:hint="eastAsia"/>
                    </w:rPr>
                    <w:t>0</w:t>
                  </w:r>
                </w:p>
              </w:tc>
              <w:tc>
                <w:tcPr>
                  <w:tcW w:w="768" w:type="dxa"/>
                  <w:vAlign w:val="center"/>
                </w:tcPr>
                <w:p>
                  <w:pPr>
                    <w:pStyle w:val="42"/>
                  </w:pPr>
                  <w:r>
                    <w:rPr>
                      <w:rFonts w:hint="eastAsia"/>
                    </w:rPr>
                    <w:t>0</w:t>
                  </w:r>
                </w:p>
              </w:tc>
              <w:tc>
                <w:tcPr>
                  <w:tcW w:w="1049" w:type="dxa"/>
                  <w:vAlign w:val="center"/>
                </w:tcPr>
                <w:p>
                  <w:pPr>
                    <w:pStyle w:val="42"/>
                  </w:pPr>
                  <w:r>
                    <w:rPr>
                      <w:rFonts w:hint="eastAsia"/>
                    </w:rPr>
                    <w:t>0</w:t>
                  </w:r>
                </w:p>
              </w:tc>
              <w:tc>
                <w:tcPr>
                  <w:tcW w:w="689" w:type="dxa"/>
                  <w:vAlign w:val="center"/>
                </w:tcPr>
                <w:p>
                  <w:pPr>
                    <w:pStyle w:val="42"/>
                  </w:pPr>
                  <w:r>
                    <w:rPr>
                      <w:rFonts w:hint="eastAsia"/>
                    </w:rPr>
                    <w:t>0</w:t>
                  </w:r>
                </w:p>
              </w:tc>
              <w:tc>
                <w:tcPr>
                  <w:tcW w:w="908" w:type="dxa"/>
                  <w:vAlign w:val="center"/>
                </w:tcPr>
                <w:p>
                  <w:pPr>
                    <w:pStyle w:val="42"/>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804" w:type="dxa"/>
                  <w:vMerge w:val="continue"/>
                  <w:vAlign w:val="center"/>
                </w:tcPr>
                <w:p>
                  <w:pPr>
                    <w:pStyle w:val="42"/>
                  </w:pPr>
                </w:p>
              </w:tc>
              <w:tc>
                <w:tcPr>
                  <w:tcW w:w="1703" w:type="dxa"/>
                  <w:vAlign w:val="center"/>
                </w:tcPr>
                <w:p>
                  <w:pPr>
                    <w:pStyle w:val="42"/>
                  </w:pPr>
                  <w:r>
                    <w:t>生活垃圾</w:t>
                  </w:r>
                </w:p>
              </w:tc>
              <w:tc>
                <w:tcPr>
                  <w:tcW w:w="2123" w:type="dxa"/>
                  <w:vAlign w:val="center"/>
                </w:tcPr>
                <w:p>
                  <w:pPr>
                    <w:pStyle w:val="42"/>
                  </w:pPr>
                  <w:r>
                    <w:t>生活垃圾</w:t>
                  </w:r>
                </w:p>
              </w:tc>
              <w:tc>
                <w:tcPr>
                  <w:tcW w:w="966" w:type="dxa"/>
                  <w:vAlign w:val="center"/>
                </w:tcPr>
                <w:p>
                  <w:pPr>
                    <w:pStyle w:val="42"/>
                  </w:pPr>
                  <w:r>
                    <w:rPr>
                      <w:rFonts w:hint="eastAsia"/>
                    </w:rPr>
                    <w:t>0</w:t>
                  </w:r>
                </w:p>
              </w:tc>
              <w:tc>
                <w:tcPr>
                  <w:tcW w:w="768" w:type="dxa"/>
                  <w:vAlign w:val="center"/>
                </w:tcPr>
                <w:p>
                  <w:pPr>
                    <w:pStyle w:val="42"/>
                  </w:pPr>
                  <w:r>
                    <w:rPr>
                      <w:rFonts w:hint="eastAsia"/>
                    </w:rPr>
                    <w:t>0</w:t>
                  </w:r>
                </w:p>
              </w:tc>
              <w:tc>
                <w:tcPr>
                  <w:tcW w:w="1049" w:type="dxa"/>
                  <w:vAlign w:val="center"/>
                </w:tcPr>
                <w:p>
                  <w:pPr>
                    <w:pStyle w:val="42"/>
                  </w:pPr>
                  <w:r>
                    <w:rPr>
                      <w:rFonts w:hint="eastAsia"/>
                    </w:rPr>
                    <w:t>0</w:t>
                  </w:r>
                </w:p>
              </w:tc>
              <w:tc>
                <w:tcPr>
                  <w:tcW w:w="689" w:type="dxa"/>
                  <w:vAlign w:val="center"/>
                </w:tcPr>
                <w:p>
                  <w:pPr>
                    <w:pStyle w:val="42"/>
                  </w:pPr>
                  <w:r>
                    <w:rPr>
                      <w:rFonts w:hint="eastAsia"/>
                    </w:rPr>
                    <w:t>0</w:t>
                  </w:r>
                </w:p>
              </w:tc>
              <w:tc>
                <w:tcPr>
                  <w:tcW w:w="908" w:type="dxa"/>
                  <w:vAlign w:val="center"/>
                </w:tcPr>
                <w:p>
                  <w:pPr>
                    <w:pStyle w:val="42"/>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804" w:type="dxa"/>
                  <w:vMerge w:val="continue"/>
                  <w:vAlign w:val="center"/>
                </w:tcPr>
                <w:p>
                  <w:pPr>
                    <w:pStyle w:val="42"/>
                  </w:pPr>
                </w:p>
              </w:tc>
              <w:tc>
                <w:tcPr>
                  <w:tcW w:w="1703" w:type="dxa"/>
                  <w:vMerge w:val="restart"/>
                  <w:vAlign w:val="center"/>
                </w:tcPr>
                <w:p>
                  <w:pPr>
                    <w:pStyle w:val="42"/>
                  </w:pPr>
                  <w:r>
                    <w:rPr>
                      <w:rFonts w:hint="eastAsia"/>
                    </w:rPr>
                    <w:t>设备保养危废</w:t>
                  </w:r>
                </w:p>
              </w:tc>
              <w:tc>
                <w:tcPr>
                  <w:tcW w:w="2123" w:type="dxa"/>
                  <w:vAlign w:val="center"/>
                </w:tcPr>
                <w:p>
                  <w:pPr>
                    <w:pStyle w:val="42"/>
                  </w:pPr>
                  <w:r>
                    <w:t>废矿物油</w:t>
                  </w:r>
                </w:p>
              </w:tc>
              <w:tc>
                <w:tcPr>
                  <w:tcW w:w="966" w:type="dxa"/>
                  <w:vAlign w:val="center"/>
                </w:tcPr>
                <w:p>
                  <w:pPr>
                    <w:pStyle w:val="42"/>
                  </w:pPr>
                  <w:r>
                    <w:rPr>
                      <w:rFonts w:hint="eastAsia"/>
                    </w:rPr>
                    <w:t>0</w:t>
                  </w:r>
                </w:p>
              </w:tc>
              <w:tc>
                <w:tcPr>
                  <w:tcW w:w="768" w:type="dxa"/>
                  <w:vAlign w:val="center"/>
                </w:tcPr>
                <w:p>
                  <w:pPr>
                    <w:pStyle w:val="42"/>
                  </w:pPr>
                  <w:r>
                    <w:rPr>
                      <w:rFonts w:hint="eastAsia"/>
                    </w:rPr>
                    <w:t>0</w:t>
                  </w:r>
                </w:p>
              </w:tc>
              <w:tc>
                <w:tcPr>
                  <w:tcW w:w="1049" w:type="dxa"/>
                  <w:vAlign w:val="center"/>
                </w:tcPr>
                <w:p>
                  <w:pPr>
                    <w:pStyle w:val="42"/>
                  </w:pPr>
                  <w:r>
                    <w:rPr>
                      <w:rFonts w:hint="eastAsia"/>
                    </w:rPr>
                    <w:t>0</w:t>
                  </w:r>
                </w:p>
              </w:tc>
              <w:tc>
                <w:tcPr>
                  <w:tcW w:w="689" w:type="dxa"/>
                  <w:vAlign w:val="center"/>
                </w:tcPr>
                <w:p>
                  <w:pPr>
                    <w:pStyle w:val="42"/>
                  </w:pPr>
                  <w:r>
                    <w:rPr>
                      <w:rFonts w:hint="eastAsia"/>
                    </w:rPr>
                    <w:t>0</w:t>
                  </w:r>
                </w:p>
              </w:tc>
              <w:tc>
                <w:tcPr>
                  <w:tcW w:w="908" w:type="dxa"/>
                  <w:vAlign w:val="center"/>
                </w:tcPr>
                <w:p>
                  <w:pPr>
                    <w:pStyle w:val="42"/>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804" w:type="dxa"/>
                  <w:vMerge w:val="continue"/>
                  <w:vAlign w:val="center"/>
                </w:tcPr>
                <w:p>
                  <w:pPr>
                    <w:pStyle w:val="42"/>
                  </w:pPr>
                </w:p>
              </w:tc>
              <w:tc>
                <w:tcPr>
                  <w:tcW w:w="1703" w:type="dxa"/>
                  <w:vMerge w:val="continue"/>
                  <w:vAlign w:val="center"/>
                </w:tcPr>
                <w:p>
                  <w:pPr>
                    <w:pStyle w:val="42"/>
                  </w:pPr>
                </w:p>
              </w:tc>
              <w:tc>
                <w:tcPr>
                  <w:tcW w:w="2123" w:type="dxa"/>
                  <w:vAlign w:val="center"/>
                </w:tcPr>
                <w:p>
                  <w:pPr>
                    <w:pStyle w:val="42"/>
                    <w:rPr>
                      <w:rFonts w:hint="eastAsia" w:ascii="宋体" w:hAnsi="宋体" w:cs="宋体"/>
                    </w:rPr>
                  </w:pPr>
                  <w:r>
                    <w:t>含油抹布及劳保用品</w:t>
                  </w:r>
                </w:p>
              </w:tc>
              <w:tc>
                <w:tcPr>
                  <w:tcW w:w="966" w:type="dxa"/>
                  <w:vAlign w:val="center"/>
                </w:tcPr>
                <w:p>
                  <w:pPr>
                    <w:pStyle w:val="42"/>
                  </w:pPr>
                  <w:r>
                    <w:rPr>
                      <w:rFonts w:hint="eastAsia"/>
                    </w:rPr>
                    <w:t>0</w:t>
                  </w:r>
                </w:p>
              </w:tc>
              <w:tc>
                <w:tcPr>
                  <w:tcW w:w="768" w:type="dxa"/>
                  <w:vAlign w:val="center"/>
                </w:tcPr>
                <w:p>
                  <w:pPr>
                    <w:pStyle w:val="42"/>
                  </w:pPr>
                  <w:r>
                    <w:rPr>
                      <w:rFonts w:hint="eastAsia"/>
                    </w:rPr>
                    <w:t>0</w:t>
                  </w:r>
                </w:p>
              </w:tc>
              <w:tc>
                <w:tcPr>
                  <w:tcW w:w="1049" w:type="dxa"/>
                  <w:vAlign w:val="center"/>
                </w:tcPr>
                <w:p>
                  <w:pPr>
                    <w:pStyle w:val="42"/>
                  </w:pPr>
                  <w:r>
                    <w:rPr>
                      <w:rFonts w:hint="eastAsia"/>
                    </w:rPr>
                    <w:t>0</w:t>
                  </w:r>
                </w:p>
              </w:tc>
              <w:tc>
                <w:tcPr>
                  <w:tcW w:w="689" w:type="dxa"/>
                  <w:vAlign w:val="center"/>
                </w:tcPr>
                <w:p>
                  <w:pPr>
                    <w:pStyle w:val="42"/>
                  </w:pPr>
                  <w:r>
                    <w:rPr>
                      <w:rFonts w:hint="eastAsia"/>
                    </w:rPr>
                    <w:t>0</w:t>
                  </w:r>
                </w:p>
              </w:tc>
              <w:tc>
                <w:tcPr>
                  <w:tcW w:w="908" w:type="dxa"/>
                  <w:vAlign w:val="center"/>
                </w:tcPr>
                <w:p>
                  <w:pPr>
                    <w:pStyle w:val="42"/>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804" w:type="dxa"/>
                  <w:vMerge w:val="continue"/>
                  <w:vAlign w:val="center"/>
                </w:tcPr>
                <w:p>
                  <w:pPr>
                    <w:pStyle w:val="42"/>
                  </w:pPr>
                </w:p>
              </w:tc>
              <w:tc>
                <w:tcPr>
                  <w:tcW w:w="1703" w:type="dxa"/>
                  <w:vMerge w:val="continue"/>
                  <w:vAlign w:val="center"/>
                </w:tcPr>
                <w:p>
                  <w:pPr>
                    <w:pStyle w:val="42"/>
                  </w:pPr>
                </w:p>
              </w:tc>
              <w:tc>
                <w:tcPr>
                  <w:tcW w:w="2123" w:type="dxa"/>
                  <w:vAlign w:val="center"/>
                </w:tcPr>
                <w:p>
                  <w:pPr>
                    <w:pStyle w:val="42"/>
                    <w:rPr>
                      <w:rFonts w:hint="eastAsia" w:ascii="宋体" w:hAnsi="宋体" w:cs="宋体"/>
                    </w:rPr>
                  </w:pPr>
                  <w:r>
                    <w:rPr>
                      <w:rFonts w:hint="eastAsia"/>
                    </w:rPr>
                    <w:t>废收集桶</w:t>
                  </w:r>
                </w:p>
              </w:tc>
              <w:tc>
                <w:tcPr>
                  <w:tcW w:w="966" w:type="dxa"/>
                  <w:vAlign w:val="center"/>
                </w:tcPr>
                <w:p>
                  <w:pPr>
                    <w:pStyle w:val="42"/>
                  </w:pPr>
                  <w:r>
                    <w:rPr>
                      <w:rFonts w:hint="eastAsia"/>
                    </w:rPr>
                    <w:t>0</w:t>
                  </w:r>
                </w:p>
              </w:tc>
              <w:tc>
                <w:tcPr>
                  <w:tcW w:w="768" w:type="dxa"/>
                  <w:vAlign w:val="center"/>
                </w:tcPr>
                <w:p>
                  <w:pPr>
                    <w:pStyle w:val="42"/>
                  </w:pPr>
                  <w:r>
                    <w:rPr>
                      <w:rFonts w:hint="eastAsia"/>
                    </w:rPr>
                    <w:t>0</w:t>
                  </w:r>
                </w:p>
              </w:tc>
              <w:tc>
                <w:tcPr>
                  <w:tcW w:w="1049" w:type="dxa"/>
                  <w:vAlign w:val="center"/>
                </w:tcPr>
                <w:p>
                  <w:pPr>
                    <w:pStyle w:val="42"/>
                  </w:pPr>
                  <w:r>
                    <w:rPr>
                      <w:rFonts w:hint="eastAsia"/>
                    </w:rPr>
                    <w:t>0</w:t>
                  </w:r>
                </w:p>
              </w:tc>
              <w:tc>
                <w:tcPr>
                  <w:tcW w:w="689" w:type="dxa"/>
                  <w:vAlign w:val="center"/>
                </w:tcPr>
                <w:p>
                  <w:pPr>
                    <w:pStyle w:val="42"/>
                  </w:pPr>
                  <w:r>
                    <w:rPr>
                      <w:rFonts w:hint="eastAsia"/>
                    </w:rPr>
                    <w:t>0</w:t>
                  </w:r>
                </w:p>
              </w:tc>
              <w:tc>
                <w:tcPr>
                  <w:tcW w:w="908" w:type="dxa"/>
                  <w:vAlign w:val="center"/>
                </w:tcPr>
                <w:p>
                  <w:pPr>
                    <w:pStyle w:val="42"/>
                  </w:pPr>
                  <w:r>
                    <w:rPr>
                      <w:rFonts w:hint="eastAsia"/>
                    </w:rPr>
                    <w:t>0</w:t>
                  </w:r>
                </w:p>
              </w:tc>
            </w:tr>
          </w:tbl>
          <w:p>
            <w:pPr>
              <w:adjustRightInd w:val="0"/>
              <w:snapToGrid w:val="0"/>
              <w:spacing w:line="360" w:lineRule="auto"/>
              <w:ind w:firstLine="480" w:firstLineChars="200"/>
              <w:jc w:val="left"/>
              <w:rPr>
                <w:sz w:val="24"/>
              </w:rPr>
            </w:pPr>
          </w:p>
          <w:p>
            <w:pPr>
              <w:adjustRightInd w:val="0"/>
              <w:snapToGrid w:val="0"/>
              <w:spacing w:line="360" w:lineRule="auto"/>
              <w:ind w:firstLine="482" w:firstLineChars="200"/>
              <w:jc w:val="left"/>
              <w:rPr>
                <w:b/>
                <w:bCs/>
                <w:sz w:val="24"/>
              </w:rPr>
            </w:pPr>
          </w:p>
        </w:tc>
      </w:tr>
    </w:tbl>
    <w:p/>
    <w:p>
      <w:pPr>
        <w:sectPr>
          <w:pgSz w:w="11906" w:h="16838"/>
          <w:pgMar w:top="1440" w:right="1080" w:bottom="1440" w:left="1080" w:header="851" w:footer="1077" w:gutter="0"/>
          <w:cols w:space="720" w:num="1"/>
          <w:docGrid w:linePitch="312" w:charSpace="0"/>
        </w:sectPr>
      </w:pP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0"/>
        <w:gridCol w:w="92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067" w:hRule="atLeast"/>
          <w:jc w:val="center"/>
        </w:trPr>
        <w:tc>
          <w:tcPr>
            <w:tcW w:w="480" w:type="dxa"/>
            <w:vAlign w:val="center"/>
          </w:tcPr>
          <w:p>
            <w:pPr>
              <w:adjustRightInd w:val="0"/>
              <w:snapToGrid w:val="0"/>
              <w:jc w:val="center"/>
              <w:rPr>
                <w:sz w:val="24"/>
              </w:rPr>
            </w:pPr>
            <w:r>
              <w:br w:type="page"/>
            </w:r>
            <w:r>
              <w:rPr>
                <w:sz w:val="24"/>
              </w:rPr>
              <w:t>选址选线环境合理性分析</w:t>
            </w:r>
          </w:p>
        </w:tc>
        <w:tc>
          <w:tcPr>
            <w:tcW w:w="9246" w:type="dxa"/>
          </w:tcPr>
          <w:p>
            <w:pPr>
              <w:adjustRightInd w:val="0"/>
              <w:snapToGrid w:val="0"/>
              <w:spacing w:line="360" w:lineRule="auto"/>
              <w:ind w:firstLine="480" w:firstLineChars="200"/>
              <w:rPr>
                <w:sz w:val="24"/>
              </w:rPr>
            </w:pPr>
            <w:r>
              <w:rPr>
                <w:sz w:val="24"/>
              </w:rPr>
              <w:t>本次评价从以下方面对项目选址进行分析：</w:t>
            </w:r>
          </w:p>
          <w:p>
            <w:pPr>
              <w:adjustRightInd w:val="0"/>
              <w:snapToGrid w:val="0"/>
              <w:spacing w:line="360" w:lineRule="auto"/>
              <w:ind w:firstLine="482" w:firstLineChars="200"/>
              <w:rPr>
                <w:b/>
                <w:sz w:val="24"/>
              </w:rPr>
            </w:pPr>
            <w:r>
              <w:rPr>
                <w:b/>
                <w:sz w:val="24"/>
              </w:rPr>
              <w:t>（1）采区选址合理性分析</w:t>
            </w:r>
          </w:p>
          <w:p>
            <w:pPr>
              <w:adjustRightInd w:val="0"/>
              <w:snapToGrid w:val="0"/>
              <w:spacing w:line="360" w:lineRule="auto"/>
              <w:ind w:firstLine="480" w:firstLineChars="200"/>
              <w:rPr>
                <w:sz w:val="24"/>
              </w:rPr>
            </w:pPr>
            <w:r>
              <w:rPr>
                <w:rFonts w:hint="eastAsia"/>
                <w:sz w:val="24"/>
              </w:rPr>
              <w:t>矿区全部设置为采区，助于最大化开采出让资源，采区占地范围内无永久基本农田、公益林、</w:t>
            </w:r>
            <w:r>
              <w:rPr>
                <w:rFonts w:hint="eastAsia"/>
                <w:color w:val="0000FF"/>
                <w:sz w:val="24"/>
              </w:rPr>
              <w:t>天然林、</w:t>
            </w:r>
            <w:r>
              <w:rPr>
                <w:rFonts w:hint="eastAsia"/>
                <w:sz w:val="24"/>
              </w:rPr>
              <w:t>文物保护单位、一般生态空间、水土流失重点防治区、古树名木、重点保护野生植物；采区占地500m范围内无自然保护地、生态保护红线；</w:t>
            </w:r>
            <w:r>
              <w:rPr>
                <w:rFonts w:hint="eastAsia"/>
                <w:color w:val="0000FF"/>
                <w:sz w:val="24"/>
              </w:rPr>
              <w:t>建设单位已委托有资质的单位编制了“可视论证报告”、“开发利用方案”，建设单位开采过程中可通过严格依照“开发利用方案”、“可视论证报告”提出的各项优化开采方式及遮挡措施，采用直观可视采区覆盖仿真绿叶网及反向开采相结合的方案，可实现采区开采活动全过程不处于S525省道的直观可视范围内，满足矿权设置要求。</w:t>
            </w:r>
            <w:r>
              <w:rPr>
                <w:rFonts w:hint="eastAsia"/>
                <w:sz w:val="24"/>
              </w:rPr>
              <w:t>采区内地质构造简单，排水畅通，符合区域生态功能区划的要求。根据现状调查，项目周边区域环境质量良好，能够达到相应的标准要求；</w:t>
            </w:r>
          </w:p>
          <w:p>
            <w:pPr>
              <w:adjustRightInd w:val="0"/>
              <w:snapToGrid w:val="0"/>
              <w:spacing w:line="360" w:lineRule="auto"/>
              <w:ind w:firstLine="480" w:firstLineChars="200"/>
              <w:rPr>
                <w:sz w:val="24"/>
              </w:rPr>
            </w:pPr>
            <w:r>
              <w:rPr>
                <w:rFonts w:hint="eastAsia"/>
                <w:sz w:val="24"/>
              </w:rPr>
              <w:t>此外，采区开采强度一般，类比同类项目，在采取措施后粉尘产生量不大，产尘点高度又接近地面，扩散量有限，对周边区域环境空气质量影响较小；由于开采期间采区边界200m范围内无居民居住，项目生产活动对周边敏感点居住环境影响较小；项目生产废水均进行回用，不外排，生活污水经化粪池处理后，用作农肥，采区位于农村地区，周边有足够的受纳林地；采区将采用边开采、边复垦的方式进行开采，</w:t>
            </w:r>
            <w:r>
              <w:rPr>
                <w:rFonts w:hint="eastAsia"/>
                <w:color w:val="0000FF"/>
                <w:sz w:val="24"/>
              </w:rPr>
              <w:t>第1台阶剥离表土层中耕作层、心土层分开剥离后，由车辆运至排土场内临时分区堆存；第1台阶剥离风化废石由车辆运至弃渣场内临时堆存。第2~5台阶剥离表土层（耕作层、心土层）、风化废石均优先运至上一台阶绿化覆土（由下至上分别摊铺风化废石、心土层、耕作层），余方再分别运至排土场、弃渣场内临时堆存，</w:t>
            </w:r>
            <w:r>
              <w:rPr>
                <w:rFonts w:hint="eastAsia"/>
                <w:sz w:val="24"/>
              </w:rPr>
              <w:t>闭矿期再用于全厂绿化复垦，固废能得到有效处置；采区内的地下水类型主要为松散岩类孔隙水、碳酸岩类岩溶水，主要接受大气降雨补给，矿山开采下限标高高于当地最低侵蚀基准面，矿山开采深度范围内地下水贫乏，矿区地下水位埋藏较深，采区建设对地下水环境影响较小。</w:t>
            </w:r>
          </w:p>
          <w:p>
            <w:pPr>
              <w:adjustRightInd w:val="0"/>
              <w:snapToGrid w:val="0"/>
              <w:spacing w:line="360" w:lineRule="auto"/>
              <w:ind w:firstLine="480" w:firstLineChars="200"/>
              <w:rPr>
                <w:sz w:val="24"/>
              </w:rPr>
            </w:pPr>
            <w:r>
              <w:rPr>
                <w:rFonts w:hint="eastAsia"/>
                <w:sz w:val="24"/>
              </w:rPr>
              <w:t>由此，项目采区选址合理</w:t>
            </w:r>
            <w:r>
              <w:rPr>
                <w:sz w:val="24"/>
              </w:rPr>
              <w:t>。</w:t>
            </w:r>
          </w:p>
          <w:p>
            <w:pPr>
              <w:adjustRightInd w:val="0"/>
              <w:snapToGrid w:val="0"/>
              <w:spacing w:line="360" w:lineRule="auto"/>
              <w:ind w:firstLine="482" w:firstLineChars="200"/>
              <w:rPr>
                <w:b/>
                <w:bCs/>
                <w:sz w:val="24"/>
              </w:rPr>
            </w:pPr>
            <w:r>
              <w:rPr>
                <w:rFonts w:hint="eastAsia"/>
                <w:b/>
                <w:bCs/>
                <w:sz w:val="24"/>
              </w:rPr>
              <w:t>（2）工业广场选址合理性分析</w:t>
            </w:r>
          </w:p>
          <w:p>
            <w:pPr>
              <w:adjustRightInd w:val="0"/>
              <w:snapToGrid w:val="0"/>
              <w:spacing w:line="360" w:lineRule="auto"/>
              <w:ind w:firstLine="480" w:firstLineChars="200"/>
              <w:rPr>
                <w:sz w:val="24"/>
              </w:rPr>
            </w:pPr>
            <w:r>
              <w:rPr>
                <w:rFonts w:hint="eastAsia"/>
                <w:sz w:val="24"/>
              </w:rPr>
              <w:t>工业广场选址于矿区外西南侧90m处，该处地势较平坦</w:t>
            </w:r>
            <w:r>
              <w:rPr>
                <w:sz w:val="24"/>
              </w:rPr>
              <w:t>，占地0.704</w:t>
            </w:r>
            <w:r>
              <w:rPr>
                <w:rFonts w:hint="eastAsia"/>
                <w:sz w:val="24"/>
              </w:rPr>
              <w:t>0</w:t>
            </w:r>
            <w:r>
              <w:rPr>
                <w:sz w:val="24"/>
              </w:rPr>
              <w:t>hm</w:t>
            </w:r>
            <w:r>
              <w:rPr>
                <w:sz w:val="24"/>
                <w:vertAlign w:val="superscript"/>
              </w:rPr>
              <w:t>2</w:t>
            </w:r>
            <w:r>
              <w:rPr>
                <w:rFonts w:hint="eastAsia"/>
                <w:sz w:val="24"/>
              </w:rPr>
              <w:t>。根据前文</w:t>
            </w:r>
            <w:r>
              <w:rPr>
                <w:sz w:val="24"/>
              </w:rPr>
              <w:t>环境影响分析，</w:t>
            </w:r>
            <w:r>
              <w:rPr>
                <w:rFonts w:hint="eastAsia"/>
                <w:sz w:val="24"/>
              </w:rPr>
              <w:t>在采取本环评提出的各项环保措施的前提下，项目工业广场矿石</w:t>
            </w:r>
            <w:r>
              <w:rPr>
                <w:sz w:val="24"/>
              </w:rPr>
              <w:t>加工粉尘</w:t>
            </w:r>
            <w:r>
              <w:rPr>
                <w:rFonts w:hint="eastAsia"/>
                <w:sz w:val="24"/>
              </w:rPr>
              <w:t>可实现达标排放，车辆冲洗废水可实现沉淀后全部回用，生产噪声厂界达标排放，固废合理处置，对周边环境影响有限。且该工业广场处于矿区范围之外、地势平坦、紧靠道路、压占资源量少，其选址合理。</w:t>
            </w:r>
          </w:p>
          <w:p>
            <w:pPr>
              <w:adjustRightInd w:val="0"/>
              <w:snapToGrid w:val="0"/>
              <w:spacing w:line="360" w:lineRule="auto"/>
              <w:ind w:firstLine="482" w:firstLineChars="200"/>
              <w:rPr>
                <w:b/>
                <w:sz w:val="24"/>
              </w:rPr>
            </w:pPr>
            <w:r>
              <w:rPr>
                <w:b/>
                <w:sz w:val="24"/>
              </w:rPr>
              <w:t>（</w:t>
            </w:r>
            <w:r>
              <w:rPr>
                <w:rFonts w:hint="eastAsia"/>
                <w:b/>
                <w:sz w:val="24"/>
              </w:rPr>
              <w:t>3</w:t>
            </w:r>
            <w:r>
              <w:rPr>
                <w:b/>
                <w:sz w:val="24"/>
              </w:rPr>
              <w:t>）排土场</w:t>
            </w:r>
            <w:r>
              <w:rPr>
                <w:rFonts w:hint="eastAsia"/>
                <w:b/>
                <w:color w:val="0000FF"/>
                <w:sz w:val="24"/>
              </w:rPr>
              <w:t>、弃渣场</w:t>
            </w:r>
            <w:r>
              <w:rPr>
                <w:b/>
                <w:sz w:val="24"/>
              </w:rPr>
              <w:t>选址合理性分析</w:t>
            </w:r>
          </w:p>
          <w:p>
            <w:pPr>
              <w:adjustRightInd w:val="0"/>
              <w:snapToGrid w:val="0"/>
              <w:spacing w:line="360" w:lineRule="auto"/>
              <w:ind w:firstLine="480" w:firstLineChars="200"/>
              <w:rPr>
                <w:sz w:val="24"/>
              </w:rPr>
            </w:pPr>
            <w:r>
              <w:rPr>
                <w:sz w:val="24"/>
              </w:rPr>
              <w:t>对照《一般工业固体废物贮存、处置场污染控制标准》</w:t>
            </w:r>
            <w:r>
              <w:rPr>
                <w:rFonts w:hint="eastAsia"/>
                <w:sz w:val="24"/>
              </w:rPr>
              <w:t>（</w:t>
            </w:r>
            <w:r>
              <w:rPr>
                <w:sz w:val="24"/>
              </w:rPr>
              <w:t>GB18599-2020</w:t>
            </w:r>
            <w:r>
              <w:rPr>
                <w:rFonts w:hint="eastAsia"/>
                <w:sz w:val="24"/>
              </w:rPr>
              <w:t>）</w:t>
            </w:r>
            <w:r>
              <w:rPr>
                <w:sz w:val="24"/>
              </w:rPr>
              <w:t>选址要求，排土场选址合理性分析见表4-2</w:t>
            </w:r>
            <w:r>
              <w:rPr>
                <w:rFonts w:hint="eastAsia"/>
                <w:sz w:val="24"/>
              </w:rPr>
              <w:t>9</w:t>
            </w:r>
            <w:r>
              <w:rPr>
                <w:sz w:val="24"/>
              </w:rPr>
              <w:t>。</w:t>
            </w:r>
          </w:p>
          <w:p>
            <w:pPr>
              <w:adjustRightInd w:val="0"/>
              <w:snapToGrid w:val="0"/>
              <w:jc w:val="center"/>
              <w:rPr>
                <w:b/>
                <w:sz w:val="24"/>
              </w:rPr>
            </w:pPr>
            <w:r>
              <w:rPr>
                <w:b/>
                <w:sz w:val="24"/>
              </w:rPr>
              <w:t>表4-2</w:t>
            </w:r>
            <w:r>
              <w:rPr>
                <w:rFonts w:hint="eastAsia"/>
                <w:b/>
                <w:sz w:val="24"/>
              </w:rPr>
              <w:t>9</w:t>
            </w:r>
            <w:r>
              <w:rPr>
                <w:b/>
                <w:sz w:val="24"/>
              </w:rPr>
              <w:t xml:space="preserve">   《一般工业固体废物贮存、处置场污染控制标准》对照表</w:t>
            </w:r>
          </w:p>
          <w:tbl>
            <w:tblPr>
              <w:tblStyle w:val="1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26"/>
              <w:gridCol w:w="4112"/>
              <w:gridCol w:w="44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trHeight w:val="537" w:hRule="atLeast"/>
                <w:tblHeader/>
              </w:trPr>
              <w:tc>
                <w:tcPr>
                  <w:tcW w:w="426" w:type="dxa"/>
                  <w:vAlign w:val="center"/>
                </w:tcPr>
                <w:p>
                  <w:pPr>
                    <w:pStyle w:val="42"/>
                  </w:pPr>
                  <w:r>
                    <w:t>序号</w:t>
                  </w:r>
                </w:p>
              </w:tc>
              <w:tc>
                <w:tcPr>
                  <w:tcW w:w="4112" w:type="dxa"/>
                  <w:vAlign w:val="center"/>
                </w:tcPr>
                <w:p>
                  <w:pPr>
                    <w:pStyle w:val="42"/>
                  </w:pPr>
                  <w:r>
                    <w:t xml:space="preserve">GB18599-2020 </w:t>
                  </w:r>
                  <w:r>
                    <w:rPr>
                      <w:rFonts w:hint="eastAsia"/>
                    </w:rPr>
                    <w:t>贮存场选址要求</w:t>
                  </w:r>
                </w:p>
              </w:tc>
              <w:tc>
                <w:tcPr>
                  <w:tcW w:w="4476" w:type="dxa"/>
                  <w:vAlign w:val="center"/>
                </w:tcPr>
                <w:p>
                  <w:pPr>
                    <w:pStyle w:val="42"/>
                  </w:pPr>
                  <w:r>
                    <w:t>排土场符合性分析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26" w:type="dxa"/>
                  <w:vAlign w:val="center"/>
                </w:tcPr>
                <w:p>
                  <w:pPr>
                    <w:pStyle w:val="42"/>
                  </w:pPr>
                  <w:r>
                    <w:t>1</w:t>
                  </w:r>
                </w:p>
              </w:tc>
              <w:tc>
                <w:tcPr>
                  <w:tcW w:w="4112" w:type="dxa"/>
                  <w:vAlign w:val="center"/>
                </w:tcPr>
                <w:p>
                  <w:pPr>
                    <w:pStyle w:val="42"/>
                  </w:pPr>
                  <w:r>
                    <w:rPr>
                      <w:rFonts w:hint="eastAsia"/>
                    </w:rPr>
                    <w:t>一般工业固体废物贮存场、填埋场的选址应符合环境保护法律法规及相关法定规划要求。</w:t>
                  </w:r>
                </w:p>
              </w:tc>
              <w:tc>
                <w:tcPr>
                  <w:tcW w:w="4476" w:type="dxa"/>
                  <w:vAlign w:val="center"/>
                </w:tcPr>
                <w:p>
                  <w:pPr>
                    <w:pStyle w:val="42"/>
                  </w:pPr>
                  <w:r>
                    <w:rPr>
                      <w:rFonts w:hint="eastAsia"/>
                    </w:rPr>
                    <w:t>项目</w:t>
                  </w:r>
                  <w:r>
                    <w:rPr>
                      <w:rFonts w:hint="eastAsia"/>
                      <w:color w:val="0000FF"/>
                    </w:rPr>
                    <w:t>排土场、弃渣场</w:t>
                  </w:r>
                  <w:r>
                    <w:rPr>
                      <w:rFonts w:hint="eastAsia"/>
                    </w:rPr>
                    <w:t>不涉及自然保护区、风景名胜区及其他需要特别保护的地区，且无井泉出露，无饮用水源等，满足相关规定。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26" w:type="dxa"/>
                  <w:vAlign w:val="center"/>
                </w:tcPr>
                <w:p>
                  <w:pPr>
                    <w:pStyle w:val="42"/>
                  </w:pPr>
                  <w:r>
                    <w:t>2</w:t>
                  </w:r>
                </w:p>
              </w:tc>
              <w:tc>
                <w:tcPr>
                  <w:tcW w:w="4112" w:type="dxa"/>
                  <w:vAlign w:val="center"/>
                </w:tcPr>
                <w:p>
                  <w:pPr>
                    <w:pStyle w:val="42"/>
                  </w:pPr>
                  <w:r>
                    <w:rPr>
                      <w:rFonts w:hint="eastAsia"/>
                    </w:rPr>
                    <w:t>贮存场、填埋场的位置与周围居民区的距离应依据环境影响评价文件及审批意见确定。</w:t>
                  </w:r>
                </w:p>
              </w:tc>
              <w:tc>
                <w:tcPr>
                  <w:tcW w:w="4476" w:type="dxa"/>
                  <w:vAlign w:val="center"/>
                </w:tcPr>
                <w:p>
                  <w:pPr>
                    <w:pStyle w:val="42"/>
                  </w:pPr>
                  <w:r>
                    <w:rPr>
                      <w:rFonts w:hint="eastAsia"/>
                    </w:rPr>
                    <w:t>表土暂存过程中不产生渗滤液，粉尘产生量少，周围无集中居民区，经本次评价环境影响分析，</w:t>
                  </w:r>
                  <w:r>
                    <w:rPr>
                      <w:rFonts w:hint="eastAsia"/>
                      <w:color w:val="0000FF"/>
                    </w:rPr>
                    <w:t>排土场、弃渣场</w:t>
                  </w:r>
                  <w:r>
                    <w:rPr>
                      <w:rFonts w:hint="eastAsia"/>
                    </w:rPr>
                    <w:t>对周围环境和居住人群的身体健康、日常生活影响小。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26" w:type="dxa"/>
                  <w:vAlign w:val="center"/>
                </w:tcPr>
                <w:p>
                  <w:pPr>
                    <w:pStyle w:val="42"/>
                  </w:pPr>
                  <w:r>
                    <w:t>3</w:t>
                  </w:r>
                </w:p>
              </w:tc>
              <w:tc>
                <w:tcPr>
                  <w:tcW w:w="4112" w:type="dxa"/>
                  <w:vAlign w:val="center"/>
                </w:tcPr>
                <w:p>
                  <w:pPr>
                    <w:pStyle w:val="42"/>
                  </w:pPr>
                  <w:r>
                    <w:rPr>
                      <w:rFonts w:hint="eastAsia"/>
                    </w:rPr>
                    <w:t>贮存场、填埋场不得选在生态保护红线区域、永久基本农田集中区域和其他需要特别保护的区域内。</w:t>
                  </w:r>
                </w:p>
              </w:tc>
              <w:tc>
                <w:tcPr>
                  <w:tcW w:w="4476" w:type="dxa"/>
                  <w:vAlign w:val="center"/>
                </w:tcPr>
                <w:p>
                  <w:pPr>
                    <w:pStyle w:val="42"/>
                  </w:pPr>
                  <w:r>
                    <w:rPr>
                      <w:rFonts w:hint="eastAsia"/>
                      <w:color w:val="0000FF"/>
                    </w:rPr>
                    <w:t>排土场、弃渣场</w:t>
                  </w:r>
                  <w:r>
                    <w:rPr>
                      <w:rFonts w:hint="eastAsia"/>
                    </w:rPr>
                    <w:t>不在生态保护红线区域、永久基本农田集中区域和其他需要特别保护的区域。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26" w:type="dxa"/>
                  <w:vAlign w:val="center"/>
                </w:tcPr>
                <w:p>
                  <w:pPr>
                    <w:pStyle w:val="42"/>
                  </w:pPr>
                  <w:r>
                    <w:t>4</w:t>
                  </w:r>
                </w:p>
              </w:tc>
              <w:tc>
                <w:tcPr>
                  <w:tcW w:w="4112" w:type="dxa"/>
                  <w:vAlign w:val="center"/>
                </w:tcPr>
                <w:p>
                  <w:pPr>
                    <w:pStyle w:val="42"/>
                  </w:pPr>
                  <w:r>
                    <w:rPr>
                      <w:rFonts w:hint="eastAsia"/>
                    </w:rPr>
                    <w:t>贮存场、填埋场应避开活动断层、溶洞区、天然滑坡或泥石流影响区以及湿地等区域。</w:t>
                  </w:r>
                </w:p>
              </w:tc>
              <w:tc>
                <w:tcPr>
                  <w:tcW w:w="4476" w:type="dxa"/>
                  <w:vAlign w:val="center"/>
                </w:tcPr>
                <w:p>
                  <w:pPr>
                    <w:pStyle w:val="42"/>
                  </w:pPr>
                  <w:r>
                    <w:rPr>
                      <w:rFonts w:hint="eastAsia"/>
                      <w:color w:val="0000FF"/>
                    </w:rPr>
                    <w:t>排土场、弃渣场</w:t>
                  </w:r>
                  <w:r>
                    <w:rPr>
                      <w:rFonts w:hint="eastAsia"/>
                    </w:rPr>
                    <w:t>场地没有断层、断层破碎带、溶洞区，也没有处在天然滑坡区或泥石流影响区。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26" w:type="dxa"/>
                  <w:vAlign w:val="center"/>
                </w:tcPr>
                <w:p>
                  <w:pPr>
                    <w:pStyle w:val="42"/>
                  </w:pPr>
                  <w:r>
                    <w:t>5</w:t>
                  </w:r>
                </w:p>
              </w:tc>
              <w:tc>
                <w:tcPr>
                  <w:tcW w:w="4112" w:type="dxa"/>
                  <w:vAlign w:val="center"/>
                </w:tcPr>
                <w:p>
                  <w:pPr>
                    <w:pStyle w:val="42"/>
                  </w:pPr>
                  <w:r>
                    <w:rPr>
                      <w:rFonts w:hint="eastAsia"/>
                    </w:rPr>
                    <w:t>贮存场、填埋场不得选在江河、湖泊、运河、渠道、水库最高水位线以下的滩地和岸坡，以及国家和地方长远规划中的水库等人工蓄水设施的淹没区和保护区之内。</w:t>
                  </w:r>
                </w:p>
              </w:tc>
              <w:tc>
                <w:tcPr>
                  <w:tcW w:w="4476" w:type="dxa"/>
                  <w:vAlign w:val="center"/>
                </w:tcPr>
                <w:p>
                  <w:pPr>
                    <w:pStyle w:val="42"/>
                  </w:pPr>
                  <w:r>
                    <w:rPr>
                      <w:rFonts w:hint="eastAsia"/>
                      <w:color w:val="0000FF"/>
                    </w:rPr>
                    <w:t>排土场、弃渣场</w:t>
                  </w:r>
                  <w:r>
                    <w:rPr>
                      <w:rFonts w:hint="eastAsia"/>
                    </w:rPr>
                    <w:t>不在江河、湖泊、运河、渠道、水库最高水位线以下的滩地和岸坡，不在国家和地方长远规划中的水库等人工蓄水设施的淹没区和保护区。</w:t>
                  </w:r>
                </w:p>
              </w:tc>
            </w:tr>
          </w:tbl>
          <w:p>
            <w:pPr>
              <w:adjustRightInd w:val="0"/>
              <w:snapToGrid w:val="0"/>
              <w:spacing w:line="360" w:lineRule="auto"/>
              <w:ind w:firstLine="480" w:firstLineChars="200"/>
              <w:jc w:val="left"/>
              <w:rPr>
                <w:sz w:val="24"/>
              </w:rPr>
            </w:pPr>
            <w:r>
              <w:rPr>
                <w:rFonts w:hint="eastAsia"/>
                <w:sz w:val="24"/>
              </w:rPr>
              <w:t>由表4</w:t>
            </w:r>
            <w:r>
              <w:rPr>
                <w:sz w:val="24"/>
              </w:rPr>
              <w:t>-2</w:t>
            </w:r>
            <w:r>
              <w:rPr>
                <w:rFonts w:hint="eastAsia"/>
                <w:sz w:val="24"/>
              </w:rPr>
              <w:t>9可知，项目</w:t>
            </w:r>
            <w:r>
              <w:rPr>
                <w:rFonts w:hint="eastAsia"/>
                <w:color w:val="0000FF"/>
                <w:sz w:val="24"/>
              </w:rPr>
              <w:t>排土场、弃渣场</w:t>
            </w:r>
            <w:r>
              <w:rPr>
                <w:rFonts w:hint="eastAsia"/>
                <w:sz w:val="24"/>
              </w:rPr>
              <w:t>选址较为合理</w:t>
            </w:r>
            <w:r>
              <w:rPr>
                <w:sz w:val="24"/>
              </w:rPr>
              <w:t>。</w:t>
            </w:r>
          </w:p>
          <w:p>
            <w:pPr>
              <w:adjustRightInd w:val="0"/>
              <w:snapToGrid w:val="0"/>
              <w:spacing w:line="360" w:lineRule="auto"/>
              <w:ind w:firstLine="480" w:firstLineChars="200"/>
              <w:jc w:val="left"/>
              <w:rPr>
                <w:sz w:val="24"/>
              </w:rPr>
            </w:pPr>
            <w:r>
              <w:rPr>
                <w:rFonts w:hint="eastAsia"/>
                <w:sz w:val="24"/>
              </w:rPr>
              <w:t>综上，从环保的角度来看，项目选址较为合理。</w:t>
            </w:r>
          </w:p>
        </w:tc>
      </w:tr>
    </w:tbl>
    <w:p>
      <w:pPr>
        <w:pStyle w:val="13"/>
        <w:jc w:val="center"/>
        <w:rPr>
          <w:rFonts w:ascii="Times New Roman" w:hAnsi="Times New Roman" w:eastAsia="黑体"/>
          <w:snapToGrid w:val="0"/>
          <w:sz w:val="36"/>
          <w:szCs w:val="36"/>
        </w:rPr>
        <w:sectPr>
          <w:pgSz w:w="11906" w:h="16838"/>
          <w:pgMar w:top="1440" w:right="1080" w:bottom="1440" w:left="1080" w:header="851" w:footer="1077" w:gutter="0"/>
          <w:cols w:space="720" w:num="1"/>
          <w:docGrid w:linePitch="312" w:charSpace="0"/>
        </w:sectPr>
      </w:pPr>
    </w:p>
    <w:p>
      <w:pPr>
        <w:pStyle w:val="13"/>
        <w:adjustRightInd w:val="0"/>
        <w:snapToGrid w:val="0"/>
        <w:spacing w:before="0" w:beforeAutospacing="0" w:after="0" w:afterAutospacing="0" w:line="14" w:lineRule="auto"/>
        <w:jc w:val="center"/>
        <w:outlineLvl w:val="0"/>
        <w:rPr>
          <w:rFonts w:ascii="Times New Roman" w:hAnsi="Times New Roman" w:eastAsia="黑体"/>
          <w:snapToGrid w:val="0"/>
          <w:sz w:val="30"/>
          <w:szCs w:val="30"/>
        </w:rPr>
      </w:pPr>
    </w:p>
    <w:p>
      <w:pPr>
        <w:pStyle w:val="13"/>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五、主要生态环境保护措施</w:t>
      </w:r>
    </w:p>
    <w:tbl>
      <w:tblPr>
        <w:tblStyle w:val="15"/>
        <w:tblW w:w="972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2"/>
        <w:gridCol w:w="92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341" w:hRule="atLeast"/>
          <w:jc w:val="center"/>
        </w:trPr>
        <w:tc>
          <w:tcPr>
            <w:tcW w:w="482" w:type="dxa"/>
            <w:tcMar>
              <w:left w:w="28" w:type="dxa"/>
              <w:right w:w="28" w:type="dxa"/>
            </w:tcMar>
            <w:vAlign w:val="center"/>
          </w:tcPr>
          <w:p>
            <w:pPr>
              <w:adjustRightInd w:val="0"/>
              <w:snapToGrid w:val="0"/>
              <w:jc w:val="center"/>
              <w:rPr>
                <w:bCs/>
                <w:sz w:val="24"/>
              </w:rPr>
            </w:pPr>
            <w:r>
              <w:rPr>
                <w:bCs/>
                <w:spacing w:val="10"/>
                <w:sz w:val="24"/>
              </w:rPr>
              <w:t>施工期生态环境保护措施</w:t>
            </w:r>
          </w:p>
        </w:tc>
        <w:tc>
          <w:tcPr>
            <w:tcW w:w="9245" w:type="dxa"/>
          </w:tcPr>
          <w:p>
            <w:pPr>
              <w:adjustRightInd w:val="0"/>
              <w:snapToGrid w:val="0"/>
              <w:spacing w:line="360" w:lineRule="auto"/>
              <w:ind w:firstLine="602" w:firstLineChars="200"/>
              <w:rPr>
                <w:b/>
                <w:bCs/>
                <w:spacing w:val="10"/>
                <w:sz w:val="28"/>
                <w:szCs w:val="28"/>
              </w:rPr>
            </w:pPr>
            <w:r>
              <w:rPr>
                <w:b/>
                <w:bCs/>
                <w:spacing w:val="10"/>
                <w:sz w:val="28"/>
                <w:szCs w:val="28"/>
              </w:rPr>
              <w:t>5.1、施工期生态环境保护措施</w:t>
            </w:r>
          </w:p>
          <w:p>
            <w:pPr>
              <w:adjustRightInd w:val="0"/>
              <w:snapToGrid w:val="0"/>
              <w:spacing w:line="360" w:lineRule="auto"/>
              <w:ind w:firstLine="522" w:firstLineChars="200"/>
              <w:rPr>
                <w:b/>
                <w:bCs/>
                <w:spacing w:val="10"/>
                <w:sz w:val="24"/>
              </w:rPr>
            </w:pPr>
            <w:r>
              <w:rPr>
                <w:b/>
                <w:bCs/>
                <w:spacing w:val="10"/>
                <w:sz w:val="24"/>
              </w:rPr>
              <w:t>（1）环境空气污染防治措施</w:t>
            </w:r>
          </w:p>
          <w:p>
            <w:pPr>
              <w:adjustRightInd w:val="0"/>
              <w:snapToGrid w:val="0"/>
              <w:spacing w:line="360" w:lineRule="auto"/>
              <w:ind w:firstLine="520" w:firstLineChars="200"/>
              <w:rPr>
                <w:bCs/>
                <w:spacing w:val="10"/>
                <w:sz w:val="24"/>
              </w:rPr>
            </w:pPr>
            <w:r>
              <w:rPr>
                <w:bCs/>
                <w:spacing w:val="10"/>
                <w:sz w:val="24"/>
              </w:rPr>
              <w:t>根据《环境空气细颗粒物污染综合防治技术政策》、《重庆市环境保护条例》、《重庆市大气污染防治条例》、《重庆市环境保护局关于印发重庆市部分行业污染物特征值系数及排污量计算办法的通知》（渝环〔2018〕55号）的相关要求，针对施工期的扬尘影响，应采取如下针对性污染防治措施：</w:t>
            </w:r>
          </w:p>
          <w:p>
            <w:pPr>
              <w:adjustRightInd w:val="0"/>
              <w:snapToGrid w:val="0"/>
              <w:spacing w:line="360" w:lineRule="auto"/>
              <w:ind w:firstLine="520" w:firstLineChars="200"/>
              <w:rPr>
                <w:bCs/>
                <w:spacing w:val="10"/>
                <w:sz w:val="24"/>
              </w:rPr>
            </w:pPr>
            <w:r>
              <w:rPr>
                <w:bCs/>
                <w:spacing w:val="10"/>
                <w:sz w:val="24"/>
              </w:rPr>
              <w:t>1）施工过程中，每天对运输道路和积尘较多的施工区进行4～5次的洒水措施，可使施工工地周围环境空气中的扬尘量减少70%以上，有效减小扬尘对项目附近环境空气的影响。</w:t>
            </w:r>
          </w:p>
          <w:p>
            <w:pPr>
              <w:adjustRightInd w:val="0"/>
              <w:snapToGrid w:val="0"/>
              <w:spacing w:line="360" w:lineRule="auto"/>
              <w:ind w:firstLine="520" w:firstLineChars="200"/>
              <w:rPr>
                <w:bCs/>
                <w:spacing w:val="10"/>
                <w:sz w:val="24"/>
              </w:rPr>
            </w:pPr>
            <w:r>
              <w:rPr>
                <w:bCs/>
                <w:spacing w:val="10"/>
                <w:sz w:val="24"/>
              </w:rPr>
              <w:t>2）土石方开挖、调运、装卸等极易产生扬尘的施工环节尽量避免在大风干燥季节实施；车辆装卸应尽量降低操作高度，粉粒物料严禁抛洒。</w:t>
            </w:r>
          </w:p>
          <w:p>
            <w:pPr>
              <w:adjustRightInd w:val="0"/>
              <w:snapToGrid w:val="0"/>
              <w:spacing w:line="360" w:lineRule="auto"/>
              <w:ind w:firstLine="520" w:firstLineChars="200"/>
              <w:rPr>
                <w:bCs/>
                <w:spacing w:val="10"/>
                <w:sz w:val="24"/>
              </w:rPr>
            </w:pPr>
            <w:r>
              <w:rPr>
                <w:bCs/>
                <w:spacing w:val="10"/>
                <w:sz w:val="24"/>
              </w:rPr>
              <w:t>3）土石方运输车辆的车斗应进行覆盖，避免沿途尘土洒落；严禁车辆超速行驶，以防止运输中的二次扬尘产生。</w:t>
            </w:r>
          </w:p>
          <w:p>
            <w:pPr>
              <w:adjustRightInd w:val="0"/>
              <w:snapToGrid w:val="0"/>
              <w:spacing w:line="360" w:lineRule="auto"/>
              <w:ind w:firstLine="520" w:firstLineChars="200"/>
              <w:rPr>
                <w:bCs/>
                <w:spacing w:val="10"/>
                <w:sz w:val="24"/>
              </w:rPr>
            </w:pPr>
            <w:r>
              <w:rPr>
                <w:bCs/>
                <w:spacing w:val="10"/>
                <w:sz w:val="24"/>
              </w:rPr>
              <w:t>4）加大清扫和洒水抑尘，施工期车行道路上不能有明显的尘土，同时加强进出场区道路的维护。</w:t>
            </w:r>
          </w:p>
          <w:p>
            <w:pPr>
              <w:adjustRightInd w:val="0"/>
              <w:snapToGrid w:val="0"/>
              <w:spacing w:line="360" w:lineRule="auto"/>
              <w:ind w:firstLine="520" w:firstLineChars="200"/>
              <w:rPr>
                <w:bCs/>
                <w:spacing w:val="10"/>
                <w:sz w:val="24"/>
              </w:rPr>
            </w:pPr>
            <w:r>
              <w:rPr>
                <w:bCs/>
                <w:spacing w:val="10"/>
                <w:sz w:val="24"/>
              </w:rPr>
              <w:t>5）土石方开挖时应及时送至填方处，并压实，以减少粉尘产生量；并尽快完成矿区</w:t>
            </w:r>
            <w:r>
              <w:rPr>
                <w:rFonts w:hint="eastAsia"/>
                <w:bCs/>
                <w:spacing w:val="10"/>
                <w:sz w:val="24"/>
              </w:rPr>
              <w:t>外</w:t>
            </w:r>
            <w:r>
              <w:rPr>
                <w:bCs/>
                <w:spacing w:val="10"/>
                <w:sz w:val="24"/>
              </w:rPr>
              <w:t>运输道路的硬化工程。施工期露土应采取防尘网（布）等覆盖措施。</w:t>
            </w:r>
          </w:p>
          <w:p>
            <w:pPr>
              <w:adjustRightInd w:val="0"/>
              <w:snapToGrid w:val="0"/>
              <w:spacing w:line="360" w:lineRule="auto"/>
              <w:ind w:firstLine="520" w:firstLineChars="200"/>
              <w:rPr>
                <w:bCs/>
                <w:spacing w:val="10"/>
                <w:sz w:val="24"/>
              </w:rPr>
            </w:pPr>
            <w:r>
              <w:rPr>
                <w:bCs/>
                <w:spacing w:val="10"/>
                <w:sz w:val="24"/>
              </w:rPr>
              <w:t>6）</w:t>
            </w:r>
            <w:r>
              <w:rPr>
                <w:rFonts w:hint="eastAsia"/>
                <w:sz w:val="24"/>
              </w:rPr>
              <w:t>在地磅称东侧</w:t>
            </w:r>
            <w:r>
              <w:rPr>
                <w:sz w:val="24"/>
              </w:rPr>
              <w:t>设置1个</w:t>
            </w:r>
            <w:r>
              <w:rPr>
                <w:rFonts w:hint="eastAsia"/>
                <w:sz w:val="24"/>
              </w:rPr>
              <w:t>20</w:t>
            </w:r>
            <w:r>
              <w:rPr>
                <w:sz w:val="24"/>
              </w:rPr>
              <w:t>m</w:t>
            </w:r>
            <w:r>
              <w:rPr>
                <w:sz w:val="24"/>
                <w:vertAlign w:val="superscript"/>
              </w:rPr>
              <w:t>3</w:t>
            </w:r>
            <w:r>
              <w:rPr>
                <w:sz w:val="24"/>
              </w:rPr>
              <w:t>的</w:t>
            </w:r>
            <w:r>
              <w:rPr>
                <w:rFonts w:ascii="宋体" w:hAnsi="宋体"/>
                <w:sz w:val="24"/>
              </w:rPr>
              <w:t>“</w:t>
            </w:r>
            <w:r>
              <w:rPr>
                <w:sz w:val="24"/>
              </w:rPr>
              <w:t>U型</w:t>
            </w:r>
            <w:r>
              <w:rPr>
                <w:rFonts w:ascii="宋体" w:hAnsi="宋体"/>
                <w:sz w:val="24"/>
              </w:rPr>
              <w:t>”</w:t>
            </w:r>
            <w:r>
              <w:rPr>
                <w:sz w:val="24"/>
              </w:rPr>
              <w:t>冲洗池</w:t>
            </w:r>
            <w:r>
              <w:rPr>
                <w:bCs/>
                <w:spacing w:val="10"/>
                <w:sz w:val="24"/>
              </w:rPr>
              <w:t>，专人负责对车辆冲冼保洁，确保车辆不带泥出场，运输车辆驶出工地前，应对车轮、车身、车槽等部位进行清理或清洗以保证车辆清洁上路。</w:t>
            </w:r>
          </w:p>
          <w:p>
            <w:pPr>
              <w:adjustRightInd w:val="0"/>
              <w:snapToGrid w:val="0"/>
              <w:spacing w:line="360" w:lineRule="auto"/>
              <w:ind w:firstLine="520" w:firstLineChars="200"/>
              <w:rPr>
                <w:bCs/>
                <w:spacing w:val="10"/>
                <w:sz w:val="24"/>
              </w:rPr>
            </w:pPr>
            <w:r>
              <w:rPr>
                <w:rFonts w:hint="eastAsia"/>
                <w:bCs/>
                <w:spacing w:val="10"/>
                <w:sz w:val="24"/>
              </w:rPr>
              <w:t>7）厂区内的露天堆料区应立即采用帆布（防尘网）苫盖，并尽快清理外卖。</w:t>
            </w:r>
          </w:p>
          <w:p>
            <w:pPr>
              <w:adjustRightInd w:val="0"/>
              <w:snapToGrid w:val="0"/>
              <w:spacing w:line="360" w:lineRule="auto"/>
              <w:ind w:firstLine="522" w:firstLineChars="200"/>
              <w:rPr>
                <w:b/>
                <w:bCs/>
                <w:spacing w:val="10"/>
                <w:sz w:val="24"/>
              </w:rPr>
            </w:pPr>
            <w:r>
              <w:rPr>
                <w:b/>
                <w:bCs/>
                <w:spacing w:val="10"/>
                <w:sz w:val="24"/>
              </w:rPr>
              <w:t>（2）地表水污染防治措施</w:t>
            </w:r>
          </w:p>
          <w:p>
            <w:pPr>
              <w:adjustRightInd w:val="0"/>
              <w:snapToGrid w:val="0"/>
              <w:spacing w:line="360" w:lineRule="auto"/>
              <w:ind w:firstLine="520" w:firstLineChars="200"/>
              <w:rPr>
                <w:bCs/>
                <w:spacing w:val="10"/>
                <w:sz w:val="24"/>
              </w:rPr>
            </w:pPr>
            <w:r>
              <w:rPr>
                <w:bCs/>
                <w:spacing w:val="10"/>
                <w:sz w:val="24"/>
              </w:rPr>
              <w:t>1）</w:t>
            </w:r>
            <w:r>
              <w:rPr>
                <w:sz w:val="24"/>
              </w:rPr>
              <w:t>施工人员生活污水经</w:t>
            </w:r>
            <w:r>
              <w:rPr>
                <w:rFonts w:hint="eastAsia"/>
                <w:sz w:val="24"/>
              </w:rPr>
              <w:t>办公楼东侧4m处已建的</w:t>
            </w:r>
            <w:r>
              <w:rPr>
                <w:sz w:val="24"/>
              </w:rPr>
              <w:t>30m</w:t>
            </w:r>
            <w:r>
              <w:rPr>
                <w:sz w:val="24"/>
                <w:vertAlign w:val="superscript"/>
              </w:rPr>
              <w:t>3</w:t>
            </w:r>
            <w:r>
              <w:rPr>
                <w:rFonts w:hint="eastAsia"/>
                <w:sz w:val="24"/>
              </w:rPr>
              <w:t>化粪池</w:t>
            </w:r>
            <w:r>
              <w:rPr>
                <w:sz w:val="24"/>
              </w:rPr>
              <w:t>收集后，用作农肥</w:t>
            </w:r>
            <w:r>
              <w:rPr>
                <w:rFonts w:hint="eastAsia"/>
                <w:sz w:val="24"/>
              </w:rPr>
              <w:t>；</w:t>
            </w:r>
          </w:p>
          <w:p>
            <w:pPr>
              <w:adjustRightInd w:val="0"/>
              <w:snapToGrid w:val="0"/>
              <w:spacing w:line="360" w:lineRule="auto"/>
              <w:ind w:firstLine="520" w:firstLineChars="200"/>
              <w:rPr>
                <w:bCs/>
                <w:spacing w:val="10"/>
                <w:sz w:val="24"/>
              </w:rPr>
            </w:pPr>
            <w:r>
              <w:rPr>
                <w:bCs/>
                <w:spacing w:val="10"/>
                <w:sz w:val="24"/>
              </w:rPr>
              <w:t>2）</w:t>
            </w:r>
            <w:r>
              <w:rPr>
                <w:rFonts w:hint="eastAsia"/>
                <w:sz w:val="24"/>
              </w:rPr>
              <w:t>在地磅称东侧</w:t>
            </w:r>
            <w:r>
              <w:rPr>
                <w:sz w:val="24"/>
              </w:rPr>
              <w:t>设置1个</w:t>
            </w:r>
            <w:r>
              <w:rPr>
                <w:rFonts w:hint="eastAsia"/>
                <w:sz w:val="24"/>
              </w:rPr>
              <w:t>20</w:t>
            </w:r>
            <w:r>
              <w:rPr>
                <w:sz w:val="24"/>
              </w:rPr>
              <w:t>m</w:t>
            </w:r>
            <w:r>
              <w:rPr>
                <w:sz w:val="24"/>
                <w:vertAlign w:val="superscript"/>
              </w:rPr>
              <w:t>3</w:t>
            </w:r>
            <w:r>
              <w:rPr>
                <w:sz w:val="24"/>
              </w:rPr>
              <w:t>的</w:t>
            </w:r>
            <w:r>
              <w:rPr>
                <w:rFonts w:ascii="宋体" w:hAnsi="宋体"/>
                <w:sz w:val="24"/>
              </w:rPr>
              <w:t>“</w:t>
            </w:r>
            <w:r>
              <w:rPr>
                <w:sz w:val="24"/>
              </w:rPr>
              <w:t>U型</w:t>
            </w:r>
            <w:r>
              <w:rPr>
                <w:rFonts w:ascii="宋体" w:hAnsi="宋体"/>
                <w:sz w:val="24"/>
              </w:rPr>
              <w:t>”</w:t>
            </w:r>
            <w:r>
              <w:rPr>
                <w:sz w:val="24"/>
              </w:rPr>
              <w:t>冲洗池，施工机具、车辆</w:t>
            </w:r>
            <w:r>
              <w:rPr>
                <w:rFonts w:hint="eastAsia"/>
                <w:sz w:val="24"/>
              </w:rPr>
              <w:t>于</w:t>
            </w:r>
            <w:r>
              <w:rPr>
                <w:rFonts w:ascii="宋体" w:hAnsi="宋体"/>
                <w:sz w:val="24"/>
              </w:rPr>
              <w:t>“</w:t>
            </w:r>
            <w:r>
              <w:rPr>
                <w:sz w:val="24"/>
              </w:rPr>
              <w:t>U型</w:t>
            </w:r>
            <w:r>
              <w:rPr>
                <w:rFonts w:ascii="宋体" w:hAnsi="宋体"/>
                <w:sz w:val="24"/>
              </w:rPr>
              <w:t>”</w:t>
            </w:r>
            <w:r>
              <w:rPr>
                <w:sz w:val="24"/>
              </w:rPr>
              <w:t>冲洗池</w:t>
            </w:r>
            <w:r>
              <w:rPr>
                <w:bCs/>
                <w:spacing w:val="10"/>
                <w:sz w:val="24"/>
              </w:rPr>
              <w:t>内定期冲洗，</w:t>
            </w:r>
            <w:r>
              <w:rPr>
                <w:sz w:val="24"/>
              </w:rPr>
              <w:t>冲洗废水经沉淀处理后循环利用</w:t>
            </w:r>
            <w:r>
              <w:rPr>
                <w:bCs/>
                <w:spacing w:val="10"/>
                <w:sz w:val="24"/>
              </w:rPr>
              <w:t>。</w:t>
            </w:r>
          </w:p>
          <w:p>
            <w:pPr>
              <w:adjustRightInd w:val="0"/>
              <w:snapToGrid w:val="0"/>
              <w:spacing w:line="360" w:lineRule="auto"/>
              <w:ind w:firstLine="520" w:firstLineChars="200"/>
              <w:rPr>
                <w:bCs/>
                <w:spacing w:val="10"/>
                <w:sz w:val="24"/>
              </w:rPr>
            </w:pPr>
            <w:r>
              <w:rPr>
                <w:bCs/>
                <w:spacing w:val="10"/>
                <w:sz w:val="24"/>
              </w:rPr>
              <w:t>3）</w:t>
            </w:r>
            <w:r>
              <w:rPr>
                <w:rFonts w:hint="eastAsia"/>
                <w:bCs/>
                <w:spacing w:val="10"/>
                <w:sz w:val="24"/>
              </w:rPr>
              <w:t>依托施工期拟建的</w:t>
            </w:r>
            <w:r>
              <w:rPr>
                <w:rFonts w:hint="eastAsia"/>
                <w:sz w:val="24"/>
              </w:rPr>
              <w:t>全厂</w:t>
            </w:r>
            <w:r>
              <w:rPr>
                <w:rFonts w:hint="eastAsia" w:ascii="宋体" w:hAnsi="宋体" w:cs="宋体"/>
                <w:kern w:val="0"/>
                <w:sz w:val="24"/>
              </w:rPr>
              <w:t>截排水沟及雨水沉淀池，项目施工期无需额外修建施工期间截排水系统，但项目施工范围需局限在厂区范围内，不得越界施工；且在</w:t>
            </w:r>
            <w:r>
              <w:rPr>
                <w:sz w:val="24"/>
              </w:rPr>
              <w:t>降水来临前，</w:t>
            </w:r>
            <w:r>
              <w:rPr>
                <w:rFonts w:hint="eastAsia"/>
                <w:sz w:val="24"/>
              </w:rPr>
              <w:t>需</w:t>
            </w:r>
            <w:r>
              <w:rPr>
                <w:sz w:val="24"/>
              </w:rPr>
              <w:t>用防雨布遮盖散装建筑材料，避免受到雨水的冲刷</w:t>
            </w:r>
            <w:r>
              <w:rPr>
                <w:bCs/>
                <w:spacing w:val="10"/>
                <w:sz w:val="24"/>
              </w:rPr>
              <w:t>。</w:t>
            </w:r>
          </w:p>
          <w:p>
            <w:pPr>
              <w:adjustRightInd w:val="0"/>
              <w:snapToGrid w:val="0"/>
              <w:spacing w:line="360" w:lineRule="auto"/>
              <w:ind w:firstLine="522" w:firstLineChars="200"/>
              <w:rPr>
                <w:b/>
                <w:bCs/>
                <w:spacing w:val="10"/>
                <w:sz w:val="24"/>
              </w:rPr>
            </w:pPr>
            <w:r>
              <w:rPr>
                <w:b/>
                <w:bCs/>
                <w:spacing w:val="10"/>
                <w:sz w:val="24"/>
              </w:rPr>
              <w:t>（3）噪声污染防治措施</w:t>
            </w:r>
          </w:p>
          <w:p>
            <w:pPr>
              <w:adjustRightInd w:val="0"/>
              <w:snapToGrid w:val="0"/>
              <w:spacing w:line="360" w:lineRule="auto"/>
              <w:ind w:firstLine="520" w:firstLineChars="200"/>
              <w:rPr>
                <w:bCs/>
                <w:spacing w:val="10"/>
                <w:sz w:val="24"/>
              </w:rPr>
            </w:pPr>
            <w:r>
              <w:rPr>
                <w:bCs/>
                <w:spacing w:val="10"/>
                <w:sz w:val="24"/>
              </w:rPr>
              <w:t>1）</w:t>
            </w:r>
            <w:r>
              <w:rPr>
                <w:rFonts w:hint="eastAsia"/>
                <w:bCs/>
                <w:spacing w:val="10"/>
                <w:sz w:val="24"/>
              </w:rPr>
              <w:t>施工场地四周需设置不低于1.8m的硬质围栏隔音</w:t>
            </w:r>
            <w:r>
              <w:rPr>
                <w:bCs/>
                <w:spacing w:val="10"/>
                <w:sz w:val="24"/>
              </w:rPr>
              <w:t>。</w:t>
            </w:r>
          </w:p>
          <w:p>
            <w:pPr>
              <w:adjustRightInd w:val="0"/>
              <w:snapToGrid w:val="0"/>
              <w:spacing w:line="360" w:lineRule="auto"/>
              <w:ind w:firstLine="520" w:firstLineChars="200"/>
              <w:rPr>
                <w:bCs/>
                <w:spacing w:val="10"/>
                <w:sz w:val="24"/>
              </w:rPr>
            </w:pPr>
            <w:r>
              <w:rPr>
                <w:bCs/>
                <w:spacing w:val="10"/>
                <w:sz w:val="24"/>
              </w:rPr>
              <w:t>2）</w:t>
            </w:r>
            <w:r>
              <w:rPr>
                <w:rFonts w:hint="eastAsia"/>
                <w:bCs/>
                <w:spacing w:val="10"/>
                <w:sz w:val="24"/>
              </w:rPr>
              <w:t>合理规划布局，施工机具的使用尽量布置在场地中央，不紧邻场界布设，需布设在远离敏感点一侧</w:t>
            </w:r>
            <w:r>
              <w:rPr>
                <w:bCs/>
                <w:spacing w:val="10"/>
                <w:sz w:val="24"/>
              </w:rPr>
              <w:t>。</w:t>
            </w:r>
          </w:p>
          <w:p>
            <w:pPr>
              <w:adjustRightInd w:val="0"/>
              <w:snapToGrid w:val="0"/>
              <w:spacing w:line="360" w:lineRule="auto"/>
              <w:ind w:firstLine="520" w:firstLineChars="200"/>
              <w:rPr>
                <w:bCs/>
                <w:spacing w:val="10"/>
                <w:sz w:val="24"/>
              </w:rPr>
            </w:pPr>
            <w:r>
              <w:rPr>
                <w:bCs/>
                <w:spacing w:val="10"/>
                <w:sz w:val="24"/>
              </w:rPr>
              <w:t>3）选用符合国家标准的低噪声设备，并加强设备的维护保养，避免设备非正常工作产生的高噪声污染。</w:t>
            </w:r>
          </w:p>
          <w:p>
            <w:pPr>
              <w:adjustRightInd w:val="0"/>
              <w:snapToGrid w:val="0"/>
              <w:spacing w:line="360" w:lineRule="auto"/>
              <w:ind w:firstLine="520" w:firstLineChars="200"/>
              <w:rPr>
                <w:bCs/>
                <w:spacing w:val="10"/>
                <w:sz w:val="24"/>
              </w:rPr>
            </w:pPr>
            <w:r>
              <w:rPr>
                <w:bCs/>
                <w:spacing w:val="10"/>
                <w:sz w:val="24"/>
              </w:rPr>
              <w:t>4）</w:t>
            </w:r>
            <w:r>
              <w:rPr>
                <w:rFonts w:hint="eastAsia"/>
                <w:sz w:val="24"/>
              </w:rPr>
              <w:t>在施工过程中，施工方应合理安排施工机具的工作时间，高噪声设备一般不得在中午休息时段施工作业，夜间需禁止施工。</w:t>
            </w:r>
          </w:p>
          <w:p>
            <w:pPr>
              <w:adjustRightInd w:val="0"/>
              <w:snapToGrid w:val="0"/>
              <w:spacing w:line="360" w:lineRule="auto"/>
              <w:ind w:firstLine="520" w:firstLineChars="200"/>
              <w:rPr>
                <w:bCs/>
                <w:spacing w:val="10"/>
                <w:sz w:val="24"/>
              </w:rPr>
            </w:pPr>
            <w:r>
              <w:rPr>
                <w:rFonts w:hint="eastAsia"/>
                <w:bCs/>
                <w:spacing w:val="10"/>
                <w:sz w:val="24"/>
              </w:rPr>
              <w:t>5）</w:t>
            </w:r>
            <w:r>
              <w:rPr>
                <w:bCs/>
                <w:spacing w:val="10"/>
                <w:sz w:val="24"/>
              </w:rPr>
              <w:t>项目施工期将依托区域内的现有</w:t>
            </w:r>
            <w:r>
              <w:rPr>
                <w:rFonts w:hint="eastAsia"/>
                <w:bCs/>
                <w:spacing w:val="10"/>
                <w:sz w:val="24"/>
              </w:rPr>
              <w:t>的村道、S525省道</w:t>
            </w:r>
            <w:r>
              <w:rPr>
                <w:bCs/>
                <w:spacing w:val="10"/>
                <w:sz w:val="24"/>
              </w:rPr>
              <w:t>进行建筑材料和土石方的运输，应注意合理安排施工物料的运输时间，尽量避免在夜间运输。在途经附近居民点和学校路段时，应减速慢行、禁止鸣笛。</w:t>
            </w:r>
          </w:p>
          <w:p>
            <w:pPr>
              <w:adjustRightInd w:val="0"/>
              <w:snapToGrid w:val="0"/>
              <w:spacing w:line="360" w:lineRule="auto"/>
              <w:ind w:firstLine="522" w:firstLineChars="200"/>
              <w:rPr>
                <w:b/>
                <w:bCs/>
                <w:spacing w:val="10"/>
                <w:sz w:val="24"/>
              </w:rPr>
            </w:pPr>
            <w:r>
              <w:rPr>
                <w:b/>
                <w:bCs/>
                <w:spacing w:val="10"/>
                <w:sz w:val="24"/>
              </w:rPr>
              <w:t>（4）固废污染防治措施</w:t>
            </w:r>
          </w:p>
          <w:p>
            <w:pPr>
              <w:adjustRightInd w:val="0"/>
              <w:snapToGrid w:val="0"/>
              <w:spacing w:line="360" w:lineRule="auto"/>
              <w:ind w:firstLine="520" w:firstLineChars="200"/>
              <w:rPr>
                <w:bCs/>
                <w:spacing w:val="10"/>
                <w:sz w:val="24"/>
              </w:rPr>
            </w:pPr>
            <w:r>
              <w:rPr>
                <w:rFonts w:hint="eastAsia"/>
                <w:bCs/>
                <w:spacing w:val="10"/>
                <w:sz w:val="24"/>
              </w:rPr>
              <w:t>1）</w:t>
            </w:r>
            <w:r>
              <w:rPr>
                <w:bCs/>
                <w:spacing w:val="10"/>
                <w:sz w:val="24"/>
              </w:rPr>
              <w:t>加强对弃土弃渣的管理，项目</w:t>
            </w:r>
            <w:r>
              <w:rPr>
                <w:rFonts w:hint="eastAsia"/>
                <w:bCs/>
                <w:spacing w:val="10"/>
                <w:sz w:val="24"/>
              </w:rPr>
              <w:t>施工期间</w:t>
            </w:r>
            <w:r>
              <w:rPr>
                <w:rFonts w:hint="eastAsia"/>
                <w:sz w:val="24"/>
              </w:rPr>
              <w:t>剥离表土全部运至</w:t>
            </w:r>
            <w:r>
              <w:rPr>
                <w:rFonts w:hint="eastAsia"/>
                <w:kern w:val="0"/>
                <w:sz w:val="24"/>
              </w:rPr>
              <w:t>恢复治理区裸岩区域作为绿化覆土；剥离或清理的</w:t>
            </w:r>
            <w:r>
              <w:rPr>
                <w:rFonts w:hint="eastAsia"/>
                <w:sz w:val="24"/>
              </w:rPr>
              <w:t>废石</w:t>
            </w:r>
            <w:r>
              <w:rPr>
                <w:rFonts w:hint="eastAsia"/>
                <w:color w:val="0000FF"/>
                <w:sz w:val="24"/>
              </w:rPr>
              <w:t>可直接原矿外售作堡坎块石，或码垛暂存于工业广场仓库内，待运营期加工成建筑砂碎石后外售</w:t>
            </w:r>
            <w:r>
              <w:rPr>
                <w:rFonts w:hint="eastAsia"/>
                <w:bCs/>
                <w:spacing w:val="10"/>
                <w:sz w:val="24"/>
              </w:rPr>
              <w:t>。</w:t>
            </w:r>
          </w:p>
          <w:p>
            <w:pPr>
              <w:adjustRightInd w:val="0"/>
              <w:snapToGrid w:val="0"/>
              <w:spacing w:line="360" w:lineRule="auto"/>
              <w:ind w:firstLine="480" w:firstLineChars="200"/>
              <w:rPr>
                <w:bCs/>
                <w:spacing w:val="10"/>
                <w:sz w:val="24"/>
              </w:rPr>
            </w:pPr>
            <w:r>
              <w:rPr>
                <w:sz w:val="24"/>
              </w:rPr>
              <w:t>2</w:t>
            </w:r>
            <w:r>
              <w:rPr>
                <w:rFonts w:hint="eastAsia"/>
                <w:sz w:val="24"/>
              </w:rPr>
              <w:t>）</w:t>
            </w:r>
            <w:r>
              <w:rPr>
                <w:bCs/>
                <w:spacing w:val="10"/>
                <w:sz w:val="24"/>
              </w:rPr>
              <w:t>施工人员生活垃圾采取定点收集，定期清运，交由环卫部门统一处置，通过规范生活垃圾的管理，避免其乱堆放，确保施工场地有良好的卫生条件。</w:t>
            </w:r>
          </w:p>
          <w:p>
            <w:pPr>
              <w:adjustRightInd w:val="0"/>
              <w:snapToGrid w:val="0"/>
              <w:spacing w:line="360" w:lineRule="auto"/>
              <w:ind w:firstLine="520" w:firstLineChars="200"/>
              <w:rPr>
                <w:bCs/>
                <w:spacing w:val="10"/>
                <w:sz w:val="24"/>
              </w:rPr>
            </w:pPr>
            <w:r>
              <w:rPr>
                <w:rFonts w:hint="eastAsia"/>
                <w:bCs/>
                <w:spacing w:val="10"/>
                <w:sz w:val="24"/>
              </w:rPr>
              <w:t>3）</w:t>
            </w:r>
            <w:r>
              <w:rPr>
                <w:rFonts w:hint="eastAsia"/>
                <w:sz w:val="24"/>
              </w:rPr>
              <w:t>拆除淘汰的废旧设备、废彩钢板全部外售至物资回收公司。</w:t>
            </w:r>
          </w:p>
          <w:p>
            <w:pPr>
              <w:adjustRightInd w:val="0"/>
              <w:snapToGrid w:val="0"/>
              <w:spacing w:line="360" w:lineRule="auto"/>
              <w:ind w:firstLine="522" w:firstLineChars="200"/>
              <w:rPr>
                <w:b/>
                <w:bCs/>
                <w:spacing w:val="10"/>
                <w:sz w:val="24"/>
              </w:rPr>
            </w:pPr>
            <w:r>
              <w:rPr>
                <w:b/>
                <w:bCs/>
                <w:spacing w:val="10"/>
                <w:sz w:val="24"/>
              </w:rPr>
              <w:t>（5）生态环境防治措施</w:t>
            </w:r>
          </w:p>
          <w:p>
            <w:pPr>
              <w:adjustRightInd w:val="0"/>
              <w:snapToGrid w:val="0"/>
              <w:spacing w:line="360" w:lineRule="auto"/>
              <w:ind w:firstLine="520" w:firstLineChars="200"/>
              <w:rPr>
                <w:bCs/>
                <w:spacing w:val="10"/>
                <w:sz w:val="24"/>
              </w:rPr>
            </w:pPr>
            <w:r>
              <w:rPr>
                <w:bCs/>
                <w:spacing w:val="10"/>
                <w:sz w:val="24"/>
              </w:rPr>
              <w:t>1）整个施工过程中，严禁对施工区周围植被的破坏，禁止随意在未征用的林地内开设运输通道或作临时占用地。</w:t>
            </w:r>
          </w:p>
          <w:p>
            <w:pPr>
              <w:adjustRightInd w:val="0"/>
              <w:snapToGrid w:val="0"/>
              <w:spacing w:line="360" w:lineRule="auto"/>
              <w:ind w:firstLine="520" w:firstLineChars="200"/>
              <w:rPr>
                <w:bCs/>
                <w:spacing w:val="10"/>
                <w:sz w:val="24"/>
              </w:rPr>
            </w:pPr>
            <w:r>
              <w:rPr>
                <w:bCs/>
                <w:spacing w:val="10"/>
                <w:sz w:val="24"/>
              </w:rPr>
              <w:t>2）合理安排施工期，填挖土石方工程要避开雨季和春季大风季节，缩短施工时间。</w:t>
            </w:r>
          </w:p>
          <w:p>
            <w:pPr>
              <w:adjustRightInd w:val="0"/>
              <w:snapToGrid w:val="0"/>
              <w:spacing w:line="360" w:lineRule="auto"/>
              <w:ind w:firstLine="520" w:firstLineChars="200"/>
              <w:rPr>
                <w:bCs/>
                <w:spacing w:val="10"/>
                <w:sz w:val="24"/>
              </w:rPr>
            </w:pPr>
            <w:r>
              <w:rPr>
                <w:rFonts w:hint="eastAsia"/>
                <w:bCs/>
                <w:spacing w:val="10"/>
                <w:sz w:val="24"/>
              </w:rPr>
              <w:t>3）</w:t>
            </w:r>
            <w:r>
              <w:rPr>
                <w:rFonts w:hint="eastAsia"/>
                <w:kern w:val="0"/>
                <w:sz w:val="24"/>
              </w:rPr>
              <w:t>恢复治理区需在施工期间完成生态复绿</w:t>
            </w:r>
            <w:r>
              <w:rPr>
                <w:rFonts w:hint="eastAsia"/>
                <w:bCs/>
                <w:spacing w:val="1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482" w:type="dxa"/>
            <w:tcMar>
              <w:left w:w="28" w:type="dxa"/>
              <w:right w:w="28" w:type="dxa"/>
            </w:tcMar>
            <w:vAlign w:val="center"/>
          </w:tcPr>
          <w:p>
            <w:pPr>
              <w:adjustRightInd w:val="0"/>
              <w:snapToGrid w:val="0"/>
              <w:jc w:val="center"/>
              <w:rPr>
                <w:bCs/>
                <w:spacing w:val="10"/>
                <w:sz w:val="24"/>
              </w:rPr>
            </w:pPr>
            <w:r>
              <w:rPr>
                <w:bCs/>
                <w:spacing w:val="10"/>
                <w:sz w:val="24"/>
              </w:rPr>
              <w:t>运营期生态环境保护措施</w:t>
            </w:r>
          </w:p>
        </w:tc>
        <w:tc>
          <w:tcPr>
            <w:tcW w:w="9245" w:type="dxa"/>
          </w:tcPr>
          <w:p>
            <w:pPr>
              <w:adjustRightInd w:val="0"/>
              <w:snapToGrid w:val="0"/>
              <w:spacing w:line="360" w:lineRule="auto"/>
              <w:ind w:firstLine="602" w:firstLineChars="200"/>
              <w:rPr>
                <w:b/>
                <w:bCs/>
                <w:spacing w:val="10"/>
                <w:sz w:val="28"/>
                <w:szCs w:val="28"/>
              </w:rPr>
            </w:pPr>
            <w:r>
              <w:rPr>
                <w:b/>
                <w:bCs/>
                <w:spacing w:val="10"/>
                <w:sz w:val="28"/>
                <w:szCs w:val="28"/>
              </w:rPr>
              <w:t>5.2、运营期生态环境保护措施</w:t>
            </w:r>
          </w:p>
          <w:p>
            <w:pPr>
              <w:adjustRightInd w:val="0"/>
              <w:snapToGrid w:val="0"/>
              <w:spacing w:line="360" w:lineRule="auto"/>
              <w:ind w:firstLine="520" w:firstLineChars="200"/>
              <w:rPr>
                <w:bCs/>
                <w:spacing w:val="10"/>
                <w:sz w:val="24"/>
              </w:rPr>
            </w:pPr>
            <w:r>
              <w:rPr>
                <w:bCs/>
                <w:spacing w:val="10"/>
                <w:sz w:val="24"/>
              </w:rPr>
              <w:t>随着资源的开采，伴生了一系列的环境和生态问题。本</w:t>
            </w:r>
            <w:r>
              <w:rPr>
                <w:rFonts w:hint="eastAsia"/>
                <w:bCs/>
                <w:spacing w:val="10"/>
                <w:sz w:val="24"/>
              </w:rPr>
              <w:t>次</w:t>
            </w:r>
            <w:r>
              <w:rPr>
                <w:bCs/>
                <w:spacing w:val="10"/>
                <w:sz w:val="24"/>
              </w:rPr>
              <w:t>评价在结合当地环境保护目标，环境现状以及项目的生产工艺特点、产污特征等各方面因素，对生态环境不利影响及环境污染进行深入分析，制定出实用可操作的污染防治对策及生态保护措施。实施污染物减量化，资源循环利用的循环经济理念；生产过程中除要实现各种污染源的达标排放，符合酉阳县环境功能和环境规划的要求外，还需满足污染物总量控制指标要求。</w:t>
            </w:r>
          </w:p>
          <w:p>
            <w:pPr>
              <w:adjustRightInd w:val="0"/>
              <w:snapToGrid w:val="0"/>
              <w:spacing w:line="360" w:lineRule="auto"/>
              <w:ind w:firstLine="522" w:firstLineChars="200"/>
              <w:rPr>
                <w:b/>
                <w:bCs/>
                <w:spacing w:val="10"/>
                <w:sz w:val="24"/>
              </w:rPr>
            </w:pPr>
            <w:r>
              <w:rPr>
                <w:b/>
                <w:bCs/>
                <w:spacing w:val="10"/>
                <w:sz w:val="24"/>
              </w:rPr>
              <w:t>（1）环境空气污染防治措施</w:t>
            </w:r>
          </w:p>
          <w:p>
            <w:pPr>
              <w:adjustRightInd w:val="0"/>
              <w:snapToGrid w:val="0"/>
              <w:spacing w:line="360" w:lineRule="auto"/>
              <w:ind w:firstLine="520" w:firstLineChars="200"/>
              <w:rPr>
                <w:bCs/>
                <w:spacing w:val="10"/>
                <w:sz w:val="24"/>
              </w:rPr>
            </w:pPr>
            <w:r>
              <w:rPr>
                <w:bCs/>
                <w:spacing w:val="10"/>
                <w:sz w:val="24"/>
              </w:rPr>
              <w:t>环境空气污染几乎伴随着整个采剥及加工工序，钻孔、爆破、运输、装卸、破碎、筛分、输送等处会产生扬尘和粉尘，其排放特点是：</w:t>
            </w:r>
            <w:r>
              <w:rPr>
                <w:rFonts w:hint="eastAsia" w:ascii="宋体" w:hAnsi="宋体" w:cs="宋体"/>
                <w:bCs/>
                <w:spacing w:val="10"/>
                <w:sz w:val="24"/>
              </w:rPr>
              <w:t>①</w:t>
            </w:r>
            <w:r>
              <w:rPr>
                <w:bCs/>
                <w:spacing w:val="10"/>
                <w:sz w:val="24"/>
              </w:rPr>
              <w:t>属于面源污染；</w:t>
            </w:r>
            <w:r>
              <w:rPr>
                <w:rFonts w:hint="eastAsia" w:ascii="宋体" w:hAnsi="宋体" w:cs="宋体"/>
                <w:bCs/>
                <w:spacing w:val="10"/>
                <w:sz w:val="24"/>
              </w:rPr>
              <w:t>②</w:t>
            </w:r>
            <w:r>
              <w:rPr>
                <w:bCs/>
                <w:spacing w:val="10"/>
                <w:sz w:val="24"/>
              </w:rPr>
              <w:t>排放点多而且分散；</w:t>
            </w:r>
            <w:r>
              <w:rPr>
                <w:rFonts w:hint="eastAsia" w:ascii="宋体" w:hAnsi="宋体" w:cs="宋体"/>
                <w:bCs/>
                <w:spacing w:val="10"/>
                <w:sz w:val="24"/>
              </w:rPr>
              <w:t>③</w:t>
            </w:r>
            <w:r>
              <w:rPr>
                <w:bCs/>
                <w:spacing w:val="10"/>
                <w:sz w:val="24"/>
              </w:rPr>
              <w:t>排放量受风速和空气湿度影响较大。除破碎站布袋除尘器为有组织外</w:t>
            </w:r>
            <w:r>
              <w:rPr>
                <w:rFonts w:hint="eastAsia"/>
                <w:bCs/>
                <w:spacing w:val="10"/>
                <w:sz w:val="24"/>
              </w:rPr>
              <w:t>，其他</w:t>
            </w:r>
            <w:r>
              <w:rPr>
                <w:bCs/>
                <w:spacing w:val="10"/>
                <w:sz w:val="24"/>
              </w:rPr>
              <w:t>均为无组织排放，主要的防治措施为洒水降尘。</w:t>
            </w:r>
          </w:p>
          <w:p>
            <w:pPr>
              <w:adjustRightInd w:val="0"/>
              <w:snapToGrid w:val="0"/>
              <w:spacing w:line="360" w:lineRule="auto"/>
              <w:ind w:firstLine="520" w:firstLineChars="200"/>
              <w:rPr>
                <w:bCs/>
                <w:spacing w:val="10"/>
                <w:sz w:val="24"/>
              </w:rPr>
            </w:pPr>
            <w:r>
              <w:rPr>
                <w:bCs/>
                <w:spacing w:val="10"/>
                <w:sz w:val="24"/>
              </w:rPr>
              <w:t>根据《环境空气细颗粒物污染综合防治技术政策》、《重庆市环境保护条例》、《重庆市大气污染防治条例》、《重庆市环境保护局关于印发重庆市部分行业污染物特征值系数及排污量计算办法的通知》（渝环〔2018〕55号）的相关要求，拟建项目运营期具体粉尘防治措施：</w:t>
            </w:r>
          </w:p>
          <w:p>
            <w:pPr>
              <w:adjustRightInd w:val="0"/>
              <w:snapToGrid w:val="0"/>
              <w:spacing w:line="360" w:lineRule="auto"/>
              <w:ind w:firstLine="520" w:firstLineChars="200"/>
              <w:rPr>
                <w:bCs/>
                <w:spacing w:val="10"/>
                <w:sz w:val="24"/>
              </w:rPr>
            </w:pPr>
            <w:r>
              <w:rPr>
                <w:bCs/>
                <w:spacing w:val="10"/>
                <w:sz w:val="24"/>
              </w:rPr>
              <w:t>1）采区</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①</w:t>
            </w:r>
            <w:r>
              <w:rPr>
                <w:bCs/>
                <w:spacing w:val="10"/>
                <w:sz w:val="24"/>
              </w:rPr>
              <w:t>表土植被采用随剥随除的方式，表土也采取即挖即运的方式，以减少表土水分损失，保持表土湿度，减少粉尘产生量。</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②</w:t>
            </w:r>
            <w:r>
              <w:rPr>
                <w:bCs/>
                <w:spacing w:val="10"/>
                <w:sz w:val="24"/>
              </w:rPr>
              <w:t>采用多排孔微差松动爆破法，并控制单孔炸药量、炸药总用量，爆破工艺有效地减少了粉尘产生量。爆破粉尘中，约有80%的粉尘为大颗粒粉尘，在爆破结束后随即在矿区内沉降，因此每次爆破结束后，工作人员不可立即进入爆破区域，待矿区内的粉尘自然沉降后，工作人员方可进入爆破区域，从而减轻爆破产生的粉尘对工作人员产生的影响。</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③</w:t>
            </w:r>
            <w:r>
              <w:rPr>
                <w:bCs/>
                <w:spacing w:val="10"/>
                <w:sz w:val="24"/>
              </w:rPr>
              <w:t>矿山钻孔设备采用潜孔钻机，在潜孔钻机上配备捕尘装置，并进行湿式凿岩，从而有效降低凿岩过程中产生的粉尘量。</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④</w:t>
            </w:r>
            <w:r>
              <w:rPr>
                <w:bCs/>
                <w:spacing w:val="10"/>
                <w:sz w:val="24"/>
              </w:rPr>
              <w:t>在爆破前采取湿棕垫或稻草覆盖，爆破后及时使用高压微雾装置进行喷雾洒水降尘，可大大减少爆破粉尘产生量。</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⑤</w:t>
            </w:r>
            <w:r>
              <w:rPr>
                <w:bCs/>
                <w:spacing w:val="10"/>
                <w:sz w:val="24"/>
              </w:rPr>
              <w:t>对挖掘机等机械设备加强日常维护，减少尾气的排放。</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⑥</w:t>
            </w:r>
            <w:r>
              <w:rPr>
                <w:bCs/>
                <w:spacing w:val="10"/>
                <w:sz w:val="24"/>
              </w:rPr>
              <w:t>开采期间使用高压微雾装置对开采区进行洒水抑尘。</w:t>
            </w:r>
          </w:p>
          <w:p>
            <w:pPr>
              <w:adjustRightInd w:val="0"/>
              <w:snapToGrid w:val="0"/>
              <w:spacing w:line="360" w:lineRule="auto"/>
              <w:ind w:firstLine="520" w:firstLineChars="200"/>
              <w:rPr>
                <w:bCs/>
                <w:spacing w:val="10"/>
                <w:sz w:val="24"/>
              </w:rPr>
            </w:pPr>
            <w:r>
              <w:rPr>
                <w:bCs/>
                <w:spacing w:val="10"/>
                <w:sz w:val="24"/>
              </w:rPr>
              <w:t>2）</w:t>
            </w:r>
            <w:r>
              <w:rPr>
                <w:rFonts w:hint="eastAsia"/>
                <w:bCs/>
                <w:spacing w:val="10"/>
                <w:sz w:val="24"/>
              </w:rPr>
              <w:t>加工区</w:t>
            </w:r>
          </w:p>
          <w:p>
            <w:pPr>
              <w:adjustRightInd w:val="0"/>
              <w:snapToGrid w:val="0"/>
              <w:spacing w:line="360" w:lineRule="auto"/>
              <w:ind w:firstLine="520" w:firstLineChars="200"/>
              <w:rPr>
                <w:bCs/>
                <w:spacing w:val="10"/>
                <w:sz w:val="24"/>
              </w:rPr>
            </w:pPr>
            <w:r>
              <w:rPr>
                <w:bCs/>
                <w:spacing w:val="10"/>
                <w:sz w:val="24"/>
              </w:rPr>
              <w:t>拟建项目生产线排放的粉尘量较大，需要加强治理。针对</w:t>
            </w:r>
            <w:r>
              <w:rPr>
                <w:rFonts w:hint="eastAsia"/>
                <w:bCs/>
                <w:spacing w:val="10"/>
                <w:sz w:val="24"/>
              </w:rPr>
              <w:t>矿石加工</w:t>
            </w:r>
            <w:r>
              <w:rPr>
                <w:bCs/>
                <w:spacing w:val="10"/>
                <w:sz w:val="24"/>
              </w:rPr>
              <w:t>粉尘，拟建项目拟采取以下污染防治措施：</w:t>
            </w:r>
          </w:p>
          <w:p>
            <w:pPr>
              <w:adjustRightInd w:val="0"/>
              <w:snapToGrid w:val="0"/>
              <w:spacing w:line="360" w:lineRule="auto"/>
              <w:ind w:firstLine="520" w:firstLineChars="200"/>
              <w:rPr>
                <w:rFonts w:hint="eastAsia" w:ascii="宋体" w:hAnsi="宋体" w:cs="宋体"/>
                <w:bCs/>
                <w:spacing w:val="10"/>
                <w:sz w:val="24"/>
              </w:rPr>
            </w:pPr>
            <w:r>
              <w:rPr>
                <w:rFonts w:hint="eastAsia" w:ascii="宋体" w:hAnsi="宋体" w:cs="宋体"/>
                <w:bCs/>
                <w:spacing w:val="10"/>
                <w:sz w:val="24"/>
              </w:rPr>
              <w:t>①</w:t>
            </w:r>
            <w:r>
              <w:rPr>
                <w:sz w:val="24"/>
              </w:rPr>
              <w:t>对</w:t>
            </w:r>
            <w:r>
              <w:rPr>
                <w:rFonts w:hint="eastAsia"/>
                <w:sz w:val="24"/>
              </w:rPr>
              <w:t>1</w:t>
            </w:r>
            <w:r>
              <w:rPr>
                <w:sz w:val="24"/>
              </w:rPr>
              <w:t>台颚式破碎机、</w:t>
            </w:r>
            <w:r>
              <w:rPr>
                <w:bCs/>
                <w:spacing w:val="10"/>
                <w:sz w:val="24"/>
              </w:rPr>
              <w:t>1台</w:t>
            </w:r>
            <w:r>
              <w:rPr>
                <w:rFonts w:hint="eastAsia"/>
                <w:sz w:val="24"/>
              </w:rPr>
              <w:t>反击式</w:t>
            </w:r>
            <w:r>
              <w:rPr>
                <w:sz w:val="24"/>
              </w:rPr>
              <w:t>破碎机</w:t>
            </w:r>
            <w:r>
              <w:rPr>
                <w:rFonts w:hint="eastAsia"/>
                <w:bCs/>
                <w:spacing w:val="10"/>
                <w:sz w:val="24"/>
              </w:rPr>
              <w:t>、</w:t>
            </w:r>
            <w:r>
              <w:rPr>
                <w:rFonts w:hint="eastAsia"/>
                <w:sz w:val="24"/>
              </w:rPr>
              <w:t>1</w:t>
            </w:r>
            <w:r>
              <w:rPr>
                <w:sz w:val="24"/>
              </w:rPr>
              <w:t>台</w:t>
            </w:r>
            <w:r>
              <w:rPr>
                <w:rFonts w:hint="eastAsia"/>
                <w:sz w:val="24"/>
              </w:rPr>
              <w:t>振动筛</w:t>
            </w:r>
            <w:r>
              <w:rPr>
                <w:sz w:val="24"/>
              </w:rPr>
              <w:t>分别采用单钢板箱式密闭，</w:t>
            </w:r>
            <w:r>
              <w:rPr>
                <w:rFonts w:hint="eastAsia"/>
                <w:sz w:val="24"/>
              </w:rPr>
              <w:t>具体为：一级破碎设备（1</w:t>
            </w:r>
            <w:r>
              <w:rPr>
                <w:sz w:val="24"/>
              </w:rPr>
              <w:t>台颚式破碎机</w:t>
            </w:r>
            <w:r>
              <w:rPr>
                <w:rFonts w:hint="eastAsia"/>
                <w:sz w:val="24"/>
              </w:rPr>
              <w:t>）下方出料口传送带前端，二级破碎、筛分设备（</w:t>
            </w:r>
            <w:r>
              <w:rPr>
                <w:rFonts w:hint="eastAsia"/>
                <w:bCs/>
                <w:spacing w:val="10"/>
                <w:sz w:val="24"/>
              </w:rPr>
              <w:t>1</w:t>
            </w:r>
            <w:r>
              <w:rPr>
                <w:bCs/>
                <w:spacing w:val="10"/>
                <w:sz w:val="24"/>
              </w:rPr>
              <w:t>台</w:t>
            </w:r>
            <w:r>
              <w:rPr>
                <w:rFonts w:hint="eastAsia"/>
                <w:sz w:val="24"/>
              </w:rPr>
              <w:t>反击式</w:t>
            </w:r>
            <w:r>
              <w:rPr>
                <w:sz w:val="24"/>
              </w:rPr>
              <w:t>破碎机</w:t>
            </w:r>
            <w:r>
              <w:rPr>
                <w:rFonts w:hint="eastAsia"/>
                <w:sz w:val="24"/>
              </w:rPr>
              <w:t>、</w:t>
            </w:r>
            <w:r>
              <w:rPr>
                <w:rFonts w:hint="eastAsia"/>
                <w:bCs/>
                <w:spacing w:val="10"/>
                <w:sz w:val="24"/>
              </w:rPr>
              <w:t>1</w:t>
            </w:r>
            <w:r>
              <w:rPr>
                <w:bCs/>
                <w:spacing w:val="10"/>
                <w:sz w:val="24"/>
              </w:rPr>
              <w:t>台</w:t>
            </w:r>
            <w:r>
              <w:rPr>
                <w:rFonts w:hint="eastAsia"/>
                <w:bCs/>
                <w:spacing w:val="10"/>
                <w:sz w:val="24"/>
              </w:rPr>
              <w:t>振动筛</w:t>
            </w:r>
            <w:r>
              <w:rPr>
                <w:rFonts w:hint="eastAsia"/>
                <w:sz w:val="24"/>
              </w:rPr>
              <w:t>）上方落料传送带末端、下方出料口传送带前端与设备外壳支撑面衔接处均进行单钢板箱式封闭，仅留抽风口，并采用密闭管道衔接抽风口，并使用1台5</w:t>
            </w:r>
            <w:r>
              <w:rPr>
                <w:sz w:val="24"/>
              </w:rPr>
              <w:t>000</w:t>
            </w:r>
            <w:r>
              <w:rPr>
                <w:rFonts w:hint="eastAsia"/>
                <w:sz w:val="24"/>
              </w:rPr>
              <w:t>0Nm</w:t>
            </w:r>
            <w:r>
              <w:rPr>
                <w:rFonts w:hint="eastAsia"/>
                <w:sz w:val="24"/>
                <w:vertAlign w:val="superscript"/>
              </w:rPr>
              <w:t>3</w:t>
            </w:r>
            <w:r>
              <w:rPr>
                <w:rFonts w:hint="eastAsia"/>
                <w:sz w:val="24"/>
              </w:rPr>
              <w:t>/h风量引风机将</w:t>
            </w:r>
            <w:r>
              <w:rPr>
                <w:sz w:val="24"/>
              </w:rPr>
              <w:t>含尘气体集中收集至1台脉冲布袋除尘器进行净化处理后，</w:t>
            </w:r>
            <w:r>
              <w:rPr>
                <w:rFonts w:hint="eastAsia"/>
                <w:sz w:val="24"/>
              </w:rPr>
              <w:t>再</w:t>
            </w:r>
            <w:r>
              <w:rPr>
                <w:sz w:val="24"/>
              </w:rPr>
              <w:t>通过15m高</w:t>
            </w:r>
            <w:r>
              <w:rPr>
                <w:rFonts w:hint="eastAsia"/>
                <w:sz w:val="24"/>
              </w:rPr>
              <w:t>、内径1.0m的1#</w:t>
            </w:r>
            <w:r>
              <w:rPr>
                <w:sz w:val="24"/>
              </w:rPr>
              <w:t>排气筒达标排放</w:t>
            </w:r>
            <w:r>
              <w:rPr>
                <w:rFonts w:hint="eastAsia"/>
                <w:sz w:val="24"/>
              </w:rPr>
              <w:t>。</w:t>
            </w:r>
          </w:p>
          <w:p>
            <w:pPr>
              <w:adjustRightInd w:val="0"/>
              <w:snapToGrid w:val="0"/>
              <w:spacing w:line="360" w:lineRule="auto"/>
              <w:ind w:firstLine="520" w:firstLineChars="200"/>
              <w:rPr>
                <w:bCs/>
                <w:spacing w:val="10"/>
                <w:sz w:val="24"/>
              </w:rPr>
            </w:pPr>
            <w:r>
              <w:rPr>
                <w:bCs/>
                <w:spacing w:val="10"/>
                <w:sz w:val="24"/>
              </w:rPr>
              <w:t>高效脉冲布袋除尘器集分室反吹和脉冲喷吹等诸类收尘器的优点是克服了分室反吹时动能强度不够，过滤与清灰同时进行的缺点，因而使袋式收尘器增加了使用适应性，提高了收尘效率。其工作原理如下：</w:t>
            </w:r>
          </w:p>
          <w:p>
            <w:pPr>
              <w:adjustRightInd w:val="0"/>
              <w:snapToGrid w:val="0"/>
              <w:spacing w:line="360" w:lineRule="auto"/>
              <w:ind w:firstLine="520" w:firstLineChars="200"/>
              <w:rPr>
                <w:bCs/>
                <w:spacing w:val="10"/>
                <w:sz w:val="24"/>
              </w:rPr>
            </w:pPr>
            <w:r>
              <w:rPr>
                <w:bCs/>
                <w:spacing w:val="10"/>
                <w:sz w:val="24"/>
              </w:rPr>
              <w:t>除尘过程：含尘气体经进气口进入除尘器，较大颗粒的粉尘直接落入灰斗，含有微粒粉尘的气体通过滤袋，粉尘被滞留在滤袋外表面，而气体则经净化后由引风机排入大气。</w:t>
            </w:r>
          </w:p>
          <w:p>
            <w:pPr>
              <w:adjustRightInd w:val="0"/>
              <w:snapToGrid w:val="0"/>
              <w:spacing w:line="360" w:lineRule="auto"/>
              <w:ind w:firstLine="520" w:firstLineChars="200"/>
              <w:rPr>
                <w:bCs/>
                <w:spacing w:val="10"/>
                <w:sz w:val="24"/>
              </w:rPr>
            </w:pPr>
            <w:r>
              <w:rPr>
                <w:bCs/>
                <w:spacing w:val="10"/>
                <w:sz w:val="24"/>
              </w:rPr>
              <w:t>清灰过程：随着过滤工作的不断进行，附着在滤袋外表面的粉尘不断增多，除尘器运行阻力增大，某一过滤单元的转换阀关闭，过滤单元停止工作，反吹压缩空气逆向进入过滤单元，吹掉滤袋外表面的粉尘，然后转换阀板打开，该过滤单元重新工作，清灰转向下一过滤单元。整个清灰过程是各个过滤单元轮流交替进行的。</w:t>
            </w:r>
          </w:p>
          <w:p>
            <w:pPr>
              <w:adjustRightInd w:val="0"/>
              <w:snapToGrid w:val="0"/>
              <w:spacing w:line="360" w:lineRule="auto"/>
              <w:ind w:firstLine="520" w:firstLineChars="200"/>
              <w:rPr>
                <w:bCs/>
                <w:spacing w:val="10"/>
                <w:sz w:val="24"/>
              </w:rPr>
            </w:pPr>
            <w:r>
              <w:rPr>
                <w:bCs/>
                <w:spacing w:val="10"/>
                <w:sz w:val="24"/>
              </w:rPr>
              <w:t>脉冲布袋除尘器具有以下特点：除尘效率可达</w:t>
            </w:r>
            <w:r>
              <w:rPr>
                <w:bCs/>
                <w:color w:val="0000FF"/>
                <w:spacing w:val="10"/>
                <w:sz w:val="24"/>
              </w:rPr>
              <w:t>99</w:t>
            </w:r>
            <w:r>
              <w:rPr>
                <w:bCs/>
                <w:spacing w:val="10"/>
                <w:sz w:val="24"/>
              </w:rPr>
              <w:t>%以上，粉尘排放可控制在</w:t>
            </w:r>
            <w:r>
              <w:rPr>
                <w:rFonts w:hint="eastAsia"/>
                <w:bCs/>
                <w:color w:val="0000FF"/>
                <w:spacing w:val="10"/>
                <w:sz w:val="24"/>
              </w:rPr>
              <w:t>30</w:t>
            </w:r>
            <w:r>
              <w:rPr>
                <w:bCs/>
                <w:spacing w:val="10"/>
                <w:sz w:val="24"/>
              </w:rPr>
              <w:t>mg/m</w:t>
            </w:r>
            <w:r>
              <w:rPr>
                <w:bCs/>
                <w:spacing w:val="10"/>
                <w:sz w:val="24"/>
                <w:vertAlign w:val="superscript"/>
              </w:rPr>
              <w:t>3</w:t>
            </w:r>
            <w:r>
              <w:rPr>
                <w:rFonts w:hint="eastAsia"/>
                <w:bCs/>
                <w:spacing w:val="10"/>
                <w:sz w:val="24"/>
              </w:rPr>
              <w:t>以内</w:t>
            </w:r>
            <w:r>
              <w:rPr>
                <w:bCs/>
                <w:spacing w:val="10"/>
                <w:sz w:val="24"/>
              </w:rPr>
              <w:t>；可处理高浓度含尘气体；密封性能好，漏风系数小于2%；性能稳定，自动化程度高，日常维护简单便于管理。</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②</w:t>
            </w:r>
            <w:r>
              <w:rPr>
                <w:rFonts w:hint="eastAsia"/>
                <w:bCs/>
                <w:spacing w:val="10"/>
                <w:sz w:val="24"/>
              </w:rPr>
              <w:t>加工区整体搭建为彩钢密闭厂房，仅留运料进出口，除物料进出时段外，仓门关闭；破碎站卸料口三面围挡，设置为半封闭，其他区域仅留检修通道，生产期间均关闭</w:t>
            </w:r>
            <w:r>
              <w:rPr>
                <w:rFonts w:hint="eastAsia"/>
                <w:bCs/>
                <w:sz w:val="24"/>
              </w:rPr>
              <w:t>。</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③</w:t>
            </w:r>
            <w:r>
              <w:rPr>
                <w:rFonts w:hint="eastAsia"/>
                <w:bCs/>
                <w:spacing w:val="10"/>
                <w:sz w:val="24"/>
              </w:rPr>
              <w:t>破碎站一破设备进料口、主要生产设备周边、仓库内堆料场下料区（装车点）等区域设置喷淋（雾）装置喷雾抑尘。</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④</w:t>
            </w:r>
            <w:r>
              <w:rPr>
                <w:bCs/>
                <w:spacing w:val="10"/>
                <w:sz w:val="24"/>
              </w:rPr>
              <w:t>在</w:t>
            </w:r>
            <w:r>
              <w:rPr>
                <w:rFonts w:hint="eastAsia"/>
                <w:bCs/>
                <w:spacing w:val="10"/>
                <w:sz w:val="24"/>
              </w:rPr>
              <w:t>加工区</w:t>
            </w:r>
            <w:r>
              <w:rPr>
                <w:bCs/>
                <w:spacing w:val="10"/>
                <w:sz w:val="24"/>
              </w:rPr>
              <w:t>周边种植一些滞尘性较强的树种，如桑树、刺槐等。</w:t>
            </w:r>
          </w:p>
          <w:p>
            <w:pPr>
              <w:adjustRightInd w:val="0"/>
              <w:snapToGrid w:val="0"/>
              <w:spacing w:line="360" w:lineRule="auto"/>
              <w:ind w:firstLine="520" w:firstLineChars="200"/>
              <w:rPr>
                <w:bCs/>
                <w:spacing w:val="10"/>
                <w:sz w:val="24"/>
              </w:rPr>
            </w:pPr>
            <w:r>
              <w:rPr>
                <w:bCs/>
                <w:spacing w:val="10"/>
                <w:sz w:val="24"/>
              </w:rPr>
              <w:t>3）排土场</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①</w:t>
            </w:r>
            <w:r>
              <w:rPr>
                <w:bCs/>
                <w:spacing w:val="10"/>
                <w:sz w:val="24"/>
              </w:rPr>
              <w:t>表层剥离物在排土场场内堆放后，进行压实处理，采用洒水车定期洒水；</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②</w:t>
            </w:r>
            <w:r>
              <w:rPr>
                <w:bCs/>
                <w:spacing w:val="10"/>
                <w:sz w:val="24"/>
              </w:rPr>
              <w:t>长期（如3个月以上）不使用时，对表层使用帆布简易覆盖或撒播草籽临时复绿。</w:t>
            </w:r>
          </w:p>
          <w:p>
            <w:pPr>
              <w:adjustRightInd w:val="0"/>
              <w:snapToGrid w:val="0"/>
              <w:spacing w:line="360" w:lineRule="auto"/>
              <w:ind w:firstLine="520" w:firstLineChars="200"/>
              <w:rPr>
                <w:bCs/>
                <w:spacing w:val="10"/>
                <w:sz w:val="24"/>
              </w:rPr>
            </w:pPr>
            <w:r>
              <w:rPr>
                <w:bCs/>
                <w:spacing w:val="10"/>
                <w:sz w:val="24"/>
              </w:rPr>
              <w:t>4）运输道路</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①</w:t>
            </w:r>
            <w:r>
              <w:rPr>
                <w:bCs/>
                <w:spacing w:val="10"/>
                <w:sz w:val="24"/>
              </w:rPr>
              <w:t>使用洒水车定期对</w:t>
            </w:r>
            <w:r>
              <w:rPr>
                <w:rFonts w:hint="eastAsia"/>
                <w:bCs/>
                <w:spacing w:val="10"/>
                <w:sz w:val="24"/>
              </w:rPr>
              <w:t>场内运输</w:t>
            </w:r>
            <w:r>
              <w:rPr>
                <w:kern w:val="0"/>
                <w:sz w:val="24"/>
              </w:rPr>
              <w:t>道路及场外运输道路进行</w:t>
            </w:r>
            <w:r>
              <w:rPr>
                <w:bCs/>
                <w:spacing w:val="10"/>
                <w:sz w:val="24"/>
              </w:rPr>
              <w:t>洒水降尘。洒水次数及用水量根据天气情况和扬尘产生情况确定，减少风力扬尘和运输过程中扬尘的产生。</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②</w:t>
            </w:r>
            <w:r>
              <w:rPr>
                <w:bCs/>
                <w:spacing w:val="10"/>
                <w:sz w:val="24"/>
              </w:rPr>
              <w:t>设置高压水枪对进出矿区的运输车辆进行冲洗。</w:t>
            </w:r>
          </w:p>
          <w:p>
            <w:pPr>
              <w:adjustRightInd w:val="0"/>
              <w:snapToGrid w:val="0"/>
              <w:spacing w:line="360" w:lineRule="auto"/>
              <w:ind w:firstLine="520" w:firstLineChars="200"/>
              <w:rPr>
                <w:rFonts w:hint="eastAsia" w:ascii="宋体" w:hAnsi="宋体" w:cs="宋体"/>
                <w:bCs/>
                <w:spacing w:val="10"/>
                <w:sz w:val="24"/>
              </w:rPr>
            </w:pPr>
            <w:r>
              <w:rPr>
                <w:rFonts w:hint="eastAsia" w:ascii="宋体" w:hAnsi="宋体" w:cs="宋体"/>
                <w:bCs/>
                <w:spacing w:val="10"/>
                <w:sz w:val="24"/>
              </w:rPr>
              <w:t>③对矿区范围外的场内运输道路进行硬化。</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④</w:t>
            </w:r>
            <w:r>
              <w:rPr>
                <w:bCs/>
                <w:spacing w:val="10"/>
                <w:sz w:val="24"/>
              </w:rPr>
              <w:t>安排专人维护矿区运输道路的清洁，减少粉尘的沉积量；加强运输道路的维护保养，确保路况良好；加强运输车辆的管理，严禁超速超载。</w:t>
            </w:r>
          </w:p>
          <w:p>
            <w:pPr>
              <w:adjustRightInd w:val="0"/>
              <w:snapToGrid w:val="0"/>
              <w:spacing w:line="360" w:lineRule="auto"/>
              <w:ind w:firstLine="520" w:firstLineChars="200"/>
              <w:rPr>
                <w:bCs/>
                <w:spacing w:val="10"/>
                <w:sz w:val="24"/>
              </w:rPr>
            </w:pPr>
            <w:r>
              <w:rPr>
                <w:bCs/>
                <w:spacing w:val="10"/>
                <w:sz w:val="24"/>
              </w:rPr>
              <w:t>5）其他</w:t>
            </w:r>
          </w:p>
          <w:p>
            <w:pPr>
              <w:adjustRightInd w:val="0"/>
              <w:snapToGrid w:val="0"/>
              <w:spacing w:line="360" w:lineRule="auto"/>
              <w:ind w:firstLine="520" w:firstLineChars="200"/>
              <w:rPr>
                <w:bCs/>
                <w:spacing w:val="10"/>
                <w:sz w:val="24"/>
              </w:rPr>
            </w:pPr>
            <w:r>
              <w:rPr>
                <w:bCs/>
                <w:spacing w:val="10"/>
                <w:sz w:val="24"/>
              </w:rPr>
              <w:t>根据《重庆市大气污染防治条例》（2018年7月26日修正）：建设单位还应完善以下大气污染防治措施：应当建立大气环境保护责任制度，明确单位负责人和相关人员的责任。有关责任人在履行本单位岗位职责的同时，应当履行大气污染防治相关职责。应当按照国家和本市有关规定执行排污申报和排污许可制度，设置大气污染物排放口，并保持大气污染防治设施的正常使用。</w:t>
            </w:r>
          </w:p>
          <w:p>
            <w:pPr>
              <w:adjustRightInd w:val="0"/>
              <w:snapToGrid w:val="0"/>
              <w:spacing w:line="360" w:lineRule="auto"/>
              <w:ind w:firstLine="522" w:firstLineChars="200"/>
              <w:rPr>
                <w:b/>
                <w:bCs/>
                <w:spacing w:val="10"/>
                <w:sz w:val="24"/>
              </w:rPr>
            </w:pPr>
            <w:r>
              <w:rPr>
                <w:b/>
                <w:bCs/>
                <w:spacing w:val="10"/>
                <w:sz w:val="24"/>
              </w:rPr>
              <w:t>（2）地表水污染防治措施</w:t>
            </w:r>
          </w:p>
          <w:p>
            <w:pPr>
              <w:adjustRightInd w:val="0"/>
              <w:snapToGrid w:val="0"/>
              <w:spacing w:line="360" w:lineRule="auto"/>
              <w:ind w:firstLine="520" w:firstLineChars="200"/>
              <w:rPr>
                <w:bCs/>
                <w:spacing w:val="10"/>
                <w:sz w:val="24"/>
              </w:rPr>
            </w:pPr>
            <w:r>
              <w:rPr>
                <w:bCs/>
                <w:spacing w:val="10"/>
                <w:sz w:val="24"/>
              </w:rPr>
              <w:t>1）</w:t>
            </w:r>
            <w:r>
              <w:rPr>
                <w:rFonts w:hint="eastAsia"/>
                <w:sz w:val="24"/>
              </w:rPr>
              <w:t>在地磅称东侧</w:t>
            </w:r>
            <w:r>
              <w:rPr>
                <w:sz w:val="24"/>
              </w:rPr>
              <w:t>设容积约</w:t>
            </w:r>
            <w:r>
              <w:rPr>
                <w:rFonts w:hint="eastAsia"/>
                <w:sz w:val="24"/>
              </w:rPr>
              <w:t>20</w:t>
            </w:r>
            <w:r>
              <w:rPr>
                <w:sz w:val="24"/>
              </w:rPr>
              <w:t>m</w:t>
            </w:r>
            <w:r>
              <w:rPr>
                <w:sz w:val="24"/>
                <w:vertAlign w:val="superscript"/>
              </w:rPr>
              <w:t>3</w:t>
            </w:r>
            <w:r>
              <w:rPr>
                <w:rFonts w:hint="eastAsia"/>
                <w:sz w:val="24"/>
              </w:rPr>
              <w:t>的</w:t>
            </w:r>
            <w:r>
              <w:rPr>
                <w:rFonts w:ascii="宋体" w:hAnsi="宋体"/>
                <w:sz w:val="24"/>
              </w:rPr>
              <w:t>“</w:t>
            </w:r>
            <w:r>
              <w:rPr>
                <w:sz w:val="24"/>
              </w:rPr>
              <w:t>U型</w:t>
            </w:r>
            <w:r>
              <w:rPr>
                <w:rFonts w:ascii="宋体" w:hAnsi="宋体"/>
                <w:sz w:val="24"/>
              </w:rPr>
              <w:t>”</w:t>
            </w:r>
            <w:r>
              <w:rPr>
                <w:sz w:val="24"/>
              </w:rPr>
              <w:t>车辆冲洗池</w:t>
            </w:r>
            <w:r>
              <w:rPr>
                <w:rFonts w:hint="eastAsia"/>
                <w:sz w:val="24"/>
              </w:rPr>
              <w:t>，场内</w:t>
            </w:r>
            <w:r>
              <w:rPr>
                <w:sz w:val="24"/>
              </w:rPr>
              <w:t>运输车辆</w:t>
            </w:r>
            <w:r>
              <w:rPr>
                <w:rFonts w:hint="eastAsia"/>
                <w:sz w:val="24"/>
              </w:rPr>
              <w:t>于</w:t>
            </w:r>
            <w:r>
              <w:rPr>
                <w:rFonts w:ascii="宋体" w:hAnsi="宋体"/>
                <w:sz w:val="24"/>
              </w:rPr>
              <w:t>“</w:t>
            </w:r>
            <w:r>
              <w:rPr>
                <w:sz w:val="24"/>
              </w:rPr>
              <w:t>U型</w:t>
            </w:r>
            <w:r>
              <w:rPr>
                <w:rFonts w:ascii="宋体" w:hAnsi="宋体"/>
                <w:sz w:val="24"/>
              </w:rPr>
              <w:t>”</w:t>
            </w:r>
            <w:r>
              <w:rPr>
                <w:sz w:val="24"/>
              </w:rPr>
              <w:t>车辆冲洗池</w:t>
            </w:r>
            <w:r>
              <w:rPr>
                <w:rFonts w:hint="eastAsia"/>
                <w:sz w:val="24"/>
              </w:rPr>
              <w:t>内冲洗后，</w:t>
            </w:r>
            <w:r>
              <w:rPr>
                <w:sz w:val="24"/>
              </w:rPr>
              <w:t>所产生的冲洗废水经冲洗池沉淀处理后循环使用</w:t>
            </w:r>
            <w:r>
              <w:rPr>
                <w:bCs/>
                <w:spacing w:val="10"/>
                <w:sz w:val="24"/>
              </w:rPr>
              <w:t>。</w:t>
            </w:r>
          </w:p>
          <w:p>
            <w:pPr>
              <w:adjustRightInd w:val="0"/>
              <w:snapToGrid w:val="0"/>
              <w:spacing w:line="360" w:lineRule="auto"/>
              <w:ind w:firstLine="520" w:firstLineChars="200"/>
              <w:rPr>
                <w:bCs/>
                <w:spacing w:val="10"/>
                <w:sz w:val="24"/>
              </w:rPr>
            </w:pPr>
            <w:r>
              <w:rPr>
                <w:bCs/>
                <w:spacing w:val="10"/>
                <w:sz w:val="24"/>
              </w:rPr>
              <w:t>2）</w:t>
            </w:r>
            <w:r>
              <w:rPr>
                <w:rFonts w:hint="eastAsia"/>
                <w:sz w:val="24"/>
              </w:rPr>
              <w:t>原</w:t>
            </w:r>
            <w:r>
              <w:rPr>
                <w:sz w:val="24"/>
              </w:rPr>
              <w:t>项目</w:t>
            </w:r>
            <w:r>
              <w:rPr>
                <w:rFonts w:hint="eastAsia"/>
                <w:sz w:val="24"/>
              </w:rPr>
              <w:t>已</w:t>
            </w:r>
            <w:r>
              <w:rPr>
                <w:sz w:val="24"/>
              </w:rPr>
              <w:t>于</w:t>
            </w:r>
            <w:r>
              <w:rPr>
                <w:rFonts w:hint="eastAsia"/>
                <w:sz w:val="24"/>
              </w:rPr>
              <w:t>卫生间下方</w:t>
            </w:r>
            <w:r>
              <w:rPr>
                <w:sz w:val="24"/>
              </w:rPr>
              <w:t>设置</w:t>
            </w:r>
            <w:r>
              <w:rPr>
                <w:rFonts w:hint="eastAsia"/>
                <w:sz w:val="24"/>
              </w:rPr>
              <w:t>了</w:t>
            </w:r>
            <w:r>
              <w:rPr>
                <w:sz w:val="24"/>
              </w:rPr>
              <w:t>30m</w:t>
            </w:r>
            <w:r>
              <w:rPr>
                <w:sz w:val="24"/>
                <w:vertAlign w:val="superscript"/>
              </w:rPr>
              <w:t>3</w:t>
            </w:r>
            <w:r>
              <w:rPr>
                <w:rFonts w:hint="eastAsia"/>
                <w:sz w:val="24"/>
              </w:rPr>
              <w:t>的</w:t>
            </w:r>
            <w:r>
              <w:rPr>
                <w:sz w:val="24"/>
              </w:rPr>
              <w:t>化粪池，</w:t>
            </w:r>
            <w:r>
              <w:rPr>
                <w:rFonts w:hint="eastAsia"/>
                <w:sz w:val="24"/>
              </w:rPr>
              <w:t>拟建项目依托使用，</w:t>
            </w:r>
            <w:r>
              <w:rPr>
                <w:sz w:val="24"/>
              </w:rPr>
              <w:t>职工生活污水经化粪池收集后，用作农肥</w:t>
            </w:r>
            <w:r>
              <w:rPr>
                <w:bCs/>
                <w:spacing w:val="10"/>
                <w:sz w:val="24"/>
              </w:rPr>
              <w:t>。</w:t>
            </w:r>
          </w:p>
          <w:p>
            <w:pPr>
              <w:adjustRightInd w:val="0"/>
              <w:snapToGrid w:val="0"/>
              <w:spacing w:line="360" w:lineRule="auto"/>
              <w:ind w:firstLine="520" w:firstLineChars="200"/>
              <w:rPr>
                <w:bCs/>
                <w:spacing w:val="10"/>
                <w:sz w:val="24"/>
              </w:rPr>
            </w:pPr>
            <w:r>
              <w:rPr>
                <w:bCs/>
                <w:spacing w:val="10"/>
                <w:sz w:val="24"/>
              </w:rPr>
              <w:t>3）</w:t>
            </w:r>
            <w:r>
              <w:rPr>
                <w:sz w:val="24"/>
              </w:rPr>
              <w:t>根据区域地势，</w:t>
            </w:r>
            <w:r>
              <w:rPr>
                <w:rFonts w:hint="eastAsia"/>
                <w:sz w:val="24"/>
              </w:rPr>
              <w:t>在矿区西北侧布设约365</w:t>
            </w:r>
            <w:r>
              <w:rPr>
                <w:bCs/>
                <w:sz w:val="24"/>
              </w:rPr>
              <w:t>m截洪沟</w:t>
            </w:r>
            <w:r>
              <w:rPr>
                <w:rFonts w:hint="eastAsia"/>
                <w:bCs/>
                <w:sz w:val="24"/>
              </w:rPr>
              <w:t>，截挡外部雨水；在矿区其他侧、场内运输道路单边、工业广场东侧及南侧共布设约9</w:t>
            </w:r>
            <w:r>
              <w:rPr>
                <w:bCs/>
                <w:sz w:val="24"/>
              </w:rPr>
              <w:t>00m排水沟</w:t>
            </w:r>
            <w:r>
              <w:rPr>
                <w:rFonts w:hint="eastAsia"/>
                <w:bCs/>
                <w:sz w:val="24"/>
              </w:rPr>
              <w:t>，</w:t>
            </w:r>
            <w:r>
              <w:rPr>
                <w:bCs/>
                <w:sz w:val="24"/>
              </w:rPr>
              <w:t>排水沟</w:t>
            </w:r>
            <w:r>
              <w:rPr>
                <w:rFonts w:hint="eastAsia"/>
                <w:bCs/>
                <w:sz w:val="24"/>
              </w:rPr>
              <w:t>末端可</w:t>
            </w:r>
            <w:r>
              <w:rPr>
                <w:rFonts w:hint="eastAsia"/>
                <w:sz w:val="24"/>
              </w:rPr>
              <w:t>设一切换阀，一端接入110m</w:t>
            </w:r>
            <w:r>
              <w:rPr>
                <w:sz w:val="24"/>
                <w:vertAlign w:val="superscript"/>
              </w:rPr>
              <w:t>3</w:t>
            </w:r>
            <w:r>
              <w:rPr>
                <w:rFonts w:hint="eastAsia"/>
                <w:sz w:val="24"/>
              </w:rPr>
              <w:t>雨水沉淀池，</w:t>
            </w:r>
            <w:r>
              <w:rPr>
                <w:rFonts w:hint="eastAsia"/>
                <w:bCs/>
                <w:sz w:val="24"/>
              </w:rPr>
              <w:t>另一端设排水沟连接至厂区外，可人工或自动化切换，以收集厂区初期雨水，导排厂区后期澄清雨水。</w:t>
            </w:r>
            <w:r>
              <w:rPr>
                <w:rFonts w:hint="eastAsia"/>
                <w:sz w:val="24"/>
              </w:rPr>
              <w:t>为更好导排雨水，沉淀泥沙，避免沟道堵塞，在截排水沟转折及交汇点共设置3个容积为1</w:t>
            </w:r>
            <w:r>
              <w:rPr>
                <w:sz w:val="24"/>
              </w:rPr>
              <w:t>m</w:t>
            </w:r>
            <w:r>
              <w:rPr>
                <w:sz w:val="24"/>
                <w:vertAlign w:val="superscript"/>
              </w:rPr>
              <w:t>3</w:t>
            </w:r>
            <w:r>
              <w:rPr>
                <w:rFonts w:hint="eastAsia"/>
                <w:sz w:val="24"/>
              </w:rPr>
              <w:t>的沉砂凼调节雨水流速并初步沉淀雨水中的泥沙</w:t>
            </w:r>
            <w:r>
              <w:rPr>
                <w:sz w:val="24"/>
              </w:rPr>
              <w:t>。项目</w:t>
            </w:r>
            <w:r>
              <w:rPr>
                <w:rFonts w:hint="eastAsia"/>
                <w:sz w:val="24"/>
              </w:rPr>
              <w:t>厂区</w:t>
            </w:r>
            <w:r>
              <w:rPr>
                <w:sz w:val="24"/>
              </w:rPr>
              <w:t>初期雨水经雨水沉淀池沉淀后用于</w:t>
            </w:r>
            <w:r>
              <w:rPr>
                <w:rFonts w:hint="eastAsia"/>
                <w:sz w:val="24"/>
              </w:rPr>
              <w:t>厂区洒水抑尘</w:t>
            </w:r>
            <w:r>
              <w:rPr>
                <w:bCs/>
                <w:spacing w:val="10"/>
                <w:sz w:val="24"/>
              </w:rPr>
              <w:t>。</w:t>
            </w:r>
          </w:p>
          <w:p>
            <w:pPr>
              <w:adjustRightInd w:val="0"/>
              <w:snapToGrid w:val="0"/>
              <w:spacing w:line="360" w:lineRule="auto"/>
              <w:ind w:firstLine="522" w:firstLineChars="200"/>
              <w:rPr>
                <w:b/>
                <w:bCs/>
                <w:spacing w:val="10"/>
                <w:sz w:val="24"/>
              </w:rPr>
            </w:pPr>
            <w:r>
              <w:rPr>
                <w:b/>
                <w:bCs/>
                <w:spacing w:val="10"/>
                <w:sz w:val="24"/>
              </w:rPr>
              <w:t>（3）噪声污染防治措施</w:t>
            </w:r>
          </w:p>
          <w:p>
            <w:pPr>
              <w:adjustRightInd w:val="0"/>
              <w:snapToGrid w:val="0"/>
              <w:spacing w:line="360" w:lineRule="auto"/>
              <w:ind w:firstLine="520" w:firstLineChars="200"/>
              <w:rPr>
                <w:bCs/>
                <w:spacing w:val="10"/>
                <w:sz w:val="24"/>
              </w:rPr>
            </w:pPr>
            <w:r>
              <w:rPr>
                <w:bCs/>
                <w:spacing w:val="10"/>
                <w:sz w:val="24"/>
              </w:rPr>
              <w:t>1）采区</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①</w:t>
            </w:r>
            <w:r>
              <w:rPr>
                <w:bCs/>
                <w:spacing w:val="10"/>
                <w:sz w:val="24"/>
              </w:rPr>
              <w:t>在满足生产需要的前提下，尽量选用噪声低、振动小、能耗低的先进设备，矿山的开采需避开周边居民点的休息时段；</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②</w:t>
            </w:r>
            <w:r>
              <w:rPr>
                <w:bCs/>
                <w:spacing w:val="10"/>
                <w:sz w:val="24"/>
              </w:rPr>
              <w:t>注意机械保养，发放防声耳塞、头盔等，对工人进行自身保护等；</w:t>
            </w:r>
          </w:p>
          <w:p>
            <w:pPr>
              <w:adjustRightInd w:val="0"/>
              <w:snapToGrid w:val="0"/>
              <w:spacing w:line="360" w:lineRule="auto"/>
              <w:ind w:firstLine="520" w:firstLineChars="200"/>
              <w:rPr>
                <w:sz w:val="24"/>
              </w:rPr>
            </w:pPr>
            <w:r>
              <w:rPr>
                <w:rFonts w:hint="eastAsia" w:ascii="宋体" w:hAnsi="宋体" w:cs="宋体"/>
                <w:bCs/>
                <w:spacing w:val="10"/>
                <w:sz w:val="24"/>
              </w:rPr>
              <w:t>③</w:t>
            </w:r>
            <w:r>
              <w:rPr>
                <w:sz w:val="24"/>
              </w:rPr>
              <w:t>采用先进的多排孔深层微差爆破，爆破的地震效应、空气冲击波效应低于允许的限值，最大限度地降低了爆破产生的噪声影响。</w:t>
            </w:r>
          </w:p>
          <w:p>
            <w:pPr>
              <w:adjustRightInd w:val="0"/>
              <w:snapToGrid w:val="0"/>
              <w:spacing w:line="360" w:lineRule="auto"/>
              <w:ind w:firstLine="480" w:firstLineChars="200"/>
              <w:rPr>
                <w:bCs/>
                <w:spacing w:val="10"/>
                <w:sz w:val="24"/>
              </w:rPr>
            </w:pPr>
            <w:r>
              <w:rPr>
                <w:rFonts w:hint="eastAsia" w:ascii="宋体" w:hAnsi="宋体" w:cs="宋体"/>
                <w:sz w:val="24"/>
              </w:rPr>
              <w:t>④</w:t>
            </w:r>
            <w:r>
              <w:rPr>
                <w:sz w:val="24"/>
              </w:rPr>
              <w:t>严格落实厂区生产工作制度，上午工作时段为</w:t>
            </w:r>
            <w:r>
              <w:rPr>
                <w:kern w:val="0"/>
                <w:sz w:val="24"/>
              </w:rPr>
              <w:t>8:00~12:00</w:t>
            </w:r>
            <w:r>
              <w:rPr>
                <w:sz w:val="24"/>
              </w:rPr>
              <w:t>，下午工作时段为14：00~18:00，每日8小时工作制，夜间严格禁止生产，合理安排爆破及机械作业时间，需避开周围居民的休息时段，爆破应集中在上午9:30~10:30的时间段，同时需作好宣传解释工作，尽量取得公众的谅解</w:t>
            </w:r>
            <w:r>
              <w:rPr>
                <w:bCs/>
                <w:spacing w:val="10"/>
                <w:sz w:val="24"/>
              </w:rPr>
              <w:t>。此外，矿山生产制度为300天/年，其停产休息时段应尽量与节假日重合，因厂区开采期间会导致区域车流量增大，本次评价要求，中考、高考时段，拟建项目应停产以履行社会责任。</w:t>
            </w:r>
          </w:p>
          <w:p>
            <w:pPr>
              <w:adjustRightInd w:val="0"/>
              <w:snapToGrid w:val="0"/>
              <w:spacing w:line="360" w:lineRule="auto"/>
              <w:ind w:firstLine="520" w:firstLineChars="200"/>
              <w:rPr>
                <w:bCs/>
                <w:spacing w:val="10"/>
                <w:sz w:val="24"/>
              </w:rPr>
            </w:pPr>
            <w:r>
              <w:rPr>
                <w:bCs/>
                <w:spacing w:val="10"/>
                <w:sz w:val="24"/>
              </w:rPr>
              <w:t>2）</w:t>
            </w:r>
            <w:r>
              <w:rPr>
                <w:rFonts w:hint="eastAsia"/>
                <w:bCs/>
                <w:spacing w:val="10"/>
                <w:sz w:val="24"/>
              </w:rPr>
              <w:t>加工区、空压机房</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①</w:t>
            </w:r>
            <w:r>
              <w:rPr>
                <w:bCs/>
                <w:spacing w:val="10"/>
                <w:sz w:val="24"/>
              </w:rPr>
              <w:t>购置低噪声设备，破碎、筛分</w:t>
            </w:r>
            <w:r>
              <w:rPr>
                <w:rFonts w:hint="eastAsia"/>
                <w:bCs/>
                <w:spacing w:val="10"/>
                <w:sz w:val="24"/>
              </w:rPr>
              <w:t>、空压机</w:t>
            </w:r>
            <w:r>
              <w:rPr>
                <w:bCs/>
                <w:spacing w:val="10"/>
                <w:sz w:val="24"/>
              </w:rPr>
              <w:t>等生产设备基础加装减振垫。</w:t>
            </w:r>
          </w:p>
          <w:p>
            <w:pPr>
              <w:adjustRightInd w:val="0"/>
              <w:snapToGrid w:val="0"/>
              <w:spacing w:line="360" w:lineRule="auto"/>
              <w:ind w:firstLine="480" w:firstLineChars="200"/>
              <w:rPr>
                <w:sz w:val="24"/>
              </w:rPr>
            </w:pPr>
            <w:r>
              <w:rPr>
                <w:rFonts w:hint="eastAsia"/>
                <w:sz w:val="24"/>
              </w:rPr>
              <w:t>②</w:t>
            </w:r>
            <w:r>
              <w:rPr>
                <w:sz w:val="24"/>
              </w:rPr>
              <w:t>破碎、筛分设备</w:t>
            </w:r>
            <w:r>
              <w:rPr>
                <w:rFonts w:hint="eastAsia"/>
                <w:sz w:val="24"/>
              </w:rPr>
              <w:t>置于钢架厂房内，加工区厂房南侧整体悬挂10cm厚隔声屏障，实现局部厂房+隔声屏隔声；空压机房为砖混结构，实现建筑隔声。</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③</w:t>
            </w:r>
            <w:r>
              <w:rPr>
                <w:bCs/>
                <w:spacing w:val="10"/>
                <w:sz w:val="24"/>
              </w:rPr>
              <w:t>合理布置生产设备，远离居民敏感点一侧，同时加强与居民点居民的沟通，取得居民的支持，尽量减轻对居民点的影响。</w:t>
            </w:r>
          </w:p>
          <w:p>
            <w:pPr>
              <w:adjustRightInd w:val="0"/>
              <w:snapToGrid w:val="0"/>
              <w:spacing w:line="360" w:lineRule="auto"/>
              <w:ind w:firstLine="520" w:firstLineChars="200"/>
              <w:rPr>
                <w:bCs/>
                <w:spacing w:val="10"/>
                <w:sz w:val="24"/>
              </w:rPr>
            </w:pPr>
            <w:r>
              <w:rPr>
                <w:rFonts w:hint="eastAsia"/>
                <w:bCs/>
                <w:spacing w:val="10"/>
                <w:sz w:val="24"/>
              </w:rPr>
              <w:t>④</w:t>
            </w:r>
            <w:r>
              <w:rPr>
                <w:bCs/>
                <w:spacing w:val="10"/>
                <w:sz w:val="24"/>
              </w:rPr>
              <w:t>加强生产设备管理，定期检修、维护和保养等。</w:t>
            </w:r>
          </w:p>
          <w:p>
            <w:pPr>
              <w:adjustRightInd w:val="0"/>
              <w:snapToGrid w:val="0"/>
              <w:spacing w:line="360" w:lineRule="auto"/>
              <w:ind w:firstLine="520" w:firstLineChars="200"/>
              <w:rPr>
                <w:bCs/>
                <w:spacing w:val="10"/>
                <w:sz w:val="24"/>
              </w:rPr>
            </w:pPr>
            <w:r>
              <w:rPr>
                <w:rFonts w:hint="eastAsia"/>
                <w:bCs/>
                <w:spacing w:val="10"/>
                <w:sz w:val="24"/>
              </w:rPr>
              <w:t>⑤针对隔声屏障材质，市面上种类较多，建设单位可灵活选择室内隔声效率不低于25dB(A)、室外隔声效率不低于15dB(A)的隔声屏障，本次评价推荐的10cm厚隔声屏障，建设单位可参考使用，其材质如下：</w:t>
            </w:r>
          </w:p>
          <w:p>
            <w:pPr>
              <w:adjustRightInd w:val="0"/>
              <w:snapToGrid w:val="0"/>
              <w:spacing w:line="360" w:lineRule="auto"/>
              <w:ind w:firstLine="520" w:firstLineChars="200"/>
              <w:rPr>
                <w:bCs/>
                <w:spacing w:val="10"/>
                <w:sz w:val="24"/>
              </w:rPr>
            </w:pPr>
            <w:r>
              <w:rPr>
                <w:rFonts w:hint="eastAsia"/>
                <w:bCs/>
                <w:spacing w:val="10"/>
                <w:sz w:val="24"/>
              </w:rPr>
              <w:t>10cm厚隔声屏障材质为彩钢复合板，该复合板共三层，外两层为彩钢板，起到固定、支撑作用；中间夹65mm厚吸声复合隔音板（从声源方向外分别为20mm玻镁板、5mm隔音毡、10mm硅酸钙板、30mm隔声棉）。</w:t>
            </w:r>
          </w:p>
          <w:p>
            <w:pPr>
              <w:adjustRightInd w:val="0"/>
              <w:snapToGrid w:val="0"/>
              <w:spacing w:line="360" w:lineRule="auto"/>
              <w:jc w:val="center"/>
              <w:rPr>
                <w:bCs/>
                <w:spacing w:val="10"/>
                <w:sz w:val="24"/>
              </w:rPr>
            </w:pPr>
            <w:r>
              <w:drawing>
                <wp:inline distT="0" distB="0" distL="0" distR="0">
                  <wp:extent cx="3437890" cy="3021330"/>
                  <wp:effectExtent l="0" t="0" r="0" b="7620"/>
                  <wp:docPr id="5987403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40393" name="图片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437890" cy="3021330"/>
                          </a:xfrm>
                          <a:prstGeom prst="rect">
                            <a:avLst/>
                          </a:prstGeom>
                          <a:noFill/>
                          <a:ln>
                            <a:noFill/>
                          </a:ln>
                        </pic:spPr>
                      </pic:pic>
                    </a:graphicData>
                  </a:graphic>
                </wp:inline>
              </w:drawing>
            </w:r>
          </w:p>
          <w:p>
            <w:pPr>
              <w:adjustRightInd w:val="0"/>
              <w:snapToGrid w:val="0"/>
              <w:spacing w:line="360" w:lineRule="auto"/>
              <w:jc w:val="center"/>
              <w:rPr>
                <w:b/>
                <w:spacing w:val="10"/>
                <w:sz w:val="24"/>
              </w:rPr>
            </w:pPr>
            <w:r>
              <w:rPr>
                <w:rFonts w:hint="eastAsia"/>
                <w:b/>
                <w:spacing w:val="10"/>
                <w:sz w:val="24"/>
              </w:rPr>
              <w:t>图5-1  隔声屏障材质结构简图</w:t>
            </w:r>
          </w:p>
          <w:p>
            <w:pPr>
              <w:adjustRightInd w:val="0"/>
              <w:snapToGrid w:val="0"/>
              <w:spacing w:line="360" w:lineRule="auto"/>
              <w:ind w:firstLine="520" w:firstLineChars="200"/>
              <w:rPr>
                <w:bCs/>
                <w:spacing w:val="10"/>
                <w:sz w:val="24"/>
              </w:rPr>
            </w:pPr>
            <w:r>
              <w:rPr>
                <w:rFonts w:hint="eastAsia"/>
                <w:bCs/>
                <w:spacing w:val="10"/>
                <w:sz w:val="24"/>
              </w:rPr>
              <w:t>厂房南侧悬挂隔声屏障的噪声治理可行性分析：</w:t>
            </w:r>
          </w:p>
          <w:p>
            <w:pPr>
              <w:adjustRightInd w:val="0"/>
              <w:snapToGrid w:val="0"/>
              <w:spacing w:line="360" w:lineRule="auto"/>
              <w:ind w:firstLine="520" w:firstLineChars="200"/>
              <w:rPr>
                <w:bCs/>
                <w:spacing w:val="10"/>
                <w:sz w:val="24"/>
              </w:rPr>
            </w:pPr>
            <w:r>
              <w:rPr>
                <w:rFonts w:hint="eastAsia"/>
                <w:bCs/>
                <w:spacing w:val="10"/>
                <w:sz w:val="24"/>
              </w:rPr>
              <w:t>本次评价借鉴</w:t>
            </w:r>
            <w:r>
              <w:rPr>
                <w:rFonts w:hint="eastAsia"/>
                <w:bCs/>
                <w:color w:val="0000FF"/>
                <w:spacing w:val="10"/>
                <w:sz w:val="24"/>
              </w:rPr>
              <w:t>《重庆蓉谊商贸有限公司华兴团林采矿场声环境保护措施论证报告》中华兴团林采矿场工业广场噪声治理方案</w:t>
            </w:r>
            <w:r>
              <w:rPr>
                <w:rFonts w:hint="eastAsia"/>
                <w:bCs/>
                <w:spacing w:val="10"/>
                <w:sz w:val="24"/>
              </w:rPr>
              <w:t>：华兴团林采矿场于2022年中旬建成投产，位于重庆市铜梁区华兴镇团林村一社，其工业广场为灰岩碎石破碎加工，工艺为破碎、筛分、传输，设备工艺均与拟建项目类似，其噪声治理措施具有可借鉴性。其在破碎筛分生产设备厂房墙壁在整体悬挂10cm厚隔声屏障的前提下，屋内外隔声值可达25dB(A)以上，悬挂15cm厚隔声屏障的前提下，屋内外隔声值可达30dB(A)以上。</w:t>
            </w:r>
          </w:p>
          <w:p>
            <w:pPr>
              <w:adjustRightInd w:val="0"/>
              <w:snapToGrid w:val="0"/>
              <w:rPr>
                <w:bCs/>
                <w:spacing w:val="10"/>
                <w:sz w:val="24"/>
              </w:rPr>
            </w:pPr>
            <w:r>
              <w:drawing>
                <wp:inline distT="0" distB="0" distL="0" distR="0">
                  <wp:extent cx="2653030" cy="2225040"/>
                  <wp:effectExtent l="0" t="0" r="0" b="3810"/>
                  <wp:docPr id="4308800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80004" name="图片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659739" cy="2230471"/>
                          </a:xfrm>
                          <a:prstGeom prst="rect">
                            <a:avLst/>
                          </a:prstGeom>
                          <a:noFill/>
                          <a:ln>
                            <a:noFill/>
                          </a:ln>
                        </pic:spPr>
                      </pic:pic>
                    </a:graphicData>
                  </a:graphic>
                </wp:inline>
              </w:drawing>
            </w:r>
            <w:r>
              <w:drawing>
                <wp:inline distT="0" distB="0" distL="0" distR="0">
                  <wp:extent cx="2997835" cy="2251710"/>
                  <wp:effectExtent l="0" t="0" r="0" b="0"/>
                  <wp:docPr id="3779805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80500" name="图片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999874" cy="2253007"/>
                          </a:xfrm>
                          <a:prstGeom prst="rect">
                            <a:avLst/>
                          </a:prstGeom>
                          <a:noFill/>
                          <a:ln>
                            <a:noFill/>
                          </a:ln>
                        </pic:spPr>
                      </pic:pic>
                    </a:graphicData>
                  </a:graphic>
                </wp:inline>
              </w:drawing>
            </w:r>
          </w:p>
          <w:p>
            <w:pPr>
              <w:adjustRightInd w:val="0"/>
              <w:snapToGrid w:val="0"/>
              <w:spacing w:line="360" w:lineRule="auto"/>
              <w:jc w:val="center"/>
              <w:rPr>
                <w:b/>
                <w:spacing w:val="10"/>
                <w:sz w:val="24"/>
              </w:rPr>
            </w:pPr>
            <w:r>
              <w:rPr>
                <w:rFonts w:hint="eastAsia"/>
                <w:b/>
                <w:spacing w:val="10"/>
                <w:sz w:val="24"/>
              </w:rPr>
              <w:t>图6-2</w:t>
            </w:r>
            <w:r>
              <w:rPr>
                <w:b/>
                <w:spacing w:val="10"/>
                <w:sz w:val="24"/>
              </w:rPr>
              <w:t xml:space="preserve">  </w:t>
            </w:r>
            <w:r>
              <w:rPr>
                <w:rFonts w:hint="eastAsia"/>
                <w:b/>
                <w:spacing w:val="10"/>
                <w:sz w:val="24"/>
              </w:rPr>
              <w:t>华兴团林采矿场工业广场平面布置及厂房内隔声屏障布置图</w:t>
            </w:r>
          </w:p>
          <w:p>
            <w:pPr>
              <w:adjustRightInd w:val="0"/>
              <w:snapToGrid w:val="0"/>
              <w:spacing w:line="360" w:lineRule="auto"/>
              <w:ind w:firstLine="520" w:firstLineChars="200"/>
              <w:rPr>
                <w:bCs/>
                <w:spacing w:val="10"/>
                <w:sz w:val="24"/>
              </w:rPr>
            </w:pPr>
            <w:r>
              <w:rPr>
                <w:rFonts w:hint="eastAsia"/>
                <w:bCs/>
                <w:spacing w:val="10"/>
                <w:sz w:val="24"/>
              </w:rPr>
              <w:t>对此，拟建项目厂房南侧紧临厂界线，在采用室内悬挂10cm厚隔声屏障的前提下，屋内外隔声值可达25dB(A)以上，可确保生产期间南侧厂界昼间噪声达标排放，具有可操作性。</w:t>
            </w:r>
          </w:p>
          <w:p>
            <w:pPr>
              <w:adjustRightInd w:val="0"/>
              <w:snapToGrid w:val="0"/>
              <w:spacing w:line="360" w:lineRule="auto"/>
              <w:ind w:firstLine="520" w:firstLineChars="200"/>
              <w:rPr>
                <w:bCs/>
                <w:spacing w:val="10"/>
                <w:sz w:val="24"/>
              </w:rPr>
            </w:pPr>
            <w:r>
              <w:rPr>
                <w:bCs/>
                <w:spacing w:val="10"/>
                <w:sz w:val="24"/>
              </w:rPr>
              <w:t>3）运输道路</w:t>
            </w:r>
          </w:p>
          <w:p>
            <w:pPr>
              <w:adjustRightInd w:val="0"/>
              <w:snapToGrid w:val="0"/>
              <w:spacing w:line="360" w:lineRule="auto"/>
              <w:ind w:firstLine="520" w:firstLineChars="200"/>
              <w:rPr>
                <w:bCs/>
                <w:spacing w:val="10"/>
                <w:sz w:val="24"/>
              </w:rPr>
            </w:pPr>
            <w:r>
              <w:rPr>
                <w:bCs/>
                <w:spacing w:val="10"/>
                <w:sz w:val="24"/>
              </w:rPr>
              <w:t>场外运输作业安排在白天进行，车辆经过声环境敏感点时应限速、禁鸣。</w:t>
            </w:r>
          </w:p>
          <w:p>
            <w:pPr>
              <w:adjustRightInd w:val="0"/>
              <w:snapToGrid w:val="0"/>
              <w:spacing w:line="360" w:lineRule="auto"/>
              <w:ind w:firstLine="520" w:firstLineChars="200"/>
              <w:rPr>
                <w:bCs/>
                <w:spacing w:val="10"/>
                <w:sz w:val="24"/>
              </w:rPr>
            </w:pPr>
            <w:r>
              <w:rPr>
                <w:bCs/>
                <w:spacing w:val="10"/>
                <w:sz w:val="24"/>
              </w:rPr>
              <w:t>4）其他</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①</w:t>
            </w:r>
            <w:r>
              <w:rPr>
                <w:bCs/>
                <w:spacing w:val="10"/>
                <w:sz w:val="24"/>
              </w:rPr>
              <w:t>加强作业场区周边的绿化，利用植被林木的散射、吸声、隔声作用，降低作业噪声对环境的影响。</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②</w:t>
            </w:r>
            <w:r>
              <w:rPr>
                <w:bCs/>
                <w:spacing w:val="10"/>
                <w:sz w:val="24"/>
              </w:rPr>
              <w:t>加强对作业人员的环境宣传和教育，要求其认真落实各项降噪措施，做到文明生产。</w:t>
            </w:r>
          </w:p>
          <w:p>
            <w:pPr>
              <w:adjustRightInd w:val="0"/>
              <w:snapToGrid w:val="0"/>
              <w:spacing w:line="360" w:lineRule="auto"/>
              <w:ind w:firstLine="522" w:firstLineChars="200"/>
              <w:rPr>
                <w:b/>
                <w:bCs/>
                <w:spacing w:val="10"/>
                <w:sz w:val="24"/>
              </w:rPr>
            </w:pPr>
            <w:r>
              <w:rPr>
                <w:b/>
                <w:bCs/>
                <w:spacing w:val="10"/>
                <w:sz w:val="24"/>
              </w:rPr>
              <w:t>（4）固废污染防治措施</w:t>
            </w:r>
          </w:p>
          <w:p>
            <w:pPr>
              <w:adjustRightInd w:val="0"/>
              <w:snapToGrid w:val="0"/>
              <w:spacing w:line="360" w:lineRule="auto"/>
              <w:ind w:firstLine="520" w:firstLineChars="200"/>
              <w:rPr>
                <w:bCs/>
                <w:spacing w:val="10"/>
                <w:sz w:val="24"/>
              </w:rPr>
            </w:pPr>
            <w:r>
              <w:rPr>
                <w:bCs/>
                <w:spacing w:val="10"/>
                <w:sz w:val="24"/>
              </w:rPr>
              <w:t>剥离</w:t>
            </w:r>
            <w:r>
              <w:rPr>
                <w:rFonts w:hint="eastAsia"/>
                <w:bCs/>
                <w:spacing w:val="10"/>
                <w:sz w:val="24"/>
              </w:rPr>
              <w:t>表土</w:t>
            </w:r>
            <w:r>
              <w:rPr>
                <w:bCs/>
                <w:spacing w:val="10"/>
                <w:sz w:val="24"/>
              </w:rPr>
              <w:t>：</w:t>
            </w:r>
            <w:r>
              <w:rPr>
                <w:sz w:val="24"/>
              </w:rPr>
              <w:t>开采期间</w:t>
            </w:r>
            <w:r>
              <w:rPr>
                <w:rFonts w:hint="eastAsia"/>
                <w:sz w:val="24"/>
              </w:rPr>
              <w:t>，</w:t>
            </w:r>
            <w:r>
              <w:rPr>
                <w:sz w:val="24"/>
              </w:rPr>
              <w:t>采区</w:t>
            </w:r>
            <w:r>
              <w:rPr>
                <w:rFonts w:hint="eastAsia"/>
                <w:sz w:val="24"/>
              </w:rPr>
              <w:t>采用“边开采、边复垦”的方式进行开采，</w:t>
            </w:r>
            <w:r>
              <w:rPr>
                <w:rFonts w:hint="eastAsia"/>
                <w:color w:val="0000FF"/>
                <w:sz w:val="24"/>
              </w:rPr>
              <w:t>第1台阶剥离</w:t>
            </w:r>
            <w:r>
              <w:rPr>
                <w:color w:val="0000FF"/>
                <w:sz w:val="24"/>
              </w:rPr>
              <w:t>表土</w:t>
            </w:r>
            <w:r>
              <w:rPr>
                <w:rFonts w:hint="eastAsia"/>
                <w:color w:val="0000FF"/>
                <w:sz w:val="24"/>
              </w:rPr>
              <w:t>层中耕作层、心土层分开剥离后，</w:t>
            </w:r>
            <w:r>
              <w:rPr>
                <w:color w:val="0000FF"/>
                <w:sz w:val="24"/>
              </w:rPr>
              <w:t>由车辆运至排土场</w:t>
            </w:r>
            <w:r>
              <w:rPr>
                <w:rFonts w:hint="eastAsia"/>
                <w:color w:val="0000FF"/>
                <w:sz w:val="24"/>
              </w:rPr>
              <w:t>内</w:t>
            </w:r>
            <w:r>
              <w:rPr>
                <w:color w:val="0000FF"/>
                <w:sz w:val="24"/>
              </w:rPr>
              <w:t>临时分区堆存；</w:t>
            </w:r>
            <w:r>
              <w:rPr>
                <w:rFonts w:hint="eastAsia"/>
                <w:color w:val="0000FF"/>
                <w:sz w:val="24"/>
              </w:rPr>
              <w:t>第1台阶剥离</w:t>
            </w:r>
            <w:r>
              <w:rPr>
                <w:color w:val="0000FF"/>
                <w:sz w:val="24"/>
              </w:rPr>
              <w:t>风化废石由车辆运至弃渣场</w:t>
            </w:r>
            <w:r>
              <w:rPr>
                <w:rFonts w:hint="eastAsia"/>
                <w:color w:val="0000FF"/>
                <w:sz w:val="24"/>
              </w:rPr>
              <w:t>内</w:t>
            </w:r>
            <w:r>
              <w:rPr>
                <w:color w:val="0000FF"/>
                <w:sz w:val="24"/>
              </w:rPr>
              <w:t>临时堆存</w:t>
            </w:r>
            <w:r>
              <w:rPr>
                <w:rFonts w:hint="eastAsia"/>
                <w:color w:val="0000FF"/>
                <w:sz w:val="24"/>
              </w:rPr>
              <w:t>。第2~5台阶剥离</w:t>
            </w:r>
            <w:r>
              <w:rPr>
                <w:color w:val="0000FF"/>
                <w:sz w:val="24"/>
              </w:rPr>
              <w:t>表土</w:t>
            </w:r>
            <w:r>
              <w:rPr>
                <w:rFonts w:hint="eastAsia"/>
                <w:color w:val="0000FF"/>
                <w:sz w:val="24"/>
              </w:rPr>
              <w:t>层（耕作层、心土层）</w:t>
            </w:r>
            <w:r>
              <w:rPr>
                <w:color w:val="0000FF"/>
                <w:sz w:val="24"/>
              </w:rPr>
              <w:t>、风化废石</w:t>
            </w:r>
            <w:r>
              <w:rPr>
                <w:rFonts w:hint="eastAsia"/>
                <w:color w:val="0000FF"/>
                <w:sz w:val="24"/>
              </w:rPr>
              <w:t>均优先运至上一台阶绿化覆土（由下至上分别摊铺风化废石、心土层、耕作层），余方再分别</w:t>
            </w:r>
            <w:r>
              <w:rPr>
                <w:color w:val="0000FF"/>
                <w:sz w:val="24"/>
              </w:rPr>
              <w:t>运至</w:t>
            </w:r>
            <w:r>
              <w:rPr>
                <w:rFonts w:hint="eastAsia"/>
                <w:color w:val="0000FF"/>
                <w:sz w:val="24"/>
              </w:rPr>
              <w:t>排土场、弃渣场内</w:t>
            </w:r>
            <w:r>
              <w:rPr>
                <w:color w:val="0000FF"/>
                <w:sz w:val="24"/>
              </w:rPr>
              <w:t>临时堆存</w:t>
            </w:r>
            <w:r>
              <w:rPr>
                <w:rFonts w:hint="eastAsia"/>
                <w:color w:val="0000FF"/>
                <w:sz w:val="24"/>
              </w:rPr>
              <w:t>，</w:t>
            </w:r>
            <w:r>
              <w:rPr>
                <w:sz w:val="24"/>
              </w:rPr>
              <w:t>闭矿期</w:t>
            </w:r>
            <w:r>
              <w:rPr>
                <w:rFonts w:hint="eastAsia"/>
                <w:sz w:val="24"/>
              </w:rPr>
              <w:t>再</w:t>
            </w:r>
            <w:r>
              <w:rPr>
                <w:sz w:val="24"/>
              </w:rPr>
              <w:t>用于</w:t>
            </w:r>
            <w:r>
              <w:rPr>
                <w:rFonts w:hint="eastAsia"/>
                <w:sz w:val="24"/>
              </w:rPr>
              <w:t>全厂绿化复垦</w:t>
            </w:r>
            <w:r>
              <w:rPr>
                <w:bCs/>
                <w:spacing w:val="10"/>
                <w:sz w:val="24"/>
              </w:rPr>
              <w:t>。</w:t>
            </w:r>
          </w:p>
          <w:p>
            <w:pPr>
              <w:adjustRightInd w:val="0"/>
              <w:snapToGrid w:val="0"/>
              <w:spacing w:line="360" w:lineRule="auto"/>
              <w:ind w:firstLine="480" w:firstLineChars="200"/>
              <w:rPr>
                <w:bCs/>
                <w:spacing w:val="10"/>
                <w:sz w:val="24"/>
              </w:rPr>
            </w:pPr>
            <w:r>
              <w:rPr>
                <w:rFonts w:hint="eastAsia"/>
                <w:sz w:val="24"/>
              </w:rPr>
              <w:t>设备保养</w:t>
            </w:r>
            <w:r>
              <w:rPr>
                <w:sz w:val="24"/>
              </w:rPr>
              <w:t>危废</w:t>
            </w:r>
            <w:r>
              <w:rPr>
                <w:bCs/>
                <w:spacing w:val="10"/>
                <w:sz w:val="24"/>
              </w:rPr>
              <w:t>：运营期间</w:t>
            </w:r>
            <w:r>
              <w:rPr>
                <w:sz w:val="24"/>
              </w:rPr>
              <w:t>场内外运输车辆均在酉阳县</w:t>
            </w:r>
            <w:r>
              <w:rPr>
                <w:rFonts w:hint="eastAsia"/>
                <w:sz w:val="24"/>
              </w:rPr>
              <w:t>双泉乡</w:t>
            </w:r>
            <w:r>
              <w:rPr>
                <w:sz w:val="24"/>
              </w:rPr>
              <w:t>汽修厂定期保养、更换机油，厂区内不设运输车辆保养、维修车间</w:t>
            </w:r>
            <w:r>
              <w:rPr>
                <w:rFonts w:hint="eastAsia"/>
                <w:sz w:val="24"/>
              </w:rPr>
              <w:t>；</w:t>
            </w:r>
            <w:r>
              <w:rPr>
                <w:sz w:val="24"/>
              </w:rPr>
              <w:t>开采、装载设备</w:t>
            </w:r>
            <w:r>
              <w:rPr>
                <w:rFonts w:hint="eastAsia"/>
                <w:sz w:val="24"/>
              </w:rPr>
              <w:t>维护保养</w:t>
            </w:r>
            <w:r>
              <w:rPr>
                <w:bCs/>
                <w:spacing w:val="10"/>
                <w:sz w:val="24"/>
              </w:rPr>
              <w:t>废矿物油、</w:t>
            </w:r>
            <w:r>
              <w:rPr>
                <w:rFonts w:hint="eastAsia"/>
                <w:bCs/>
                <w:spacing w:val="10"/>
                <w:sz w:val="24"/>
              </w:rPr>
              <w:t>空压机</w:t>
            </w:r>
            <w:r>
              <w:rPr>
                <w:rFonts w:hint="eastAsia"/>
                <w:sz w:val="24"/>
              </w:rPr>
              <w:t>含油冷凝液</w:t>
            </w:r>
            <w:r>
              <w:rPr>
                <w:rFonts w:hint="eastAsia"/>
                <w:bCs/>
                <w:spacing w:val="10"/>
                <w:sz w:val="24"/>
              </w:rPr>
              <w:t>、</w:t>
            </w:r>
            <w:r>
              <w:rPr>
                <w:bCs/>
                <w:sz w:val="24"/>
              </w:rPr>
              <w:t>废弃沾染油污手套等劳保用品及抹布</w:t>
            </w:r>
            <w:r>
              <w:rPr>
                <w:bCs/>
                <w:spacing w:val="10"/>
                <w:sz w:val="24"/>
              </w:rPr>
              <w:t>经收集桶进行集中收集于危废贮存点后，</w:t>
            </w:r>
            <w:r>
              <w:rPr>
                <w:rFonts w:hint="eastAsia"/>
                <w:bCs/>
                <w:sz w:val="24"/>
              </w:rPr>
              <w:t>连带收集桶一起</w:t>
            </w:r>
            <w:r>
              <w:rPr>
                <w:bCs/>
                <w:spacing w:val="10"/>
                <w:sz w:val="24"/>
              </w:rPr>
              <w:t>定期交由有资质的单位妥善处置。</w:t>
            </w:r>
          </w:p>
          <w:p>
            <w:pPr>
              <w:adjustRightInd w:val="0"/>
              <w:snapToGrid w:val="0"/>
              <w:spacing w:line="360" w:lineRule="auto"/>
              <w:ind w:firstLine="480" w:firstLineChars="200"/>
              <w:rPr>
                <w:sz w:val="24"/>
              </w:rPr>
            </w:pPr>
            <w:r>
              <w:rPr>
                <w:rFonts w:hint="eastAsia"/>
                <w:sz w:val="24"/>
              </w:rPr>
              <w:t>灰渣：均</w:t>
            </w:r>
            <w:r>
              <w:rPr>
                <w:color w:val="0000FF"/>
                <w:sz w:val="24"/>
              </w:rPr>
              <w:t>掺入粗砂作产品外卖</w:t>
            </w:r>
            <w:r>
              <w:rPr>
                <w:rFonts w:hint="eastAsia"/>
                <w:sz w:val="24"/>
              </w:rPr>
              <w:t>。</w:t>
            </w:r>
          </w:p>
          <w:p>
            <w:pPr>
              <w:adjustRightInd w:val="0"/>
              <w:snapToGrid w:val="0"/>
              <w:spacing w:line="360" w:lineRule="auto"/>
              <w:ind w:firstLine="520" w:firstLineChars="200"/>
              <w:rPr>
                <w:bCs/>
                <w:spacing w:val="10"/>
                <w:sz w:val="24"/>
              </w:rPr>
            </w:pPr>
            <w:r>
              <w:rPr>
                <w:bCs/>
                <w:spacing w:val="10"/>
                <w:sz w:val="24"/>
              </w:rPr>
              <w:t>生活垃圾：</w:t>
            </w:r>
            <w:r>
              <w:rPr>
                <w:sz w:val="24"/>
              </w:rPr>
              <w:t>项目在</w:t>
            </w:r>
            <w:r>
              <w:rPr>
                <w:rFonts w:hint="eastAsia"/>
                <w:sz w:val="24"/>
              </w:rPr>
              <w:t>办公楼</w:t>
            </w:r>
            <w:r>
              <w:rPr>
                <w:sz w:val="24"/>
              </w:rPr>
              <w:t>设置若干垃圾桶对员工生活垃圾进行集中收集，定期交由当地的环卫部门统一处置</w:t>
            </w:r>
            <w:r>
              <w:rPr>
                <w:bCs/>
                <w:spacing w:val="10"/>
                <w:sz w:val="24"/>
              </w:rPr>
              <w:t>。</w:t>
            </w:r>
          </w:p>
          <w:p>
            <w:pPr>
              <w:adjustRightInd w:val="0"/>
              <w:snapToGrid w:val="0"/>
              <w:spacing w:line="360" w:lineRule="auto"/>
              <w:ind w:firstLine="520" w:firstLineChars="200"/>
              <w:rPr>
                <w:bCs/>
                <w:spacing w:val="10"/>
                <w:sz w:val="24"/>
              </w:rPr>
            </w:pPr>
            <w:r>
              <w:rPr>
                <w:rFonts w:hint="eastAsia"/>
                <w:bCs/>
                <w:spacing w:val="10"/>
                <w:sz w:val="24"/>
              </w:rPr>
              <w:t>雨水沉淀池</w:t>
            </w:r>
            <w:r>
              <w:rPr>
                <w:rFonts w:hint="eastAsia"/>
                <w:sz w:val="24"/>
              </w:rPr>
              <w:t>、沉砂凼</w:t>
            </w:r>
            <w:r>
              <w:rPr>
                <w:rFonts w:hint="eastAsia"/>
                <w:bCs/>
                <w:spacing w:val="10"/>
                <w:sz w:val="24"/>
              </w:rPr>
              <w:t>泥沙：</w:t>
            </w:r>
            <w:r>
              <w:rPr>
                <w:bCs/>
                <w:spacing w:val="10"/>
                <w:sz w:val="24"/>
              </w:rPr>
              <w:t>定期清掏干化后于排土场分区暂存，闭矿期用于采空区回填</w:t>
            </w:r>
            <w:r>
              <w:rPr>
                <w:rFonts w:hint="eastAsia"/>
                <w:bCs/>
                <w:spacing w:val="10"/>
                <w:sz w:val="24"/>
              </w:rPr>
              <w:t>。</w:t>
            </w:r>
          </w:p>
          <w:p>
            <w:pPr>
              <w:adjustRightInd w:val="0"/>
              <w:snapToGrid w:val="0"/>
              <w:spacing w:line="360" w:lineRule="auto"/>
              <w:ind w:firstLine="522" w:firstLineChars="200"/>
              <w:rPr>
                <w:b/>
                <w:bCs/>
                <w:spacing w:val="10"/>
                <w:sz w:val="24"/>
              </w:rPr>
            </w:pPr>
            <w:r>
              <w:rPr>
                <w:rFonts w:hint="eastAsia"/>
                <w:b/>
                <w:bCs/>
                <w:spacing w:val="10"/>
                <w:sz w:val="24"/>
              </w:rPr>
              <w:t>一般固体废物管理要求：</w:t>
            </w:r>
          </w:p>
          <w:p>
            <w:pPr>
              <w:adjustRightInd w:val="0"/>
              <w:snapToGrid w:val="0"/>
              <w:spacing w:line="360" w:lineRule="auto"/>
              <w:ind w:firstLine="520" w:firstLineChars="200"/>
              <w:rPr>
                <w:bCs/>
                <w:spacing w:val="10"/>
                <w:sz w:val="24"/>
              </w:rPr>
            </w:pPr>
            <w:r>
              <w:rPr>
                <w:rFonts w:hint="eastAsia"/>
                <w:bCs/>
                <w:spacing w:val="10"/>
                <w:sz w:val="24"/>
              </w:rPr>
              <w:t>①应建立一般工业固废管理台账，按照《一般工业固体废物管理台账制定指南（试行）》的要求，管理台账实施分级管理，应结合本次环评、排污许可等材料，根据实际生产情况记录固体废物产生信息，并记录固废的产生、贮存、利用和处理方式等信息。</w:t>
            </w:r>
          </w:p>
          <w:p>
            <w:pPr>
              <w:adjustRightInd w:val="0"/>
              <w:snapToGrid w:val="0"/>
              <w:spacing w:line="360" w:lineRule="auto"/>
              <w:ind w:firstLine="520" w:firstLineChars="200"/>
              <w:rPr>
                <w:bCs/>
                <w:spacing w:val="10"/>
                <w:sz w:val="24"/>
              </w:rPr>
            </w:pPr>
            <w:r>
              <w:rPr>
                <w:rFonts w:hint="eastAsia"/>
                <w:bCs/>
                <w:spacing w:val="10"/>
                <w:sz w:val="24"/>
              </w:rPr>
              <w:t>②</w:t>
            </w:r>
            <w:r>
              <w:rPr>
                <w:rFonts w:hint="eastAsia"/>
                <w:bCs/>
                <w:color w:val="0000FF"/>
                <w:spacing w:val="10"/>
                <w:sz w:val="24"/>
              </w:rPr>
              <w:t>排土场、弃渣场</w:t>
            </w:r>
            <w:r>
              <w:rPr>
                <w:rFonts w:hint="eastAsia"/>
                <w:bCs/>
                <w:spacing w:val="10"/>
                <w:sz w:val="24"/>
              </w:rPr>
              <w:t>应严格参照《一般工业固体废物贮存和填埋污染控制标准》（</w:t>
            </w:r>
            <w:r>
              <w:rPr>
                <w:bCs/>
                <w:spacing w:val="10"/>
                <w:sz w:val="24"/>
              </w:rPr>
              <w:t>GB18599-2020</w:t>
            </w:r>
            <w:r>
              <w:rPr>
                <w:rFonts w:hint="eastAsia"/>
                <w:bCs/>
                <w:spacing w:val="10"/>
                <w:sz w:val="24"/>
              </w:rPr>
              <w:t>）中</w:t>
            </w:r>
            <w:r>
              <w:rPr>
                <w:bCs/>
                <w:spacing w:val="10"/>
                <w:sz w:val="24"/>
              </w:rPr>
              <w:t>I</w:t>
            </w:r>
            <w:r>
              <w:rPr>
                <w:rFonts w:hint="eastAsia"/>
                <w:bCs/>
                <w:spacing w:val="10"/>
                <w:sz w:val="24"/>
              </w:rPr>
              <w:t>类工业固废贮存场的选址要求布设；</w:t>
            </w:r>
            <w:r>
              <w:rPr>
                <w:rFonts w:hint="eastAsia"/>
                <w:bCs/>
                <w:color w:val="0000FF"/>
                <w:spacing w:val="10"/>
                <w:sz w:val="24"/>
              </w:rPr>
              <w:t>排土场、弃渣场</w:t>
            </w:r>
            <w:r>
              <w:rPr>
                <w:rFonts w:hint="eastAsia"/>
                <w:bCs/>
                <w:spacing w:val="10"/>
                <w:sz w:val="24"/>
              </w:rPr>
              <w:t>需采取覆盖、洒水等有效抑尘措施防止扬尘污染；运行期应严格控制排土场、弃渣场的堆放高度、堆放面积，排土场、弃渣场周边的排水沟渠应定期疏通、清理。</w:t>
            </w:r>
          </w:p>
          <w:p>
            <w:pPr>
              <w:adjustRightInd w:val="0"/>
              <w:snapToGrid w:val="0"/>
              <w:spacing w:line="360" w:lineRule="auto"/>
              <w:ind w:firstLine="522" w:firstLineChars="200"/>
              <w:rPr>
                <w:b/>
                <w:bCs/>
                <w:spacing w:val="10"/>
                <w:sz w:val="24"/>
              </w:rPr>
            </w:pPr>
            <w:r>
              <w:rPr>
                <w:rFonts w:hint="eastAsia"/>
                <w:b/>
                <w:bCs/>
                <w:spacing w:val="10"/>
                <w:sz w:val="24"/>
              </w:rPr>
              <w:t>危险废物环境管理要求：</w:t>
            </w:r>
          </w:p>
          <w:p>
            <w:pPr>
              <w:adjustRightInd w:val="0"/>
              <w:snapToGrid w:val="0"/>
              <w:spacing w:line="360" w:lineRule="auto"/>
              <w:ind w:firstLine="520" w:firstLineChars="200"/>
              <w:rPr>
                <w:bCs/>
                <w:spacing w:val="10"/>
                <w:sz w:val="24"/>
              </w:rPr>
            </w:pPr>
            <w:r>
              <w:rPr>
                <w:rFonts w:hint="eastAsia"/>
                <w:bCs/>
                <w:spacing w:val="10"/>
                <w:sz w:val="24"/>
              </w:rPr>
              <w:t>项目开采期间产生的设备保养危废需严格按照危险废物的相关管理规定执行。其中：危废贮存点应遵照《危险废物贮存污染控制标准》（GB 18597-2023）的要求设置；危险废物的收集、运输应按照《危险废物管理计划和管理台账制定技术导则》（</w:t>
            </w:r>
            <w:r>
              <w:rPr>
                <w:bCs/>
                <w:spacing w:val="10"/>
                <w:sz w:val="24"/>
              </w:rPr>
              <w:t>HJ</w:t>
            </w:r>
            <w:r>
              <w:rPr>
                <w:rFonts w:hint="eastAsia"/>
                <w:bCs/>
                <w:spacing w:val="10"/>
                <w:sz w:val="24"/>
              </w:rPr>
              <w:t xml:space="preserve"> </w:t>
            </w:r>
            <w:r>
              <w:rPr>
                <w:bCs/>
                <w:spacing w:val="10"/>
                <w:sz w:val="24"/>
              </w:rPr>
              <w:t>1259</w:t>
            </w:r>
            <w:r>
              <w:rPr>
                <w:rFonts w:hint="eastAsia"/>
                <w:bCs/>
                <w:spacing w:val="10"/>
                <w:sz w:val="24"/>
              </w:rPr>
              <w:t>-</w:t>
            </w:r>
            <w:r>
              <w:rPr>
                <w:bCs/>
                <w:spacing w:val="10"/>
                <w:sz w:val="24"/>
              </w:rPr>
              <w:t>2022</w:t>
            </w:r>
            <w:r>
              <w:rPr>
                <w:rFonts w:hint="eastAsia"/>
                <w:bCs/>
                <w:spacing w:val="10"/>
                <w:sz w:val="24"/>
              </w:rPr>
              <w:t>）、《危险废物收集 贮存 运输技术规范》（</w:t>
            </w:r>
            <w:r>
              <w:rPr>
                <w:bCs/>
                <w:spacing w:val="10"/>
                <w:sz w:val="24"/>
              </w:rPr>
              <w:t>HJ</w:t>
            </w:r>
            <w:r>
              <w:rPr>
                <w:rFonts w:hint="eastAsia"/>
                <w:bCs/>
                <w:spacing w:val="10"/>
                <w:sz w:val="24"/>
              </w:rPr>
              <w:t xml:space="preserve"> </w:t>
            </w:r>
            <w:r>
              <w:rPr>
                <w:bCs/>
                <w:spacing w:val="10"/>
                <w:sz w:val="24"/>
              </w:rPr>
              <w:t>2025-2012</w:t>
            </w:r>
            <w:r>
              <w:rPr>
                <w:rFonts w:hint="eastAsia"/>
                <w:bCs/>
                <w:spacing w:val="10"/>
                <w:sz w:val="24"/>
              </w:rPr>
              <w:t>）相关规定执行；危险废物的转移应按照《危险废物转移管理办法》（生态环境部令第</w:t>
            </w:r>
            <w:r>
              <w:rPr>
                <w:bCs/>
                <w:spacing w:val="10"/>
                <w:sz w:val="24"/>
              </w:rPr>
              <w:t>23</w:t>
            </w:r>
            <w:r>
              <w:rPr>
                <w:rFonts w:hint="eastAsia"/>
                <w:bCs/>
                <w:spacing w:val="10"/>
                <w:sz w:val="24"/>
              </w:rPr>
              <w:t>号）相关规定执行。企业应按规定申报危险废物产生、贮存、转移、利用处置等信息，制定危险废物年度管理计划，企业应结合自身实际，建立危险废物台账，如实记载危险废物的种类、数量、性质、产生环节、流向、贮存、利用处置等信息，并在“危险废物动态管理信息系统”中进行如实规范申报，申报数据应与台账、管理计划数据相一致。</w:t>
            </w:r>
          </w:p>
          <w:p>
            <w:pPr>
              <w:adjustRightInd w:val="0"/>
              <w:snapToGrid w:val="0"/>
              <w:spacing w:line="360" w:lineRule="auto"/>
              <w:ind w:firstLine="522" w:firstLineChars="200"/>
              <w:rPr>
                <w:b/>
                <w:spacing w:val="10"/>
                <w:sz w:val="24"/>
              </w:rPr>
            </w:pPr>
            <w:r>
              <w:rPr>
                <w:rFonts w:hint="eastAsia"/>
                <w:b/>
                <w:spacing w:val="10"/>
                <w:sz w:val="24"/>
              </w:rPr>
              <w:t>危废贮存点环境管理：</w:t>
            </w:r>
          </w:p>
          <w:p>
            <w:pPr>
              <w:adjustRightInd w:val="0"/>
              <w:snapToGrid w:val="0"/>
              <w:spacing w:line="360" w:lineRule="auto"/>
              <w:ind w:firstLine="520" w:firstLineChars="200"/>
              <w:rPr>
                <w:bCs/>
                <w:spacing w:val="10"/>
                <w:sz w:val="24"/>
              </w:rPr>
            </w:pPr>
            <w:r>
              <w:rPr>
                <w:rFonts w:hint="eastAsia"/>
                <w:bCs/>
                <w:spacing w:val="10"/>
                <w:sz w:val="24"/>
              </w:rPr>
              <w:t>①危废贮存点设置于办公楼1F西部区域，面积</w:t>
            </w:r>
            <w:r>
              <w:rPr>
                <w:bCs/>
                <w:spacing w:val="10"/>
                <w:sz w:val="24"/>
              </w:rPr>
              <w:t>约8m</w:t>
            </w:r>
            <w:r>
              <w:rPr>
                <w:bCs/>
                <w:spacing w:val="10"/>
                <w:sz w:val="24"/>
                <w:vertAlign w:val="superscript"/>
              </w:rPr>
              <w:t>2</w:t>
            </w:r>
            <w:r>
              <w:rPr>
                <w:bCs/>
                <w:spacing w:val="10"/>
                <w:sz w:val="24"/>
              </w:rPr>
              <w:t>，</w:t>
            </w:r>
            <w:r>
              <w:rPr>
                <w:rFonts w:hint="eastAsia"/>
                <w:bCs/>
                <w:spacing w:val="10"/>
                <w:sz w:val="24"/>
              </w:rPr>
              <w:t>贮存点内危废应分类存放、贮存，禁止混入非危险废物中贮存；并采取防风、防雨、防晒、防扬散、防流失及其他防止污染环境的措施，不得露天堆放危险废物。</w:t>
            </w:r>
          </w:p>
          <w:p>
            <w:pPr>
              <w:adjustRightInd w:val="0"/>
              <w:snapToGrid w:val="0"/>
              <w:spacing w:line="360" w:lineRule="auto"/>
              <w:ind w:firstLine="520" w:firstLineChars="200"/>
              <w:rPr>
                <w:bCs/>
                <w:spacing w:val="10"/>
                <w:sz w:val="24"/>
              </w:rPr>
            </w:pPr>
            <w:r>
              <w:rPr>
                <w:rFonts w:hint="eastAsia"/>
                <w:bCs/>
                <w:spacing w:val="10"/>
                <w:sz w:val="24"/>
              </w:rPr>
              <w:t>②贮存点贮存的危险废物应置于容器或包装物中，如：废矿物油、</w:t>
            </w:r>
            <w:r>
              <w:rPr>
                <w:rFonts w:hint="eastAsia"/>
                <w:sz w:val="24"/>
              </w:rPr>
              <w:t>含油冷凝液</w:t>
            </w:r>
            <w:r>
              <w:rPr>
                <w:rFonts w:hint="eastAsia"/>
                <w:bCs/>
                <w:spacing w:val="10"/>
                <w:sz w:val="24"/>
              </w:rPr>
              <w:t>、含油抹布及劳保用品使用密闭收集桶分类收集，不应直接散堆。</w:t>
            </w:r>
          </w:p>
          <w:p>
            <w:pPr>
              <w:adjustRightInd w:val="0"/>
              <w:snapToGrid w:val="0"/>
              <w:spacing w:line="360" w:lineRule="auto"/>
              <w:ind w:firstLine="520" w:firstLineChars="200"/>
              <w:rPr>
                <w:bCs/>
                <w:spacing w:val="10"/>
                <w:sz w:val="24"/>
              </w:rPr>
            </w:pPr>
            <w:r>
              <w:rPr>
                <w:rFonts w:hint="eastAsia"/>
                <w:bCs/>
                <w:spacing w:val="10"/>
                <w:sz w:val="24"/>
              </w:rPr>
              <w:t>③贮存点固废收集桶下方应采取防渗、防漏、防腐的污染防治措施，如：地坪上方需设置托盘等，消除固废收集桶中废油外泄的可能。</w:t>
            </w:r>
          </w:p>
          <w:p>
            <w:pPr>
              <w:adjustRightInd w:val="0"/>
              <w:snapToGrid w:val="0"/>
              <w:spacing w:line="360" w:lineRule="auto"/>
              <w:ind w:firstLine="520" w:firstLineChars="200"/>
              <w:rPr>
                <w:bCs/>
                <w:spacing w:val="10"/>
                <w:sz w:val="24"/>
              </w:rPr>
            </w:pPr>
            <w:r>
              <w:rPr>
                <w:rFonts w:hint="eastAsia"/>
                <w:bCs/>
                <w:spacing w:val="10"/>
                <w:sz w:val="24"/>
              </w:rPr>
              <w:t>④贮存点应及时清运贮存的危险废物，拟建项目危废贮存点内废矿物油、含油抹布及手套、含油冷凝液、废收集桶设计存储量分别为1.5t、0.3t、0.2t、0.3t，最大设计储存周期为12个月。</w:t>
            </w:r>
          </w:p>
          <w:p>
            <w:pPr>
              <w:adjustRightInd w:val="0"/>
              <w:snapToGrid w:val="0"/>
              <w:spacing w:line="360" w:lineRule="auto"/>
              <w:ind w:firstLine="520" w:firstLineChars="200"/>
              <w:rPr>
                <w:bCs/>
                <w:spacing w:val="10"/>
                <w:sz w:val="24"/>
              </w:rPr>
            </w:pPr>
            <w:r>
              <w:rPr>
                <w:rFonts w:hint="eastAsia"/>
                <w:bCs/>
                <w:spacing w:val="10"/>
                <w:sz w:val="24"/>
              </w:rPr>
              <w:t>⑤对危险废物的容器或包装物以及收集、贮存、运输、处置危险废物的设施、场所，必须设置危险废物识别标志。</w:t>
            </w:r>
          </w:p>
          <w:p>
            <w:pPr>
              <w:adjustRightInd w:val="0"/>
              <w:snapToGrid w:val="0"/>
              <w:spacing w:line="360" w:lineRule="auto"/>
              <w:ind w:firstLine="520" w:firstLineChars="200"/>
              <w:rPr>
                <w:bCs/>
                <w:spacing w:val="10"/>
                <w:sz w:val="24"/>
              </w:rPr>
            </w:pPr>
            <w:r>
              <w:rPr>
                <w:bCs/>
                <w:spacing w:val="10"/>
                <w:sz w:val="24"/>
              </w:rPr>
              <w:t>综上，本次环评采取的处理与处置措施贯</w:t>
            </w:r>
            <w:r>
              <w:rPr>
                <w:rFonts w:ascii="宋体" w:hAnsi="宋体"/>
                <w:bCs/>
                <w:spacing w:val="10"/>
                <w:sz w:val="24"/>
              </w:rPr>
              <w:t>彻“资</w:t>
            </w:r>
            <w:r>
              <w:rPr>
                <w:bCs/>
                <w:spacing w:val="10"/>
                <w:sz w:val="24"/>
              </w:rPr>
              <w:t>源化、减量化、无害</w:t>
            </w:r>
            <w:r>
              <w:rPr>
                <w:rFonts w:ascii="宋体" w:hAnsi="宋体"/>
                <w:bCs/>
                <w:spacing w:val="10"/>
                <w:sz w:val="24"/>
              </w:rPr>
              <w:t>化”的</w:t>
            </w:r>
            <w:r>
              <w:rPr>
                <w:bCs/>
                <w:spacing w:val="10"/>
                <w:sz w:val="24"/>
              </w:rPr>
              <w:t>思路，污染物可得到合理利用和有效处置。</w:t>
            </w:r>
          </w:p>
          <w:p>
            <w:pPr>
              <w:adjustRightInd w:val="0"/>
              <w:snapToGrid w:val="0"/>
              <w:spacing w:line="360" w:lineRule="auto"/>
              <w:ind w:firstLine="522" w:firstLineChars="200"/>
              <w:rPr>
                <w:b/>
                <w:bCs/>
                <w:spacing w:val="10"/>
                <w:sz w:val="24"/>
              </w:rPr>
            </w:pPr>
            <w:r>
              <w:rPr>
                <w:b/>
                <w:bCs/>
                <w:spacing w:val="10"/>
                <w:sz w:val="24"/>
              </w:rPr>
              <w:t>（5）生态影响防治措施</w:t>
            </w:r>
          </w:p>
          <w:p>
            <w:pPr>
              <w:adjustRightInd w:val="0"/>
              <w:snapToGrid w:val="0"/>
              <w:spacing w:line="360" w:lineRule="auto"/>
              <w:ind w:firstLine="520" w:firstLineChars="200"/>
              <w:rPr>
                <w:bCs/>
                <w:spacing w:val="10"/>
                <w:sz w:val="24"/>
              </w:rPr>
            </w:pPr>
            <w:r>
              <w:rPr>
                <w:bCs/>
                <w:spacing w:val="10"/>
                <w:sz w:val="24"/>
              </w:rPr>
              <w:t>1）陆生植物保护措施</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①</w:t>
            </w:r>
            <w:r>
              <w:rPr>
                <w:rFonts w:hint="eastAsia"/>
                <w:bCs/>
                <w:spacing w:val="10"/>
                <w:sz w:val="24"/>
              </w:rPr>
              <w:t>剥离表土时</w:t>
            </w:r>
            <w:r>
              <w:rPr>
                <w:bCs/>
                <w:spacing w:val="10"/>
                <w:sz w:val="24"/>
              </w:rPr>
              <w:t>保护表面耕作层土壤的天然种子库，表层覆土采用剥离下来的表土，有助于恢复矿山原貌植被。</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②</w:t>
            </w:r>
            <w:r>
              <w:rPr>
                <w:bCs/>
                <w:spacing w:val="10"/>
                <w:sz w:val="24"/>
              </w:rPr>
              <w:t>尽量采取移栽矿山地表附着植被而非直接砍伐毁坏方式，采区</w:t>
            </w:r>
            <w:r>
              <w:rPr>
                <w:rFonts w:hint="eastAsia"/>
                <w:bCs/>
                <w:spacing w:val="10"/>
                <w:sz w:val="24"/>
              </w:rPr>
              <w:t>清理的</w:t>
            </w:r>
            <w:r>
              <w:rPr>
                <w:bCs/>
                <w:spacing w:val="10"/>
                <w:sz w:val="24"/>
              </w:rPr>
              <w:t>植被应就近移植到</w:t>
            </w:r>
            <w:r>
              <w:rPr>
                <w:rFonts w:hint="eastAsia"/>
                <w:kern w:val="0"/>
                <w:sz w:val="24"/>
              </w:rPr>
              <w:t>上一阶</w:t>
            </w:r>
            <w:r>
              <w:rPr>
                <w:kern w:val="0"/>
                <w:sz w:val="24"/>
              </w:rPr>
              <w:t>采区台阶或</w:t>
            </w:r>
            <w:r>
              <w:rPr>
                <w:rFonts w:hint="eastAsia"/>
                <w:kern w:val="0"/>
                <w:sz w:val="24"/>
              </w:rPr>
              <w:t>恢复治理区</w:t>
            </w:r>
            <w:r>
              <w:rPr>
                <w:bCs/>
                <w:spacing w:val="10"/>
                <w:sz w:val="24"/>
              </w:rPr>
              <w:t>，利于当地植物资源的保护。</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③</w:t>
            </w:r>
            <w:r>
              <w:rPr>
                <w:bCs/>
                <w:spacing w:val="10"/>
                <w:sz w:val="24"/>
              </w:rPr>
              <w:t>项目</w:t>
            </w:r>
            <w:r>
              <w:rPr>
                <w:rFonts w:hint="eastAsia"/>
                <w:bCs/>
                <w:spacing w:val="10"/>
                <w:sz w:val="24"/>
              </w:rPr>
              <w:t>采区</w:t>
            </w:r>
            <w:r>
              <w:rPr>
                <w:bCs/>
                <w:spacing w:val="10"/>
                <w:sz w:val="24"/>
              </w:rPr>
              <w:t>分台阶开采，</w:t>
            </w:r>
            <w:r>
              <w:rPr>
                <w:rFonts w:hint="eastAsia"/>
                <w:bCs/>
                <w:spacing w:val="10"/>
                <w:sz w:val="24"/>
              </w:rPr>
              <w:t>并</w:t>
            </w:r>
            <w:r>
              <w:rPr>
                <w:bCs/>
                <w:spacing w:val="10"/>
                <w:sz w:val="24"/>
              </w:rPr>
              <w:t>采取边开采变生态恢复植被措施，</w:t>
            </w:r>
            <w:r>
              <w:rPr>
                <w:rFonts w:hint="eastAsia"/>
                <w:bCs/>
                <w:spacing w:val="10"/>
                <w:sz w:val="24"/>
              </w:rPr>
              <w:t>应</w:t>
            </w:r>
            <w:r>
              <w:rPr>
                <w:bCs/>
                <w:spacing w:val="10"/>
                <w:sz w:val="24"/>
              </w:rPr>
              <w:t>实现上一台阶开采完毕</w:t>
            </w:r>
            <w:r>
              <w:rPr>
                <w:rFonts w:hint="eastAsia"/>
                <w:bCs/>
                <w:spacing w:val="10"/>
                <w:sz w:val="24"/>
              </w:rPr>
              <w:t>，进行下一台阶开采的同时即开始上一台阶的绿化复垦工作，最大程度减少开采期间对周边生态的影响</w:t>
            </w:r>
            <w:r>
              <w:rPr>
                <w:bCs/>
                <w:spacing w:val="10"/>
                <w:sz w:val="24"/>
              </w:rPr>
              <w:t>。</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④</w:t>
            </w:r>
            <w:r>
              <w:rPr>
                <w:bCs/>
                <w:spacing w:val="10"/>
                <w:sz w:val="24"/>
              </w:rPr>
              <w:t>按照生态学原理，选择地方特色的乡土植物，有效防止外来生物入侵；遵循植被演化规律，在绿化的基础上进行环境美化。根据自然地理环境的特点和植物的生态适应性及自然演替规律，增加多种林木成分。</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⑤</w:t>
            </w:r>
            <w:r>
              <w:rPr>
                <w:bCs/>
                <w:spacing w:val="10"/>
                <w:sz w:val="24"/>
              </w:rPr>
              <w:t>严格在采矿许可证划定矿区范围内进行石灰石采矿活动，严禁越界开采。</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⑥</w:t>
            </w:r>
            <w:r>
              <w:rPr>
                <w:bCs/>
                <w:spacing w:val="10"/>
                <w:sz w:val="24"/>
              </w:rPr>
              <w:t>加强项目区四周的栽树、种草绿化工程，既可美化矿山环境，也可吸尘降噪、减缓矿山开采和矿石加工对外环境的影响。</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⑦</w:t>
            </w:r>
            <w:r>
              <w:rPr>
                <w:bCs/>
                <w:spacing w:val="10"/>
                <w:sz w:val="24"/>
              </w:rPr>
              <w:t>开采活动结束后，必须对</w:t>
            </w:r>
            <w:r>
              <w:rPr>
                <w:rFonts w:hint="eastAsia"/>
                <w:bCs/>
                <w:spacing w:val="10"/>
                <w:sz w:val="24"/>
              </w:rPr>
              <w:t>临时占地范围内的</w:t>
            </w:r>
            <w:r>
              <w:rPr>
                <w:bCs/>
                <w:spacing w:val="10"/>
                <w:sz w:val="24"/>
              </w:rPr>
              <w:t>地面构筑物进行清理，并对迹地范围进行复垦绿化，使其与周边环境相协调。</w:t>
            </w:r>
          </w:p>
          <w:p>
            <w:pPr>
              <w:adjustRightInd w:val="0"/>
              <w:snapToGrid w:val="0"/>
              <w:spacing w:line="360" w:lineRule="auto"/>
              <w:ind w:firstLine="520" w:firstLineChars="200"/>
              <w:rPr>
                <w:bCs/>
                <w:spacing w:val="10"/>
                <w:sz w:val="24"/>
              </w:rPr>
            </w:pPr>
            <w:r>
              <w:rPr>
                <w:bCs/>
                <w:spacing w:val="10"/>
                <w:sz w:val="24"/>
              </w:rPr>
              <w:t>2）陆生动物保护措施</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①</w:t>
            </w:r>
            <w:r>
              <w:rPr>
                <w:bCs/>
                <w:spacing w:val="10"/>
                <w:sz w:val="24"/>
              </w:rPr>
              <w:t>加强矿山职工思想教育，提高生产人员的野生动物保护意识，严禁捕猎野生动物。</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②</w:t>
            </w:r>
            <w:r>
              <w:rPr>
                <w:bCs/>
                <w:spacing w:val="10"/>
                <w:sz w:val="24"/>
              </w:rPr>
              <w:t>加强生产管理，减少污染物排放，保护野生动物栖息地，严禁破坏。</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③</w:t>
            </w:r>
            <w:r>
              <w:rPr>
                <w:bCs/>
                <w:spacing w:val="10"/>
                <w:sz w:val="24"/>
              </w:rPr>
              <w:t>控制爆破次数和强度，合理选择爆破时间，严禁夜间爆破。</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④</w:t>
            </w:r>
            <w:r>
              <w:rPr>
                <w:bCs/>
                <w:spacing w:val="10"/>
                <w:sz w:val="24"/>
              </w:rPr>
              <w:t>矿山植被采</w:t>
            </w:r>
            <w:r>
              <w:rPr>
                <w:rFonts w:ascii="宋体" w:hAnsi="宋体"/>
                <w:bCs/>
                <w:spacing w:val="10"/>
                <w:sz w:val="24"/>
              </w:rPr>
              <w:t>用“草</w:t>
            </w:r>
            <w:r>
              <w:rPr>
                <w:bCs/>
                <w:spacing w:val="10"/>
                <w:sz w:val="24"/>
              </w:rPr>
              <w:t>+灌木+乔</w:t>
            </w:r>
            <w:r>
              <w:rPr>
                <w:rFonts w:ascii="宋体" w:hAnsi="宋体"/>
                <w:bCs/>
                <w:spacing w:val="10"/>
                <w:sz w:val="24"/>
              </w:rPr>
              <w:t>木”结</w:t>
            </w:r>
            <w:r>
              <w:rPr>
                <w:bCs/>
                <w:spacing w:val="10"/>
                <w:sz w:val="24"/>
              </w:rPr>
              <w:t>合的立体绿化方式，为动物提供更多的栖息场所。</w:t>
            </w:r>
          </w:p>
          <w:p>
            <w:pPr>
              <w:adjustRightInd w:val="0"/>
              <w:snapToGrid w:val="0"/>
              <w:spacing w:line="360" w:lineRule="auto"/>
              <w:ind w:firstLine="522" w:firstLineChars="200"/>
              <w:rPr>
                <w:b/>
                <w:bCs/>
                <w:spacing w:val="10"/>
                <w:sz w:val="24"/>
              </w:rPr>
            </w:pPr>
            <w:r>
              <w:rPr>
                <w:b/>
                <w:bCs/>
                <w:spacing w:val="10"/>
                <w:sz w:val="24"/>
              </w:rPr>
              <w:t>（6）环境风险防范措施</w:t>
            </w:r>
          </w:p>
          <w:p>
            <w:pPr>
              <w:adjustRightInd w:val="0"/>
              <w:snapToGrid w:val="0"/>
              <w:spacing w:line="360" w:lineRule="auto"/>
              <w:ind w:firstLine="480" w:firstLineChars="200"/>
              <w:rPr>
                <w:sz w:val="24"/>
              </w:rPr>
            </w:pPr>
            <w:r>
              <w:rPr>
                <w:rFonts w:hint="eastAsia" w:ascii="宋体" w:hAnsi="宋体" w:cs="宋体"/>
                <w:sz w:val="24"/>
              </w:rPr>
              <w:t>①</w:t>
            </w:r>
            <w:r>
              <w:rPr>
                <w:sz w:val="24"/>
              </w:rPr>
              <w:t>将柴油罐设置于地面构筑物内，</w:t>
            </w:r>
            <w:r>
              <w:rPr>
                <w:rFonts w:hint="eastAsia"/>
                <w:bCs/>
                <w:sz w:val="24"/>
              </w:rPr>
              <w:t>危废也收集暂存于室内，</w:t>
            </w:r>
            <w:r>
              <w:rPr>
                <w:sz w:val="24"/>
              </w:rPr>
              <w:t>柴油罐</w:t>
            </w:r>
            <w:r>
              <w:rPr>
                <w:rFonts w:hint="eastAsia"/>
                <w:sz w:val="24"/>
              </w:rPr>
              <w:t>区、危废贮存点</w:t>
            </w:r>
            <w:r>
              <w:rPr>
                <w:sz w:val="24"/>
              </w:rPr>
              <w:t>地面设置防渗性能不低于6.0m厚渗透系数为1.0×10</w:t>
            </w:r>
            <w:r>
              <w:rPr>
                <w:sz w:val="24"/>
                <w:vertAlign w:val="superscript"/>
              </w:rPr>
              <w:t>-7</w:t>
            </w:r>
            <w:r>
              <w:rPr>
                <w:sz w:val="24"/>
              </w:rPr>
              <w:t>cm/s的粘土层的防渗层。</w:t>
            </w:r>
          </w:p>
          <w:p>
            <w:pPr>
              <w:adjustRightInd w:val="0"/>
              <w:snapToGrid w:val="0"/>
              <w:spacing w:line="360" w:lineRule="auto"/>
              <w:ind w:firstLine="480" w:firstLineChars="200"/>
              <w:rPr>
                <w:sz w:val="24"/>
              </w:rPr>
            </w:pPr>
            <w:r>
              <w:rPr>
                <w:rFonts w:hint="eastAsia" w:ascii="宋体" w:hAnsi="宋体" w:cs="宋体"/>
                <w:sz w:val="24"/>
              </w:rPr>
              <w:t>②</w:t>
            </w:r>
            <w:r>
              <w:rPr>
                <w:sz w:val="24"/>
              </w:rPr>
              <w:t>在柴油罐存放点修建围堰，围堰容积50m</w:t>
            </w:r>
            <w:r>
              <w:rPr>
                <w:sz w:val="24"/>
                <w:vertAlign w:val="superscript"/>
              </w:rPr>
              <w:t>3</w:t>
            </w:r>
            <w:r>
              <w:rPr>
                <w:rFonts w:hint="eastAsia"/>
                <w:sz w:val="24"/>
              </w:rPr>
              <w:t>、</w:t>
            </w:r>
            <w:r>
              <w:rPr>
                <w:sz w:val="24"/>
              </w:rPr>
              <w:t>高度</w:t>
            </w:r>
            <w:r>
              <w:rPr>
                <w:rFonts w:hint="eastAsia"/>
                <w:sz w:val="24"/>
              </w:rPr>
              <w:t>1</w:t>
            </w:r>
            <w:r>
              <w:rPr>
                <w:sz w:val="24"/>
              </w:rPr>
              <w:t>m</w:t>
            </w:r>
            <w:r>
              <w:rPr>
                <w:rFonts w:hint="eastAsia"/>
                <w:sz w:val="24"/>
              </w:rPr>
              <w:t>，</w:t>
            </w:r>
            <w:r>
              <w:rPr>
                <w:sz w:val="24"/>
              </w:rPr>
              <w:t>为防止柴油泄露污染地下水，围堰已应进行防渗处置，作为重点防渗区。</w:t>
            </w:r>
          </w:p>
          <w:p>
            <w:pPr>
              <w:adjustRightInd w:val="0"/>
              <w:snapToGrid w:val="0"/>
              <w:spacing w:line="360" w:lineRule="auto"/>
              <w:ind w:firstLine="480" w:firstLineChars="200"/>
              <w:rPr>
                <w:sz w:val="24"/>
              </w:rPr>
            </w:pPr>
            <w:r>
              <w:rPr>
                <w:rFonts w:hint="eastAsia" w:ascii="宋体" w:hAnsi="宋体" w:cs="宋体"/>
                <w:sz w:val="24"/>
              </w:rPr>
              <w:t>③</w:t>
            </w:r>
            <w:r>
              <w:rPr>
                <w:sz w:val="24"/>
              </w:rPr>
              <w:t>柴油不能与强氧化剂混放混运</w:t>
            </w:r>
            <w:r>
              <w:rPr>
                <w:rFonts w:hint="eastAsia"/>
                <w:sz w:val="24"/>
              </w:rPr>
              <w:t>，</w:t>
            </w:r>
            <w:r>
              <w:rPr>
                <w:sz w:val="24"/>
              </w:rPr>
              <w:t>定期对存放物料储罐进行检漏。</w:t>
            </w:r>
          </w:p>
          <w:p>
            <w:pPr>
              <w:adjustRightInd w:val="0"/>
              <w:snapToGrid w:val="0"/>
              <w:spacing w:line="360" w:lineRule="auto"/>
              <w:ind w:firstLine="480" w:firstLineChars="200"/>
              <w:rPr>
                <w:sz w:val="24"/>
              </w:rPr>
            </w:pPr>
            <w:r>
              <w:rPr>
                <w:rFonts w:hint="eastAsia" w:ascii="宋体" w:hAnsi="宋体" w:cs="宋体"/>
                <w:sz w:val="24"/>
              </w:rPr>
              <w:t>④</w:t>
            </w:r>
            <w:r>
              <w:rPr>
                <w:sz w:val="24"/>
              </w:rPr>
              <w:t>柴油在保管和使用时，应建立严格的管理和规章制度，油品装卸、使用时，全过程应有人在现场监督，一旦发生事故，立即采取防范措施。</w:t>
            </w:r>
          </w:p>
          <w:p>
            <w:pPr>
              <w:adjustRightInd w:val="0"/>
              <w:snapToGrid w:val="0"/>
              <w:spacing w:line="360" w:lineRule="auto"/>
              <w:ind w:firstLine="480" w:firstLineChars="200"/>
              <w:rPr>
                <w:sz w:val="24"/>
              </w:rPr>
            </w:pPr>
            <w:r>
              <w:rPr>
                <w:rFonts w:hint="eastAsia" w:ascii="宋体" w:hAnsi="宋体" w:cs="宋体"/>
                <w:sz w:val="24"/>
              </w:rPr>
              <w:t>⑤</w:t>
            </w:r>
            <w:r>
              <w:rPr>
                <w:sz w:val="24"/>
              </w:rPr>
              <w:t>柴油罐</w:t>
            </w:r>
            <w:r>
              <w:rPr>
                <w:rFonts w:hint="eastAsia"/>
                <w:sz w:val="24"/>
              </w:rPr>
              <w:t>区、危废贮存点</w:t>
            </w:r>
            <w:r>
              <w:rPr>
                <w:sz w:val="24"/>
              </w:rPr>
              <w:t>配备干粉灭火器、消防沙、隔油栏、吸油毡等应急物资</w:t>
            </w:r>
            <w:r>
              <w:rPr>
                <w:rFonts w:hint="eastAsia"/>
                <w:sz w:val="24"/>
              </w:rPr>
              <w:t>并</w:t>
            </w:r>
            <w:r>
              <w:rPr>
                <w:sz w:val="24"/>
              </w:rPr>
              <w:t>设置警示标识。</w:t>
            </w:r>
          </w:p>
          <w:p>
            <w:pPr>
              <w:adjustRightInd w:val="0"/>
              <w:snapToGrid w:val="0"/>
              <w:spacing w:line="360" w:lineRule="auto"/>
              <w:ind w:firstLine="480" w:firstLineChars="200"/>
              <w:rPr>
                <w:sz w:val="24"/>
              </w:rPr>
            </w:pPr>
            <w:r>
              <w:rPr>
                <w:rFonts w:hint="eastAsia"/>
                <w:sz w:val="24"/>
              </w:rPr>
              <w:t>⑥危废贮存点内</w:t>
            </w:r>
            <w:r>
              <w:rPr>
                <w:bCs/>
                <w:sz w:val="24"/>
              </w:rPr>
              <w:t>含油固废收集桶</w:t>
            </w:r>
            <w:r>
              <w:rPr>
                <w:rFonts w:hint="eastAsia"/>
                <w:sz w:val="24"/>
              </w:rPr>
              <w:t>下方应设防溢托盘，托盘的容积应能满足（大于）上方盛放物料的体积。</w:t>
            </w:r>
          </w:p>
          <w:p>
            <w:pPr>
              <w:adjustRightInd w:val="0"/>
              <w:snapToGrid w:val="0"/>
              <w:spacing w:line="360" w:lineRule="auto"/>
              <w:ind w:firstLine="482" w:firstLineChars="200"/>
              <w:rPr>
                <w:b/>
                <w:sz w:val="24"/>
              </w:rPr>
            </w:pPr>
            <w:r>
              <w:rPr>
                <w:rFonts w:hint="eastAsia"/>
                <w:b/>
                <w:sz w:val="24"/>
              </w:rPr>
              <w:t>（7）分区防渗措施</w:t>
            </w:r>
          </w:p>
          <w:p>
            <w:pPr>
              <w:adjustRightInd w:val="0"/>
              <w:snapToGrid w:val="0"/>
              <w:spacing w:line="360" w:lineRule="auto"/>
              <w:ind w:firstLine="480" w:firstLineChars="200"/>
              <w:rPr>
                <w:sz w:val="24"/>
              </w:rPr>
            </w:pPr>
            <w:r>
              <w:rPr>
                <w:rFonts w:hint="eastAsia"/>
                <w:sz w:val="24"/>
              </w:rPr>
              <w:t>为了防止固废处置过程对地下水及土壤造成二次污染，项目化粪池、</w:t>
            </w:r>
            <w:r>
              <w:rPr>
                <w:rFonts w:hint="eastAsia"/>
                <w:bCs/>
                <w:sz w:val="24"/>
              </w:rPr>
              <w:t>“U型”车辆冲洗池</w:t>
            </w:r>
            <w:r>
              <w:rPr>
                <w:rFonts w:hint="eastAsia"/>
                <w:sz w:val="24"/>
              </w:rPr>
              <w:t>设置为一般防渗区，危废贮存点、柴油罐区设置为重点防渗区，具体要求如下：</w:t>
            </w:r>
          </w:p>
          <w:p>
            <w:pPr>
              <w:adjustRightInd w:val="0"/>
              <w:snapToGrid w:val="0"/>
              <w:spacing w:line="360" w:lineRule="auto"/>
              <w:ind w:firstLine="480" w:firstLineChars="200"/>
              <w:rPr>
                <w:sz w:val="24"/>
              </w:rPr>
            </w:pPr>
            <w:r>
              <w:rPr>
                <w:rFonts w:hint="eastAsia"/>
                <w:sz w:val="24"/>
              </w:rPr>
              <w:t>1）一般防渗区</w:t>
            </w:r>
          </w:p>
          <w:p>
            <w:pPr>
              <w:adjustRightInd w:val="0"/>
              <w:snapToGrid w:val="0"/>
              <w:spacing w:line="360" w:lineRule="auto"/>
              <w:ind w:firstLine="480" w:firstLineChars="200"/>
              <w:rPr>
                <w:sz w:val="24"/>
              </w:rPr>
            </w:pPr>
            <w:r>
              <w:rPr>
                <w:rFonts w:hint="eastAsia"/>
                <w:sz w:val="24"/>
              </w:rPr>
              <w:t>一般污染防渗区的防渗性能应不低于1.5m厚渗透系数为1.0×10</w:t>
            </w:r>
            <w:r>
              <w:rPr>
                <w:rFonts w:hint="eastAsia"/>
                <w:sz w:val="24"/>
                <w:vertAlign w:val="superscript"/>
              </w:rPr>
              <w:t>-7</w:t>
            </w:r>
            <w:r>
              <w:rPr>
                <w:rFonts w:hint="eastAsia"/>
                <w:sz w:val="24"/>
              </w:rPr>
              <w:t>cm/s的粘土层的防渗性能。</w:t>
            </w:r>
          </w:p>
          <w:p>
            <w:pPr>
              <w:adjustRightInd w:val="0"/>
              <w:snapToGrid w:val="0"/>
              <w:spacing w:line="360" w:lineRule="auto"/>
              <w:ind w:firstLine="480" w:firstLineChars="200"/>
              <w:rPr>
                <w:sz w:val="24"/>
              </w:rPr>
            </w:pPr>
            <w:r>
              <w:rPr>
                <w:rFonts w:hint="eastAsia"/>
                <w:sz w:val="24"/>
              </w:rPr>
              <w:t>2）重点防渗区（危废贮存点、柴油罐区）</w:t>
            </w:r>
          </w:p>
          <w:p>
            <w:pPr>
              <w:adjustRightInd w:val="0"/>
              <w:snapToGrid w:val="0"/>
              <w:spacing w:line="360" w:lineRule="auto"/>
              <w:ind w:firstLine="480" w:firstLineChars="200"/>
              <w:rPr>
                <w:sz w:val="24"/>
              </w:rPr>
            </w:pPr>
            <w:r>
              <w:rPr>
                <w:rFonts w:hint="eastAsia"/>
                <w:sz w:val="24"/>
              </w:rPr>
              <w:t>重点污染防渗区的防渗性能应不低于6.0m厚渗透系数不低于1.0×10</w:t>
            </w:r>
            <w:r>
              <w:rPr>
                <w:rFonts w:hint="eastAsia"/>
                <w:sz w:val="24"/>
                <w:vertAlign w:val="superscript"/>
              </w:rPr>
              <w:t>-7</w:t>
            </w:r>
            <w:r>
              <w:rPr>
                <w:rFonts w:hint="eastAsia"/>
                <w:sz w:val="24"/>
              </w:rPr>
              <w:t>cm/s的粘土层的防渗性能。</w:t>
            </w:r>
          </w:p>
          <w:p>
            <w:pPr>
              <w:adjustRightInd w:val="0"/>
              <w:snapToGrid w:val="0"/>
              <w:spacing w:line="360" w:lineRule="auto"/>
              <w:ind w:firstLine="480" w:firstLineChars="200"/>
              <w:rPr>
                <w:sz w:val="24"/>
              </w:rPr>
            </w:pPr>
            <w:r>
              <w:rPr>
                <w:rFonts w:hint="eastAsia"/>
                <w:sz w:val="24"/>
              </w:rPr>
              <w:t>（3）简单防渗区</w:t>
            </w:r>
          </w:p>
          <w:p>
            <w:pPr>
              <w:adjustRightInd w:val="0"/>
              <w:snapToGrid w:val="0"/>
              <w:spacing w:line="360" w:lineRule="auto"/>
              <w:ind w:firstLine="480" w:firstLineChars="200"/>
              <w:rPr>
                <w:sz w:val="24"/>
              </w:rPr>
            </w:pPr>
            <w:r>
              <w:rPr>
                <w:rFonts w:hint="eastAsia"/>
                <w:sz w:val="24"/>
              </w:rPr>
              <w:t>项目道路及其他区域在保持适当绿化面积的基础上，加强地面的硬化（表面敷设混凝土），减少废水向地下渗漏几率和速度。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315" w:hRule="atLeast"/>
          <w:jc w:val="center"/>
        </w:trPr>
        <w:tc>
          <w:tcPr>
            <w:tcW w:w="482" w:type="dxa"/>
            <w:vAlign w:val="center"/>
          </w:tcPr>
          <w:p>
            <w:pPr>
              <w:adjustRightInd w:val="0"/>
              <w:snapToGrid w:val="0"/>
              <w:jc w:val="center"/>
              <w:rPr>
                <w:bCs/>
                <w:spacing w:val="10"/>
                <w:sz w:val="24"/>
                <w:highlight w:val="yellow"/>
              </w:rPr>
            </w:pPr>
            <w:r>
              <w:rPr>
                <w:bCs/>
                <w:sz w:val="24"/>
              </w:rPr>
              <w:t>其他</w:t>
            </w:r>
          </w:p>
        </w:tc>
        <w:tc>
          <w:tcPr>
            <w:tcW w:w="9245" w:type="dxa"/>
          </w:tcPr>
          <w:p>
            <w:pPr>
              <w:adjustRightInd w:val="0"/>
              <w:snapToGrid w:val="0"/>
              <w:spacing w:line="360" w:lineRule="auto"/>
              <w:ind w:firstLine="602" w:firstLineChars="200"/>
              <w:rPr>
                <w:b/>
                <w:bCs/>
                <w:spacing w:val="10"/>
                <w:sz w:val="28"/>
                <w:szCs w:val="28"/>
              </w:rPr>
            </w:pPr>
            <w:r>
              <w:rPr>
                <w:b/>
                <w:bCs/>
                <w:spacing w:val="10"/>
                <w:sz w:val="28"/>
                <w:szCs w:val="28"/>
              </w:rPr>
              <w:t>5.3、闭矿期生态环境保护措施</w:t>
            </w:r>
          </w:p>
          <w:p>
            <w:pPr>
              <w:adjustRightInd w:val="0"/>
              <w:snapToGrid w:val="0"/>
              <w:spacing w:line="360" w:lineRule="auto"/>
              <w:ind w:firstLine="520" w:firstLineChars="200"/>
              <w:rPr>
                <w:bCs/>
                <w:spacing w:val="10"/>
                <w:sz w:val="24"/>
              </w:rPr>
            </w:pPr>
            <w:r>
              <w:rPr>
                <w:bCs/>
                <w:spacing w:val="10"/>
                <w:sz w:val="24"/>
              </w:rPr>
              <w:t>根据《矿山生态环境保护与恢复治理技术规范（试行）》（HJ651-2013）的相关要求，项目闭矿期具体执行以下生态恢复措施：</w:t>
            </w:r>
          </w:p>
          <w:p>
            <w:pPr>
              <w:adjustRightInd w:val="0"/>
              <w:snapToGrid w:val="0"/>
              <w:spacing w:line="360" w:lineRule="auto"/>
              <w:ind w:firstLine="522" w:firstLineChars="200"/>
              <w:rPr>
                <w:b/>
                <w:bCs/>
                <w:spacing w:val="10"/>
                <w:sz w:val="24"/>
              </w:rPr>
            </w:pPr>
            <w:r>
              <w:rPr>
                <w:b/>
                <w:bCs/>
                <w:spacing w:val="10"/>
                <w:sz w:val="24"/>
              </w:rPr>
              <w:t>（1）采区</w:t>
            </w:r>
            <w:r>
              <w:rPr>
                <w:rFonts w:hint="eastAsia"/>
                <w:b/>
                <w:bCs/>
                <w:spacing w:val="10"/>
                <w:sz w:val="24"/>
              </w:rPr>
              <w:t>、场内运输道路、</w:t>
            </w:r>
            <w:r>
              <w:rPr>
                <w:rFonts w:hint="eastAsia"/>
                <w:b/>
                <w:bCs/>
                <w:color w:val="0000FF"/>
                <w:spacing w:val="10"/>
                <w:sz w:val="24"/>
              </w:rPr>
              <w:t>弃渣场</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①</w:t>
            </w:r>
            <w:r>
              <w:rPr>
                <w:bCs/>
                <w:spacing w:val="10"/>
                <w:sz w:val="24"/>
              </w:rPr>
              <w:t>闭矿后对采空区进行全面生态恢复复垦。采空区底盘复垦为</w:t>
            </w:r>
            <w:r>
              <w:rPr>
                <w:rFonts w:hint="eastAsia"/>
                <w:bCs/>
                <w:spacing w:val="10"/>
                <w:sz w:val="24"/>
              </w:rPr>
              <w:t>旱地</w:t>
            </w:r>
            <w:r>
              <w:rPr>
                <w:bCs/>
                <w:spacing w:val="10"/>
                <w:sz w:val="24"/>
              </w:rPr>
              <w:t>，台阶面复垦为</w:t>
            </w:r>
            <w:r>
              <w:rPr>
                <w:rFonts w:hint="eastAsia"/>
                <w:bCs/>
                <w:spacing w:val="10"/>
                <w:sz w:val="24"/>
              </w:rPr>
              <w:t>乔木</w:t>
            </w:r>
            <w:r>
              <w:rPr>
                <w:bCs/>
                <w:spacing w:val="10"/>
                <w:sz w:val="24"/>
              </w:rPr>
              <w:t>林地</w:t>
            </w:r>
            <w:r>
              <w:rPr>
                <w:rFonts w:hint="eastAsia"/>
                <w:bCs/>
                <w:spacing w:val="10"/>
                <w:sz w:val="24"/>
              </w:rPr>
              <w:t>；项目终了边坡中顺向坡坡度较缓，最大仅</w:t>
            </w:r>
            <w:r>
              <w:rPr>
                <w:rFonts w:hint="eastAsia"/>
                <w:kern w:val="0"/>
                <w:sz w:val="24"/>
              </w:rPr>
              <w:t>16°，可全部复垦为乔木林地，</w:t>
            </w:r>
            <w:r>
              <w:rPr>
                <w:rFonts w:hint="eastAsia"/>
                <w:bCs/>
                <w:spacing w:val="10"/>
                <w:sz w:val="24"/>
              </w:rPr>
              <w:t>终了边坡中</w:t>
            </w:r>
            <w:r>
              <w:rPr>
                <w:rFonts w:hint="eastAsia"/>
                <w:kern w:val="0"/>
                <w:sz w:val="24"/>
              </w:rPr>
              <w:t>切向坡、反向坡</w:t>
            </w:r>
            <w:r>
              <w:rPr>
                <w:rFonts w:hint="eastAsia"/>
                <w:bCs/>
                <w:spacing w:val="10"/>
                <w:sz w:val="24"/>
              </w:rPr>
              <w:t>坡度一般，最大不超过45</w:t>
            </w:r>
            <w:r>
              <w:rPr>
                <w:rFonts w:hint="eastAsia"/>
                <w:kern w:val="0"/>
                <w:sz w:val="24"/>
              </w:rPr>
              <w:t>°，边坡可</w:t>
            </w:r>
            <w:r>
              <w:rPr>
                <w:rFonts w:hint="eastAsia"/>
                <w:bCs/>
                <w:spacing w:val="10"/>
                <w:sz w:val="24"/>
              </w:rPr>
              <w:t>尽量恢复为</w:t>
            </w:r>
            <w:r>
              <w:rPr>
                <w:rFonts w:hint="eastAsia"/>
                <w:kern w:val="0"/>
                <w:sz w:val="24"/>
              </w:rPr>
              <w:t>乔木林地，若</w:t>
            </w:r>
            <w:r>
              <w:rPr>
                <w:rFonts w:hint="eastAsia"/>
                <w:bCs/>
                <w:spacing w:val="10"/>
                <w:sz w:val="24"/>
              </w:rPr>
              <w:t>不具备条件，可恢复为灌木林地或</w:t>
            </w:r>
            <w:r>
              <w:rPr>
                <w:bCs/>
                <w:spacing w:val="10"/>
                <w:sz w:val="24"/>
              </w:rPr>
              <w:t>草地</w:t>
            </w:r>
            <w:r>
              <w:rPr>
                <w:rFonts w:hint="eastAsia"/>
                <w:bCs/>
                <w:spacing w:val="10"/>
                <w:sz w:val="24"/>
              </w:rPr>
              <w:t>；场内运输道路可交由当地作为森林防火通道，若当地觉得不具备必要性，则全部恢复为乔木林地</w:t>
            </w:r>
            <w:r>
              <w:rPr>
                <w:bCs/>
                <w:spacing w:val="10"/>
                <w:sz w:val="24"/>
              </w:rPr>
              <w:t>（详见附图</w:t>
            </w:r>
            <w:r>
              <w:rPr>
                <w:rFonts w:hint="eastAsia"/>
                <w:bCs/>
                <w:spacing w:val="10"/>
                <w:sz w:val="24"/>
              </w:rPr>
              <w:t>7-1</w:t>
            </w:r>
            <w:r>
              <w:rPr>
                <w:bCs/>
                <w:spacing w:val="10"/>
                <w:sz w:val="24"/>
              </w:rPr>
              <w:t>），土地复垦率应达到90%。</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②</w:t>
            </w:r>
            <w:r>
              <w:rPr>
                <w:bCs/>
                <w:spacing w:val="10"/>
                <w:sz w:val="24"/>
              </w:rPr>
              <w:t>进行场地整治与覆土：水平地和15度以下缓坡地采用物料充填、底板耕松、挖高垫低等方法；15度以上陡坡地采用挖穴填土、砌筑植生盆（槽）填土、喷混、阶梯整形覆土、安放植物袋、石壁挂笼填土等方法。</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③</w:t>
            </w:r>
            <w:r>
              <w:rPr>
                <w:bCs/>
                <w:spacing w:val="10"/>
                <w:sz w:val="24"/>
              </w:rPr>
              <w:t>露天采场植被恢复：边坡治理后应保持稳定。露天采场边坡应恢复植被。边坡恢复措施及设计要求应符合《开发建设项目水土保持技术规范》（GB 50433）的相关要求。可保持平台和边坡。生态恢复后应与周边林地景观协调。利用开采期剥离表土覆盖于矿坑内和台阶表层，根据土源情况进行适当覆土恢复后的露天采场进行土地资源再利用时，应满足符合《土地复垦质量控制标准》（TD/T1036-2013）。</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④</w:t>
            </w:r>
            <w:r>
              <w:rPr>
                <w:bCs/>
                <w:spacing w:val="10"/>
                <w:sz w:val="24"/>
              </w:rPr>
              <w:t>对于裸露岩石，应采取挂网喷播、种植藤本植物等工程与生物措施进行恢复，并使恢复后的宕口与周围景观相协调。</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⑤</w:t>
            </w:r>
            <w:r>
              <w:rPr>
                <w:bCs/>
                <w:spacing w:val="10"/>
                <w:sz w:val="24"/>
              </w:rPr>
              <w:t>采矿基底、平台植被恢复易采用藤蔓植物，坡面植被遮盖易采用藤本（向上攀援）+藤本（向下垂吊）+树种组成。与周边森林景观相协调，生态恢复树种、灌木、竹、草本植物的选择应以乡土植物为主，适地适材。防止外来入侵物种。复垦土壤来自于开采过程中的剥离土。</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⑥</w:t>
            </w:r>
            <w:r>
              <w:rPr>
                <w:bCs/>
                <w:spacing w:val="10"/>
                <w:sz w:val="24"/>
              </w:rPr>
              <w:t>把当地自然植被与短期效果和长期效能紧密相结合。保证以后植物群落结构的稳定能达到免养护目的实现。经济适用人工栽种或喷播植物，应做到既经济又实用，在确保效果好的条件下，努力做到经济合理，充分利用矿区边坡人工植被绿化、美化、固土、持水和护坡的多重生态功能。</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⑦</w:t>
            </w:r>
            <w:r>
              <w:rPr>
                <w:bCs/>
                <w:spacing w:val="10"/>
                <w:sz w:val="24"/>
              </w:rPr>
              <w:t>土壤改良，台阶平台上的土壤多为采矿后残留的母质、石质和表土的混合物，</w:t>
            </w:r>
            <w:r>
              <w:rPr>
                <w:rFonts w:hint="eastAsia"/>
                <w:bCs/>
                <w:spacing w:val="10"/>
                <w:sz w:val="24"/>
              </w:rPr>
              <w:t>碎石</w:t>
            </w:r>
            <w:r>
              <w:rPr>
                <w:bCs/>
                <w:spacing w:val="10"/>
                <w:sz w:val="24"/>
              </w:rPr>
              <w:t>含量高，养分匮乏，应强化施肥改良。由于栽植穴土壤条件差，不利于植物根系发育与成活生长，设计在栽植穴内进行土壤改良与施肥改良。</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⑧</w:t>
            </w:r>
            <w:r>
              <w:rPr>
                <w:bCs/>
                <w:spacing w:val="10"/>
                <w:sz w:val="24"/>
              </w:rPr>
              <w:t>陡坡分类绿化</w:t>
            </w:r>
            <w:r>
              <w:rPr>
                <w:rFonts w:hint="eastAsia"/>
                <w:bCs/>
                <w:spacing w:val="10"/>
                <w:sz w:val="24"/>
              </w:rPr>
              <w:t>：</w:t>
            </w:r>
            <w:r>
              <w:rPr>
                <w:bCs/>
                <w:spacing w:val="10"/>
                <w:sz w:val="24"/>
              </w:rPr>
              <w:t>缓陡边坡占整个边坡面积的比例较大，在边坡的上、中、下部均有分布。设计采用厚层基质喷播，植生袋围堰造坑植树和基质容器苗种植3项技术。</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⑨</w:t>
            </w:r>
            <w:r>
              <w:rPr>
                <w:bCs/>
                <w:spacing w:val="10"/>
                <w:sz w:val="24"/>
              </w:rPr>
              <w:t>配套措施</w:t>
            </w:r>
            <w:r>
              <w:rPr>
                <w:rFonts w:hint="eastAsia"/>
                <w:bCs/>
                <w:spacing w:val="10"/>
                <w:sz w:val="24"/>
              </w:rPr>
              <w:t>：</w:t>
            </w:r>
            <w:r>
              <w:rPr>
                <w:bCs/>
                <w:spacing w:val="10"/>
                <w:sz w:val="24"/>
              </w:rPr>
              <w:t>施工前必须对坡面进行修整，清除坡面的松散浮石、碎石和杂物，排除落石隐患，确保坡面基本平顺，方便喷附植生基质。修筑截、排水沟都是边坡生态修复的配套设施工程，分别位于坡顶、坡面。在边坡下部沿坡脚构筑一堵浆砌块石挡土墙，一方面起压脚护坡的作用，另一方面体现边坡的整体性。</w:t>
            </w:r>
          </w:p>
          <w:p>
            <w:pPr>
              <w:adjustRightInd w:val="0"/>
              <w:snapToGrid w:val="0"/>
              <w:spacing w:line="360" w:lineRule="auto"/>
              <w:ind w:firstLine="522" w:firstLineChars="200"/>
              <w:rPr>
                <w:b/>
                <w:spacing w:val="10"/>
                <w:sz w:val="24"/>
              </w:rPr>
            </w:pPr>
            <w:r>
              <w:rPr>
                <w:rFonts w:hint="eastAsia"/>
                <w:b/>
                <w:spacing w:val="10"/>
                <w:sz w:val="24"/>
              </w:rPr>
              <w:t>（2）工业广场（含排土场）</w:t>
            </w:r>
          </w:p>
          <w:p>
            <w:pPr>
              <w:adjustRightInd w:val="0"/>
              <w:snapToGrid w:val="0"/>
              <w:spacing w:line="360" w:lineRule="auto"/>
              <w:ind w:firstLine="520" w:firstLineChars="200"/>
              <w:rPr>
                <w:bCs/>
                <w:spacing w:val="10"/>
                <w:sz w:val="24"/>
              </w:rPr>
            </w:pPr>
            <w:r>
              <w:rPr>
                <w:bCs/>
                <w:spacing w:val="10"/>
                <w:sz w:val="24"/>
              </w:rPr>
              <w:t>工业广场</w:t>
            </w:r>
            <w:r>
              <w:rPr>
                <w:rFonts w:hint="eastAsia"/>
                <w:bCs/>
                <w:spacing w:val="10"/>
                <w:sz w:val="24"/>
              </w:rPr>
              <w:t>全部</w:t>
            </w:r>
            <w:r>
              <w:rPr>
                <w:bCs/>
                <w:spacing w:val="10"/>
                <w:sz w:val="24"/>
              </w:rPr>
              <w:t>复垦为</w:t>
            </w:r>
            <w:r>
              <w:rPr>
                <w:rFonts w:hint="eastAsia"/>
                <w:bCs/>
                <w:spacing w:val="10"/>
                <w:sz w:val="24"/>
              </w:rPr>
              <w:t>旱地。工业广场</w:t>
            </w:r>
            <w:r>
              <w:rPr>
                <w:bCs/>
                <w:spacing w:val="10"/>
                <w:sz w:val="24"/>
              </w:rPr>
              <w:t>场地内建（构）筑物能够转为其他用途，如：作为永久居民房等，予以保留；无法利用的进行拆除，同时拆除后对建（构）筑物进行清理，建筑垃圾等固体废物分类集中处理，不得遗弃在工程占地范围内。同时妥善处置生产设备，属于行业淘汰的范围、不符合当时国家产业政策和地方政策的设备，应予报废，设备可按废品出售给回收单位；尚不属行业淘汰范围的、符合当时国家产业政策和地方政策的设备，可出售给同行企业继续利用。</w:t>
            </w:r>
          </w:p>
          <w:p>
            <w:pPr>
              <w:adjustRightInd w:val="0"/>
              <w:snapToGrid w:val="0"/>
              <w:spacing w:line="360" w:lineRule="auto"/>
              <w:ind w:firstLine="602" w:firstLineChars="200"/>
              <w:rPr>
                <w:b/>
                <w:bCs/>
                <w:spacing w:val="10"/>
                <w:sz w:val="28"/>
                <w:szCs w:val="28"/>
              </w:rPr>
            </w:pPr>
            <w:r>
              <w:rPr>
                <w:b/>
                <w:bCs/>
                <w:spacing w:val="10"/>
                <w:sz w:val="28"/>
                <w:szCs w:val="28"/>
              </w:rPr>
              <w:t>5.4、绿色矿山建设</w:t>
            </w:r>
          </w:p>
          <w:p>
            <w:pPr>
              <w:adjustRightInd w:val="0"/>
              <w:snapToGrid w:val="0"/>
              <w:spacing w:line="360" w:lineRule="auto"/>
              <w:ind w:firstLine="520" w:firstLineChars="200"/>
              <w:rPr>
                <w:bCs/>
                <w:spacing w:val="10"/>
                <w:sz w:val="24"/>
              </w:rPr>
            </w:pPr>
            <w:r>
              <w:rPr>
                <w:bCs/>
                <w:spacing w:val="10"/>
                <w:sz w:val="24"/>
              </w:rPr>
              <w:t>根据重庆市规划和自然资源局关于印发《重庆市绿色矿山管理办法的通知》（渝规资规范〔2020〕13号）和重庆市规划和自然资源局关于印发《重庆市绿色矿山建设标准（2021年版）》的通知（渝规资〔2021〕745号）</w:t>
            </w:r>
            <w:r>
              <w:rPr>
                <w:rFonts w:hint="eastAsia"/>
                <w:bCs/>
                <w:spacing w:val="10"/>
                <w:sz w:val="24"/>
              </w:rPr>
              <w:t>等文件精神</w:t>
            </w:r>
            <w:r>
              <w:rPr>
                <w:bCs/>
                <w:spacing w:val="10"/>
                <w:sz w:val="24"/>
              </w:rPr>
              <w:t>，</w:t>
            </w:r>
            <w:r>
              <w:rPr>
                <w:rFonts w:hint="eastAsia"/>
                <w:bCs/>
                <w:spacing w:val="10"/>
                <w:sz w:val="24"/>
              </w:rPr>
              <w:t>拟建项目投产前</w:t>
            </w:r>
            <w:r>
              <w:rPr>
                <w:bCs/>
                <w:spacing w:val="10"/>
                <w:sz w:val="24"/>
              </w:rPr>
              <w:t>需达到绿色矿山建设</w:t>
            </w:r>
            <w:r>
              <w:rPr>
                <w:rFonts w:hint="eastAsia"/>
                <w:bCs/>
                <w:spacing w:val="10"/>
                <w:sz w:val="24"/>
              </w:rPr>
              <w:t>标准</w:t>
            </w:r>
            <w:r>
              <w:rPr>
                <w:bCs/>
                <w:spacing w:val="10"/>
                <w:sz w:val="24"/>
              </w:rPr>
              <w:t>。</w:t>
            </w:r>
          </w:p>
          <w:p>
            <w:pPr>
              <w:adjustRightInd w:val="0"/>
              <w:snapToGrid w:val="0"/>
              <w:spacing w:line="360" w:lineRule="auto"/>
              <w:ind w:firstLine="520" w:firstLineChars="200"/>
              <w:rPr>
                <w:bCs/>
                <w:spacing w:val="10"/>
                <w:sz w:val="24"/>
              </w:rPr>
            </w:pPr>
            <w:r>
              <w:rPr>
                <w:bCs/>
                <w:spacing w:val="10"/>
                <w:sz w:val="24"/>
              </w:rPr>
              <w:t>具体要求：</w:t>
            </w:r>
          </w:p>
          <w:p>
            <w:pPr>
              <w:adjustRightInd w:val="0"/>
              <w:snapToGrid w:val="0"/>
              <w:spacing w:line="360" w:lineRule="auto"/>
              <w:ind w:firstLine="520" w:firstLineChars="200"/>
              <w:rPr>
                <w:bCs/>
                <w:spacing w:val="10"/>
                <w:sz w:val="24"/>
              </w:rPr>
            </w:pPr>
            <w:r>
              <w:rPr>
                <w:rFonts w:hint="eastAsia"/>
                <w:bCs/>
                <w:spacing w:val="10"/>
                <w:sz w:val="24"/>
              </w:rPr>
              <w:t>矿区环境：矿区功能布局合理，实现矿区绿化、美化，矿区整体环境整洁美观。矿区无积水，主干道实现硬化，路面干净、无扬尘。矿区边界、排土场、弃渣场和工业广场等按照规定设置截水沟和沉淀池，实施雨污分流。</w:t>
            </w:r>
          </w:p>
          <w:p>
            <w:pPr>
              <w:adjustRightInd w:val="0"/>
              <w:snapToGrid w:val="0"/>
              <w:spacing w:line="360" w:lineRule="auto"/>
              <w:ind w:firstLine="520" w:firstLineChars="200"/>
              <w:rPr>
                <w:bCs/>
                <w:spacing w:val="10"/>
                <w:sz w:val="24"/>
              </w:rPr>
            </w:pPr>
            <w:r>
              <w:rPr>
                <w:rFonts w:hint="eastAsia"/>
                <w:bCs/>
                <w:spacing w:val="10"/>
                <w:sz w:val="24"/>
              </w:rPr>
              <w:t>矿区绿化：因地制宜修复改善矿区环境，矿区绿化覆盖率达到可绿化面积的80%及以上，绿化树草布局科学、搭配合理、长势良好，实施“园林式”绿化，建设“花园式”矿山。矿区范围入口、临近公路等可视范围的要进行景观美化。露天开采矿山矿区范围边界、主运输干道两侧原则上应植树种草、形成绿化隔离带，开采形成的最终台阶、终了边坡按照规定复垦复绿。</w:t>
            </w:r>
          </w:p>
          <w:p>
            <w:pPr>
              <w:adjustRightInd w:val="0"/>
              <w:snapToGrid w:val="0"/>
              <w:spacing w:line="360" w:lineRule="auto"/>
              <w:ind w:firstLine="520" w:firstLineChars="200"/>
              <w:rPr>
                <w:bCs/>
                <w:spacing w:val="10"/>
                <w:sz w:val="24"/>
                <w:highlight w:val="yellow"/>
              </w:rPr>
            </w:pPr>
            <w:r>
              <w:rPr>
                <w:rFonts w:hint="eastAsia"/>
                <w:bCs/>
                <w:spacing w:val="10"/>
                <w:sz w:val="24"/>
              </w:rPr>
              <w:t>资源开发利用方式：选择资源节约型、环境友好型开采方式，因地制宜选择采选方法和工艺，矿区总体采用台阶式采矿法，为减轻采矿对迹地景观的影响，沿山脉进行边坡式开采需留足台阶。贯彻“边开采、边恢复”的原则（采空台阶及时恢复）。按照矿山地质环境保护与治理恢复方案的要求履行矿山地质环境保护与治理恢复义务，开展矿山地质环境动态监测，排土场、弃渣场、露天采场、矿区专用道路、矿山工业场地、矿山污染场地等生态环境保护与恢复治理应符合HJ651-2013要求。按照土地复垦方案要求开展土地复垦工作，露天采场（坑）、排土场等复垦土地质量应符合TD/T1036-2013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482" w:type="dxa"/>
            <w:vAlign w:val="center"/>
          </w:tcPr>
          <w:p>
            <w:pPr>
              <w:adjustRightInd w:val="0"/>
              <w:snapToGrid w:val="0"/>
              <w:jc w:val="center"/>
              <w:rPr>
                <w:bCs/>
                <w:spacing w:val="10"/>
                <w:sz w:val="24"/>
                <w:highlight w:val="yellow"/>
              </w:rPr>
            </w:pPr>
            <w:r>
              <w:rPr>
                <w:bCs/>
                <w:sz w:val="24"/>
              </w:rPr>
              <w:t>环保投资</w:t>
            </w:r>
          </w:p>
        </w:tc>
        <w:tc>
          <w:tcPr>
            <w:tcW w:w="9245" w:type="dxa"/>
          </w:tcPr>
          <w:p>
            <w:pPr>
              <w:adjustRightInd w:val="0"/>
              <w:snapToGrid w:val="0"/>
              <w:spacing w:line="360" w:lineRule="auto"/>
              <w:ind w:firstLine="520" w:firstLineChars="200"/>
              <w:rPr>
                <w:bCs/>
                <w:spacing w:val="10"/>
                <w:sz w:val="24"/>
              </w:rPr>
            </w:pPr>
            <w:r>
              <w:rPr>
                <w:bCs/>
                <w:spacing w:val="10"/>
                <w:sz w:val="24"/>
              </w:rPr>
              <w:t>拟建项目环保治理措施及相关费用见表5-1。</w:t>
            </w:r>
          </w:p>
          <w:p>
            <w:pPr>
              <w:adjustRightInd w:val="0"/>
              <w:snapToGrid w:val="0"/>
              <w:jc w:val="center"/>
              <w:rPr>
                <w:b/>
                <w:bCs/>
                <w:spacing w:val="10"/>
                <w:sz w:val="24"/>
              </w:rPr>
            </w:pPr>
            <w:r>
              <w:rPr>
                <w:b/>
                <w:bCs/>
                <w:spacing w:val="10"/>
                <w:sz w:val="24"/>
              </w:rPr>
              <w:t>表5-1  拟建项目环保治理措施及相关费用估算表</w:t>
            </w:r>
          </w:p>
          <w:tbl>
            <w:tblPr>
              <w:tblStyle w:val="15"/>
              <w:tblW w:w="90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01"/>
              <w:gridCol w:w="1108"/>
              <w:gridCol w:w="4396"/>
              <w:gridCol w:w="1001"/>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Align w:val="center"/>
                </w:tcPr>
                <w:p>
                  <w:pPr>
                    <w:pStyle w:val="57"/>
                  </w:pPr>
                  <w:r>
                    <w:t>类别</w:t>
                  </w:r>
                </w:p>
              </w:tc>
              <w:tc>
                <w:tcPr>
                  <w:tcW w:w="1001" w:type="dxa"/>
                  <w:vAlign w:val="center"/>
                </w:tcPr>
                <w:p>
                  <w:pPr>
                    <w:pStyle w:val="57"/>
                  </w:pPr>
                  <w:r>
                    <w:t>排放源</w:t>
                  </w:r>
                </w:p>
                <w:p>
                  <w:pPr>
                    <w:pStyle w:val="57"/>
                  </w:pPr>
                  <w:r>
                    <w:t>(编号)</w:t>
                  </w:r>
                </w:p>
              </w:tc>
              <w:tc>
                <w:tcPr>
                  <w:tcW w:w="1108" w:type="dxa"/>
                  <w:vAlign w:val="center"/>
                </w:tcPr>
                <w:p>
                  <w:pPr>
                    <w:pStyle w:val="57"/>
                  </w:pPr>
                  <w:r>
                    <w:t>污染物</w:t>
                  </w:r>
                </w:p>
                <w:p>
                  <w:pPr>
                    <w:pStyle w:val="57"/>
                  </w:pPr>
                  <w:r>
                    <w:t>名称</w:t>
                  </w:r>
                </w:p>
              </w:tc>
              <w:tc>
                <w:tcPr>
                  <w:tcW w:w="4396" w:type="dxa"/>
                  <w:vAlign w:val="center"/>
                </w:tcPr>
                <w:p>
                  <w:pPr>
                    <w:pStyle w:val="57"/>
                  </w:pPr>
                  <w:r>
                    <w:t>防治措施</w:t>
                  </w:r>
                </w:p>
              </w:tc>
              <w:tc>
                <w:tcPr>
                  <w:tcW w:w="1001" w:type="dxa"/>
                  <w:vAlign w:val="center"/>
                </w:tcPr>
                <w:p>
                  <w:pPr>
                    <w:pStyle w:val="57"/>
                  </w:pPr>
                  <w:r>
                    <w:t>治理投资(万元)</w:t>
                  </w:r>
                </w:p>
              </w:tc>
              <w:tc>
                <w:tcPr>
                  <w:tcW w:w="804" w:type="dxa"/>
                  <w:vAlign w:val="center"/>
                </w:tcPr>
                <w:p>
                  <w:pPr>
                    <w:pStyle w:val="57"/>
                  </w:pPr>
                  <w: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019" w:type="dxa"/>
                  <w:gridSpan w:val="6"/>
                  <w:vAlign w:val="center"/>
                </w:tcPr>
                <w:p>
                  <w:pPr>
                    <w:pStyle w:val="57"/>
                  </w:pPr>
                  <w:r>
                    <w:t>一、施工期</w:t>
                  </w:r>
                </w:p>
              </w:tc>
            </w:tr>
            <w:tr>
              <w:tblPrEx>
                <w:tblLayout w:type="fixed"/>
                <w:tblCellMar>
                  <w:top w:w="0" w:type="dxa"/>
                  <w:left w:w="108" w:type="dxa"/>
                  <w:bottom w:w="0" w:type="dxa"/>
                  <w:right w:w="108" w:type="dxa"/>
                </w:tblCellMar>
              </w:tblPrEx>
              <w:trPr>
                <w:trHeight w:val="20" w:hRule="atLeast"/>
                <w:jc w:val="center"/>
              </w:trPr>
              <w:tc>
                <w:tcPr>
                  <w:tcW w:w="709" w:type="dxa"/>
                  <w:vAlign w:val="center"/>
                </w:tcPr>
                <w:p>
                  <w:pPr>
                    <w:pStyle w:val="57"/>
                  </w:pPr>
                  <w:r>
                    <w:t>环境空气</w:t>
                  </w:r>
                </w:p>
              </w:tc>
              <w:tc>
                <w:tcPr>
                  <w:tcW w:w="1001" w:type="dxa"/>
                  <w:vAlign w:val="center"/>
                </w:tcPr>
                <w:p>
                  <w:pPr>
                    <w:pStyle w:val="57"/>
                  </w:pPr>
                  <w:r>
                    <w:t>施工厂区</w:t>
                  </w:r>
                </w:p>
              </w:tc>
              <w:tc>
                <w:tcPr>
                  <w:tcW w:w="1108" w:type="dxa"/>
                  <w:vAlign w:val="center"/>
                </w:tcPr>
                <w:p>
                  <w:pPr>
                    <w:pStyle w:val="57"/>
                  </w:pPr>
                  <w:r>
                    <w:t>颗粒物</w:t>
                  </w:r>
                </w:p>
              </w:tc>
              <w:tc>
                <w:tcPr>
                  <w:tcW w:w="4396" w:type="dxa"/>
                  <w:vAlign w:val="center"/>
                </w:tcPr>
                <w:p>
                  <w:pPr>
                    <w:pStyle w:val="57"/>
                    <w:ind w:firstLine="480" w:firstLineChars="200"/>
                    <w:jc w:val="both"/>
                  </w:pPr>
                  <w:r>
                    <w:t>对施工区定期洒水；运输车辆的车斗</w:t>
                  </w:r>
                  <w:r>
                    <w:rPr>
                      <w:rFonts w:hint="eastAsia"/>
                    </w:rPr>
                    <w:t>防尘</w:t>
                  </w:r>
                  <w:r>
                    <w:t>；土石方开挖和调运环节避免在大风季节施工；土石方开挖后及时回填并压实；车辆出场需冲洗，避免带泥上路。</w:t>
                  </w:r>
                  <w:r>
                    <w:rPr>
                      <w:rFonts w:hint="eastAsia"/>
                    </w:rPr>
                    <w:t>原项目厂区内的露天堆料区应立即采用帆布（防尘网）苫盖，并尽快清理外卖。</w:t>
                  </w:r>
                </w:p>
              </w:tc>
              <w:tc>
                <w:tcPr>
                  <w:tcW w:w="1001" w:type="dxa"/>
                  <w:vAlign w:val="center"/>
                </w:tcPr>
                <w:p>
                  <w:pPr>
                    <w:pStyle w:val="57"/>
                  </w:pPr>
                  <w:r>
                    <w:t>1</w:t>
                  </w:r>
                </w:p>
              </w:tc>
              <w:tc>
                <w:tcPr>
                  <w:tcW w:w="804" w:type="dxa"/>
                  <w:vAlign w:val="center"/>
                </w:tcPr>
                <w:p>
                  <w:pPr>
                    <w:pStyle w:val="57"/>
                  </w:pPr>
                  <w:r>
                    <w:t>不产生二次污染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09" w:type="dxa"/>
                  <w:vMerge w:val="restart"/>
                  <w:vAlign w:val="center"/>
                </w:tcPr>
                <w:p>
                  <w:pPr>
                    <w:pStyle w:val="57"/>
                  </w:pPr>
                  <w:r>
                    <w:t>地表水</w:t>
                  </w:r>
                </w:p>
              </w:tc>
              <w:tc>
                <w:tcPr>
                  <w:tcW w:w="1001" w:type="dxa"/>
                  <w:tcBorders>
                    <w:bottom w:val="single" w:color="auto" w:sz="8" w:space="0"/>
                  </w:tcBorders>
                  <w:vAlign w:val="center"/>
                </w:tcPr>
                <w:p>
                  <w:pPr>
                    <w:pStyle w:val="57"/>
                  </w:pPr>
                  <w:r>
                    <w:t>生活污水</w:t>
                  </w:r>
                </w:p>
              </w:tc>
              <w:tc>
                <w:tcPr>
                  <w:tcW w:w="1108" w:type="dxa"/>
                  <w:tcBorders>
                    <w:bottom w:val="single" w:color="auto" w:sz="8" w:space="0"/>
                  </w:tcBorders>
                  <w:vAlign w:val="center"/>
                </w:tcPr>
                <w:p>
                  <w:pPr>
                    <w:pStyle w:val="57"/>
                  </w:pPr>
                  <w:r>
                    <w:t>COD、SS、氨氮</w:t>
                  </w:r>
                </w:p>
              </w:tc>
              <w:tc>
                <w:tcPr>
                  <w:tcW w:w="4396" w:type="dxa"/>
                  <w:tcBorders>
                    <w:bottom w:val="single" w:color="auto" w:sz="8" w:space="0"/>
                  </w:tcBorders>
                  <w:vAlign w:val="center"/>
                </w:tcPr>
                <w:p>
                  <w:pPr>
                    <w:pStyle w:val="57"/>
                    <w:ind w:firstLine="480" w:firstLineChars="200"/>
                    <w:jc w:val="both"/>
                  </w:pPr>
                  <w:r>
                    <w:rPr>
                      <w:rFonts w:hint="eastAsia"/>
                    </w:rPr>
                    <w:t>依托原项目已建化粪池收集后，用作农肥。</w:t>
                  </w:r>
                </w:p>
              </w:tc>
              <w:tc>
                <w:tcPr>
                  <w:tcW w:w="1001" w:type="dxa"/>
                  <w:vMerge w:val="restart"/>
                  <w:vAlign w:val="center"/>
                </w:tcPr>
                <w:p>
                  <w:pPr>
                    <w:pStyle w:val="57"/>
                  </w:pPr>
                  <w:r>
                    <w:rPr>
                      <w:rFonts w:hint="eastAsia"/>
                    </w:rPr>
                    <w:t>2</w:t>
                  </w:r>
                </w:p>
              </w:tc>
              <w:tc>
                <w:tcPr>
                  <w:tcW w:w="804" w:type="dxa"/>
                  <w:vMerge w:val="restart"/>
                  <w:vAlign w:val="center"/>
                </w:tcPr>
                <w:p>
                  <w:pPr>
                    <w:pStyle w:val="57"/>
                  </w:pPr>
                  <w: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709" w:type="dxa"/>
                  <w:vMerge w:val="continue"/>
                  <w:vAlign w:val="center"/>
                </w:tcPr>
                <w:p>
                  <w:pPr>
                    <w:pStyle w:val="57"/>
                  </w:pPr>
                </w:p>
              </w:tc>
              <w:tc>
                <w:tcPr>
                  <w:tcW w:w="1001" w:type="dxa"/>
                  <w:tcBorders>
                    <w:top w:val="single" w:color="auto" w:sz="8" w:space="0"/>
                  </w:tcBorders>
                  <w:vAlign w:val="center"/>
                </w:tcPr>
                <w:p>
                  <w:pPr>
                    <w:pStyle w:val="57"/>
                  </w:pPr>
                  <w:r>
                    <w:t>冲洗废水</w:t>
                  </w:r>
                </w:p>
              </w:tc>
              <w:tc>
                <w:tcPr>
                  <w:tcW w:w="1108" w:type="dxa"/>
                  <w:tcBorders>
                    <w:top w:val="single" w:color="auto" w:sz="8" w:space="0"/>
                  </w:tcBorders>
                  <w:vAlign w:val="center"/>
                </w:tcPr>
                <w:p>
                  <w:pPr>
                    <w:pStyle w:val="57"/>
                  </w:pPr>
                  <w:r>
                    <w:t>SS</w:t>
                  </w:r>
                </w:p>
              </w:tc>
              <w:tc>
                <w:tcPr>
                  <w:tcW w:w="4396" w:type="dxa"/>
                  <w:tcBorders>
                    <w:top w:val="single" w:color="auto" w:sz="8" w:space="0"/>
                  </w:tcBorders>
                  <w:vAlign w:val="center"/>
                </w:tcPr>
                <w:p>
                  <w:pPr>
                    <w:pStyle w:val="57"/>
                    <w:ind w:firstLine="480" w:firstLineChars="200"/>
                    <w:jc w:val="both"/>
                  </w:pPr>
                  <w:r>
                    <w:t>施工机具、车辆冲洗废水经</w:t>
                  </w:r>
                  <w:r>
                    <w:rPr>
                      <w:rFonts w:ascii="宋体" w:hAnsi="宋体"/>
                    </w:rPr>
                    <w:t>“</w:t>
                  </w:r>
                  <w:r>
                    <w:t>U型</w:t>
                  </w:r>
                  <w:r>
                    <w:rPr>
                      <w:rFonts w:ascii="宋体" w:hAnsi="宋体"/>
                    </w:rPr>
                    <w:t>”</w:t>
                  </w:r>
                  <w:r>
                    <w:t>冲洗池沉淀处理后循环利用。</w:t>
                  </w:r>
                </w:p>
              </w:tc>
              <w:tc>
                <w:tcPr>
                  <w:tcW w:w="1001" w:type="dxa"/>
                  <w:vMerge w:val="continue"/>
                  <w:vAlign w:val="center"/>
                </w:tcPr>
                <w:p>
                  <w:pPr>
                    <w:pStyle w:val="57"/>
                  </w:pP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Align w:val="center"/>
                </w:tcPr>
                <w:p>
                  <w:pPr>
                    <w:pStyle w:val="57"/>
                  </w:pPr>
                  <w:r>
                    <w:t>声环境</w:t>
                  </w:r>
                </w:p>
              </w:tc>
              <w:tc>
                <w:tcPr>
                  <w:tcW w:w="1001" w:type="dxa"/>
                  <w:vAlign w:val="center"/>
                </w:tcPr>
                <w:p>
                  <w:pPr>
                    <w:pStyle w:val="57"/>
                  </w:pPr>
                  <w:r>
                    <w:t>施工噪声</w:t>
                  </w:r>
                </w:p>
              </w:tc>
              <w:tc>
                <w:tcPr>
                  <w:tcW w:w="1108" w:type="dxa"/>
                  <w:vAlign w:val="center"/>
                </w:tcPr>
                <w:p>
                  <w:pPr>
                    <w:pStyle w:val="57"/>
                  </w:pPr>
                  <w:r>
                    <w:t>噪声</w:t>
                  </w:r>
                </w:p>
              </w:tc>
              <w:tc>
                <w:tcPr>
                  <w:tcW w:w="4396" w:type="dxa"/>
                  <w:vAlign w:val="center"/>
                </w:tcPr>
                <w:p>
                  <w:pPr>
                    <w:pStyle w:val="57"/>
                    <w:ind w:firstLine="480" w:firstLineChars="200"/>
                    <w:jc w:val="both"/>
                  </w:pPr>
                  <w:r>
                    <w:t>合理安排施工时间，避免夜间施工；合理布置施工机具，远离附近居民点；建筑材料和设备运输时合理安排运输时间，经过居民点处时限速禁鸣</w:t>
                  </w:r>
                  <w:r>
                    <w:rPr>
                      <w:rFonts w:hint="eastAsia"/>
                    </w:rPr>
                    <w:t>，</w:t>
                  </w:r>
                  <w:r>
                    <w:rPr>
                      <w:rFonts w:hint="eastAsia"/>
                      <w:bCs/>
                    </w:rPr>
                    <w:t>施工场地四周需设置不低于1.8m的硬质围栏隔音</w:t>
                  </w:r>
                  <w:r>
                    <w:t>。</w:t>
                  </w:r>
                </w:p>
              </w:tc>
              <w:tc>
                <w:tcPr>
                  <w:tcW w:w="1001" w:type="dxa"/>
                  <w:vAlign w:val="center"/>
                </w:tcPr>
                <w:p>
                  <w:pPr>
                    <w:pStyle w:val="57"/>
                  </w:pPr>
                  <w:r>
                    <w:t>0.5</w:t>
                  </w:r>
                </w:p>
              </w:tc>
              <w:tc>
                <w:tcPr>
                  <w:tcW w:w="804" w:type="dxa"/>
                  <w:vAlign w:val="center"/>
                </w:tcPr>
                <w:p>
                  <w:pPr>
                    <w:pStyle w:val="57"/>
                  </w:pPr>
                  <w:r>
                    <w:t>降低影响</w:t>
                  </w:r>
                </w:p>
              </w:tc>
            </w:tr>
            <w:tr>
              <w:tblPrEx>
                <w:tblLayout w:type="fixed"/>
                <w:tblCellMar>
                  <w:top w:w="0" w:type="dxa"/>
                  <w:left w:w="108" w:type="dxa"/>
                  <w:bottom w:w="0" w:type="dxa"/>
                  <w:right w:w="108" w:type="dxa"/>
                </w:tblCellMar>
              </w:tblPrEx>
              <w:trPr>
                <w:trHeight w:val="445" w:hRule="atLeast"/>
                <w:jc w:val="center"/>
              </w:trPr>
              <w:tc>
                <w:tcPr>
                  <w:tcW w:w="709" w:type="dxa"/>
                  <w:vMerge w:val="restart"/>
                  <w:vAlign w:val="center"/>
                </w:tcPr>
                <w:p>
                  <w:pPr>
                    <w:pStyle w:val="57"/>
                  </w:pPr>
                  <w:r>
                    <w:t>固体废物</w:t>
                  </w:r>
                </w:p>
              </w:tc>
              <w:tc>
                <w:tcPr>
                  <w:tcW w:w="1001" w:type="dxa"/>
                  <w:tcBorders>
                    <w:bottom w:val="single" w:color="auto" w:sz="8" w:space="0"/>
                  </w:tcBorders>
                  <w:vAlign w:val="center"/>
                </w:tcPr>
                <w:p>
                  <w:pPr>
                    <w:pStyle w:val="57"/>
                  </w:pPr>
                  <w:r>
                    <w:t>表土、废石</w:t>
                  </w:r>
                </w:p>
              </w:tc>
              <w:tc>
                <w:tcPr>
                  <w:tcW w:w="1108" w:type="dxa"/>
                  <w:tcBorders>
                    <w:bottom w:val="single" w:color="auto" w:sz="8" w:space="0"/>
                  </w:tcBorders>
                  <w:vAlign w:val="center"/>
                </w:tcPr>
                <w:p>
                  <w:pPr>
                    <w:pStyle w:val="57"/>
                  </w:pPr>
                  <w:r>
                    <w:t>表土、废石</w:t>
                  </w:r>
                </w:p>
              </w:tc>
              <w:tc>
                <w:tcPr>
                  <w:tcW w:w="4396" w:type="dxa"/>
                  <w:tcBorders>
                    <w:bottom w:val="single" w:color="auto" w:sz="8" w:space="0"/>
                  </w:tcBorders>
                  <w:vAlign w:val="center"/>
                </w:tcPr>
                <w:p>
                  <w:pPr>
                    <w:pStyle w:val="57"/>
                    <w:ind w:firstLine="520" w:firstLineChars="200"/>
                    <w:jc w:val="both"/>
                  </w:pPr>
                  <w:r>
                    <w:rPr>
                      <w:rFonts w:hint="eastAsia"/>
                      <w:bCs/>
                      <w:spacing w:val="10"/>
                    </w:rPr>
                    <w:t>剥离表土全部运至恢复治理区裸岩区域作为绿化覆土；剥离或清理的废石</w:t>
                  </w:r>
                  <w:r>
                    <w:rPr>
                      <w:rFonts w:hint="eastAsia"/>
                      <w:color w:val="0000FF"/>
                    </w:rPr>
                    <w:t>可直接原矿外售作堡坎块石，或码垛暂存于工业广场仓库内，待运营期加工成建筑砂碎石后外售</w:t>
                  </w:r>
                  <w:r>
                    <w:t>。</w:t>
                  </w:r>
                </w:p>
              </w:tc>
              <w:tc>
                <w:tcPr>
                  <w:tcW w:w="1001" w:type="dxa"/>
                  <w:vAlign w:val="center"/>
                </w:tcPr>
                <w:p>
                  <w:pPr>
                    <w:pStyle w:val="57"/>
                  </w:pPr>
                  <w:r>
                    <w:t>7</w:t>
                  </w:r>
                </w:p>
              </w:tc>
              <w:tc>
                <w:tcPr>
                  <w:tcW w:w="804" w:type="dxa"/>
                  <w:vMerge w:val="restart"/>
                  <w:vAlign w:val="center"/>
                </w:tcPr>
                <w:p>
                  <w:pPr>
                    <w:pStyle w:val="57"/>
                  </w:pPr>
                  <w: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709" w:type="dxa"/>
                  <w:vMerge w:val="continue"/>
                  <w:vAlign w:val="center"/>
                </w:tcPr>
                <w:p>
                  <w:pPr>
                    <w:pStyle w:val="57"/>
                  </w:pPr>
                </w:p>
              </w:tc>
              <w:tc>
                <w:tcPr>
                  <w:tcW w:w="1001" w:type="dxa"/>
                  <w:tcBorders>
                    <w:bottom w:val="single" w:color="auto" w:sz="8" w:space="0"/>
                  </w:tcBorders>
                  <w:vAlign w:val="center"/>
                </w:tcPr>
                <w:p>
                  <w:pPr>
                    <w:pStyle w:val="57"/>
                  </w:pPr>
                  <w:r>
                    <w:t>生活垃圾</w:t>
                  </w:r>
                </w:p>
              </w:tc>
              <w:tc>
                <w:tcPr>
                  <w:tcW w:w="1108" w:type="dxa"/>
                  <w:tcBorders>
                    <w:bottom w:val="single" w:color="auto" w:sz="8" w:space="0"/>
                  </w:tcBorders>
                  <w:vAlign w:val="center"/>
                </w:tcPr>
                <w:p>
                  <w:pPr>
                    <w:pStyle w:val="57"/>
                  </w:pPr>
                  <w:r>
                    <w:t>生活垃圾</w:t>
                  </w:r>
                </w:p>
              </w:tc>
              <w:tc>
                <w:tcPr>
                  <w:tcW w:w="4396" w:type="dxa"/>
                  <w:tcBorders>
                    <w:bottom w:val="single" w:color="auto" w:sz="8" w:space="0"/>
                  </w:tcBorders>
                  <w:vAlign w:val="center"/>
                </w:tcPr>
                <w:p>
                  <w:pPr>
                    <w:pStyle w:val="57"/>
                    <w:ind w:firstLine="480" w:firstLineChars="200"/>
                    <w:jc w:val="both"/>
                  </w:pPr>
                  <w:r>
                    <w:rPr>
                      <w:bCs/>
                    </w:rPr>
                    <w:t>生活垃圾采取定点收集，定期清运，交由环卫部门统一</w:t>
                  </w:r>
                  <w:r>
                    <w:rPr>
                      <w:rFonts w:hint="eastAsia"/>
                      <w:bCs/>
                    </w:rPr>
                    <w:t>处置</w:t>
                  </w:r>
                  <w:r>
                    <w:t>。</w:t>
                  </w:r>
                </w:p>
              </w:tc>
              <w:tc>
                <w:tcPr>
                  <w:tcW w:w="1001" w:type="dxa"/>
                  <w:vAlign w:val="center"/>
                </w:tcPr>
                <w:p>
                  <w:pPr>
                    <w:pStyle w:val="57"/>
                  </w:pPr>
                  <w:r>
                    <w:rPr>
                      <w:rFonts w:hint="eastAsia"/>
                    </w:rPr>
                    <w:t>0.5</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709" w:type="dxa"/>
                  <w:vMerge w:val="continue"/>
                  <w:vAlign w:val="center"/>
                </w:tcPr>
                <w:p>
                  <w:pPr>
                    <w:pStyle w:val="57"/>
                  </w:pPr>
                </w:p>
              </w:tc>
              <w:tc>
                <w:tcPr>
                  <w:tcW w:w="1001" w:type="dxa"/>
                  <w:tcBorders>
                    <w:bottom w:val="single" w:color="auto" w:sz="8" w:space="0"/>
                  </w:tcBorders>
                  <w:vAlign w:val="center"/>
                </w:tcPr>
                <w:p>
                  <w:pPr>
                    <w:pStyle w:val="57"/>
                  </w:pPr>
                  <w:r>
                    <w:rPr>
                      <w:rFonts w:hint="eastAsia"/>
                    </w:rPr>
                    <w:t>拆除垃圾</w:t>
                  </w:r>
                </w:p>
              </w:tc>
              <w:tc>
                <w:tcPr>
                  <w:tcW w:w="1108" w:type="dxa"/>
                  <w:tcBorders>
                    <w:bottom w:val="single" w:color="auto" w:sz="8" w:space="0"/>
                  </w:tcBorders>
                  <w:vAlign w:val="center"/>
                </w:tcPr>
                <w:p>
                  <w:pPr>
                    <w:pStyle w:val="57"/>
                  </w:pPr>
                  <w:r>
                    <w:rPr>
                      <w:rFonts w:hint="eastAsia"/>
                    </w:rPr>
                    <w:t>废旧设备、废彩钢板</w:t>
                  </w:r>
                </w:p>
              </w:tc>
              <w:tc>
                <w:tcPr>
                  <w:tcW w:w="4396" w:type="dxa"/>
                  <w:tcBorders>
                    <w:bottom w:val="single" w:color="auto" w:sz="8" w:space="0"/>
                  </w:tcBorders>
                  <w:vAlign w:val="center"/>
                </w:tcPr>
                <w:p>
                  <w:pPr>
                    <w:pStyle w:val="57"/>
                    <w:ind w:firstLine="480" w:firstLineChars="200"/>
                    <w:jc w:val="both"/>
                    <w:rPr>
                      <w:bCs/>
                    </w:rPr>
                  </w:pPr>
                  <w:r>
                    <w:rPr>
                      <w:rFonts w:hint="eastAsia"/>
                      <w:bCs/>
                    </w:rPr>
                    <w:t>全部外售至物资回收公司。</w:t>
                  </w:r>
                </w:p>
              </w:tc>
              <w:tc>
                <w:tcPr>
                  <w:tcW w:w="1001" w:type="dxa"/>
                  <w:vAlign w:val="center"/>
                </w:tcPr>
                <w:p>
                  <w:pPr>
                    <w:pStyle w:val="57"/>
                  </w:pPr>
                  <w:r>
                    <w:rPr>
                      <w:rFonts w:hint="eastAsia"/>
                    </w:rPr>
                    <w:t>/</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709" w:type="dxa"/>
                  <w:vAlign w:val="center"/>
                </w:tcPr>
                <w:p>
                  <w:pPr>
                    <w:pStyle w:val="57"/>
                  </w:pPr>
                  <w:r>
                    <w:t>生态环境</w:t>
                  </w:r>
                </w:p>
              </w:tc>
              <w:tc>
                <w:tcPr>
                  <w:tcW w:w="2109" w:type="dxa"/>
                  <w:gridSpan w:val="2"/>
                  <w:tcBorders>
                    <w:bottom w:val="single" w:color="auto" w:sz="8" w:space="0"/>
                  </w:tcBorders>
                  <w:vAlign w:val="center"/>
                </w:tcPr>
                <w:p>
                  <w:pPr>
                    <w:pStyle w:val="57"/>
                  </w:pPr>
                  <w:r>
                    <w:t>动植物保护措施</w:t>
                  </w:r>
                </w:p>
              </w:tc>
              <w:tc>
                <w:tcPr>
                  <w:tcW w:w="4396" w:type="dxa"/>
                  <w:tcBorders>
                    <w:bottom w:val="single" w:color="auto" w:sz="8" w:space="0"/>
                  </w:tcBorders>
                  <w:vAlign w:val="center"/>
                </w:tcPr>
                <w:p>
                  <w:pPr>
                    <w:pStyle w:val="57"/>
                    <w:ind w:firstLine="480" w:firstLineChars="200"/>
                    <w:jc w:val="both"/>
                  </w:pPr>
                  <w:r>
                    <w:t>在占地范围内施工，缩短工期</w:t>
                  </w:r>
                  <w:r>
                    <w:rPr>
                      <w:rFonts w:hint="eastAsia"/>
                    </w:rPr>
                    <w:t>；</w:t>
                  </w:r>
                  <w:r>
                    <w:t>及早进行绿化以减少裸露地面；对受破坏的植被及时进行恢复。</w:t>
                  </w:r>
                  <w:r>
                    <w:rPr>
                      <w:rFonts w:hint="eastAsia"/>
                      <w:kern w:val="0"/>
                    </w:rPr>
                    <w:t>完成恢复治理区的生态复绿。</w:t>
                  </w:r>
                </w:p>
              </w:tc>
              <w:tc>
                <w:tcPr>
                  <w:tcW w:w="1001" w:type="dxa"/>
                  <w:vAlign w:val="center"/>
                </w:tcPr>
                <w:p>
                  <w:pPr>
                    <w:pStyle w:val="57"/>
                  </w:pPr>
                  <w:r>
                    <w:rPr>
                      <w:rFonts w:hint="eastAsia"/>
                    </w:rPr>
                    <w:t>2</w:t>
                  </w:r>
                </w:p>
              </w:tc>
              <w:tc>
                <w:tcPr>
                  <w:tcW w:w="804" w:type="dxa"/>
                  <w:vAlign w:val="center"/>
                </w:tcPr>
                <w:p>
                  <w:pPr>
                    <w:pStyle w:val="57"/>
                  </w:pPr>
                  <w:r>
                    <w:t>降低影响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019" w:type="dxa"/>
                  <w:gridSpan w:val="6"/>
                  <w:vAlign w:val="center"/>
                </w:tcPr>
                <w:p>
                  <w:pPr>
                    <w:pStyle w:val="57"/>
                  </w:pPr>
                  <w:r>
                    <w:t>二、运营期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restart"/>
                  <w:vAlign w:val="center"/>
                </w:tcPr>
                <w:p>
                  <w:pPr>
                    <w:pStyle w:val="57"/>
                  </w:pPr>
                  <w:r>
                    <w:t>环境空气</w:t>
                  </w:r>
                </w:p>
              </w:tc>
              <w:tc>
                <w:tcPr>
                  <w:tcW w:w="1001" w:type="dxa"/>
                  <w:vAlign w:val="center"/>
                </w:tcPr>
                <w:p>
                  <w:pPr>
                    <w:pStyle w:val="57"/>
                  </w:pPr>
                  <w:r>
                    <w:t>采区</w:t>
                  </w:r>
                </w:p>
              </w:tc>
              <w:tc>
                <w:tcPr>
                  <w:tcW w:w="1108" w:type="dxa"/>
                  <w:vAlign w:val="center"/>
                </w:tcPr>
                <w:p>
                  <w:pPr>
                    <w:pStyle w:val="57"/>
                  </w:pPr>
                  <w:r>
                    <w:t>颗粒物</w:t>
                  </w:r>
                </w:p>
              </w:tc>
              <w:tc>
                <w:tcPr>
                  <w:tcW w:w="4396" w:type="dxa"/>
                  <w:vAlign w:val="center"/>
                </w:tcPr>
                <w:p>
                  <w:pPr>
                    <w:pStyle w:val="57"/>
                    <w:ind w:firstLine="480" w:firstLineChars="200"/>
                    <w:jc w:val="both"/>
                  </w:pPr>
                  <w:r>
                    <w:t>开采期间使用高压微雾装置对开采区进行实时洒水抑尘；表土植被采用随剥随除的方式，表土采用即挖即运的方式；</w:t>
                  </w:r>
                  <w:r>
                    <w:rPr>
                      <w:bCs/>
                    </w:rPr>
                    <w:t>采用多排孔微差松动爆破法，并控制单孔炸药量、炸药总用量；在爆破前采取湿棕垫或稻草覆盖，爆破后及时使用高压微雾装置进行喷雾洒水降尘；钻孔设备采用潜孔钻机，在潜孔钻机上配备捕尘装置，并进行湿式凿岩。</w:t>
                  </w:r>
                </w:p>
              </w:tc>
              <w:tc>
                <w:tcPr>
                  <w:tcW w:w="1001" w:type="dxa"/>
                  <w:vAlign w:val="center"/>
                </w:tcPr>
                <w:p>
                  <w:pPr>
                    <w:pStyle w:val="57"/>
                  </w:pPr>
                  <w:r>
                    <w:t>5</w:t>
                  </w:r>
                </w:p>
              </w:tc>
              <w:tc>
                <w:tcPr>
                  <w:tcW w:w="804" w:type="dxa"/>
                  <w:vMerge w:val="restart"/>
                  <w:vAlign w:val="center"/>
                </w:tcPr>
                <w:p>
                  <w:pPr>
                    <w:pStyle w:val="57"/>
                  </w:pPr>
                  <w:r>
                    <w:t>不产生二次污染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1001" w:type="dxa"/>
                  <w:vAlign w:val="center"/>
                </w:tcPr>
                <w:p>
                  <w:pPr>
                    <w:pStyle w:val="57"/>
                  </w:pPr>
                  <w:r>
                    <w:rPr>
                      <w:rFonts w:hint="eastAsia"/>
                    </w:rPr>
                    <w:t>加工区</w:t>
                  </w:r>
                </w:p>
              </w:tc>
              <w:tc>
                <w:tcPr>
                  <w:tcW w:w="1108" w:type="dxa"/>
                  <w:vAlign w:val="center"/>
                </w:tcPr>
                <w:p>
                  <w:pPr>
                    <w:pStyle w:val="57"/>
                  </w:pPr>
                  <w:r>
                    <w:t>颗粒物</w:t>
                  </w:r>
                </w:p>
              </w:tc>
              <w:tc>
                <w:tcPr>
                  <w:tcW w:w="4396" w:type="dxa"/>
                  <w:vAlign w:val="center"/>
                </w:tcPr>
                <w:p>
                  <w:pPr>
                    <w:pStyle w:val="57"/>
                    <w:ind w:firstLine="480" w:firstLineChars="200"/>
                    <w:jc w:val="both"/>
                  </w:pPr>
                  <w:r>
                    <w:rPr>
                      <w:rFonts w:hint="eastAsia"/>
                    </w:rPr>
                    <w:t>加工区</w:t>
                  </w:r>
                  <w:r>
                    <w:t>内破碎、筛分</w:t>
                  </w:r>
                  <w:r>
                    <w:rPr>
                      <w:rFonts w:hint="eastAsia"/>
                    </w:rPr>
                    <w:t>设备</w:t>
                  </w:r>
                  <w:r>
                    <w:t>均采用箱式密闭收尘并配套设置脉冲布袋除尘器和排气筒</w:t>
                  </w:r>
                  <w:r>
                    <w:rPr>
                      <w:rFonts w:hint="eastAsia"/>
                    </w:rPr>
                    <w:t>，传送带全部采用全密闭防尘罩</w:t>
                  </w:r>
                  <w:r>
                    <w:t>；</w:t>
                  </w:r>
                  <w:r>
                    <w:rPr>
                      <w:rFonts w:hint="eastAsia"/>
                      <w:bCs/>
                    </w:rPr>
                    <w:t>加工区整体搭建为彩钢密闭厂房，仅留运料进出口，除物料进出时段外，仓门关闭；破碎站卸料口三面围挡，设置为半封闭，其他区域仅留检修通道，生产期间均关闭；破碎站一破设备进料口、主要生产设备周边、仓库内堆料场下料区（装车点）等区域设置喷淋（雾）装置喷雾抑尘</w:t>
                  </w:r>
                  <w:r>
                    <w:rPr>
                      <w:rFonts w:hint="eastAsia"/>
                      <w:bCs/>
                      <w:spacing w:val="10"/>
                    </w:rPr>
                    <w:t>。</w:t>
                  </w:r>
                </w:p>
              </w:tc>
              <w:tc>
                <w:tcPr>
                  <w:tcW w:w="1001" w:type="dxa"/>
                  <w:vAlign w:val="center"/>
                </w:tcPr>
                <w:p>
                  <w:pPr>
                    <w:pStyle w:val="57"/>
                  </w:pPr>
                  <w:r>
                    <w:rPr>
                      <w:rFonts w:hint="eastAsia"/>
                    </w:rPr>
                    <w:t>30</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1001" w:type="dxa"/>
                  <w:vAlign w:val="center"/>
                </w:tcPr>
                <w:p>
                  <w:pPr>
                    <w:pStyle w:val="57"/>
                  </w:pPr>
                  <w:r>
                    <w:rPr>
                      <w:rFonts w:hint="eastAsia"/>
                      <w:color w:val="0000FF"/>
                    </w:rPr>
                    <w:t>排土场、弃渣场</w:t>
                  </w:r>
                </w:p>
              </w:tc>
              <w:tc>
                <w:tcPr>
                  <w:tcW w:w="1108" w:type="dxa"/>
                  <w:vAlign w:val="center"/>
                </w:tcPr>
                <w:p>
                  <w:pPr>
                    <w:pStyle w:val="57"/>
                  </w:pPr>
                  <w:r>
                    <w:t>颗粒物</w:t>
                  </w:r>
                </w:p>
              </w:tc>
              <w:tc>
                <w:tcPr>
                  <w:tcW w:w="4396" w:type="dxa"/>
                  <w:vAlign w:val="center"/>
                </w:tcPr>
                <w:p>
                  <w:pPr>
                    <w:pStyle w:val="57"/>
                    <w:ind w:firstLine="480" w:firstLineChars="200"/>
                    <w:jc w:val="both"/>
                  </w:pPr>
                  <w:r>
                    <w:rPr>
                      <w:bCs/>
                    </w:rPr>
                    <w:t>表层剥离物在场内堆放后，进行压实处理，采用洒水车定期洒水；长期（如3个月以上）不使用时，对表层使用帆布简易覆盖或撒播草籽临时复绿。</w:t>
                  </w:r>
                </w:p>
              </w:tc>
              <w:tc>
                <w:tcPr>
                  <w:tcW w:w="1001" w:type="dxa"/>
                  <w:vAlign w:val="center"/>
                </w:tcPr>
                <w:p>
                  <w:pPr>
                    <w:pStyle w:val="57"/>
                  </w:pPr>
                  <w:r>
                    <w:rPr>
                      <w:rFonts w:hint="eastAsia"/>
                    </w:rPr>
                    <w:t>3</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1001" w:type="dxa"/>
                  <w:vAlign w:val="center"/>
                </w:tcPr>
                <w:p>
                  <w:pPr>
                    <w:pStyle w:val="57"/>
                  </w:pPr>
                  <w:r>
                    <w:t>运输道路</w:t>
                  </w:r>
                </w:p>
              </w:tc>
              <w:tc>
                <w:tcPr>
                  <w:tcW w:w="1108" w:type="dxa"/>
                  <w:vAlign w:val="center"/>
                </w:tcPr>
                <w:p>
                  <w:pPr>
                    <w:pStyle w:val="57"/>
                  </w:pPr>
                  <w:r>
                    <w:t>颗粒物</w:t>
                  </w:r>
                </w:p>
              </w:tc>
              <w:tc>
                <w:tcPr>
                  <w:tcW w:w="4396" w:type="dxa"/>
                  <w:vAlign w:val="center"/>
                </w:tcPr>
                <w:p>
                  <w:pPr>
                    <w:pStyle w:val="57"/>
                    <w:ind w:firstLine="480" w:firstLineChars="200"/>
                    <w:jc w:val="both"/>
                  </w:pPr>
                  <w:r>
                    <w:t>使用洒水车定期对</w:t>
                  </w:r>
                  <w:r>
                    <w:rPr>
                      <w:rFonts w:hint="eastAsia"/>
                    </w:rPr>
                    <w:t>场内外</w:t>
                  </w:r>
                  <w:r>
                    <w:t>运输道路进行洒水降尘；设置高压水枪对进出矿区的运输车辆进行冲洗；安排专人维护矿区运输道路的清洁，减少粉尘的沉积量；加强运输道路的维护保养，确保路况良好；加强运输车辆的管理，严禁超速超载</w:t>
                  </w:r>
                  <w:r>
                    <w:rPr>
                      <w:rFonts w:hint="eastAsia"/>
                    </w:rPr>
                    <w:t>；对矿区范围外的场内运输道路进行硬化</w:t>
                  </w:r>
                  <w:r>
                    <w:t>。</w:t>
                  </w:r>
                </w:p>
              </w:tc>
              <w:tc>
                <w:tcPr>
                  <w:tcW w:w="1001" w:type="dxa"/>
                  <w:vAlign w:val="center"/>
                </w:tcPr>
                <w:p>
                  <w:pPr>
                    <w:pStyle w:val="57"/>
                  </w:pPr>
                  <w:r>
                    <w:rPr>
                      <w:rFonts w:hint="eastAsia"/>
                    </w:rPr>
                    <w:t>25</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restart"/>
                  <w:vAlign w:val="center"/>
                </w:tcPr>
                <w:p>
                  <w:pPr>
                    <w:pStyle w:val="57"/>
                  </w:pPr>
                  <w:r>
                    <w:t>地表水</w:t>
                  </w:r>
                </w:p>
              </w:tc>
              <w:tc>
                <w:tcPr>
                  <w:tcW w:w="1001" w:type="dxa"/>
                  <w:vAlign w:val="center"/>
                </w:tcPr>
                <w:p>
                  <w:pPr>
                    <w:pStyle w:val="57"/>
                  </w:pPr>
                  <w:r>
                    <w:t>生活污水</w:t>
                  </w:r>
                </w:p>
              </w:tc>
              <w:tc>
                <w:tcPr>
                  <w:tcW w:w="1108" w:type="dxa"/>
                  <w:vAlign w:val="center"/>
                </w:tcPr>
                <w:p>
                  <w:pPr>
                    <w:pStyle w:val="57"/>
                  </w:pPr>
                  <w:r>
                    <w:t>COD、BOD</w:t>
                  </w:r>
                  <w:r>
                    <w:rPr>
                      <w:vertAlign w:val="subscript"/>
                    </w:rPr>
                    <w:t>5</w:t>
                  </w:r>
                  <w:r>
                    <w:t>、SS、氨氮</w:t>
                  </w:r>
                </w:p>
              </w:tc>
              <w:tc>
                <w:tcPr>
                  <w:tcW w:w="4396" w:type="dxa"/>
                  <w:vAlign w:val="center"/>
                </w:tcPr>
                <w:p>
                  <w:pPr>
                    <w:pStyle w:val="57"/>
                    <w:ind w:firstLine="480" w:firstLineChars="200"/>
                    <w:jc w:val="both"/>
                  </w:pPr>
                  <w:r>
                    <w:rPr>
                      <w:rFonts w:hint="eastAsia"/>
                    </w:rPr>
                    <w:t>依托原项目已在卫生间下方</w:t>
                  </w:r>
                  <w:r>
                    <w:t>设置</w:t>
                  </w:r>
                  <w:r>
                    <w:rPr>
                      <w:rFonts w:hint="eastAsia"/>
                    </w:rPr>
                    <w:t>了</w:t>
                  </w:r>
                  <w:r>
                    <w:t>30m</w:t>
                  </w:r>
                  <w:r>
                    <w:rPr>
                      <w:vertAlign w:val="superscript"/>
                    </w:rPr>
                    <w:t>3</w:t>
                  </w:r>
                  <w:r>
                    <w:rPr>
                      <w:rFonts w:hint="eastAsia"/>
                    </w:rPr>
                    <w:t>的</w:t>
                  </w:r>
                  <w:r>
                    <w:t>化粪池，职工生活污水经化粪池收集后，用作农肥，不外排</w:t>
                  </w:r>
                  <w:r>
                    <w:rPr>
                      <w:bCs/>
                    </w:rPr>
                    <w:t>。</w:t>
                  </w:r>
                </w:p>
              </w:tc>
              <w:tc>
                <w:tcPr>
                  <w:tcW w:w="1001" w:type="dxa"/>
                  <w:vAlign w:val="center"/>
                </w:tcPr>
                <w:p>
                  <w:pPr>
                    <w:pStyle w:val="57"/>
                  </w:pPr>
                  <w:r>
                    <w:rPr>
                      <w:rFonts w:hint="eastAsia"/>
                    </w:rPr>
                    <w:t>/</w:t>
                  </w:r>
                </w:p>
              </w:tc>
              <w:tc>
                <w:tcPr>
                  <w:tcW w:w="804" w:type="dxa"/>
                  <w:vMerge w:val="restart"/>
                  <w:vAlign w:val="center"/>
                </w:tcPr>
                <w:p>
                  <w:pPr>
                    <w:pStyle w:val="57"/>
                  </w:pPr>
                  <w: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1001" w:type="dxa"/>
                  <w:vAlign w:val="center"/>
                </w:tcPr>
                <w:p>
                  <w:pPr>
                    <w:pStyle w:val="57"/>
                  </w:pPr>
                  <w:r>
                    <w:t>生产废水</w:t>
                  </w:r>
                </w:p>
              </w:tc>
              <w:tc>
                <w:tcPr>
                  <w:tcW w:w="1108" w:type="dxa"/>
                  <w:vAlign w:val="center"/>
                </w:tcPr>
                <w:p>
                  <w:pPr>
                    <w:pStyle w:val="57"/>
                  </w:pPr>
                  <w:r>
                    <w:t>SS</w:t>
                  </w:r>
                </w:p>
              </w:tc>
              <w:tc>
                <w:tcPr>
                  <w:tcW w:w="4396" w:type="dxa"/>
                  <w:vAlign w:val="center"/>
                </w:tcPr>
                <w:p>
                  <w:pPr>
                    <w:pStyle w:val="57"/>
                    <w:ind w:firstLine="480" w:firstLineChars="200"/>
                    <w:jc w:val="both"/>
                  </w:pPr>
                  <w:r>
                    <w:rPr>
                      <w:rFonts w:hint="eastAsia"/>
                    </w:rPr>
                    <w:t>在地磅称东侧</w:t>
                  </w:r>
                  <w:r>
                    <w:t>设容积约</w:t>
                  </w:r>
                  <w:r>
                    <w:rPr>
                      <w:rFonts w:hint="eastAsia"/>
                    </w:rPr>
                    <w:t>20</w:t>
                  </w:r>
                  <w:r>
                    <w:t>m</w:t>
                  </w:r>
                  <w:r>
                    <w:rPr>
                      <w:vertAlign w:val="superscript"/>
                    </w:rPr>
                    <w:t>3</w:t>
                  </w:r>
                  <w:r>
                    <w:rPr>
                      <w:rFonts w:hint="eastAsia"/>
                    </w:rPr>
                    <w:t>的</w:t>
                  </w:r>
                  <w:r>
                    <w:rPr>
                      <w:rFonts w:ascii="宋体" w:hAnsi="宋体"/>
                    </w:rPr>
                    <w:t>“</w:t>
                  </w:r>
                  <w:r>
                    <w:t>U型</w:t>
                  </w:r>
                  <w:r>
                    <w:rPr>
                      <w:rFonts w:ascii="宋体" w:hAnsi="宋体"/>
                    </w:rPr>
                    <w:t>”</w:t>
                  </w:r>
                  <w:r>
                    <w:t>车辆冲洗池</w:t>
                  </w:r>
                  <w:r>
                    <w:rPr>
                      <w:rFonts w:hint="eastAsia"/>
                    </w:rPr>
                    <w:t>，场内</w:t>
                  </w:r>
                  <w:r>
                    <w:t>运输车辆</w:t>
                  </w:r>
                  <w:r>
                    <w:rPr>
                      <w:rFonts w:hint="eastAsia"/>
                    </w:rPr>
                    <w:t>于</w:t>
                  </w:r>
                  <w:r>
                    <w:rPr>
                      <w:rFonts w:ascii="宋体" w:hAnsi="宋体"/>
                    </w:rPr>
                    <w:t>“</w:t>
                  </w:r>
                  <w:r>
                    <w:t>U型</w:t>
                  </w:r>
                  <w:r>
                    <w:rPr>
                      <w:rFonts w:ascii="宋体" w:hAnsi="宋体"/>
                    </w:rPr>
                    <w:t>”</w:t>
                  </w:r>
                  <w:r>
                    <w:t>车辆冲洗池</w:t>
                  </w:r>
                  <w:r>
                    <w:rPr>
                      <w:rFonts w:hint="eastAsia"/>
                    </w:rPr>
                    <w:t>内冲洗后，</w:t>
                  </w:r>
                  <w:r>
                    <w:t>所产生的冲洗废水经冲洗池沉淀处理后循环使用。</w:t>
                  </w:r>
                </w:p>
              </w:tc>
              <w:tc>
                <w:tcPr>
                  <w:tcW w:w="1001" w:type="dxa"/>
                  <w:vAlign w:val="center"/>
                </w:tcPr>
                <w:p>
                  <w:pPr>
                    <w:pStyle w:val="57"/>
                  </w:pPr>
                  <w:r>
                    <w:rPr>
                      <w:rFonts w:hint="eastAsia"/>
                    </w:rPr>
                    <w:t>/</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1001" w:type="dxa"/>
                  <w:vAlign w:val="center"/>
                </w:tcPr>
                <w:p>
                  <w:pPr>
                    <w:pStyle w:val="57"/>
                  </w:pPr>
                  <w:r>
                    <w:rPr>
                      <w:rFonts w:hint="eastAsia"/>
                    </w:rPr>
                    <w:t>初期</w:t>
                  </w:r>
                  <w:r>
                    <w:t>雨水</w:t>
                  </w:r>
                </w:p>
              </w:tc>
              <w:tc>
                <w:tcPr>
                  <w:tcW w:w="1108" w:type="dxa"/>
                  <w:vAlign w:val="center"/>
                </w:tcPr>
                <w:p>
                  <w:pPr>
                    <w:pStyle w:val="57"/>
                  </w:pPr>
                  <w:r>
                    <w:t>SS</w:t>
                  </w:r>
                </w:p>
              </w:tc>
              <w:tc>
                <w:tcPr>
                  <w:tcW w:w="4396" w:type="dxa"/>
                  <w:vAlign w:val="center"/>
                </w:tcPr>
                <w:p>
                  <w:pPr>
                    <w:pStyle w:val="57"/>
                    <w:ind w:firstLine="480" w:firstLineChars="200"/>
                    <w:jc w:val="both"/>
                  </w:pPr>
                  <w:r>
                    <w:t>根据区域地势，</w:t>
                  </w:r>
                  <w:r>
                    <w:rPr>
                      <w:rFonts w:hint="eastAsia"/>
                    </w:rPr>
                    <w:t>在矿区西北侧布设约365</w:t>
                  </w:r>
                  <w:r>
                    <w:rPr>
                      <w:bCs/>
                    </w:rPr>
                    <w:t>m截洪沟</w:t>
                  </w:r>
                  <w:r>
                    <w:rPr>
                      <w:rFonts w:hint="eastAsia"/>
                      <w:bCs/>
                    </w:rPr>
                    <w:t>，截挡外部雨水；在矿区其他侧、场内运输道路单边、工业广场东侧及南侧共布设约9</w:t>
                  </w:r>
                  <w:r>
                    <w:rPr>
                      <w:bCs/>
                    </w:rPr>
                    <w:t>00m排水沟</w:t>
                  </w:r>
                  <w:r>
                    <w:rPr>
                      <w:rFonts w:hint="eastAsia"/>
                      <w:bCs/>
                    </w:rPr>
                    <w:t>，</w:t>
                  </w:r>
                  <w:r>
                    <w:rPr>
                      <w:bCs/>
                    </w:rPr>
                    <w:t>排水沟</w:t>
                  </w:r>
                  <w:r>
                    <w:rPr>
                      <w:rFonts w:hint="eastAsia"/>
                      <w:bCs/>
                    </w:rPr>
                    <w:t>末端可</w:t>
                  </w:r>
                  <w:r>
                    <w:rPr>
                      <w:rFonts w:hint="eastAsia"/>
                    </w:rPr>
                    <w:t>设一切换阀，一端接入110m</w:t>
                  </w:r>
                  <w:r>
                    <w:rPr>
                      <w:vertAlign w:val="superscript"/>
                    </w:rPr>
                    <w:t>3</w:t>
                  </w:r>
                  <w:r>
                    <w:rPr>
                      <w:rFonts w:hint="eastAsia"/>
                    </w:rPr>
                    <w:t>雨水沉淀池，</w:t>
                  </w:r>
                  <w:r>
                    <w:rPr>
                      <w:rFonts w:hint="eastAsia"/>
                      <w:bCs/>
                    </w:rPr>
                    <w:t>另一端设排水沟连接至厂区外，可人工或自动化切换，以收集厂区初期雨水，导排厂区后期澄清雨水。</w:t>
                  </w:r>
                  <w:r>
                    <w:rPr>
                      <w:rFonts w:hint="eastAsia"/>
                    </w:rPr>
                    <w:t>为更好导排雨水，沉淀泥沙，避免沟道堵塞，在截排水沟转折及交汇点共设置3个容积为1</w:t>
                  </w:r>
                  <w:r>
                    <w:t>m</w:t>
                  </w:r>
                  <w:r>
                    <w:rPr>
                      <w:vertAlign w:val="superscript"/>
                    </w:rPr>
                    <w:t>3</w:t>
                  </w:r>
                  <w:r>
                    <w:rPr>
                      <w:rFonts w:hint="eastAsia"/>
                    </w:rPr>
                    <w:t>的沉砂凼调节雨水流速并初步沉淀雨水中的泥沙</w:t>
                  </w:r>
                  <w:r>
                    <w:t>。项目</w:t>
                  </w:r>
                  <w:r>
                    <w:rPr>
                      <w:rFonts w:hint="eastAsia"/>
                    </w:rPr>
                    <w:t>厂区</w:t>
                  </w:r>
                  <w:r>
                    <w:t>初期雨水经雨水沉淀池沉淀后用于</w:t>
                  </w:r>
                  <w:r>
                    <w:rPr>
                      <w:rFonts w:hint="eastAsia"/>
                    </w:rPr>
                    <w:t>厂区洒水抑尘</w:t>
                  </w:r>
                  <w:r>
                    <w:rPr>
                      <w:bCs/>
                    </w:rPr>
                    <w:t>。</w:t>
                  </w:r>
                </w:p>
              </w:tc>
              <w:tc>
                <w:tcPr>
                  <w:tcW w:w="1001" w:type="dxa"/>
                  <w:vAlign w:val="center"/>
                </w:tcPr>
                <w:p>
                  <w:pPr>
                    <w:pStyle w:val="57"/>
                  </w:pPr>
                  <w:r>
                    <w:rPr>
                      <w:rFonts w:hint="eastAsia"/>
                    </w:rPr>
                    <w:t>30</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restart"/>
                  <w:vAlign w:val="center"/>
                </w:tcPr>
                <w:p>
                  <w:pPr>
                    <w:pStyle w:val="57"/>
                  </w:pPr>
                  <w:r>
                    <w:t>声环境和振动</w:t>
                  </w:r>
                </w:p>
              </w:tc>
              <w:tc>
                <w:tcPr>
                  <w:tcW w:w="1001" w:type="dxa"/>
                  <w:vAlign w:val="center"/>
                </w:tcPr>
                <w:p>
                  <w:pPr>
                    <w:pStyle w:val="57"/>
                  </w:pPr>
                  <w:r>
                    <w:t>采区噪声</w:t>
                  </w:r>
                </w:p>
              </w:tc>
              <w:tc>
                <w:tcPr>
                  <w:tcW w:w="1108" w:type="dxa"/>
                  <w:vMerge w:val="restart"/>
                  <w:vAlign w:val="center"/>
                </w:tcPr>
                <w:p>
                  <w:pPr>
                    <w:pStyle w:val="57"/>
                  </w:pPr>
                  <w:r>
                    <w:t>噪声</w:t>
                  </w:r>
                </w:p>
              </w:tc>
              <w:tc>
                <w:tcPr>
                  <w:tcW w:w="4396" w:type="dxa"/>
                  <w:vAlign w:val="center"/>
                </w:tcPr>
                <w:p>
                  <w:pPr>
                    <w:pStyle w:val="57"/>
                    <w:ind w:firstLine="480" w:firstLineChars="200"/>
                    <w:jc w:val="both"/>
                  </w:pPr>
                  <w:r>
                    <w:rPr>
                      <w:bCs/>
                    </w:rPr>
                    <w:t>采用多排孔深层微差爆破法，减轻爆破噪声和振动的影响；合理安排爆破、机械开采时间（工作时段为8:00~12:00，14：00~18:00，每日8小时工作制，夜间禁止生产，爆破应集中在上午9:30~10:30的时间段），避开周边居民点的休息时间，尽量选用噪声低、振动小、能耗低的先进设备</w:t>
                  </w:r>
                  <w:r>
                    <w:t>。</w:t>
                  </w:r>
                </w:p>
              </w:tc>
              <w:tc>
                <w:tcPr>
                  <w:tcW w:w="1001" w:type="dxa"/>
                  <w:vAlign w:val="center"/>
                </w:tcPr>
                <w:p>
                  <w:pPr>
                    <w:pStyle w:val="57"/>
                  </w:pPr>
                  <w:r>
                    <w:t>2</w:t>
                  </w:r>
                </w:p>
              </w:tc>
              <w:tc>
                <w:tcPr>
                  <w:tcW w:w="804" w:type="dxa"/>
                  <w:vMerge w:val="restart"/>
                  <w:vAlign w:val="center"/>
                </w:tcPr>
                <w:p>
                  <w:pPr>
                    <w:pStyle w:val="57"/>
                  </w:pPr>
                  <w:r>
                    <w:t>降低影响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1001" w:type="dxa"/>
                  <w:vAlign w:val="center"/>
                </w:tcPr>
                <w:p>
                  <w:pPr>
                    <w:pStyle w:val="57"/>
                  </w:pPr>
                  <w:r>
                    <w:rPr>
                      <w:rFonts w:hint="eastAsia"/>
                    </w:rPr>
                    <w:t>加工区、空压机房</w:t>
                  </w:r>
                </w:p>
              </w:tc>
              <w:tc>
                <w:tcPr>
                  <w:tcW w:w="1108" w:type="dxa"/>
                  <w:vMerge w:val="continue"/>
                  <w:vAlign w:val="center"/>
                </w:tcPr>
                <w:p>
                  <w:pPr>
                    <w:pStyle w:val="57"/>
                  </w:pPr>
                </w:p>
              </w:tc>
              <w:tc>
                <w:tcPr>
                  <w:tcW w:w="4396" w:type="dxa"/>
                  <w:vAlign w:val="center"/>
                </w:tcPr>
                <w:p>
                  <w:pPr>
                    <w:pStyle w:val="57"/>
                    <w:ind w:firstLine="520" w:firstLineChars="200"/>
                    <w:jc w:val="both"/>
                    <w:rPr>
                      <w:bCs/>
                    </w:rPr>
                  </w:pPr>
                  <w:r>
                    <w:rPr>
                      <w:bCs/>
                      <w:spacing w:val="10"/>
                    </w:rPr>
                    <w:t>破碎、筛分</w:t>
                  </w:r>
                  <w:r>
                    <w:rPr>
                      <w:rFonts w:hint="eastAsia"/>
                      <w:bCs/>
                      <w:spacing w:val="10"/>
                    </w:rPr>
                    <w:t>、空压机</w:t>
                  </w:r>
                  <w:r>
                    <w:rPr>
                      <w:bCs/>
                      <w:spacing w:val="10"/>
                    </w:rPr>
                    <w:t>等生产设备基础加装减振垫</w:t>
                  </w:r>
                  <w:r>
                    <w:rPr>
                      <w:rFonts w:hint="eastAsia"/>
                      <w:bCs/>
                      <w:spacing w:val="10"/>
                    </w:rPr>
                    <w:t>；</w:t>
                  </w:r>
                  <w:r>
                    <w:t>破碎、筛分设备</w:t>
                  </w:r>
                  <w:r>
                    <w:rPr>
                      <w:rFonts w:hint="eastAsia"/>
                    </w:rPr>
                    <w:t>置于钢架厂房内，加工区厂房南侧整体悬挂10cm厚隔声屏障，实现局部厂房+隔声屏隔声；空压机房为砖混结构，实现建筑隔声</w:t>
                  </w:r>
                  <w:r>
                    <w:rPr>
                      <w:bCs/>
                    </w:rPr>
                    <w:t>。</w:t>
                  </w:r>
                </w:p>
              </w:tc>
              <w:tc>
                <w:tcPr>
                  <w:tcW w:w="1001" w:type="dxa"/>
                  <w:vAlign w:val="center"/>
                </w:tcPr>
                <w:p>
                  <w:pPr>
                    <w:pStyle w:val="57"/>
                  </w:pPr>
                  <w:r>
                    <w:t>5</w:t>
                  </w:r>
                </w:p>
              </w:tc>
              <w:tc>
                <w:tcPr>
                  <w:tcW w:w="804" w:type="dxa"/>
                  <w:vMerge w:val="continue"/>
                  <w:vAlign w:val="center"/>
                </w:tcPr>
                <w:p>
                  <w:pPr>
                    <w:pStyle w:val="57"/>
                  </w:pPr>
                </w:p>
              </w:tc>
            </w:tr>
            <w:tr>
              <w:tblPrEx>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1001" w:type="dxa"/>
                  <w:vAlign w:val="center"/>
                </w:tcPr>
                <w:p>
                  <w:pPr>
                    <w:pStyle w:val="57"/>
                    <w:rPr>
                      <w:bCs/>
                      <w:iCs/>
                    </w:rPr>
                  </w:pPr>
                  <w:r>
                    <w:t>运输噪声</w:t>
                  </w:r>
                </w:p>
              </w:tc>
              <w:tc>
                <w:tcPr>
                  <w:tcW w:w="1108" w:type="dxa"/>
                  <w:vMerge w:val="continue"/>
                  <w:vAlign w:val="center"/>
                </w:tcPr>
                <w:p>
                  <w:pPr>
                    <w:pStyle w:val="57"/>
                    <w:rPr>
                      <w:bCs/>
                      <w:iCs/>
                    </w:rPr>
                  </w:pPr>
                </w:p>
              </w:tc>
              <w:tc>
                <w:tcPr>
                  <w:tcW w:w="4396" w:type="dxa"/>
                  <w:vAlign w:val="center"/>
                </w:tcPr>
                <w:p>
                  <w:pPr>
                    <w:pStyle w:val="57"/>
                    <w:ind w:firstLine="480" w:firstLineChars="200"/>
                    <w:jc w:val="both"/>
                  </w:pPr>
                  <w:r>
                    <w:t>合理安排运输时间，加强运输车辆管理，禁止鸣笛，控制车速；加强运输道路的日常维护。</w:t>
                  </w:r>
                </w:p>
              </w:tc>
              <w:tc>
                <w:tcPr>
                  <w:tcW w:w="1001" w:type="dxa"/>
                  <w:vAlign w:val="center"/>
                </w:tcPr>
                <w:p>
                  <w:pPr>
                    <w:pStyle w:val="57"/>
                  </w:pPr>
                  <w:r>
                    <w:t>3</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restart"/>
                  <w:vAlign w:val="center"/>
                </w:tcPr>
                <w:p>
                  <w:pPr>
                    <w:pStyle w:val="57"/>
                  </w:pPr>
                  <w:r>
                    <w:t>固体废物</w:t>
                  </w:r>
                </w:p>
              </w:tc>
              <w:tc>
                <w:tcPr>
                  <w:tcW w:w="1001" w:type="dxa"/>
                  <w:vAlign w:val="center"/>
                </w:tcPr>
                <w:p>
                  <w:pPr>
                    <w:pStyle w:val="57"/>
                  </w:pPr>
                  <w:r>
                    <w:t>矿山剥离物</w:t>
                  </w:r>
                </w:p>
              </w:tc>
              <w:tc>
                <w:tcPr>
                  <w:tcW w:w="1108" w:type="dxa"/>
                  <w:vAlign w:val="center"/>
                </w:tcPr>
                <w:p>
                  <w:pPr>
                    <w:pStyle w:val="57"/>
                  </w:pPr>
                  <w:r>
                    <w:t>表土</w:t>
                  </w:r>
                </w:p>
              </w:tc>
              <w:tc>
                <w:tcPr>
                  <w:tcW w:w="4396" w:type="dxa"/>
                  <w:vAlign w:val="center"/>
                </w:tcPr>
                <w:p>
                  <w:pPr>
                    <w:pStyle w:val="57"/>
                    <w:ind w:firstLine="480" w:firstLineChars="200"/>
                    <w:jc w:val="both"/>
                  </w:pPr>
                  <w:r>
                    <w:t>采区</w:t>
                  </w:r>
                  <w:r>
                    <w:rPr>
                      <w:rFonts w:hint="eastAsia"/>
                    </w:rPr>
                    <w:t>采用“边开采、边复垦”的方式进行开采，</w:t>
                  </w:r>
                  <w:r>
                    <w:rPr>
                      <w:rFonts w:hint="eastAsia"/>
                      <w:color w:val="0000FF"/>
                    </w:rPr>
                    <w:t>第1台阶剥离</w:t>
                  </w:r>
                  <w:r>
                    <w:rPr>
                      <w:color w:val="0000FF"/>
                    </w:rPr>
                    <w:t>表土</w:t>
                  </w:r>
                  <w:r>
                    <w:rPr>
                      <w:rFonts w:hint="eastAsia"/>
                      <w:color w:val="0000FF"/>
                    </w:rPr>
                    <w:t>层中耕作层、心土层分开剥离后，</w:t>
                  </w:r>
                  <w:r>
                    <w:rPr>
                      <w:color w:val="0000FF"/>
                    </w:rPr>
                    <w:t>由车辆运至排土场</w:t>
                  </w:r>
                  <w:r>
                    <w:rPr>
                      <w:rFonts w:hint="eastAsia"/>
                      <w:color w:val="0000FF"/>
                    </w:rPr>
                    <w:t>内</w:t>
                  </w:r>
                  <w:r>
                    <w:rPr>
                      <w:color w:val="0000FF"/>
                    </w:rPr>
                    <w:t>临时分区堆存；</w:t>
                  </w:r>
                  <w:r>
                    <w:rPr>
                      <w:rFonts w:hint="eastAsia"/>
                      <w:color w:val="0000FF"/>
                    </w:rPr>
                    <w:t>第1台阶剥离</w:t>
                  </w:r>
                  <w:r>
                    <w:rPr>
                      <w:color w:val="0000FF"/>
                    </w:rPr>
                    <w:t>风化废石由车辆运至弃渣场</w:t>
                  </w:r>
                  <w:r>
                    <w:rPr>
                      <w:rFonts w:hint="eastAsia"/>
                      <w:color w:val="0000FF"/>
                    </w:rPr>
                    <w:t>内</w:t>
                  </w:r>
                  <w:r>
                    <w:rPr>
                      <w:color w:val="0000FF"/>
                    </w:rPr>
                    <w:t>临时堆存</w:t>
                  </w:r>
                  <w:r>
                    <w:rPr>
                      <w:rFonts w:hint="eastAsia"/>
                      <w:color w:val="0000FF"/>
                    </w:rPr>
                    <w:t>。第2~5台阶剥离</w:t>
                  </w:r>
                  <w:r>
                    <w:rPr>
                      <w:color w:val="0000FF"/>
                    </w:rPr>
                    <w:t>表土</w:t>
                  </w:r>
                  <w:r>
                    <w:rPr>
                      <w:rFonts w:hint="eastAsia"/>
                      <w:color w:val="0000FF"/>
                    </w:rPr>
                    <w:t>层（耕作层、心土层）</w:t>
                  </w:r>
                  <w:r>
                    <w:rPr>
                      <w:color w:val="0000FF"/>
                    </w:rPr>
                    <w:t>、风化废石</w:t>
                  </w:r>
                  <w:r>
                    <w:rPr>
                      <w:rFonts w:hint="eastAsia"/>
                      <w:color w:val="0000FF"/>
                    </w:rPr>
                    <w:t>均优先运至上一台阶绿化覆土（由下至上分别摊铺风化废石、心土层、耕作层），余方再分别</w:t>
                  </w:r>
                  <w:r>
                    <w:rPr>
                      <w:color w:val="0000FF"/>
                    </w:rPr>
                    <w:t>运至</w:t>
                  </w:r>
                  <w:r>
                    <w:rPr>
                      <w:rFonts w:hint="eastAsia"/>
                      <w:color w:val="0000FF"/>
                    </w:rPr>
                    <w:t>排土场、弃渣场内</w:t>
                  </w:r>
                  <w:r>
                    <w:rPr>
                      <w:color w:val="0000FF"/>
                    </w:rPr>
                    <w:t>临时堆存</w:t>
                  </w:r>
                  <w:r>
                    <w:rPr>
                      <w:rFonts w:hint="eastAsia"/>
                      <w:color w:val="0000FF"/>
                    </w:rPr>
                    <w:t>，</w:t>
                  </w:r>
                  <w:r>
                    <w:t>闭矿期</w:t>
                  </w:r>
                  <w:r>
                    <w:rPr>
                      <w:rFonts w:hint="eastAsia"/>
                    </w:rPr>
                    <w:t>再</w:t>
                  </w:r>
                  <w:r>
                    <w:t>用于</w:t>
                  </w:r>
                  <w:r>
                    <w:rPr>
                      <w:rFonts w:hint="eastAsia"/>
                    </w:rPr>
                    <w:t>全厂绿化复垦</w:t>
                  </w:r>
                  <w:r>
                    <w:t>。</w:t>
                  </w:r>
                </w:p>
              </w:tc>
              <w:tc>
                <w:tcPr>
                  <w:tcW w:w="1001" w:type="dxa"/>
                  <w:vAlign w:val="center"/>
                </w:tcPr>
                <w:p>
                  <w:pPr>
                    <w:pStyle w:val="57"/>
                  </w:pPr>
                  <w:r>
                    <w:rPr>
                      <w:rFonts w:hint="eastAsia"/>
                    </w:rPr>
                    <w:t>20</w:t>
                  </w:r>
                </w:p>
              </w:tc>
              <w:tc>
                <w:tcPr>
                  <w:tcW w:w="804" w:type="dxa"/>
                  <w:vMerge w:val="restart"/>
                  <w:vAlign w:val="center"/>
                </w:tcPr>
                <w:p>
                  <w:pPr>
                    <w:pStyle w:val="57"/>
                  </w:pPr>
                  <w:r>
                    <w:t>综合利用，合理处置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1001" w:type="dxa"/>
                  <w:vAlign w:val="center"/>
                </w:tcPr>
                <w:p>
                  <w:pPr>
                    <w:pStyle w:val="57"/>
                  </w:pPr>
                  <w:r>
                    <w:rPr>
                      <w:rFonts w:hint="eastAsia"/>
                    </w:rPr>
                    <w:t>灰渣</w:t>
                  </w:r>
                </w:p>
              </w:tc>
              <w:tc>
                <w:tcPr>
                  <w:tcW w:w="1108" w:type="dxa"/>
                  <w:vAlign w:val="center"/>
                </w:tcPr>
                <w:p>
                  <w:pPr>
                    <w:pStyle w:val="57"/>
                  </w:pPr>
                  <w:r>
                    <w:rPr>
                      <w:rFonts w:hint="eastAsia"/>
                    </w:rPr>
                    <w:t>除尘灰</w:t>
                  </w:r>
                </w:p>
              </w:tc>
              <w:tc>
                <w:tcPr>
                  <w:tcW w:w="4396" w:type="dxa"/>
                  <w:vAlign w:val="center"/>
                </w:tcPr>
                <w:p>
                  <w:pPr>
                    <w:pStyle w:val="57"/>
                    <w:ind w:firstLine="480" w:firstLineChars="200"/>
                    <w:jc w:val="both"/>
                  </w:pPr>
                  <w:r>
                    <w:rPr>
                      <w:color w:val="0000FF"/>
                    </w:rPr>
                    <w:t>掺入粗砂作产品外卖</w:t>
                  </w:r>
                  <w:r>
                    <w:rPr>
                      <w:rFonts w:hint="eastAsia"/>
                    </w:rPr>
                    <w:t>。</w:t>
                  </w:r>
                </w:p>
              </w:tc>
              <w:tc>
                <w:tcPr>
                  <w:tcW w:w="1001" w:type="dxa"/>
                  <w:vAlign w:val="center"/>
                </w:tcPr>
                <w:p>
                  <w:pPr>
                    <w:pStyle w:val="57"/>
                  </w:pPr>
                  <w:r>
                    <w:rPr>
                      <w:rFonts w:hint="eastAsia"/>
                    </w:rPr>
                    <w:t>/</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1001" w:type="dxa"/>
                  <w:vAlign w:val="center"/>
                </w:tcPr>
                <w:p>
                  <w:pPr>
                    <w:pStyle w:val="57"/>
                  </w:pPr>
                  <w:r>
                    <w:t>生活垃圾</w:t>
                  </w:r>
                </w:p>
              </w:tc>
              <w:tc>
                <w:tcPr>
                  <w:tcW w:w="1108" w:type="dxa"/>
                  <w:vAlign w:val="center"/>
                </w:tcPr>
                <w:p>
                  <w:pPr>
                    <w:pStyle w:val="57"/>
                  </w:pPr>
                  <w:r>
                    <w:t>生活垃圾</w:t>
                  </w:r>
                </w:p>
              </w:tc>
              <w:tc>
                <w:tcPr>
                  <w:tcW w:w="4396" w:type="dxa"/>
                  <w:vAlign w:val="center"/>
                </w:tcPr>
                <w:p>
                  <w:pPr>
                    <w:pStyle w:val="57"/>
                    <w:ind w:firstLine="480" w:firstLineChars="200"/>
                    <w:jc w:val="both"/>
                  </w:pPr>
                  <w:r>
                    <w:t>在</w:t>
                  </w:r>
                  <w:r>
                    <w:rPr>
                      <w:rFonts w:hint="eastAsia"/>
                    </w:rPr>
                    <w:t>办公楼</w:t>
                  </w:r>
                  <w:r>
                    <w:t>设置若干垃圾桶对员工生活垃圾进行集中收集，定期交由当地的环卫部门统一处置。</w:t>
                  </w:r>
                </w:p>
              </w:tc>
              <w:tc>
                <w:tcPr>
                  <w:tcW w:w="1001" w:type="dxa"/>
                  <w:vAlign w:val="center"/>
                </w:tcPr>
                <w:p>
                  <w:pPr>
                    <w:pStyle w:val="57"/>
                  </w:pPr>
                  <w:r>
                    <w:t>0.5</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1001" w:type="dxa"/>
                  <w:vAlign w:val="center"/>
                </w:tcPr>
                <w:p>
                  <w:pPr>
                    <w:pStyle w:val="57"/>
                  </w:pPr>
                  <w:r>
                    <w:rPr>
                      <w:rFonts w:hint="eastAsia"/>
                    </w:rPr>
                    <w:t>雨水沉淀池泥沙、沉砂凼</w:t>
                  </w:r>
                </w:p>
              </w:tc>
              <w:tc>
                <w:tcPr>
                  <w:tcW w:w="1108" w:type="dxa"/>
                  <w:vAlign w:val="center"/>
                </w:tcPr>
                <w:p>
                  <w:pPr>
                    <w:pStyle w:val="57"/>
                  </w:pPr>
                  <w:r>
                    <w:rPr>
                      <w:rFonts w:hint="eastAsia"/>
                    </w:rPr>
                    <w:t>泥沙</w:t>
                  </w:r>
                </w:p>
              </w:tc>
              <w:tc>
                <w:tcPr>
                  <w:tcW w:w="4396" w:type="dxa"/>
                  <w:vAlign w:val="center"/>
                </w:tcPr>
                <w:p>
                  <w:pPr>
                    <w:pStyle w:val="57"/>
                    <w:ind w:firstLine="480" w:firstLineChars="200"/>
                    <w:jc w:val="both"/>
                  </w:pPr>
                  <w:r>
                    <w:t>定期清掏干化后于排土场分区暂存，闭矿期用于采空区回填</w:t>
                  </w:r>
                  <w:r>
                    <w:rPr>
                      <w:rFonts w:hint="eastAsia"/>
                    </w:rPr>
                    <w:t>。</w:t>
                  </w:r>
                </w:p>
              </w:tc>
              <w:tc>
                <w:tcPr>
                  <w:tcW w:w="1001" w:type="dxa"/>
                  <w:vAlign w:val="center"/>
                </w:tcPr>
                <w:p>
                  <w:pPr>
                    <w:pStyle w:val="57"/>
                  </w:pPr>
                  <w:r>
                    <w:rPr>
                      <w:rFonts w:hint="eastAsia"/>
                    </w:rPr>
                    <w:t>0.5</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1001" w:type="dxa"/>
                  <w:vAlign w:val="center"/>
                </w:tcPr>
                <w:p>
                  <w:pPr>
                    <w:pStyle w:val="57"/>
                  </w:pPr>
                  <w:r>
                    <w:t>设备保养危废</w:t>
                  </w:r>
                </w:p>
              </w:tc>
              <w:tc>
                <w:tcPr>
                  <w:tcW w:w="1108" w:type="dxa"/>
                  <w:vAlign w:val="center"/>
                </w:tcPr>
                <w:p>
                  <w:pPr>
                    <w:pStyle w:val="57"/>
                  </w:pPr>
                  <w:r>
                    <w:rPr>
                      <w:bCs/>
                    </w:rPr>
                    <w:t>废矿物油、</w:t>
                  </w:r>
                  <w:r>
                    <w:rPr>
                      <w:rFonts w:hint="eastAsia"/>
                    </w:rPr>
                    <w:t>含油冷凝液</w:t>
                  </w:r>
                  <w:r>
                    <w:rPr>
                      <w:rFonts w:hint="eastAsia"/>
                      <w:bCs/>
                      <w:spacing w:val="10"/>
                    </w:rPr>
                    <w:t>、</w:t>
                  </w:r>
                  <w:r>
                    <w:rPr>
                      <w:bCs/>
                    </w:rPr>
                    <w:t>废弃沾染油污手套等劳保用品及抹布</w:t>
                  </w:r>
                  <w:r>
                    <w:rPr>
                      <w:rFonts w:hint="eastAsia"/>
                      <w:bCs/>
                    </w:rPr>
                    <w:t>、废收集桶</w:t>
                  </w:r>
                </w:p>
              </w:tc>
              <w:tc>
                <w:tcPr>
                  <w:tcW w:w="4396" w:type="dxa"/>
                  <w:vAlign w:val="center"/>
                </w:tcPr>
                <w:p>
                  <w:pPr>
                    <w:pStyle w:val="57"/>
                    <w:ind w:firstLine="480" w:firstLineChars="200"/>
                    <w:jc w:val="both"/>
                  </w:pPr>
                  <w:r>
                    <w:rPr>
                      <w:rFonts w:hint="eastAsia"/>
                      <w:bCs/>
                    </w:rPr>
                    <w:t>废矿物油、含油冷凝液、废弃沾染油污手套等劳保用品及抹布经收集桶进行集中收集于危废贮存点后，连带收集桶一起定期交由有资质的单位妥善处置</w:t>
                  </w:r>
                  <w:r>
                    <w:t>。</w:t>
                  </w:r>
                </w:p>
              </w:tc>
              <w:tc>
                <w:tcPr>
                  <w:tcW w:w="1001" w:type="dxa"/>
                  <w:vAlign w:val="center"/>
                </w:tcPr>
                <w:p>
                  <w:pPr>
                    <w:pStyle w:val="57"/>
                  </w:pPr>
                  <w:r>
                    <w:t>3</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709" w:type="dxa"/>
                  <w:vAlign w:val="center"/>
                </w:tcPr>
                <w:p>
                  <w:pPr>
                    <w:pStyle w:val="57"/>
                  </w:pPr>
                  <w:r>
                    <w:t>环境风险防范</w:t>
                  </w:r>
                </w:p>
              </w:tc>
              <w:tc>
                <w:tcPr>
                  <w:tcW w:w="2109" w:type="dxa"/>
                  <w:gridSpan w:val="2"/>
                  <w:vAlign w:val="center"/>
                </w:tcPr>
                <w:p>
                  <w:pPr>
                    <w:pStyle w:val="57"/>
                    <w:rPr>
                      <w:bCs/>
                    </w:rPr>
                  </w:pPr>
                  <w:r>
                    <w:rPr>
                      <w:bCs/>
                    </w:rPr>
                    <w:t>储油罐</w:t>
                  </w:r>
                  <w:r>
                    <w:rPr>
                      <w:rFonts w:hint="eastAsia"/>
                      <w:bCs/>
                    </w:rPr>
                    <w:t>、危废贮存点</w:t>
                  </w:r>
                </w:p>
              </w:tc>
              <w:tc>
                <w:tcPr>
                  <w:tcW w:w="4396" w:type="dxa"/>
                  <w:vAlign w:val="center"/>
                </w:tcPr>
                <w:p>
                  <w:pPr>
                    <w:pStyle w:val="57"/>
                    <w:ind w:firstLine="480" w:firstLineChars="200"/>
                    <w:jc w:val="both"/>
                  </w:pPr>
                  <w:r>
                    <w:t>在柴油储罐四周设置围堰，围堰容积</w:t>
                  </w:r>
                  <w:r>
                    <w:rPr>
                      <w:rFonts w:hint="eastAsia"/>
                      <w:color w:val="0000FF"/>
                    </w:rPr>
                    <w:t>5</w:t>
                  </w:r>
                  <w:r>
                    <w:rPr>
                      <w:color w:val="0000FF"/>
                    </w:rPr>
                    <w:t>0</w:t>
                  </w:r>
                  <w:r>
                    <w:t>m</w:t>
                  </w:r>
                  <w:r>
                    <w:rPr>
                      <w:vertAlign w:val="superscript"/>
                    </w:rPr>
                    <w:t>3</w:t>
                  </w:r>
                  <w:r>
                    <w:t>、高度</w:t>
                  </w:r>
                  <w:r>
                    <w:rPr>
                      <w:rFonts w:hint="eastAsia"/>
                    </w:rPr>
                    <w:t>1</w:t>
                  </w:r>
                  <w:r>
                    <w:t>m</w:t>
                  </w:r>
                  <w:r>
                    <w:rPr>
                      <w:rFonts w:hint="eastAsia"/>
                    </w:rPr>
                    <w:t>；危废贮存点内</w:t>
                  </w:r>
                  <w:r>
                    <w:rPr>
                      <w:bCs/>
                    </w:rPr>
                    <w:t>含油固废收集桶</w:t>
                  </w:r>
                  <w:r>
                    <w:rPr>
                      <w:rFonts w:hint="eastAsia"/>
                    </w:rPr>
                    <w:t>下方应设防溢托盘，托盘的容积应能满足（大于）上方盛放物料的体积；</w:t>
                  </w:r>
                  <w:r>
                    <w:t>柴油储罐</w:t>
                  </w:r>
                  <w:r>
                    <w:rPr>
                      <w:rFonts w:hint="eastAsia"/>
                      <w:color w:val="0000FF"/>
                    </w:rPr>
                    <w:t>需</w:t>
                  </w:r>
                  <w:r>
                    <w:rPr>
                      <w:color w:val="0000FF"/>
                    </w:rPr>
                    <w:t>做好</w:t>
                  </w:r>
                  <w:r>
                    <w:rPr>
                      <w:rFonts w:hint="eastAsia"/>
                      <w:color w:val="0000FF"/>
                    </w:rPr>
                    <w:t>防雨、防渗漏措施；</w:t>
                  </w:r>
                  <w:r>
                    <w:rPr>
                      <w:rFonts w:hint="eastAsia"/>
                    </w:rPr>
                    <w:t>危废贮存点需</w:t>
                  </w:r>
                  <w:r>
                    <w:t>做好</w:t>
                  </w:r>
                  <w:r>
                    <w:rPr>
                      <w:rFonts w:hint="eastAsia"/>
                    </w:rPr>
                    <w:t>“</w:t>
                  </w:r>
                  <w:r>
                    <w:t>六防</w:t>
                  </w:r>
                  <w:r>
                    <w:rPr>
                      <w:rFonts w:hint="eastAsia"/>
                    </w:rPr>
                    <w:t>”</w:t>
                  </w:r>
                  <w:r>
                    <w:t>措施，</w:t>
                  </w:r>
                  <w:r>
                    <w:rPr>
                      <w:rFonts w:hint="eastAsia"/>
                      <w:color w:val="0000FF"/>
                    </w:rPr>
                    <w:t>均需</w:t>
                  </w:r>
                  <w:r>
                    <w:t>配备干粉灭火器、消防沙、隔油栏、吸油毡等应急物资</w:t>
                  </w:r>
                  <w:r>
                    <w:rPr>
                      <w:rFonts w:hint="eastAsia"/>
                    </w:rPr>
                    <w:t>并</w:t>
                  </w:r>
                  <w:r>
                    <w:t>设置警示标识。</w:t>
                  </w:r>
                </w:p>
                <w:p>
                  <w:pPr>
                    <w:pStyle w:val="57"/>
                    <w:ind w:firstLine="480" w:firstLineChars="200"/>
                    <w:jc w:val="both"/>
                    <w:rPr>
                      <w:bCs/>
                    </w:rPr>
                  </w:pPr>
                  <w:r>
                    <w:rPr>
                      <w:rFonts w:hint="eastAsia"/>
                      <w:bCs/>
                    </w:rPr>
                    <w:t>厂区分区防渗，化粪池、“U型”车辆冲洗池为一般防渗区，危废贮存点、柴油储罐区为重点防渗区。</w:t>
                  </w:r>
                </w:p>
              </w:tc>
              <w:tc>
                <w:tcPr>
                  <w:tcW w:w="1001" w:type="dxa"/>
                  <w:vAlign w:val="center"/>
                </w:tcPr>
                <w:p>
                  <w:pPr>
                    <w:pStyle w:val="57"/>
                  </w:pPr>
                  <w:r>
                    <w:rPr>
                      <w:rFonts w:hint="eastAsia"/>
                    </w:rPr>
                    <w:t>2</w:t>
                  </w:r>
                  <w:r>
                    <w:t>0</w:t>
                  </w:r>
                </w:p>
              </w:tc>
              <w:tc>
                <w:tcPr>
                  <w:tcW w:w="804" w:type="dxa"/>
                  <w:vAlign w:val="center"/>
                </w:tcPr>
                <w:p>
                  <w:pPr>
                    <w:pStyle w:val="57"/>
                  </w:pPr>
                  <w:r>
                    <w:t>防止柴油</w:t>
                  </w:r>
                  <w:r>
                    <w:rPr>
                      <w:rFonts w:hint="eastAsia"/>
                    </w:rPr>
                    <w:t>、废油</w:t>
                  </w:r>
                  <w:r>
                    <w:t>进入</w:t>
                  </w:r>
                  <w:r>
                    <w:rPr>
                      <w:rFonts w:hint="eastAsia"/>
                    </w:rPr>
                    <w:t>外</w:t>
                  </w:r>
                  <w:r>
                    <w:t>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restart"/>
                  <w:vAlign w:val="center"/>
                </w:tcPr>
                <w:p>
                  <w:pPr>
                    <w:pStyle w:val="57"/>
                  </w:pPr>
                  <w:r>
                    <w:t>生态环境</w:t>
                  </w:r>
                </w:p>
              </w:tc>
              <w:tc>
                <w:tcPr>
                  <w:tcW w:w="2109" w:type="dxa"/>
                  <w:gridSpan w:val="2"/>
                  <w:vAlign w:val="center"/>
                </w:tcPr>
                <w:p>
                  <w:pPr>
                    <w:pStyle w:val="57"/>
                  </w:pPr>
                  <w:r>
                    <w:t>动植物保护措施</w:t>
                  </w:r>
                </w:p>
              </w:tc>
              <w:tc>
                <w:tcPr>
                  <w:tcW w:w="4396" w:type="dxa"/>
                  <w:vAlign w:val="center"/>
                </w:tcPr>
                <w:p>
                  <w:pPr>
                    <w:pStyle w:val="57"/>
                    <w:ind w:firstLine="480" w:firstLineChars="200"/>
                    <w:jc w:val="both"/>
                  </w:pPr>
                  <w:r>
                    <w:rPr>
                      <w:rFonts w:hint="eastAsia"/>
                    </w:rPr>
                    <w:t>采区清理的植被应就近移植到上一阶采区台阶或恢复治理区</w:t>
                  </w:r>
                  <w:r>
                    <w:t>；按</w:t>
                  </w:r>
                  <w:r>
                    <w:rPr>
                      <w:rFonts w:hint="eastAsia"/>
                    </w:rPr>
                    <w:t>设计</w:t>
                  </w:r>
                  <w:r>
                    <w:t>范围</w:t>
                  </w:r>
                  <w:r>
                    <w:rPr>
                      <w:rFonts w:hint="eastAsia"/>
                    </w:rPr>
                    <w:t>进行</w:t>
                  </w:r>
                  <w:r>
                    <w:t>采矿，不得越界开采。</w:t>
                  </w:r>
                </w:p>
              </w:tc>
              <w:tc>
                <w:tcPr>
                  <w:tcW w:w="1001" w:type="dxa"/>
                  <w:vMerge w:val="restart"/>
                  <w:vAlign w:val="center"/>
                </w:tcPr>
                <w:p>
                  <w:pPr>
                    <w:pStyle w:val="57"/>
                  </w:pPr>
                  <w:r>
                    <w:t>10</w:t>
                  </w:r>
                </w:p>
              </w:tc>
              <w:tc>
                <w:tcPr>
                  <w:tcW w:w="804" w:type="dxa"/>
                  <w:vMerge w:val="restart"/>
                  <w:vAlign w:val="center"/>
                </w:tcPr>
                <w:p>
                  <w:pPr>
                    <w:pStyle w:val="57"/>
                  </w:pPr>
                  <w:r>
                    <w:t>生态环境得到恢复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2109" w:type="dxa"/>
                  <w:gridSpan w:val="2"/>
                  <w:vAlign w:val="center"/>
                </w:tcPr>
                <w:p>
                  <w:pPr>
                    <w:pStyle w:val="57"/>
                  </w:pPr>
                  <w:r>
                    <w:t>表层土保护措施</w:t>
                  </w:r>
                </w:p>
              </w:tc>
              <w:tc>
                <w:tcPr>
                  <w:tcW w:w="4396" w:type="dxa"/>
                  <w:vAlign w:val="center"/>
                </w:tcPr>
                <w:p>
                  <w:pPr>
                    <w:pStyle w:val="57"/>
                    <w:ind w:firstLine="480" w:firstLineChars="200"/>
                    <w:jc w:val="both"/>
                  </w:pPr>
                  <w:r>
                    <w:t>采区</w:t>
                  </w:r>
                  <w:r>
                    <w:rPr>
                      <w:rFonts w:hint="eastAsia"/>
                    </w:rPr>
                    <w:t>采用“边开采、边复垦”的方式进行开采，</w:t>
                  </w:r>
                  <w:r>
                    <w:rPr>
                      <w:rFonts w:hint="eastAsia"/>
                      <w:color w:val="0000FF"/>
                    </w:rPr>
                    <w:t>第1台阶剥离表土层中耕作层、心土层分开剥离后，由车辆运至排土场内临时分区堆存；第1台阶剥离风化废石由车辆运至弃渣场内临时堆存。第2~5台阶剥离表土层（耕作层、心土层）、风化废石均优先运至上一台阶绿化覆土（由下至上分别摊铺风化废石、心土层、耕作层），余方再分别运至排土场、弃渣场内临时堆存，</w:t>
                  </w:r>
                  <w:r>
                    <w:t>闭矿期</w:t>
                  </w:r>
                  <w:r>
                    <w:rPr>
                      <w:rFonts w:hint="eastAsia"/>
                    </w:rPr>
                    <w:t>再</w:t>
                  </w:r>
                  <w:r>
                    <w:t>用于</w:t>
                  </w:r>
                  <w:r>
                    <w:rPr>
                      <w:rFonts w:hint="eastAsia"/>
                    </w:rPr>
                    <w:t>全厂绿化复垦。</w:t>
                  </w:r>
                  <w:r>
                    <w:t>采区区耕作层土壤和心土层单独剥离，并做好水土保持工作。</w:t>
                  </w:r>
                </w:p>
              </w:tc>
              <w:tc>
                <w:tcPr>
                  <w:tcW w:w="1001" w:type="dxa"/>
                  <w:vMerge w:val="continue"/>
                  <w:vAlign w:val="center"/>
                </w:tcPr>
                <w:p>
                  <w:pPr>
                    <w:pStyle w:val="57"/>
                  </w:pP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019" w:type="dxa"/>
                  <w:gridSpan w:val="6"/>
                  <w:vAlign w:val="center"/>
                </w:tcPr>
                <w:p>
                  <w:pPr>
                    <w:pStyle w:val="57"/>
                  </w:pPr>
                  <w:r>
                    <w:t>三、闭矿期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restart"/>
                  <w:vAlign w:val="center"/>
                </w:tcPr>
                <w:p>
                  <w:pPr>
                    <w:pStyle w:val="57"/>
                  </w:pPr>
                  <w:r>
                    <w:t>生态环境</w:t>
                  </w:r>
                </w:p>
              </w:tc>
              <w:tc>
                <w:tcPr>
                  <w:tcW w:w="2109" w:type="dxa"/>
                  <w:gridSpan w:val="2"/>
                  <w:vAlign w:val="center"/>
                </w:tcPr>
                <w:p>
                  <w:pPr>
                    <w:pStyle w:val="57"/>
                  </w:pPr>
                  <w:r>
                    <w:t>矿山环境保护与治理恢复</w:t>
                  </w:r>
                </w:p>
              </w:tc>
              <w:tc>
                <w:tcPr>
                  <w:tcW w:w="4396" w:type="dxa"/>
                  <w:vAlign w:val="center"/>
                </w:tcPr>
                <w:p>
                  <w:pPr>
                    <w:pStyle w:val="57"/>
                    <w:ind w:firstLine="480" w:firstLineChars="200"/>
                    <w:jc w:val="both"/>
                  </w:pPr>
                  <w:r>
                    <w:t>按矿山地质环境保护与治理恢复方案要求，对开采形成的边坡进行坡面绿化；对采空区、终了平台及时覆土复绿</w:t>
                  </w:r>
                  <w:r>
                    <w:rPr>
                      <w:rFonts w:hint="eastAsia"/>
                    </w:rPr>
                    <w:t>。</w:t>
                  </w:r>
                </w:p>
              </w:tc>
              <w:tc>
                <w:tcPr>
                  <w:tcW w:w="1001" w:type="dxa"/>
                  <w:vMerge w:val="restart"/>
                  <w:vAlign w:val="center"/>
                </w:tcPr>
                <w:p>
                  <w:pPr>
                    <w:pStyle w:val="57"/>
                  </w:pPr>
                  <w:r>
                    <w:t>矿山恢复治理、土地复垦专项资金</w:t>
                  </w:r>
                </w:p>
              </w:tc>
              <w:tc>
                <w:tcPr>
                  <w:tcW w:w="804" w:type="dxa"/>
                  <w:vMerge w:val="restart"/>
                  <w:vAlign w:val="center"/>
                </w:tcPr>
                <w:p>
                  <w:pPr>
                    <w:pStyle w:val="57"/>
                  </w:pPr>
                  <w:r>
                    <w:t>生态环境得到恢复</w:t>
                  </w:r>
                </w:p>
              </w:tc>
            </w:tr>
            <w:tr>
              <w:tblPrEx>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2109" w:type="dxa"/>
                  <w:gridSpan w:val="2"/>
                  <w:vAlign w:val="center"/>
                </w:tcPr>
                <w:p>
                  <w:pPr>
                    <w:pStyle w:val="57"/>
                  </w:pPr>
                  <w:r>
                    <w:t>土地复垦</w:t>
                  </w:r>
                </w:p>
              </w:tc>
              <w:tc>
                <w:tcPr>
                  <w:tcW w:w="4396" w:type="dxa"/>
                  <w:vAlign w:val="center"/>
                </w:tcPr>
                <w:p>
                  <w:pPr>
                    <w:pStyle w:val="57"/>
                    <w:ind w:firstLine="480" w:firstLineChars="200"/>
                    <w:jc w:val="both"/>
                  </w:pPr>
                  <w:r>
                    <w:t>按土地复垦方案的要求进行占地复垦</w:t>
                  </w:r>
                  <w:r>
                    <w:rPr>
                      <w:rFonts w:hint="eastAsia"/>
                    </w:rPr>
                    <w:t>。</w:t>
                  </w:r>
                </w:p>
              </w:tc>
              <w:tc>
                <w:tcPr>
                  <w:tcW w:w="1001" w:type="dxa"/>
                  <w:vMerge w:val="continue"/>
                  <w:vAlign w:val="center"/>
                </w:tcPr>
                <w:p>
                  <w:pPr>
                    <w:pStyle w:val="57"/>
                  </w:pP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restart"/>
                  <w:vAlign w:val="center"/>
                </w:tcPr>
                <w:p>
                  <w:pPr>
                    <w:pStyle w:val="57"/>
                  </w:pPr>
                  <w:r>
                    <w:t>管理措施</w:t>
                  </w:r>
                </w:p>
              </w:tc>
              <w:tc>
                <w:tcPr>
                  <w:tcW w:w="2109" w:type="dxa"/>
                  <w:gridSpan w:val="2"/>
                  <w:vAlign w:val="center"/>
                </w:tcPr>
                <w:p>
                  <w:pPr>
                    <w:pStyle w:val="57"/>
                  </w:pPr>
                  <w:r>
                    <w:rPr>
                      <w:rFonts w:hint="eastAsia"/>
                    </w:rPr>
                    <w:t>建设单位</w:t>
                  </w:r>
                </w:p>
              </w:tc>
              <w:tc>
                <w:tcPr>
                  <w:tcW w:w="4396" w:type="dxa"/>
                  <w:vAlign w:val="center"/>
                </w:tcPr>
                <w:p>
                  <w:pPr>
                    <w:pStyle w:val="57"/>
                    <w:ind w:firstLine="480" w:firstLineChars="200"/>
                    <w:jc w:val="both"/>
                  </w:pPr>
                  <w:r>
                    <w:t>严格施工管理，严把施工、设备及安装质量关；安排1人兼管矿区环保工作。</w:t>
                  </w:r>
                </w:p>
              </w:tc>
              <w:tc>
                <w:tcPr>
                  <w:tcW w:w="1001" w:type="dxa"/>
                  <w:vAlign w:val="center"/>
                </w:tcPr>
                <w:p>
                  <w:pPr>
                    <w:pStyle w:val="57"/>
                  </w:pPr>
                  <w:r>
                    <w:t>6</w:t>
                  </w:r>
                </w:p>
              </w:tc>
              <w:tc>
                <w:tcPr>
                  <w:tcW w:w="804" w:type="dxa"/>
                  <w:vAlign w:val="center"/>
                </w:tcPr>
                <w:p>
                  <w:pPr>
                    <w:pStyle w:val="5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2109" w:type="dxa"/>
                  <w:gridSpan w:val="2"/>
                  <w:vAlign w:val="center"/>
                </w:tcPr>
                <w:p>
                  <w:pPr>
                    <w:pStyle w:val="57"/>
                  </w:pPr>
                  <w:r>
                    <w:t>监督管理机构</w:t>
                  </w:r>
                </w:p>
              </w:tc>
              <w:tc>
                <w:tcPr>
                  <w:tcW w:w="4396" w:type="dxa"/>
                  <w:vAlign w:val="center"/>
                </w:tcPr>
                <w:p>
                  <w:pPr>
                    <w:pStyle w:val="57"/>
                    <w:ind w:firstLine="480" w:firstLineChars="200"/>
                    <w:jc w:val="both"/>
                  </w:pPr>
                  <w:r>
                    <w:t>定期监督、检测、监测，减少环境污染事故发生。</w:t>
                  </w:r>
                </w:p>
              </w:tc>
              <w:tc>
                <w:tcPr>
                  <w:tcW w:w="1001" w:type="dxa"/>
                  <w:vAlign w:val="center"/>
                </w:tcPr>
                <w:p>
                  <w:pPr>
                    <w:pStyle w:val="57"/>
                  </w:pPr>
                  <w:r>
                    <w:t>4</w:t>
                  </w:r>
                </w:p>
              </w:tc>
              <w:tc>
                <w:tcPr>
                  <w:tcW w:w="804" w:type="dxa"/>
                  <w:vAlign w:val="center"/>
                </w:tcPr>
                <w:p>
                  <w:pPr>
                    <w:pStyle w:val="5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14" w:type="dxa"/>
                  <w:gridSpan w:val="4"/>
                  <w:vAlign w:val="center"/>
                </w:tcPr>
                <w:p>
                  <w:pPr>
                    <w:pStyle w:val="57"/>
                  </w:pPr>
                  <w:r>
                    <w:t>合计</w:t>
                  </w:r>
                </w:p>
              </w:tc>
              <w:tc>
                <w:tcPr>
                  <w:tcW w:w="1001" w:type="dxa"/>
                  <w:vAlign w:val="center"/>
                </w:tcPr>
                <w:p>
                  <w:pPr>
                    <w:pStyle w:val="57"/>
                  </w:pPr>
                  <w:r>
                    <w:t>180</w:t>
                  </w:r>
                </w:p>
              </w:tc>
              <w:tc>
                <w:tcPr>
                  <w:tcW w:w="804" w:type="dxa"/>
                  <w:vAlign w:val="center"/>
                </w:tcPr>
                <w:p>
                  <w:pPr>
                    <w:pStyle w:val="57"/>
                  </w:pPr>
                  <w:r>
                    <w:t>/</w:t>
                  </w:r>
                </w:p>
              </w:tc>
            </w:tr>
          </w:tbl>
          <w:p>
            <w:pPr>
              <w:adjustRightInd w:val="0"/>
              <w:snapToGrid w:val="0"/>
              <w:spacing w:line="360" w:lineRule="auto"/>
              <w:ind w:firstLine="520" w:firstLineChars="200"/>
              <w:rPr>
                <w:bCs/>
                <w:spacing w:val="10"/>
                <w:sz w:val="24"/>
                <w:highlight w:val="yellow"/>
              </w:rPr>
            </w:pPr>
          </w:p>
        </w:tc>
      </w:tr>
    </w:tbl>
    <w:p>
      <w:pPr>
        <w:rPr>
          <w:highlight w:val="yellow"/>
        </w:rPr>
        <w:sectPr>
          <w:pgSz w:w="11907" w:h="16840"/>
          <w:pgMar w:top="1440" w:right="1080" w:bottom="1440" w:left="1080" w:header="851" w:footer="1077" w:gutter="0"/>
          <w:cols w:space="720" w:num="1"/>
          <w:docGrid w:linePitch="312" w:charSpace="0"/>
        </w:sectPr>
      </w:pPr>
    </w:p>
    <w:p>
      <w:pPr>
        <w:pStyle w:val="13"/>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六、生态环境保护措施监督检查清单</w:t>
      </w:r>
    </w:p>
    <w:tbl>
      <w:tblPr>
        <w:tblStyle w:val="15"/>
        <w:tblW w:w="139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3013"/>
        <w:gridCol w:w="2029"/>
        <w:gridCol w:w="5308"/>
        <w:gridCol w:w="22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blHeader/>
          <w:jc w:val="center"/>
        </w:trPr>
        <w:tc>
          <w:tcPr>
            <w:tcW w:w="1372" w:type="dxa"/>
            <w:vMerge w:val="restart"/>
            <w:tcBorders>
              <w:tl2br w:val="single" w:color="auto" w:sz="4" w:space="0"/>
            </w:tcBorders>
          </w:tcPr>
          <w:p>
            <w:pPr>
              <w:pStyle w:val="13"/>
              <w:adjustRightInd w:val="0"/>
              <w:snapToGrid w:val="0"/>
              <w:spacing w:before="72" w:beforeLines="30" w:beforeAutospacing="0" w:after="0" w:afterAutospacing="0"/>
              <w:jc w:val="right"/>
              <w:outlineLvl w:val="0"/>
              <w:rPr>
                <w:rFonts w:ascii="Times New Roman" w:hAnsi="Times New Roman" w:eastAsia="黑体"/>
                <w:kern w:val="2"/>
              </w:rPr>
            </w:pPr>
            <w:r>
              <w:rPr>
                <w:rFonts w:ascii="Times New Roman" w:hAnsi="Times New Roman" w:eastAsia="黑体"/>
                <w:kern w:val="2"/>
              </w:rPr>
              <w:t>内容</w:t>
            </w:r>
          </w:p>
          <w:p>
            <w:pPr>
              <w:pStyle w:val="13"/>
              <w:adjustRightInd w:val="0"/>
              <w:snapToGrid w:val="0"/>
              <w:spacing w:before="0" w:beforeAutospacing="0" w:after="0" w:afterAutospacing="0" w:line="14" w:lineRule="auto"/>
              <w:outlineLvl w:val="0"/>
              <w:rPr>
                <w:rFonts w:ascii="Times New Roman" w:hAnsi="Times New Roman" w:eastAsia="黑体"/>
                <w:kern w:val="2"/>
              </w:rPr>
            </w:pPr>
            <w:r>
              <w:rPr>
                <w:rFonts w:ascii="Times New Roman" w:hAnsi="Times New Roman" w:eastAsia="黑体"/>
                <w:kern w:val="2"/>
              </w:rPr>
              <w:t xml:space="preserve">  </w:t>
            </w:r>
          </w:p>
          <w:p>
            <w:pPr>
              <w:pStyle w:val="13"/>
              <w:adjustRightInd w:val="0"/>
              <w:snapToGrid w:val="0"/>
              <w:spacing w:before="0" w:beforeAutospacing="0" w:after="0" w:afterAutospacing="0"/>
              <w:outlineLvl w:val="0"/>
              <w:rPr>
                <w:rFonts w:ascii="Times New Roman" w:hAnsi="Times New Roman" w:eastAsia="黑体"/>
                <w:kern w:val="2"/>
              </w:rPr>
            </w:pPr>
            <w:r>
              <w:rPr>
                <w:rFonts w:ascii="Times New Roman" w:hAnsi="Times New Roman" w:eastAsia="黑体"/>
                <w:kern w:val="2"/>
              </w:rPr>
              <w:t>要素</w:t>
            </w:r>
          </w:p>
        </w:tc>
        <w:tc>
          <w:tcPr>
            <w:tcW w:w="5042" w:type="dxa"/>
            <w:gridSpan w:val="2"/>
            <w:vAlign w:val="center"/>
          </w:tcPr>
          <w:p>
            <w:pPr>
              <w:pStyle w:val="13"/>
              <w:adjustRightInd w:val="0"/>
              <w:snapToGrid w:val="0"/>
              <w:spacing w:before="0" w:beforeAutospacing="0" w:after="0" w:afterAutospacing="0"/>
              <w:jc w:val="center"/>
              <w:outlineLvl w:val="0"/>
              <w:rPr>
                <w:rFonts w:ascii="Times New Roman" w:hAnsi="Times New Roman" w:eastAsia="黑体"/>
                <w:kern w:val="2"/>
              </w:rPr>
            </w:pPr>
            <w:r>
              <w:rPr>
                <w:rFonts w:ascii="Times New Roman" w:hAnsi="Times New Roman" w:eastAsia="黑体"/>
                <w:kern w:val="2"/>
              </w:rPr>
              <w:t>施工期</w:t>
            </w:r>
          </w:p>
        </w:tc>
        <w:tc>
          <w:tcPr>
            <w:tcW w:w="7524" w:type="dxa"/>
            <w:gridSpan w:val="2"/>
            <w:vAlign w:val="center"/>
          </w:tcPr>
          <w:p>
            <w:pPr>
              <w:pStyle w:val="13"/>
              <w:adjustRightInd w:val="0"/>
              <w:snapToGrid w:val="0"/>
              <w:spacing w:before="0" w:beforeAutospacing="0" w:after="0" w:afterAutospacing="0"/>
              <w:jc w:val="center"/>
              <w:outlineLvl w:val="0"/>
              <w:rPr>
                <w:rFonts w:ascii="Times New Roman" w:hAnsi="Times New Roman" w:eastAsia="黑体"/>
                <w:kern w:val="2"/>
              </w:rPr>
            </w:pPr>
            <w:r>
              <w:rPr>
                <w:rFonts w:ascii="Times New Roman" w:hAnsi="Times New Roman" w:eastAsia="黑体"/>
                <w:kern w:val="2"/>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blHeader/>
          <w:jc w:val="center"/>
        </w:trPr>
        <w:tc>
          <w:tcPr>
            <w:tcW w:w="1372" w:type="dxa"/>
            <w:vMerge w:val="continue"/>
          </w:tcPr>
          <w:p>
            <w:pPr>
              <w:pStyle w:val="13"/>
              <w:adjustRightInd w:val="0"/>
              <w:snapToGrid w:val="0"/>
              <w:spacing w:before="0" w:beforeAutospacing="0" w:after="0" w:afterAutospacing="0"/>
              <w:ind w:firstLine="840"/>
              <w:jc w:val="center"/>
              <w:outlineLvl w:val="0"/>
              <w:rPr>
                <w:rFonts w:ascii="Times New Roman" w:hAnsi="Times New Roman" w:eastAsia="黑体"/>
                <w:kern w:val="2"/>
              </w:rPr>
            </w:pPr>
          </w:p>
        </w:tc>
        <w:tc>
          <w:tcPr>
            <w:tcW w:w="3013" w:type="dxa"/>
            <w:vAlign w:val="center"/>
          </w:tcPr>
          <w:p>
            <w:pPr>
              <w:pStyle w:val="13"/>
              <w:adjustRightInd w:val="0"/>
              <w:snapToGrid w:val="0"/>
              <w:spacing w:before="0" w:beforeAutospacing="0" w:after="0" w:afterAutospacing="0"/>
              <w:jc w:val="center"/>
              <w:outlineLvl w:val="0"/>
              <w:rPr>
                <w:rFonts w:ascii="Times New Roman" w:hAnsi="Times New Roman" w:eastAsia="黑体"/>
                <w:kern w:val="2"/>
              </w:rPr>
            </w:pPr>
            <w:r>
              <w:rPr>
                <w:rFonts w:ascii="Times New Roman" w:hAnsi="Times New Roman" w:eastAsia="黑体"/>
                <w:kern w:val="2"/>
              </w:rPr>
              <w:t>环境保护措施</w:t>
            </w:r>
          </w:p>
        </w:tc>
        <w:tc>
          <w:tcPr>
            <w:tcW w:w="2029" w:type="dxa"/>
            <w:vAlign w:val="center"/>
          </w:tcPr>
          <w:p>
            <w:pPr>
              <w:pStyle w:val="13"/>
              <w:adjustRightInd w:val="0"/>
              <w:snapToGrid w:val="0"/>
              <w:spacing w:before="0" w:beforeAutospacing="0" w:after="0" w:afterAutospacing="0"/>
              <w:jc w:val="center"/>
              <w:outlineLvl w:val="0"/>
              <w:rPr>
                <w:rFonts w:ascii="Times New Roman" w:hAnsi="Times New Roman" w:eastAsia="黑体"/>
                <w:kern w:val="2"/>
              </w:rPr>
            </w:pPr>
            <w:r>
              <w:rPr>
                <w:rFonts w:ascii="Times New Roman" w:hAnsi="Times New Roman" w:eastAsia="黑体"/>
                <w:kern w:val="2"/>
              </w:rPr>
              <w:t>验收要求</w:t>
            </w:r>
          </w:p>
        </w:tc>
        <w:tc>
          <w:tcPr>
            <w:tcW w:w="5308" w:type="dxa"/>
            <w:vAlign w:val="center"/>
          </w:tcPr>
          <w:p>
            <w:pPr>
              <w:pStyle w:val="13"/>
              <w:adjustRightInd w:val="0"/>
              <w:snapToGrid w:val="0"/>
              <w:spacing w:before="0" w:beforeAutospacing="0" w:after="0" w:afterAutospacing="0"/>
              <w:jc w:val="center"/>
              <w:outlineLvl w:val="0"/>
              <w:rPr>
                <w:rFonts w:ascii="Times New Roman" w:hAnsi="Times New Roman" w:eastAsia="黑体"/>
                <w:kern w:val="2"/>
              </w:rPr>
            </w:pPr>
            <w:r>
              <w:rPr>
                <w:rFonts w:ascii="Times New Roman" w:hAnsi="Times New Roman" w:eastAsia="黑体"/>
                <w:kern w:val="2"/>
              </w:rPr>
              <w:t>环境保护措施</w:t>
            </w:r>
          </w:p>
        </w:tc>
        <w:tc>
          <w:tcPr>
            <w:tcW w:w="2216" w:type="dxa"/>
            <w:vAlign w:val="center"/>
          </w:tcPr>
          <w:p>
            <w:pPr>
              <w:pStyle w:val="13"/>
              <w:adjustRightInd w:val="0"/>
              <w:snapToGrid w:val="0"/>
              <w:spacing w:before="0" w:beforeAutospacing="0" w:after="0" w:afterAutospacing="0"/>
              <w:jc w:val="center"/>
              <w:outlineLvl w:val="0"/>
              <w:rPr>
                <w:rFonts w:ascii="Times New Roman" w:hAnsi="Times New Roman" w:eastAsia="黑体"/>
                <w:kern w:val="2"/>
              </w:rPr>
            </w:pPr>
            <w:r>
              <w:rPr>
                <w:rFonts w:ascii="Times New Roman" w:hAnsi="Times New Roman" w:eastAsia="黑体"/>
                <w:kern w:val="2"/>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72" w:type="dxa"/>
            <w:vAlign w:val="center"/>
          </w:tcPr>
          <w:p>
            <w:pPr>
              <w:adjustRightInd w:val="0"/>
              <w:snapToGrid w:val="0"/>
              <w:jc w:val="center"/>
              <w:rPr>
                <w:sz w:val="24"/>
              </w:rPr>
            </w:pPr>
            <w:r>
              <w:rPr>
                <w:sz w:val="24"/>
              </w:rPr>
              <w:t>陆生生态</w:t>
            </w:r>
          </w:p>
        </w:tc>
        <w:tc>
          <w:tcPr>
            <w:tcW w:w="3013" w:type="dxa"/>
            <w:vAlign w:val="center"/>
          </w:tcPr>
          <w:p>
            <w:pPr>
              <w:adjustRightInd w:val="0"/>
              <w:snapToGrid w:val="0"/>
              <w:ind w:firstLine="480" w:firstLineChars="200"/>
              <w:rPr>
                <w:sz w:val="24"/>
              </w:rPr>
            </w:pPr>
            <w:r>
              <w:rPr>
                <w:sz w:val="24"/>
              </w:rPr>
              <w:t>在占地范围内施工，缩短工期，及早进行绿化以减少裸露地面；对受破坏的植被及时进行恢复</w:t>
            </w:r>
            <w:r>
              <w:rPr>
                <w:rFonts w:hint="eastAsia"/>
                <w:sz w:val="24"/>
              </w:rPr>
              <w:t>。</w:t>
            </w:r>
          </w:p>
          <w:p>
            <w:pPr>
              <w:adjustRightInd w:val="0"/>
              <w:snapToGrid w:val="0"/>
              <w:ind w:firstLine="480" w:firstLineChars="200"/>
              <w:rPr>
                <w:sz w:val="24"/>
              </w:rPr>
            </w:pPr>
            <w:r>
              <w:rPr>
                <w:rFonts w:hint="eastAsia"/>
                <w:color w:val="0000FF"/>
                <w:sz w:val="24"/>
              </w:rPr>
              <w:t>清理恢复治理区的浮石，对于存有土方的区域直接种植乔灌、撒播草籽复绿，对于基岩区域覆土后再复绿；复绿植被优先采用施工期间清理的植被，不足部分可外购，外购植株宜采用乡种（栎类、小果蔷薇、火棘、狗牙根等）；基岩区域覆土采用施工期间剥离的表土</w:t>
            </w:r>
            <w:r>
              <w:rPr>
                <w:color w:val="0000FF"/>
                <w:sz w:val="24"/>
              </w:rPr>
              <w:t>。</w:t>
            </w:r>
          </w:p>
        </w:tc>
        <w:tc>
          <w:tcPr>
            <w:tcW w:w="2029" w:type="dxa"/>
            <w:vAlign w:val="center"/>
          </w:tcPr>
          <w:p>
            <w:pPr>
              <w:adjustRightInd w:val="0"/>
              <w:snapToGrid w:val="0"/>
              <w:ind w:firstLine="480" w:firstLineChars="200"/>
              <w:rPr>
                <w:sz w:val="24"/>
              </w:rPr>
            </w:pPr>
            <w:r>
              <w:rPr>
                <w:sz w:val="24"/>
              </w:rPr>
              <w:t>1、在临时占地范围内施工作业，严禁越界；</w:t>
            </w:r>
          </w:p>
          <w:p>
            <w:pPr>
              <w:adjustRightInd w:val="0"/>
              <w:snapToGrid w:val="0"/>
              <w:ind w:firstLine="480" w:firstLineChars="200"/>
              <w:rPr>
                <w:sz w:val="24"/>
              </w:rPr>
            </w:pPr>
            <w:r>
              <w:rPr>
                <w:sz w:val="24"/>
              </w:rPr>
              <w:t>2、</w:t>
            </w:r>
            <w:r>
              <w:rPr>
                <w:rFonts w:hint="eastAsia"/>
                <w:sz w:val="24"/>
              </w:rPr>
              <w:t>完成恢复治理区的生态复绿</w:t>
            </w:r>
            <w:r>
              <w:rPr>
                <w:sz w:val="24"/>
              </w:rPr>
              <w:t>。</w:t>
            </w:r>
          </w:p>
        </w:tc>
        <w:tc>
          <w:tcPr>
            <w:tcW w:w="5308" w:type="dxa"/>
            <w:vAlign w:val="center"/>
          </w:tcPr>
          <w:p>
            <w:pPr>
              <w:adjustRightInd w:val="0"/>
              <w:snapToGrid w:val="0"/>
              <w:ind w:firstLine="480" w:firstLineChars="200"/>
              <w:rPr>
                <w:sz w:val="24"/>
              </w:rPr>
            </w:pPr>
            <w:r>
              <w:rPr>
                <w:sz w:val="24"/>
              </w:rPr>
              <w:t>1、</w:t>
            </w:r>
            <w:r>
              <w:rPr>
                <w:rFonts w:hint="eastAsia"/>
                <w:sz w:val="24"/>
              </w:rPr>
              <w:t>采区内植被就近移栽至原项目一采区台阶</w:t>
            </w:r>
            <w:r>
              <w:rPr>
                <w:sz w:val="24"/>
              </w:rPr>
              <w:t>；按采矿区范围采矿，不得越界开采；</w:t>
            </w:r>
          </w:p>
          <w:p>
            <w:pPr>
              <w:adjustRightInd w:val="0"/>
              <w:snapToGrid w:val="0"/>
              <w:ind w:firstLine="480" w:firstLineChars="200"/>
              <w:rPr>
                <w:sz w:val="24"/>
              </w:rPr>
            </w:pPr>
            <w:r>
              <w:rPr>
                <w:sz w:val="24"/>
              </w:rPr>
              <w:t>2、</w:t>
            </w:r>
            <w:r>
              <w:rPr>
                <w:rFonts w:hint="eastAsia"/>
                <w:sz w:val="24"/>
              </w:rPr>
              <w:t>采区区耕作层土壤和心土层单独剥离，并做好水土保持工作</w:t>
            </w:r>
            <w:r>
              <w:rPr>
                <w:sz w:val="24"/>
              </w:rPr>
              <w:t>；</w:t>
            </w:r>
          </w:p>
          <w:p>
            <w:pPr>
              <w:adjustRightInd w:val="0"/>
              <w:snapToGrid w:val="0"/>
              <w:ind w:firstLine="480" w:firstLineChars="200"/>
              <w:rPr>
                <w:sz w:val="24"/>
              </w:rPr>
            </w:pPr>
            <w:r>
              <w:rPr>
                <w:sz w:val="24"/>
              </w:rPr>
              <w:t>3、</w:t>
            </w:r>
            <w:r>
              <w:rPr>
                <w:rFonts w:hint="eastAsia"/>
                <w:sz w:val="24"/>
              </w:rPr>
              <w:t>采区采用“边开采、边复垦”的方式进行开采，</w:t>
            </w:r>
            <w:r>
              <w:rPr>
                <w:rFonts w:hint="eastAsia"/>
                <w:color w:val="0000FF"/>
                <w:sz w:val="24"/>
              </w:rPr>
              <w:t>第1台阶剥离</w:t>
            </w:r>
            <w:r>
              <w:rPr>
                <w:color w:val="0000FF"/>
                <w:sz w:val="24"/>
              </w:rPr>
              <w:t>表土</w:t>
            </w:r>
            <w:r>
              <w:rPr>
                <w:rFonts w:hint="eastAsia"/>
                <w:color w:val="0000FF"/>
                <w:sz w:val="24"/>
              </w:rPr>
              <w:t>层中耕作层、心土层分开剥离后，</w:t>
            </w:r>
            <w:r>
              <w:rPr>
                <w:color w:val="0000FF"/>
                <w:sz w:val="24"/>
              </w:rPr>
              <w:t>由车辆运至排土场</w:t>
            </w:r>
            <w:r>
              <w:rPr>
                <w:rFonts w:hint="eastAsia"/>
                <w:color w:val="0000FF"/>
                <w:sz w:val="24"/>
              </w:rPr>
              <w:t>内</w:t>
            </w:r>
            <w:r>
              <w:rPr>
                <w:color w:val="0000FF"/>
                <w:sz w:val="24"/>
              </w:rPr>
              <w:t>临时分区堆存；</w:t>
            </w:r>
            <w:r>
              <w:rPr>
                <w:rFonts w:hint="eastAsia"/>
                <w:color w:val="0000FF"/>
                <w:sz w:val="24"/>
              </w:rPr>
              <w:t>第1台阶剥离</w:t>
            </w:r>
            <w:r>
              <w:rPr>
                <w:color w:val="0000FF"/>
                <w:sz w:val="24"/>
              </w:rPr>
              <w:t>风化废石由车辆运至弃渣场</w:t>
            </w:r>
            <w:r>
              <w:rPr>
                <w:rFonts w:hint="eastAsia"/>
                <w:color w:val="0000FF"/>
                <w:sz w:val="24"/>
              </w:rPr>
              <w:t>内</w:t>
            </w:r>
            <w:r>
              <w:rPr>
                <w:color w:val="0000FF"/>
                <w:sz w:val="24"/>
              </w:rPr>
              <w:t>临时堆存</w:t>
            </w:r>
            <w:r>
              <w:rPr>
                <w:rFonts w:hint="eastAsia"/>
                <w:color w:val="0000FF"/>
                <w:sz w:val="24"/>
              </w:rPr>
              <w:t>。第2~5台阶剥离</w:t>
            </w:r>
            <w:r>
              <w:rPr>
                <w:color w:val="0000FF"/>
                <w:sz w:val="24"/>
              </w:rPr>
              <w:t>表土</w:t>
            </w:r>
            <w:r>
              <w:rPr>
                <w:rFonts w:hint="eastAsia"/>
                <w:color w:val="0000FF"/>
                <w:sz w:val="24"/>
              </w:rPr>
              <w:t>层（耕作层、心土层）</w:t>
            </w:r>
            <w:r>
              <w:rPr>
                <w:color w:val="0000FF"/>
                <w:sz w:val="24"/>
              </w:rPr>
              <w:t>、风化废石</w:t>
            </w:r>
            <w:r>
              <w:rPr>
                <w:rFonts w:hint="eastAsia"/>
                <w:color w:val="0000FF"/>
                <w:sz w:val="24"/>
              </w:rPr>
              <w:t>均优先运至上一台阶绿化覆土（由下至上分别摊铺风化废石、心土层、耕作层），余方再分别</w:t>
            </w:r>
            <w:r>
              <w:rPr>
                <w:color w:val="0000FF"/>
                <w:sz w:val="24"/>
              </w:rPr>
              <w:t>运至</w:t>
            </w:r>
            <w:r>
              <w:rPr>
                <w:rFonts w:hint="eastAsia"/>
                <w:color w:val="0000FF"/>
                <w:sz w:val="24"/>
              </w:rPr>
              <w:t>排土场、弃渣场内</w:t>
            </w:r>
            <w:r>
              <w:rPr>
                <w:color w:val="0000FF"/>
                <w:sz w:val="24"/>
              </w:rPr>
              <w:t>临时堆存</w:t>
            </w:r>
            <w:r>
              <w:rPr>
                <w:rFonts w:hint="eastAsia"/>
                <w:color w:val="0000FF"/>
                <w:sz w:val="24"/>
              </w:rPr>
              <w:t>，</w:t>
            </w:r>
            <w:r>
              <w:rPr>
                <w:rFonts w:hint="eastAsia"/>
                <w:sz w:val="24"/>
              </w:rPr>
              <w:t>闭矿期再用于全厂绿化复垦</w:t>
            </w:r>
            <w:r>
              <w:rPr>
                <w:sz w:val="24"/>
              </w:rPr>
              <w:t>。</w:t>
            </w:r>
          </w:p>
        </w:tc>
        <w:tc>
          <w:tcPr>
            <w:tcW w:w="2216" w:type="dxa"/>
            <w:vAlign w:val="center"/>
          </w:tcPr>
          <w:p>
            <w:pPr>
              <w:adjustRightInd w:val="0"/>
              <w:snapToGrid w:val="0"/>
              <w:ind w:firstLine="480" w:firstLineChars="200"/>
              <w:rPr>
                <w:sz w:val="24"/>
              </w:rPr>
            </w:pPr>
            <w:r>
              <w:rPr>
                <w:sz w:val="24"/>
              </w:rPr>
              <w:t>满足《水土保持方案》、《开发利用</w:t>
            </w:r>
            <w:r>
              <w:rPr>
                <w:rFonts w:hint="eastAsia"/>
                <w:sz w:val="24"/>
              </w:rPr>
              <w:t>方案》、《</w:t>
            </w:r>
            <w:r>
              <w:rPr>
                <w:sz w:val="24"/>
              </w:rPr>
              <w:t>地质环境</w:t>
            </w:r>
            <w:r>
              <w:rPr>
                <w:rFonts w:hint="eastAsia"/>
                <w:sz w:val="24"/>
              </w:rPr>
              <w:t>保护与</w:t>
            </w:r>
            <w:r>
              <w:rPr>
                <w:sz w:val="24"/>
              </w:rPr>
              <w:t>土地复垦方案》、《绿色矿山建设实施方案》</w:t>
            </w:r>
            <w:r>
              <w:rPr>
                <w:rFonts w:hint="eastAsia"/>
                <w:sz w:val="24"/>
              </w:rPr>
              <w:t>、《可视论证报告》</w:t>
            </w:r>
            <w:r>
              <w:rPr>
                <w:sz w:val="24"/>
              </w:rPr>
              <w:t>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72" w:type="dxa"/>
            <w:vAlign w:val="center"/>
          </w:tcPr>
          <w:p>
            <w:pPr>
              <w:adjustRightInd w:val="0"/>
              <w:snapToGrid w:val="0"/>
              <w:jc w:val="center"/>
              <w:rPr>
                <w:sz w:val="24"/>
              </w:rPr>
            </w:pPr>
            <w:r>
              <w:rPr>
                <w:sz w:val="24"/>
              </w:rPr>
              <w:t>水生生态</w:t>
            </w:r>
          </w:p>
        </w:tc>
        <w:tc>
          <w:tcPr>
            <w:tcW w:w="3013" w:type="dxa"/>
            <w:vAlign w:val="center"/>
          </w:tcPr>
          <w:p>
            <w:pPr>
              <w:adjustRightInd w:val="0"/>
              <w:snapToGrid w:val="0"/>
              <w:ind w:firstLine="480" w:firstLineChars="200"/>
              <w:rPr>
                <w:sz w:val="24"/>
              </w:rPr>
            </w:pPr>
            <w:r>
              <w:rPr>
                <w:sz w:val="24"/>
              </w:rPr>
              <w:t>/</w:t>
            </w:r>
          </w:p>
        </w:tc>
        <w:tc>
          <w:tcPr>
            <w:tcW w:w="2029" w:type="dxa"/>
            <w:vAlign w:val="center"/>
          </w:tcPr>
          <w:p>
            <w:pPr>
              <w:adjustRightInd w:val="0"/>
              <w:snapToGrid w:val="0"/>
              <w:ind w:firstLine="200"/>
              <w:rPr>
                <w:sz w:val="24"/>
              </w:rPr>
            </w:pPr>
            <w:r>
              <w:rPr>
                <w:sz w:val="24"/>
              </w:rPr>
              <w:t>/</w:t>
            </w:r>
          </w:p>
        </w:tc>
        <w:tc>
          <w:tcPr>
            <w:tcW w:w="5308" w:type="dxa"/>
            <w:vAlign w:val="center"/>
          </w:tcPr>
          <w:p>
            <w:pPr>
              <w:adjustRightInd w:val="0"/>
              <w:snapToGrid w:val="0"/>
              <w:ind w:firstLine="200"/>
              <w:rPr>
                <w:sz w:val="24"/>
              </w:rPr>
            </w:pPr>
            <w:r>
              <w:rPr>
                <w:sz w:val="24"/>
              </w:rPr>
              <w:t>/</w:t>
            </w:r>
          </w:p>
        </w:tc>
        <w:tc>
          <w:tcPr>
            <w:tcW w:w="2216" w:type="dxa"/>
            <w:vAlign w:val="center"/>
          </w:tcPr>
          <w:p>
            <w:pPr>
              <w:adjustRightInd w:val="0"/>
              <w:snapToGrid w:val="0"/>
              <w:ind w:firstLine="200"/>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1372" w:type="dxa"/>
            <w:vAlign w:val="center"/>
          </w:tcPr>
          <w:p>
            <w:pPr>
              <w:adjustRightInd w:val="0"/>
              <w:snapToGrid w:val="0"/>
              <w:jc w:val="center"/>
              <w:rPr>
                <w:sz w:val="24"/>
              </w:rPr>
            </w:pPr>
            <w:r>
              <w:rPr>
                <w:sz w:val="24"/>
              </w:rPr>
              <w:t>地表水环境</w:t>
            </w:r>
          </w:p>
        </w:tc>
        <w:tc>
          <w:tcPr>
            <w:tcW w:w="3013" w:type="dxa"/>
            <w:tcBorders>
              <w:bottom w:val="single" w:color="000000" w:sz="6" w:space="0"/>
            </w:tcBorders>
            <w:vAlign w:val="center"/>
          </w:tcPr>
          <w:p>
            <w:pPr>
              <w:adjustRightInd w:val="0"/>
              <w:snapToGrid w:val="0"/>
              <w:ind w:firstLine="480" w:firstLineChars="200"/>
              <w:rPr>
                <w:sz w:val="24"/>
              </w:rPr>
            </w:pPr>
            <w:r>
              <w:rPr>
                <w:sz w:val="24"/>
              </w:rPr>
              <w:t>1、</w:t>
            </w:r>
            <w:r>
              <w:rPr>
                <w:rFonts w:hint="eastAsia"/>
                <w:sz w:val="24"/>
              </w:rPr>
              <w:t>依托原项目已在卫生间下方</w:t>
            </w:r>
            <w:r>
              <w:rPr>
                <w:sz w:val="24"/>
              </w:rPr>
              <w:t>设置</w:t>
            </w:r>
            <w:r>
              <w:rPr>
                <w:rFonts w:hint="eastAsia"/>
                <w:sz w:val="24"/>
              </w:rPr>
              <w:t>了</w:t>
            </w:r>
            <w:r>
              <w:rPr>
                <w:sz w:val="24"/>
              </w:rPr>
              <w:t>30m</w:t>
            </w:r>
            <w:r>
              <w:rPr>
                <w:sz w:val="24"/>
                <w:vertAlign w:val="superscript"/>
              </w:rPr>
              <w:t>3</w:t>
            </w:r>
            <w:r>
              <w:rPr>
                <w:rFonts w:hint="eastAsia"/>
                <w:sz w:val="24"/>
              </w:rPr>
              <w:t>的</w:t>
            </w:r>
            <w:r>
              <w:rPr>
                <w:sz w:val="24"/>
              </w:rPr>
              <w:t>化粪池，职工生活污水经化粪池收集后，用作农肥；</w:t>
            </w:r>
          </w:p>
          <w:p>
            <w:pPr>
              <w:adjustRightInd w:val="0"/>
              <w:snapToGrid w:val="0"/>
              <w:ind w:firstLine="480" w:firstLineChars="200"/>
              <w:rPr>
                <w:sz w:val="24"/>
              </w:rPr>
            </w:pPr>
            <w:r>
              <w:rPr>
                <w:sz w:val="24"/>
              </w:rPr>
              <w:t>2、</w:t>
            </w:r>
            <w:r>
              <w:rPr>
                <w:rFonts w:hint="eastAsia"/>
                <w:bCs/>
                <w:sz w:val="24"/>
              </w:rPr>
              <w:t>在地磅称东侧</w:t>
            </w:r>
            <w:r>
              <w:rPr>
                <w:bCs/>
                <w:sz w:val="24"/>
              </w:rPr>
              <w:t>设容积约</w:t>
            </w:r>
            <w:r>
              <w:rPr>
                <w:rFonts w:hint="eastAsia"/>
                <w:bCs/>
                <w:sz w:val="24"/>
              </w:rPr>
              <w:t>20</w:t>
            </w:r>
            <w:r>
              <w:rPr>
                <w:bCs/>
                <w:sz w:val="24"/>
              </w:rPr>
              <w:t>m</w:t>
            </w:r>
            <w:r>
              <w:rPr>
                <w:bCs/>
                <w:sz w:val="24"/>
                <w:vertAlign w:val="superscript"/>
              </w:rPr>
              <w:t>3</w:t>
            </w:r>
            <w:r>
              <w:rPr>
                <w:rFonts w:hint="eastAsia"/>
                <w:bCs/>
                <w:sz w:val="24"/>
              </w:rPr>
              <w:t>的</w:t>
            </w:r>
            <w:r>
              <w:rPr>
                <w:bCs/>
                <w:sz w:val="24"/>
              </w:rPr>
              <w:t>“U型”车辆冲洗池</w:t>
            </w:r>
            <w:r>
              <w:rPr>
                <w:rFonts w:hint="eastAsia"/>
                <w:bCs/>
                <w:sz w:val="24"/>
              </w:rPr>
              <w:t>，场内</w:t>
            </w:r>
            <w:r>
              <w:rPr>
                <w:bCs/>
                <w:sz w:val="24"/>
              </w:rPr>
              <w:t>运输车辆</w:t>
            </w:r>
            <w:r>
              <w:rPr>
                <w:rFonts w:hint="eastAsia"/>
                <w:bCs/>
                <w:sz w:val="24"/>
              </w:rPr>
              <w:t>于</w:t>
            </w:r>
            <w:r>
              <w:rPr>
                <w:bCs/>
                <w:sz w:val="24"/>
              </w:rPr>
              <w:t>“U型”车辆冲洗池</w:t>
            </w:r>
            <w:r>
              <w:rPr>
                <w:rFonts w:hint="eastAsia"/>
                <w:bCs/>
                <w:sz w:val="24"/>
              </w:rPr>
              <w:t>内冲洗后，</w:t>
            </w:r>
            <w:r>
              <w:rPr>
                <w:bCs/>
                <w:sz w:val="24"/>
              </w:rPr>
              <w:t>所产生的冲洗废水经冲洗池沉淀处理后循环使用</w:t>
            </w:r>
            <w:r>
              <w:rPr>
                <w:sz w:val="24"/>
              </w:rPr>
              <w:t>。</w:t>
            </w:r>
          </w:p>
        </w:tc>
        <w:tc>
          <w:tcPr>
            <w:tcW w:w="2029" w:type="dxa"/>
            <w:tcBorders>
              <w:bottom w:val="single" w:color="000000" w:sz="6" w:space="0"/>
            </w:tcBorders>
            <w:vAlign w:val="center"/>
          </w:tcPr>
          <w:p>
            <w:pPr>
              <w:adjustRightInd w:val="0"/>
              <w:snapToGrid w:val="0"/>
              <w:ind w:firstLine="480" w:firstLineChars="200"/>
              <w:rPr>
                <w:sz w:val="24"/>
              </w:rPr>
            </w:pPr>
            <w:r>
              <w:rPr>
                <w:sz w:val="24"/>
              </w:rPr>
              <w:t>生活、施工废水均不外排。</w:t>
            </w:r>
          </w:p>
        </w:tc>
        <w:tc>
          <w:tcPr>
            <w:tcW w:w="5308" w:type="dxa"/>
            <w:vAlign w:val="center"/>
          </w:tcPr>
          <w:p>
            <w:pPr>
              <w:adjustRightInd w:val="0"/>
              <w:snapToGrid w:val="0"/>
              <w:ind w:firstLine="480" w:firstLineChars="200"/>
              <w:rPr>
                <w:sz w:val="24"/>
              </w:rPr>
            </w:pPr>
            <w:r>
              <w:rPr>
                <w:sz w:val="24"/>
              </w:rPr>
              <w:t>1、</w:t>
            </w:r>
            <w:r>
              <w:rPr>
                <w:rFonts w:hint="eastAsia"/>
                <w:bCs/>
                <w:sz w:val="24"/>
              </w:rPr>
              <w:t>依托原项目已在卫生间下方</w:t>
            </w:r>
            <w:r>
              <w:rPr>
                <w:bCs/>
                <w:sz w:val="24"/>
              </w:rPr>
              <w:t>设置</w:t>
            </w:r>
            <w:r>
              <w:rPr>
                <w:rFonts w:hint="eastAsia"/>
                <w:bCs/>
                <w:sz w:val="24"/>
              </w:rPr>
              <w:t>了</w:t>
            </w:r>
            <w:r>
              <w:rPr>
                <w:bCs/>
                <w:sz w:val="24"/>
              </w:rPr>
              <w:t>30m</w:t>
            </w:r>
            <w:r>
              <w:rPr>
                <w:bCs/>
                <w:sz w:val="24"/>
                <w:vertAlign w:val="superscript"/>
              </w:rPr>
              <w:t>3</w:t>
            </w:r>
            <w:r>
              <w:rPr>
                <w:rFonts w:hint="eastAsia"/>
                <w:bCs/>
                <w:sz w:val="24"/>
              </w:rPr>
              <w:t>的</w:t>
            </w:r>
            <w:r>
              <w:rPr>
                <w:bCs/>
                <w:sz w:val="24"/>
              </w:rPr>
              <w:t>化粪池，职工生活污水经化粪池收集后，用作农肥</w:t>
            </w:r>
            <w:r>
              <w:rPr>
                <w:sz w:val="24"/>
              </w:rPr>
              <w:t>；</w:t>
            </w:r>
          </w:p>
          <w:p>
            <w:pPr>
              <w:adjustRightInd w:val="0"/>
              <w:snapToGrid w:val="0"/>
              <w:ind w:firstLine="480" w:firstLineChars="200"/>
              <w:rPr>
                <w:sz w:val="24"/>
              </w:rPr>
            </w:pPr>
            <w:r>
              <w:rPr>
                <w:sz w:val="24"/>
              </w:rPr>
              <w:t>2、</w:t>
            </w:r>
            <w:r>
              <w:rPr>
                <w:rFonts w:hint="eastAsia"/>
                <w:bCs/>
                <w:sz w:val="24"/>
              </w:rPr>
              <w:t>在地磅称东侧</w:t>
            </w:r>
            <w:r>
              <w:rPr>
                <w:bCs/>
                <w:sz w:val="24"/>
              </w:rPr>
              <w:t>设容积约</w:t>
            </w:r>
            <w:r>
              <w:rPr>
                <w:rFonts w:hint="eastAsia"/>
                <w:bCs/>
                <w:sz w:val="24"/>
              </w:rPr>
              <w:t>20</w:t>
            </w:r>
            <w:r>
              <w:rPr>
                <w:bCs/>
                <w:sz w:val="24"/>
              </w:rPr>
              <w:t>m</w:t>
            </w:r>
            <w:r>
              <w:rPr>
                <w:bCs/>
                <w:sz w:val="24"/>
                <w:vertAlign w:val="superscript"/>
              </w:rPr>
              <w:t>3</w:t>
            </w:r>
            <w:r>
              <w:rPr>
                <w:rFonts w:hint="eastAsia"/>
                <w:bCs/>
                <w:sz w:val="24"/>
              </w:rPr>
              <w:t>的</w:t>
            </w:r>
            <w:r>
              <w:rPr>
                <w:bCs/>
                <w:sz w:val="24"/>
              </w:rPr>
              <w:t>“U型”车辆冲洗池</w:t>
            </w:r>
            <w:r>
              <w:rPr>
                <w:rFonts w:hint="eastAsia"/>
                <w:bCs/>
                <w:sz w:val="24"/>
              </w:rPr>
              <w:t>，场内</w:t>
            </w:r>
            <w:r>
              <w:rPr>
                <w:bCs/>
                <w:sz w:val="24"/>
              </w:rPr>
              <w:t>运输车辆</w:t>
            </w:r>
            <w:r>
              <w:rPr>
                <w:rFonts w:hint="eastAsia"/>
                <w:bCs/>
                <w:sz w:val="24"/>
              </w:rPr>
              <w:t>于</w:t>
            </w:r>
            <w:r>
              <w:rPr>
                <w:bCs/>
                <w:sz w:val="24"/>
              </w:rPr>
              <w:t>“U型”车辆冲洗池</w:t>
            </w:r>
            <w:r>
              <w:rPr>
                <w:rFonts w:hint="eastAsia"/>
                <w:bCs/>
                <w:sz w:val="24"/>
              </w:rPr>
              <w:t>内冲洗后，</w:t>
            </w:r>
            <w:r>
              <w:rPr>
                <w:bCs/>
                <w:sz w:val="24"/>
              </w:rPr>
              <w:t>所产生的冲洗废水经冲洗池沉淀处理后循环使用</w:t>
            </w:r>
            <w:r>
              <w:rPr>
                <w:sz w:val="24"/>
              </w:rPr>
              <w:t>；</w:t>
            </w:r>
          </w:p>
          <w:p>
            <w:pPr>
              <w:adjustRightInd w:val="0"/>
              <w:snapToGrid w:val="0"/>
              <w:ind w:firstLine="480" w:firstLineChars="200"/>
              <w:rPr>
                <w:sz w:val="24"/>
              </w:rPr>
            </w:pPr>
            <w:r>
              <w:rPr>
                <w:sz w:val="24"/>
              </w:rPr>
              <w:t>3、</w:t>
            </w:r>
            <w:r>
              <w:rPr>
                <w:color w:val="0000FF"/>
                <w:sz w:val="24"/>
              </w:rPr>
              <w:t>根据区域地势，</w:t>
            </w:r>
            <w:r>
              <w:rPr>
                <w:rFonts w:hint="eastAsia"/>
                <w:color w:val="0000FF"/>
                <w:sz w:val="24"/>
              </w:rPr>
              <w:t>在矿区西北侧布设约365</w:t>
            </w:r>
            <w:r>
              <w:rPr>
                <w:bCs/>
                <w:color w:val="0000FF"/>
                <w:sz w:val="24"/>
              </w:rPr>
              <w:t>m截洪沟</w:t>
            </w:r>
            <w:r>
              <w:rPr>
                <w:rFonts w:hint="eastAsia"/>
                <w:bCs/>
                <w:color w:val="0000FF"/>
                <w:sz w:val="24"/>
              </w:rPr>
              <w:t>，截挡外部雨水；在矿区其他侧、场内运输道路单边、工业广场东侧及南侧共布设约9</w:t>
            </w:r>
            <w:r>
              <w:rPr>
                <w:bCs/>
                <w:color w:val="0000FF"/>
                <w:sz w:val="24"/>
              </w:rPr>
              <w:t>00m排水沟</w:t>
            </w:r>
            <w:r>
              <w:rPr>
                <w:rFonts w:hint="eastAsia"/>
                <w:bCs/>
                <w:color w:val="0000FF"/>
                <w:sz w:val="24"/>
              </w:rPr>
              <w:t>，</w:t>
            </w:r>
            <w:r>
              <w:rPr>
                <w:bCs/>
                <w:color w:val="0000FF"/>
                <w:sz w:val="24"/>
              </w:rPr>
              <w:t>排水沟</w:t>
            </w:r>
            <w:r>
              <w:rPr>
                <w:rFonts w:hint="eastAsia"/>
                <w:bCs/>
                <w:color w:val="0000FF"/>
                <w:sz w:val="24"/>
              </w:rPr>
              <w:t>末端可</w:t>
            </w:r>
            <w:r>
              <w:rPr>
                <w:rFonts w:hint="eastAsia"/>
                <w:color w:val="0000FF"/>
                <w:sz w:val="24"/>
              </w:rPr>
              <w:t>设一切换阀，一端接入110m</w:t>
            </w:r>
            <w:r>
              <w:rPr>
                <w:color w:val="0000FF"/>
                <w:sz w:val="24"/>
                <w:vertAlign w:val="superscript"/>
              </w:rPr>
              <w:t>3</w:t>
            </w:r>
            <w:r>
              <w:rPr>
                <w:rFonts w:hint="eastAsia"/>
                <w:color w:val="0000FF"/>
                <w:sz w:val="24"/>
              </w:rPr>
              <w:t>雨水沉淀池，</w:t>
            </w:r>
            <w:r>
              <w:rPr>
                <w:rFonts w:hint="eastAsia"/>
                <w:bCs/>
                <w:color w:val="0000FF"/>
                <w:sz w:val="24"/>
              </w:rPr>
              <w:t>另一端设排水沟连接至厂区外，可人工或自动化切换，以收集厂区初期雨水，导排厂区后期澄清雨水。</w:t>
            </w:r>
            <w:r>
              <w:rPr>
                <w:rFonts w:hint="eastAsia"/>
                <w:color w:val="0000FF"/>
                <w:sz w:val="24"/>
              </w:rPr>
              <w:t>为更好导排雨水，沉淀泥沙，避免沟道堵塞，在截排水沟转折及交汇点共设置3个容积为1</w:t>
            </w:r>
            <w:r>
              <w:rPr>
                <w:color w:val="0000FF"/>
                <w:sz w:val="24"/>
              </w:rPr>
              <w:t>m</w:t>
            </w:r>
            <w:r>
              <w:rPr>
                <w:color w:val="0000FF"/>
                <w:sz w:val="24"/>
                <w:vertAlign w:val="superscript"/>
              </w:rPr>
              <w:t>3</w:t>
            </w:r>
            <w:r>
              <w:rPr>
                <w:rFonts w:hint="eastAsia"/>
                <w:color w:val="0000FF"/>
                <w:sz w:val="24"/>
              </w:rPr>
              <w:t>的沉砂凼调节雨水流速并初步沉淀雨水中的泥沙</w:t>
            </w:r>
            <w:r>
              <w:rPr>
                <w:color w:val="0000FF"/>
                <w:sz w:val="24"/>
              </w:rPr>
              <w:t>。</w:t>
            </w:r>
            <w:r>
              <w:rPr>
                <w:sz w:val="24"/>
              </w:rPr>
              <w:t>项目</w:t>
            </w:r>
            <w:r>
              <w:rPr>
                <w:rFonts w:hint="eastAsia"/>
                <w:sz w:val="24"/>
              </w:rPr>
              <w:t>厂区</w:t>
            </w:r>
            <w:r>
              <w:rPr>
                <w:sz w:val="24"/>
              </w:rPr>
              <w:t>初期雨水经雨水沉淀池沉淀后用于</w:t>
            </w:r>
            <w:r>
              <w:rPr>
                <w:rFonts w:hint="eastAsia"/>
                <w:sz w:val="24"/>
              </w:rPr>
              <w:t>厂区洒水抑尘。</w:t>
            </w:r>
          </w:p>
        </w:tc>
        <w:tc>
          <w:tcPr>
            <w:tcW w:w="2216" w:type="dxa"/>
            <w:vAlign w:val="center"/>
          </w:tcPr>
          <w:p>
            <w:pPr>
              <w:adjustRightInd w:val="0"/>
              <w:snapToGrid w:val="0"/>
              <w:ind w:firstLine="480" w:firstLineChars="200"/>
              <w:rPr>
                <w:sz w:val="24"/>
                <w:highlight w:val="yellow"/>
              </w:rPr>
            </w:pPr>
            <w:r>
              <w:rPr>
                <w:sz w:val="24"/>
              </w:rPr>
              <w:t>生活、生产废水均不外排。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72" w:type="dxa"/>
            <w:vAlign w:val="center"/>
          </w:tcPr>
          <w:p>
            <w:pPr>
              <w:adjustRightInd w:val="0"/>
              <w:snapToGrid w:val="0"/>
              <w:jc w:val="center"/>
              <w:rPr>
                <w:sz w:val="24"/>
              </w:rPr>
            </w:pPr>
            <w:r>
              <w:rPr>
                <w:sz w:val="24"/>
              </w:rPr>
              <w:t>地下水及土壤环境</w:t>
            </w:r>
          </w:p>
        </w:tc>
        <w:tc>
          <w:tcPr>
            <w:tcW w:w="3013" w:type="dxa"/>
            <w:vAlign w:val="center"/>
          </w:tcPr>
          <w:p>
            <w:pPr>
              <w:adjustRightInd w:val="0"/>
              <w:snapToGrid w:val="0"/>
              <w:ind w:firstLine="480" w:firstLineChars="200"/>
              <w:jc w:val="left"/>
              <w:rPr>
                <w:sz w:val="24"/>
              </w:rPr>
            </w:pPr>
            <w:r>
              <w:rPr>
                <w:sz w:val="24"/>
              </w:rPr>
              <w:t>/</w:t>
            </w:r>
          </w:p>
        </w:tc>
        <w:tc>
          <w:tcPr>
            <w:tcW w:w="2029" w:type="dxa"/>
            <w:vAlign w:val="center"/>
          </w:tcPr>
          <w:p>
            <w:pPr>
              <w:adjustRightInd w:val="0"/>
              <w:snapToGrid w:val="0"/>
              <w:ind w:firstLine="480" w:firstLineChars="200"/>
              <w:jc w:val="left"/>
              <w:rPr>
                <w:sz w:val="24"/>
              </w:rPr>
            </w:pPr>
            <w:r>
              <w:rPr>
                <w:sz w:val="24"/>
              </w:rPr>
              <w:t>/</w:t>
            </w:r>
          </w:p>
        </w:tc>
        <w:tc>
          <w:tcPr>
            <w:tcW w:w="5308" w:type="dxa"/>
            <w:vAlign w:val="center"/>
          </w:tcPr>
          <w:p>
            <w:pPr>
              <w:adjustRightInd w:val="0"/>
              <w:snapToGrid w:val="0"/>
              <w:ind w:firstLine="480" w:firstLineChars="200"/>
              <w:jc w:val="left"/>
              <w:rPr>
                <w:sz w:val="24"/>
              </w:rPr>
            </w:pPr>
            <w:r>
              <w:rPr>
                <w:sz w:val="24"/>
              </w:rPr>
              <w:t>/</w:t>
            </w:r>
          </w:p>
        </w:tc>
        <w:tc>
          <w:tcPr>
            <w:tcW w:w="2216" w:type="dxa"/>
            <w:vAlign w:val="center"/>
          </w:tcPr>
          <w:p>
            <w:pPr>
              <w:adjustRightInd w:val="0"/>
              <w:snapToGrid w:val="0"/>
              <w:ind w:firstLine="480" w:firstLineChars="200"/>
              <w:jc w:val="left"/>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72" w:type="dxa"/>
            <w:vAlign w:val="center"/>
          </w:tcPr>
          <w:p>
            <w:pPr>
              <w:adjustRightInd w:val="0"/>
              <w:snapToGrid w:val="0"/>
              <w:jc w:val="center"/>
              <w:rPr>
                <w:sz w:val="24"/>
              </w:rPr>
            </w:pPr>
            <w:r>
              <w:rPr>
                <w:sz w:val="24"/>
              </w:rPr>
              <w:t>声环境</w:t>
            </w:r>
          </w:p>
        </w:tc>
        <w:tc>
          <w:tcPr>
            <w:tcW w:w="3013" w:type="dxa"/>
            <w:vAlign w:val="center"/>
          </w:tcPr>
          <w:p>
            <w:pPr>
              <w:adjustRightInd w:val="0"/>
              <w:snapToGrid w:val="0"/>
              <w:ind w:firstLine="480" w:firstLineChars="200"/>
              <w:rPr>
                <w:sz w:val="24"/>
              </w:rPr>
            </w:pPr>
            <w:r>
              <w:rPr>
                <w:sz w:val="24"/>
              </w:rPr>
              <w:t>合理安排施工时间，避免夜间施工；合理布置施工机具，远离附近居民点；建筑材料和设备运输时合理安排运输时间，经过居民点处时限速禁鸣，</w:t>
            </w:r>
            <w:r>
              <w:rPr>
                <w:rFonts w:hint="eastAsia"/>
                <w:bCs/>
                <w:sz w:val="24"/>
              </w:rPr>
              <w:t>施工场地四周需设置不低于1.8m的硬质围栏隔音</w:t>
            </w:r>
            <w:r>
              <w:rPr>
                <w:sz w:val="24"/>
              </w:rPr>
              <w:t>。</w:t>
            </w:r>
          </w:p>
        </w:tc>
        <w:tc>
          <w:tcPr>
            <w:tcW w:w="2029" w:type="dxa"/>
            <w:vAlign w:val="center"/>
          </w:tcPr>
          <w:p>
            <w:pPr>
              <w:adjustRightInd w:val="0"/>
              <w:snapToGrid w:val="0"/>
              <w:ind w:firstLine="480" w:firstLineChars="200"/>
              <w:rPr>
                <w:sz w:val="24"/>
              </w:rPr>
            </w:pPr>
            <w:r>
              <w:rPr>
                <w:sz w:val="24"/>
              </w:rPr>
              <w:t>达《建筑施工场界环境噪声排放标准》（GB12523-2011），昼间：70dB，夜间：55dB</w:t>
            </w:r>
          </w:p>
        </w:tc>
        <w:tc>
          <w:tcPr>
            <w:tcW w:w="5308" w:type="dxa"/>
            <w:vAlign w:val="center"/>
          </w:tcPr>
          <w:p>
            <w:pPr>
              <w:adjustRightInd w:val="0"/>
              <w:snapToGrid w:val="0"/>
              <w:ind w:firstLine="480" w:firstLineChars="200"/>
              <w:rPr>
                <w:bCs/>
                <w:sz w:val="24"/>
              </w:rPr>
            </w:pPr>
            <w:r>
              <w:rPr>
                <w:sz w:val="24"/>
              </w:rPr>
              <w:t>1、</w:t>
            </w:r>
            <w:r>
              <w:rPr>
                <w:bCs/>
                <w:sz w:val="24"/>
              </w:rPr>
              <w:t>采区：采用多排孔深层微差爆破法，减轻爆破噪声和振动的影响；合理安排爆破、机械开采时间（工作时段为8:00~12:00，14：00~18:00，每日8小时工作制，夜间禁止生产，爆破应集中在上午9:30~10:30的时间段），避开周边居民点的休息时间，尽量选用噪声低、振动小、能耗低的先进设备</w:t>
            </w:r>
            <w:r>
              <w:rPr>
                <w:rFonts w:hint="eastAsia"/>
                <w:bCs/>
                <w:sz w:val="24"/>
              </w:rPr>
              <w:t>；</w:t>
            </w:r>
          </w:p>
          <w:p>
            <w:pPr>
              <w:adjustRightInd w:val="0"/>
              <w:snapToGrid w:val="0"/>
              <w:ind w:firstLine="480" w:firstLineChars="200"/>
              <w:rPr>
                <w:sz w:val="24"/>
              </w:rPr>
            </w:pPr>
            <w:r>
              <w:rPr>
                <w:bCs/>
                <w:sz w:val="24"/>
              </w:rPr>
              <w:t>2、</w:t>
            </w:r>
            <w:r>
              <w:rPr>
                <w:rFonts w:hint="eastAsia"/>
                <w:bCs/>
                <w:sz w:val="24"/>
              </w:rPr>
              <w:t>加工区、空压机房</w:t>
            </w:r>
            <w:r>
              <w:rPr>
                <w:bCs/>
                <w:sz w:val="24"/>
              </w:rPr>
              <w:t>：</w:t>
            </w:r>
            <w:r>
              <w:rPr>
                <w:rFonts w:hint="eastAsia"/>
                <w:bCs/>
                <w:sz w:val="24"/>
              </w:rPr>
              <w:t>破碎、筛分、空压机等生产设备基础加装减振垫；破碎、筛分设备置于钢架厂房内，加工区厂房南侧整体悬挂10cm厚隔声屏障，实现局部厂房+隔声屏隔声；空压机房为砖混结构，实现建筑隔声</w:t>
            </w:r>
            <w:r>
              <w:rPr>
                <w:sz w:val="24"/>
              </w:rPr>
              <w:t>；</w:t>
            </w:r>
          </w:p>
          <w:p>
            <w:pPr>
              <w:adjustRightInd w:val="0"/>
              <w:snapToGrid w:val="0"/>
              <w:ind w:firstLine="480" w:firstLineChars="200"/>
              <w:rPr>
                <w:sz w:val="24"/>
              </w:rPr>
            </w:pPr>
            <w:r>
              <w:rPr>
                <w:sz w:val="24"/>
              </w:rPr>
              <w:t>3、运输道路：合理安排运输时间，加强运输车辆管理，禁止鸣笛，控制车速；加强运输道路的日常维护。</w:t>
            </w:r>
          </w:p>
        </w:tc>
        <w:tc>
          <w:tcPr>
            <w:tcW w:w="2216" w:type="dxa"/>
            <w:vAlign w:val="center"/>
          </w:tcPr>
          <w:p>
            <w:pPr>
              <w:adjustRightInd w:val="0"/>
              <w:snapToGrid w:val="0"/>
              <w:ind w:firstLine="480" w:firstLineChars="200"/>
              <w:rPr>
                <w:sz w:val="24"/>
                <w:highlight w:val="yellow"/>
              </w:rPr>
            </w:pPr>
            <w:r>
              <w:rPr>
                <w:sz w:val="24"/>
              </w:rPr>
              <w:t>厂界噪声满足《工业企业厂界环境噪声排放标准》(GB12348-2008)中2类功能区标准，昼间：60dB，夜间：50dB。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72" w:type="dxa"/>
            <w:vAlign w:val="center"/>
          </w:tcPr>
          <w:p>
            <w:pPr>
              <w:adjustRightInd w:val="0"/>
              <w:snapToGrid w:val="0"/>
              <w:jc w:val="center"/>
              <w:rPr>
                <w:sz w:val="24"/>
              </w:rPr>
            </w:pPr>
            <w:r>
              <w:rPr>
                <w:sz w:val="24"/>
              </w:rPr>
              <w:t>振动</w:t>
            </w:r>
          </w:p>
        </w:tc>
        <w:tc>
          <w:tcPr>
            <w:tcW w:w="3013" w:type="dxa"/>
            <w:vAlign w:val="center"/>
          </w:tcPr>
          <w:p>
            <w:pPr>
              <w:adjustRightInd w:val="0"/>
              <w:snapToGrid w:val="0"/>
              <w:ind w:firstLine="480" w:firstLineChars="200"/>
              <w:jc w:val="left"/>
              <w:rPr>
                <w:sz w:val="24"/>
              </w:rPr>
            </w:pPr>
            <w:r>
              <w:rPr>
                <w:sz w:val="24"/>
              </w:rPr>
              <w:t>/</w:t>
            </w:r>
          </w:p>
        </w:tc>
        <w:tc>
          <w:tcPr>
            <w:tcW w:w="2029" w:type="dxa"/>
            <w:vAlign w:val="center"/>
          </w:tcPr>
          <w:p>
            <w:pPr>
              <w:adjustRightInd w:val="0"/>
              <w:snapToGrid w:val="0"/>
              <w:ind w:firstLine="480" w:firstLineChars="200"/>
              <w:jc w:val="left"/>
              <w:rPr>
                <w:sz w:val="24"/>
              </w:rPr>
            </w:pPr>
            <w:r>
              <w:rPr>
                <w:sz w:val="24"/>
              </w:rPr>
              <w:t>/</w:t>
            </w:r>
          </w:p>
        </w:tc>
        <w:tc>
          <w:tcPr>
            <w:tcW w:w="5308" w:type="dxa"/>
            <w:vAlign w:val="center"/>
          </w:tcPr>
          <w:p>
            <w:pPr>
              <w:adjustRightInd w:val="0"/>
              <w:snapToGrid w:val="0"/>
              <w:ind w:firstLine="480" w:firstLineChars="200"/>
              <w:jc w:val="left"/>
              <w:rPr>
                <w:sz w:val="24"/>
              </w:rPr>
            </w:pPr>
            <w:r>
              <w:rPr>
                <w:sz w:val="24"/>
              </w:rPr>
              <w:t>/</w:t>
            </w:r>
          </w:p>
        </w:tc>
        <w:tc>
          <w:tcPr>
            <w:tcW w:w="2216" w:type="dxa"/>
            <w:vAlign w:val="center"/>
          </w:tcPr>
          <w:p>
            <w:pPr>
              <w:adjustRightInd w:val="0"/>
              <w:snapToGrid w:val="0"/>
              <w:ind w:firstLine="480" w:firstLineChars="200"/>
              <w:jc w:val="left"/>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72" w:type="dxa"/>
            <w:vAlign w:val="center"/>
          </w:tcPr>
          <w:p>
            <w:pPr>
              <w:adjustRightInd w:val="0"/>
              <w:snapToGrid w:val="0"/>
              <w:jc w:val="center"/>
              <w:rPr>
                <w:sz w:val="24"/>
              </w:rPr>
            </w:pPr>
            <w:r>
              <w:rPr>
                <w:sz w:val="24"/>
              </w:rPr>
              <w:t>大气环境</w:t>
            </w:r>
          </w:p>
        </w:tc>
        <w:tc>
          <w:tcPr>
            <w:tcW w:w="3013" w:type="dxa"/>
            <w:vAlign w:val="center"/>
          </w:tcPr>
          <w:p>
            <w:pPr>
              <w:adjustRightInd w:val="0"/>
              <w:snapToGrid w:val="0"/>
              <w:ind w:firstLine="480" w:firstLineChars="200"/>
              <w:rPr>
                <w:sz w:val="24"/>
              </w:rPr>
            </w:pPr>
            <w:r>
              <w:rPr>
                <w:sz w:val="24"/>
              </w:rPr>
              <w:t>对施工区定期洒水；运输车辆的车斗采用篷布遮盖；土石方开挖和调运环节避免在大风季节施工；土石方开挖后及时回填并压实；</w:t>
            </w:r>
            <w:r>
              <w:rPr>
                <w:color w:val="0000FF"/>
                <w:sz w:val="24"/>
              </w:rPr>
              <w:t>车辆出场需冲洗，避免带泥上路。</w:t>
            </w:r>
            <w:r>
              <w:rPr>
                <w:rFonts w:hint="eastAsia"/>
                <w:color w:val="0000FF"/>
                <w:sz w:val="24"/>
              </w:rPr>
              <w:t>原项目厂区内的露天堆料区应立即采用帆布（防尘网）苫盖，并尽快清理外卖，且需严禁再次库外堆料。</w:t>
            </w:r>
          </w:p>
        </w:tc>
        <w:tc>
          <w:tcPr>
            <w:tcW w:w="2029" w:type="dxa"/>
            <w:vAlign w:val="center"/>
          </w:tcPr>
          <w:p>
            <w:pPr>
              <w:adjustRightInd w:val="0"/>
              <w:snapToGrid w:val="0"/>
              <w:ind w:firstLine="480" w:firstLineChars="200"/>
              <w:rPr>
                <w:sz w:val="24"/>
              </w:rPr>
            </w:pPr>
            <w:r>
              <w:rPr>
                <w:color w:val="0000FF"/>
                <w:sz w:val="24"/>
              </w:rPr>
              <w:t>满足《重庆市大气污染物综合排放标准》（DB</w:t>
            </w:r>
            <w:r>
              <w:rPr>
                <w:rFonts w:hint="eastAsia"/>
                <w:color w:val="0000FF"/>
                <w:sz w:val="24"/>
              </w:rPr>
              <w:t xml:space="preserve"> </w:t>
            </w:r>
            <w:r>
              <w:rPr>
                <w:color w:val="0000FF"/>
                <w:sz w:val="24"/>
              </w:rPr>
              <w:t>50/418-2016）中颗粒物其他区域排放标准限值</w:t>
            </w:r>
          </w:p>
        </w:tc>
        <w:tc>
          <w:tcPr>
            <w:tcW w:w="5308" w:type="dxa"/>
            <w:vAlign w:val="center"/>
          </w:tcPr>
          <w:p>
            <w:pPr>
              <w:adjustRightInd w:val="0"/>
              <w:snapToGrid w:val="0"/>
              <w:ind w:firstLine="480" w:firstLineChars="200"/>
              <w:rPr>
                <w:sz w:val="24"/>
              </w:rPr>
            </w:pPr>
            <w:r>
              <w:rPr>
                <w:sz w:val="24"/>
              </w:rPr>
              <w:t>1、采区：开采期间使用高压微雾装置对开采区进行实时洒水抑尘；表土植被采用随剥随除的方式，表土采用即挖即运的方式；</w:t>
            </w:r>
            <w:r>
              <w:rPr>
                <w:bCs/>
                <w:sz w:val="24"/>
              </w:rPr>
              <w:t>采用多排孔微差松动爆破法，并控制单孔炸药量、炸药总用量；在</w:t>
            </w:r>
            <w:r>
              <w:rPr>
                <w:bCs/>
                <w:color w:val="0000FF"/>
                <w:sz w:val="24"/>
              </w:rPr>
              <w:t>爆破前采取湿棕垫或稻草覆盖</w:t>
            </w:r>
            <w:r>
              <w:rPr>
                <w:bCs/>
                <w:sz w:val="24"/>
              </w:rPr>
              <w:t>，爆破后及时使用高压微雾装置进行喷雾洒水降尘；钻孔设备采用潜孔钻机，在潜孔钻机上配备捕尘装置，</w:t>
            </w:r>
            <w:r>
              <w:rPr>
                <w:bCs/>
                <w:color w:val="0000FF"/>
                <w:sz w:val="24"/>
              </w:rPr>
              <w:t>并进行湿式凿岩</w:t>
            </w:r>
            <w:r>
              <w:rPr>
                <w:color w:val="0000FF"/>
                <w:sz w:val="24"/>
              </w:rPr>
              <w:t>；</w:t>
            </w:r>
            <w:r>
              <w:rPr>
                <w:rFonts w:hint="eastAsia"/>
                <w:color w:val="0000FF"/>
                <w:sz w:val="24"/>
              </w:rPr>
              <w:t>短期不开采的区域，也需使用帆布（防尘网）苫盖；</w:t>
            </w:r>
          </w:p>
          <w:p>
            <w:pPr>
              <w:adjustRightInd w:val="0"/>
              <w:snapToGrid w:val="0"/>
              <w:ind w:firstLine="480" w:firstLineChars="200"/>
              <w:rPr>
                <w:bCs/>
                <w:color w:val="0000FF"/>
                <w:sz w:val="24"/>
              </w:rPr>
            </w:pPr>
            <w:r>
              <w:rPr>
                <w:sz w:val="24"/>
              </w:rPr>
              <w:t>2、</w:t>
            </w:r>
            <w:r>
              <w:rPr>
                <w:rFonts w:hint="eastAsia"/>
                <w:sz w:val="24"/>
              </w:rPr>
              <w:t>加工区：</w:t>
            </w:r>
            <w:r>
              <w:rPr>
                <w:color w:val="0000FF"/>
                <w:sz w:val="24"/>
              </w:rPr>
              <w:t>对</w:t>
            </w:r>
            <w:r>
              <w:rPr>
                <w:rFonts w:hint="eastAsia"/>
                <w:color w:val="0000FF"/>
                <w:sz w:val="24"/>
              </w:rPr>
              <w:t>1</w:t>
            </w:r>
            <w:r>
              <w:rPr>
                <w:color w:val="0000FF"/>
                <w:sz w:val="24"/>
              </w:rPr>
              <w:t>台颚式破碎机、</w:t>
            </w:r>
            <w:r>
              <w:rPr>
                <w:bCs/>
                <w:color w:val="0000FF"/>
                <w:sz w:val="24"/>
              </w:rPr>
              <w:t>1台</w:t>
            </w:r>
            <w:r>
              <w:rPr>
                <w:rFonts w:hint="eastAsia"/>
                <w:color w:val="0000FF"/>
                <w:sz w:val="24"/>
              </w:rPr>
              <w:t>反击式</w:t>
            </w:r>
            <w:r>
              <w:rPr>
                <w:color w:val="0000FF"/>
                <w:sz w:val="24"/>
              </w:rPr>
              <w:t>破碎机</w:t>
            </w:r>
            <w:r>
              <w:rPr>
                <w:rFonts w:hint="eastAsia"/>
                <w:bCs/>
                <w:color w:val="0000FF"/>
                <w:sz w:val="24"/>
              </w:rPr>
              <w:t>、</w:t>
            </w:r>
            <w:r>
              <w:rPr>
                <w:rFonts w:hint="eastAsia"/>
                <w:color w:val="0000FF"/>
                <w:sz w:val="24"/>
              </w:rPr>
              <w:t>1</w:t>
            </w:r>
            <w:r>
              <w:rPr>
                <w:color w:val="0000FF"/>
                <w:sz w:val="24"/>
              </w:rPr>
              <w:t>台</w:t>
            </w:r>
            <w:r>
              <w:rPr>
                <w:rFonts w:hint="eastAsia"/>
                <w:color w:val="0000FF"/>
                <w:sz w:val="24"/>
              </w:rPr>
              <w:t>振动筛</w:t>
            </w:r>
            <w:r>
              <w:rPr>
                <w:color w:val="0000FF"/>
                <w:sz w:val="24"/>
              </w:rPr>
              <w:t>分别采用单钢板箱式密闭，</w:t>
            </w:r>
            <w:r>
              <w:rPr>
                <w:rFonts w:hint="eastAsia"/>
                <w:color w:val="0000FF"/>
                <w:sz w:val="24"/>
              </w:rPr>
              <w:t>具体为：一级破碎设备（1</w:t>
            </w:r>
            <w:r>
              <w:rPr>
                <w:color w:val="0000FF"/>
                <w:sz w:val="24"/>
              </w:rPr>
              <w:t>台颚式破碎机</w:t>
            </w:r>
            <w:r>
              <w:rPr>
                <w:rFonts w:hint="eastAsia"/>
                <w:color w:val="0000FF"/>
                <w:sz w:val="24"/>
              </w:rPr>
              <w:t>）下方出料口传送带前端，二级破碎、筛分设备（</w:t>
            </w:r>
            <w:r>
              <w:rPr>
                <w:rFonts w:hint="eastAsia"/>
                <w:bCs/>
                <w:color w:val="0000FF"/>
                <w:sz w:val="24"/>
              </w:rPr>
              <w:t>1</w:t>
            </w:r>
            <w:r>
              <w:rPr>
                <w:bCs/>
                <w:color w:val="0000FF"/>
                <w:sz w:val="24"/>
              </w:rPr>
              <w:t>台</w:t>
            </w:r>
            <w:r>
              <w:rPr>
                <w:rFonts w:hint="eastAsia"/>
                <w:color w:val="0000FF"/>
                <w:sz w:val="24"/>
              </w:rPr>
              <w:t>反击式</w:t>
            </w:r>
            <w:r>
              <w:rPr>
                <w:color w:val="0000FF"/>
                <w:sz w:val="24"/>
              </w:rPr>
              <w:t>破碎机</w:t>
            </w:r>
            <w:r>
              <w:rPr>
                <w:rFonts w:hint="eastAsia"/>
                <w:color w:val="0000FF"/>
                <w:sz w:val="24"/>
              </w:rPr>
              <w:t>、</w:t>
            </w:r>
            <w:r>
              <w:rPr>
                <w:rFonts w:hint="eastAsia"/>
                <w:bCs/>
                <w:color w:val="0000FF"/>
                <w:sz w:val="24"/>
              </w:rPr>
              <w:t>1</w:t>
            </w:r>
            <w:r>
              <w:rPr>
                <w:bCs/>
                <w:color w:val="0000FF"/>
                <w:sz w:val="24"/>
              </w:rPr>
              <w:t>台</w:t>
            </w:r>
            <w:r>
              <w:rPr>
                <w:rFonts w:hint="eastAsia"/>
                <w:bCs/>
                <w:color w:val="0000FF"/>
                <w:sz w:val="24"/>
              </w:rPr>
              <w:t>振动筛</w:t>
            </w:r>
            <w:r>
              <w:rPr>
                <w:rFonts w:hint="eastAsia"/>
                <w:color w:val="0000FF"/>
                <w:sz w:val="24"/>
              </w:rPr>
              <w:t>）上方落料传送带末端、下方出料口传送带前端与设备外壳支撑面衔接处均进行单钢板箱式封闭，仅留抽风口，并采用密闭管道衔接抽风口，并使用1台5</w:t>
            </w:r>
            <w:r>
              <w:rPr>
                <w:color w:val="0000FF"/>
                <w:sz w:val="24"/>
              </w:rPr>
              <w:t>000</w:t>
            </w:r>
            <w:r>
              <w:rPr>
                <w:rFonts w:hint="eastAsia"/>
                <w:color w:val="0000FF"/>
                <w:sz w:val="24"/>
              </w:rPr>
              <w:t>0Nm</w:t>
            </w:r>
            <w:r>
              <w:rPr>
                <w:rFonts w:hint="eastAsia"/>
                <w:color w:val="0000FF"/>
                <w:sz w:val="24"/>
                <w:vertAlign w:val="superscript"/>
              </w:rPr>
              <w:t>3</w:t>
            </w:r>
            <w:r>
              <w:rPr>
                <w:rFonts w:hint="eastAsia"/>
                <w:color w:val="0000FF"/>
                <w:sz w:val="24"/>
              </w:rPr>
              <w:t>/h风量引风机将</w:t>
            </w:r>
            <w:r>
              <w:rPr>
                <w:color w:val="0000FF"/>
                <w:sz w:val="24"/>
              </w:rPr>
              <w:t>含尘气体集中收集至1台脉冲布袋除尘器进行净化处理后，</w:t>
            </w:r>
            <w:r>
              <w:rPr>
                <w:rFonts w:hint="eastAsia"/>
                <w:color w:val="0000FF"/>
                <w:sz w:val="24"/>
              </w:rPr>
              <w:t>再</w:t>
            </w:r>
            <w:r>
              <w:rPr>
                <w:color w:val="0000FF"/>
                <w:sz w:val="24"/>
              </w:rPr>
              <w:t>通过15m高</w:t>
            </w:r>
            <w:r>
              <w:rPr>
                <w:rFonts w:hint="eastAsia"/>
                <w:color w:val="0000FF"/>
                <w:sz w:val="24"/>
              </w:rPr>
              <w:t>、内径1.0m的1#</w:t>
            </w:r>
            <w:r>
              <w:rPr>
                <w:color w:val="0000FF"/>
                <w:sz w:val="24"/>
              </w:rPr>
              <w:t>排气筒达标排放</w:t>
            </w:r>
            <w:r>
              <w:rPr>
                <w:rFonts w:hint="eastAsia"/>
                <w:bCs/>
                <w:color w:val="0000FF"/>
                <w:sz w:val="24"/>
              </w:rPr>
              <w:t>。</w:t>
            </w:r>
          </w:p>
          <w:p>
            <w:pPr>
              <w:adjustRightInd w:val="0"/>
              <w:snapToGrid w:val="0"/>
              <w:ind w:firstLine="480" w:firstLineChars="200"/>
              <w:rPr>
                <w:bCs/>
                <w:sz w:val="24"/>
              </w:rPr>
            </w:pPr>
            <w:r>
              <w:rPr>
                <w:rFonts w:hint="eastAsia"/>
                <w:bCs/>
                <w:color w:val="0000FF"/>
                <w:sz w:val="24"/>
              </w:rPr>
              <w:t>加工区整体搭建为彩钢密闭厂房，仅留运料进出口，除物料进出时段外，仓门关闭；破碎站卸料口三面围挡，设置为半封闭，其他区域仅留检修通道，生产期间均关闭；</w:t>
            </w:r>
            <w:r>
              <w:rPr>
                <w:rFonts w:hint="eastAsia"/>
                <w:bCs/>
                <w:sz w:val="24"/>
              </w:rPr>
              <w:t>破碎站一破设备进料口、主要生产设备周边、仓库内堆料场下料区（装车点）等区域设置喷淋（雾）装置喷雾抑尘。</w:t>
            </w:r>
          </w:p>
          <w:p>
            <w:pPr>
              <w:adjustRightInd w:val="0"/>
              <w:snapToGrid w:val="0"/>
              <w:ind w:firstLine="480" w:firstLineChars="200"/>
              <w:rPr>
                <w:sz w:val="24"/>
              </w:rPr>
            </w:pPr>
            <w:r>
              <w:rPr>
                <w:sz w:val="24"/>
              </w:rPr>
              <w:t>3、运输道路：使用洒水车定期对场</w:t>
            </w:r>
            <w:r>
              <w:rPr>
                <w:rFonts w:hint="eastAsia"/>
                <w:sz w:val="24"/>
              </w:rPr>
              <w:t>内</w:t>
            </w:r>
            <w:r>
              <w:rPr>
                <w:sz w:val="24"/>
              </w:rPr>
              <w:t>外运输道路进行洒水降尘；设置高压水枪对进出矿区的运输车辆进行冲洗；安排专人维护矿区运输道路的清洁，减少粉尘的沉积量；加强运输道路的维护保养，确保路况良好；加强运输车辆的管理，严禁超速超载；</w:t>
            </w:r>
            <w:r>
              <w:rPr>
                <w:rFonts w:hint="eastAsia"/>
                <w:sz w:val="24"/>
              </w:rPr>
              <w:t>对矿区范围外的场内运输道路进行硬化；</w:t>
            </w:r>
          </w:p>
          <w:p>
            <w:pPr>
              <w:adjustRightInd w:val="0"/>
              <w:snapToGrid w:val="0"/>
              <w:ind w:firstLine="480" w:firstLineChars="200"/>
              <w:rPr>
                <w:sz w:val="24"/>
                <w:highlight w:val="yellow"/>
              </w:rPr>
            </w:pPr>
            <w:r>
              <w:rPr>
                <w:sz w:val="24"/>
              </w:rPr>
              <w:t>4、</w:t>
            </w:r>
            <w:r>
              <w:rPr>
                <w:rFonts w:hint="eastAsia"/>
                <w:sz w:val="24"/>
              </w:rPr>
              <w:t>排土场、弃渣场：表层剥离物在场内堆放后，进行压实处理，采用洒水车定期洒水；长期（如3个月以上）不使用时，对表层使用帆布简易覆盖或撒播草籽临时复绿</w:t>
            </w:r>
            <w:r>
              <w:rPr>
                <w:sz w:val="24"/>
              </w:rPr>
              <w:t>。</w:t>
            </w:r>
          </w:p>
        </w:tc>
        <w:tc>
          <w:tcPr>
            <w:tcW w:w="2216" w:type="dxa"/>
            <w:vAlign w:val="center"/>
          </w:tcPr>
          <w:p>
            <w:pPr>
              <w:adjustRightInd w:val="0"/>
              <w:snapToGrid w:val="0"/>
              <w:ind w:firstLine="480" w:firstLineChars="200"/>
              <w:rPr>
                <w:sz w:val="24"/>
                <w:highlight w:val="yellow"/>
              </w:rPr>
            </w:pPr>
            <w:r>
              <w:rPr>
                <w:rFonts w:hint="eastAsia"/>
                <w:color w:val="0000FF"/>
                <w:sz w:val="24"/>
              </w:rPr>
              <w:t>厂区</w:t>
            </w:r>
            <w:r>
              <w:rPr>
                <w:color w:val="0000FF"/>
                <w:sz w:val="24"/>
              </w:rPr>
              <w:t>满足《重庆市大气污染物综合排放标准》（DB</w:t>
            </w:r>
            <w:r>
              <w:rPr>
                <w:rFonts w:hint="eastAsia"/>
                <w:color w:val="0000FF"/>
                <w:sz w:val="24"/>
              </w:rPr>
              <w:t xml:space="preserve"> </w:t>
            </w:r>
            <w:r>
              <w:rPr>
                <w:color w:val="0000FF"/>
                <w:sz w:val="24"/>
              </w:rPr>
              <w:t>50/418-2016）中颗粒物其他区域排放标准限值。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72" w:type="dxa"/>
            <w:vAlign w:val="center"/>
          </w:tcPr>
          <w:p>
            <w:pPr>
              <w:adjustRightInd w:val="0"/>
              <w:snapToGrid w:val="0"/>
              <w:jc w:val="center"/>
              <w:rPr>
                <w:sz w:val="24"/>
              </w:rPr>
            </w:pPr>
            <w:r>
              <w:rPr>
                <w:sz w:val="24"/>
              </w:rPr>
              <w:t>固体废物</w:t>
            </w:r>
          </w:p>
        </w:tc>
        <w:tc>
          <w:tcPr>
            <w:tcW w:w="3013" w:type="dxa"/>
            <w:vAlign w:val="center"/>
          </w:tcPr>
          <w:p>
            <w:pPr>
              <w:adjustRightInd w:val="0"/>
              <w:snapToGrid w:val="0"/>
              <w:ind w:firstLine="480" w:firstLineChars="200"/>
              <w:rPr>
                <w:sz w:val="24"/>
              </w:rPr>
            </w:pPr>
            <w:r>
              <w:rPr>
                <w:sz w:val="24"/>
              </w:rPr>
              <w:t>1、</w:t>
            </w:r>
            <w:r>
              <w:rPr>
                <w:rFonts w:hint="eastAsia"/>
                <w:sz w:val="24"/>
              </w:rPr>
              <w:t>剥离表土全部运至恢复治理区裸岩区域作为绿化覆土；剥离或清理的废石</w:t>
            </w:r>
            <w:r>
              <w:rPr>
                <w:rFonts w:hint="eastAsia"/>
                <w:color w:val="0000FF"/>
                <w:sz w:val="24"/>
              </w:rPr>
              <w:t>可直接原矿外售作堡坎块石，或码垛暂存于工业广场仓库内，待运营期加工成建筑砂碎石后外售</w:t>
            </w:r>
            <w:r>
              <w:rPr>
                <w:sz w:val="24"/>
              </w:rPr>
              <w:t>，不能在厂区内乱堆乱弃；</w:t>
            </w:r>
          </w:p>
          <w:p>
            <w:pPr>
              <w:adjustRightInd w:val="0"/>
              <w:snapToGrid w:val="0"/>
              <w:ind w:firstLine="480" w:firstLineChars="200"/>
              <w:rPr>
                <w:sz w:val="24"/>
              </w:rPr>
            </w:pPr>
            <w:r>
              <w:rPr>
                <w:sz w:val="24"/>
              </w:rPr>
              <w:t>2、</w:t>
            </w:r>
            <w:r>
              <w:rPr>
                <w:bCs/>
                <w:spacing w:val="10"/>
                <w:sz w:val="24"/>
              </w:rPr>
              <w:t>施工人员生活垃圾</w:t>
            </w:r>
            <w:r>
              <w:rPr>
                <w:sz w:val="24"/>
              </w:rPr>
              <w:t>在施工区集中收集后交由当地环卫部门统一处置。</w:t>
            </w:r>
          </w:p>
          <w:p>
            <w:pPr>
              <w:adjustRightInd w:val="0"/>
              <w:snapToGrid w:val="0"/>
              <w:ind w:firstLine="480" w:firstLineChars="200"/>
              <w:rPr>
                <w:sz w:val="24"/>
                <w:highlight w:val="yellow"/>
              </w:rPr>
            </w:pPr>
            <w:r>
              <w:rPr>
                <w:rFonts w:hint="eastAsia"/>
                <w:sz w:val="24"/>
              </w:rPr>
              <w:t>3、拆除淘汰的废旧设备、废彩钢板可全部外售至物资回收公司。</w:t>
            </w:r>
          </w:p>
        </w:tc>
        <w:tc>
          <w:tcPr>
            <w:tcW w:w="2029" w:type="dxa"/>
            <w:vAlign w:val="center"/>
          </w:tcPr>
          <w:p>
            <w:pPr>
              <w:adjustRightInd w:val="0"/>
              <w:snapToGrid w:val="0"/>
              <w:ind w:firstLine="480" w:firstLineChars="200"/>
              <w:rPr>
                <w:sz w:val="24"/>
              </w:rPr>
            </w:pPr>
            <w:r>
              <w:rPr>
                <w:sz w:val="24"/>
              </w:rPr>
              <w:t>1、</w:t>
            </w:r>
            <w:r>
              <w:rPr>
                <w:rFonts w:hint="eastAsia"/>
                <w:bCs/>
                <w:spacing w:val="10"/>
                <w:sz w:val="24"/>
              </w:rPr>
              <w:t>表土</w:t>
            </w:r>
            <w:r>
              <w:rPr>
                <w:bCs/>
                <w:sz w:val="24"/>
              </w:rPr>
              <w:t>合理堆存或复垦，</w:t>
            </w:r>
            <w:r>
              <w:rPr>
                <w:rFonts w:hint="eastAsia"/>
                <w:bCs/>
                <w:spacing w:val="10"/>
                <w:sz w:val="24"/>
              </w:rPr>
              <w:t>废石外售</w:t>
            </w:r>
            <w:r>
              <w:rPr>
                <w:rFonts w:hint="eastAsia"/>
                <w:bCs/>
                <w:sz w:val="24"/>
              </w:rPr>
              <w:t>，</w:t>
            </w:r>
            <w:r>
              <w:rPr>
                <w:bCs/>
                <w:sz w:val="24"/>
              </w:rPr>
              <w:t>不得在厂区内乱堆乱弃；</w:t>
            </w:r>
          </w:p>
          <w:p>
            <w:pPr>
              <w:adjustRightInd w:val="0"/>
              <w:snapToGrid w:val="0"/>
              <w:ind w:firstLine="480" w:firstLineChars="200"/>
              <w:rPr>
                <w:sz w:val="24"/>
              </w:rPr>
            </w:pPr>
            <w:r>
              <w:rPr>
                <w:sz w:val="24"/>
              </w:rPr>
              <w:t>2、</w:t>
            </w:r>
            <w:r>
              <w:rPr>
                <w:rFonts w:hint="eastAsia"/>
                <w:sz w:val="24"/>
              </w:rPr>
              <w:t>设置</w:t>
            </w:r>
            <w:r>
              <w:rPr>
                <w:sz w:val="24"/>
              </w:rPr>
              <w:t>垃圾桶。</w:t>
            </w:r>
          </w:p>
        </w:tc>
        <w:tc>
          <w:tcPr>
            <w:tcW w:w="5308" w:type="dxa"/>
            <w:vAlign w:val="center"/>
          </w:tcPr>
          <w:p>
            <w:pPr>
              <w:adjustRightInd w:val="0"/>
              <w:snapToGrid w:val="0"/>
              <w:ind w:firstLine="480" w:firstLineChars="200"/>
              <w:rPr>
                <w:sz w:val="24"/>
              </w:rPr>
            </w:pPr>
            <w:r>
              <w:rPr>
                <w:sz w:val="24"/>
              </w:rPr>
              <w:t>1、</w:t>
            </w:r>
            <w:r>
              <w:rPr>
                <w:rFonts w:hint="eastAsia"/>
                <w:sz w:val="24"/>
              </w:rPr>
              <w:t>采区采用“边开采、边复垦”的方式进行开采，</w:t>
            </w:r>
            <w:r>
              <w:rPr>
                <w:rFonts w:hint="eastAsia"/>
                <w:color w:val="0000FF"/>
                <w:sz w:val="24"/>
              </w:rPr>
              <w:t>第1台阶剥离</w:t>
            </w:r>
            <w:r>
              <w:rPr>
                <w:color w:val="0000FF"/>
                <w:sz w:val="24"/>
              </w:rPr>
              <w:t>表土</w:t>
            </w:r>
            <w:r>
              <w:rPr>
                <w:rFonts w:hint="eastAsia"/>
                <w:color w:val="0000FF"/>
                <w:sz w:val="24"/>
              </w:rPr>
              <w:t>层中耕作层、心土层分开剥离后，</w:t>
            </w:r>
            <w:r>
              <w:rPr>
                <w:color w:val="0000FF"/>
                <w:sz w:val="24"/>
              </w:rPr>
              <w:t>由车辆运至排土场</w:t>
            </w:r>
            <w:r>
              <w:rPr>
                <w:rFonts w:hint="eastAsia"/>
                <w:color w:val="0000FF"/>
                <w:sz w:val="24"/>
              </w:rPr>
              <w:t>内</w:t>
            </w:r>
            <w:r>
              <w:rPr>
                <w:color w:val="0000FF"/>
                <w:sz w:val="24"/>
              </w:rPr>
              <w:t>临时分区堆存；</w:t>
            </w:r>
            <w:r>
              <w:rPr>
                <w:rFonts w:hint="eastAsia"/>
                <w:color w:val="0000FF"/>
                <w:sz w:val="24"/>
              </w:rPr>
              <w:t>第1台阶剥离</w:t>
            </w:r>
            <w:r>
              <w:rPr>
                <w:color w:val="0000FF"/>
                <w:sz w:val="24"/>
              </w:rPr>
              <w:t>风化废石由车辆运至弃渣场</w:t>
            </w:r>
            <w:r>
              <w:rPr>
                <w:rFonts w:hint="eastAsia"/>
                <w:color w:val="0000FF"/>
                <w:sz w:val="24"/>
              </w:rPr>
              <w:t>内</w:t>
            </w:r>
            <w:r>
              <w:rPr>
                <w:color w:val="0000FF"/>
                <w:sz w:val="24"/>
              </w:rPr>
              <w:t>临时堆存</w:t>
            </w:r>
            <w:r>
              <w:rPr>
                <w:rFonts w:hint="eastAsia"/>
                <w:color w:val="0000FF"/>
                <w:sz w:val="24"/>
              </w:rPr>
              <w:t>。第2~5台阶剥离</w:t>
            </w:r>
            <w:r>
              <w:rPr>
                <w:color w:val="0000FF"/>
                <w:sz w:val="24"/>
              </w:rPr>
              <w:t>表土</w:t>
            </w:r>
            <w:r>
              <w:rPr>
                <w:rFonts w:hint="eastAsia"/>
                <w:color w:val="0000FF"/>
                <w:sz w:val="24"/>
              </w:rPr>
              <w:t>层（耕作层、心土层）</w:t>
            </w:r>
            <w:r>
              <w:rPr>
                <w:color w:val="0000FF"/>
                <w:sz w:val="24"/>
              </w:rPr>
              <w:t>、风化废石</w:t>
            </w:r>
            <w:r>
              <w:rPr>
                <w:rFonts w:hint="eastAsia"/>
                <w:color w:val="0000FF"/>
                <w:sz w:val="24"/>
              </w:rPr>
              <w:t>均优先运至上一台阶绿化覆土（由下至上分别摊铺风化废石、心土层、耕作层），余方再分别</w:t>
            </w:r>
            <w:r>
              <w:rPr>
                <w:color w:val="0000FF"/>
                <w:sz w:val="24"/>
              </w:rPr>
              <w:t>运至</w:t>
            </w:r>
            <w:r>
              <w:rPr>
                <w:rFonts w:hint="eastAsia"/>
                <w:color w:val="0000FF"/>
                <w:sz w:val="24"/>
              </w:rPr>
              <w:t>排土场、弃渣场内</w:t>
            </w:r>
            <w:r>
              <w:rPr>
                <w:color w:val="0000FF"/>
                <w:sz w:val="24"/>
              </w:rPr>
              <w:t>临时堆存</w:t>
            </w:r>
            <w:r>
              <w:rPr>
                <w:rFonts w:hint="eastAsia"/>
                <w:color w:val="0000FF"/>
                <w:sz w:val="24"/>
              </w:rPr>
              <w:t>，</w:t>
            </w:r>
            <w:r>
              <w:rPr>
                <w:rFonts w:hint="eastAsia"/>
                <w:sz w:val="24"/>
              </w:rPr>
              <w:t>闭矿期再用于全厂绿化复垦</w:t>
            </w:r>
            <w:r>
              <w:rPr>
                <w:sz w:val="24"/>
              </w:rPr>
              <w:t>；</w:t>
            </w:r>
          </w:p>
          <w:p>
            <w:pPr>
              <w:adjustRightInd w:val="0"/>
              <w:snapToGrid w:val="0"/>
              <w:ind w:firstLine="480" w:firstLineChars="200"/>
              <w:rPr>
                <w:sz w:val="24"/>
              </w:rPr>
            </w:pPr>
            <w:r>
              <w:rPr>
                <w:sz w:val="24"/>
              </w:rPr>
              <w:t>2、</w:t>
            </w:r>
            <w:r>
              <w:rPr>
                <w:color w:val="0000FF"/>
                <w:sz w:val="24"/>
              </w:rPr>
              <w:t>布袋除尘器</w:t>
            </w:r>
            <w:r>
              <w:rPr>
                <w:rFonts w:hint="eastAsia"/>
                <w:color w:val="0000FF"/>
                <w:sz w:val="24"/>
              </w:rPr>
              <w:t>及加工区室内清扫获取的</w:t>
            </w:r>
            <w:r>
              <w:rPr>
                <w:sz w:val="24"/>
              </w:rPr>
              <w:t>灰渣</w:t>
            </w:r>
            <w:r>
              <w:rPr>
                <w:rFonts w:hint="eastAsia"/>
                <w:sz w:val="24"/>
              </w:rPr>
              <w:t>均</w:t>
            </w:r>
            <w:r>
              <w:rPr>
                <w:color w:val="0000FF"/>
                <w:sz w:val="24"/>
              </w:rPr>
              <w:t>掺入粗砂作产品外卖</w:t>
            </w:r>
            <w:r>
              <w:rPr>
                <w:rFonts w:hint="eastAsia"/>
                <w:sz w:val="24"/>
              </w:rPr>
              <w:t>。</w:t>
            </w:r>
          </w:p>
          <w:p>
            <w:pPr>
              <w:adjustRightInd w:val="0"/>
              <w:snapToGrid w:val="0"/>
              <w:ind w:firstLine="480" w:firstLineChars="200"/>
              <w:rPr>
                <w:sz w:val="24"/>
              </w:rPr>
            </w:pPr>
            <w:r>
              <w:rPr>
                <w:rFonts w:hint="eastAsia"/>
                <w:sz w:val="24"/>
              </w:rPr>
              <w:t>3、</w:t>
            </w:r>
            <w:r>
              <w:rPr>
                <w:sz w:val="24"/>
              </w:rPr>
              <w:t>在</w:t>
            </w:r>
            <w:r>
              <w:rPr>
                <w:rFonts w:hint="eastAsia"/>
                <w:sz w:val="24"/>
              </w:rPr>
              <w:t>办公楼</w:t>
            </w:r>
            <w:r>
              <w:rPr>
                <w:sz w:val="24"/>
              </w:rPr>
              <w:t>设置若干垃圾桶对员工生活垃圾进行集中收集，定期交由当地的环卫部门统一处置；</w:t>
            </w:r>
          </w:p>
          <w:p>
            <w:pPr>
              <w:adjustRightInd w:val="0"/>
              <w:snapToGrid w:val="0"/>
              <w:ind w:firstLine="480" w:firstLineChars="200"/>
              <w:rPr>
                <w:sz w:val="24"/>
              </w:rPr>
            </w:pPr>
            <w:r>
              <w:rPr>
                <w:sz w:val="24"/>
              </w:rPr>
              <w:t>4、</w:t>
            </w:r>
            <w:r>
              <w:rPr>
                <w:rFonts w:hint="eastAsia"/>
                <w:bCs/>
                <w:spacing w:val="10"/>
                <w:sz w:val="24"/>
              </w:rPr>
              <w:t>废矿物油、含油冷凝液、</w:t>
            </w:r>
            <w:r>
              <w:rPr>
                <w:bCs/>
                <w:spacing w:val="10"/>
                <w:sz w:val="24"/>
              </w:rPr>
              <w:t>废弃沾染油污手套等劳保用品及抹布经收集桶进行集中收集于危废贮存点后，</w:t>
            </w:r>
            <w:r>
              <w:rPr>
                <w:rFonts w:hint="eastAsia"/>
                <w:bCs/>
                <w:sz w:val="24"/>
              </w:rPr>
              <w:t>连带收集桶一起</w:t>
            </w:r>
            <w:r>
              <w:rPr>
                <w:bCs/>
                <w:spacing w:val="10"/>
                <w:sz w:val="24"/>
              </w:rPr>
              <w:t>定期交由有资质的单位妥善处置</w:t>
            </w:r>
            <w:r>
              <w:rPr>
                <w:sz w:val="24"/>
              </w:rPr>
              <w:t>。</w:t>
            </w:r>
          </w:p>
          <w:p>
            <w:pPr>
              <w:adjustRightInd w:val="0"/>
              <w:snapToGrid w:val="0"/>
              <w:ind w:firstLine="480" w:firstLineChars="200"/>
              <w:rPr>
                <w:sz w:val="24"/>
              </w:rPr>
            </w:pPr>
            <w:r>
              <w:rPr>
                <w:rFonts w:hint="eastAsia"/>
                <w:sz w:val="24"/>
              </w:rPr>
              <w:t>5、</w:t>
            </w:r>
            <w:r>
              <w:rPr>
                <w:sz w:val="24"/>
              </w:rPr>
              <w:t>雨水沉淀池</w:t>
            </w:r>
            <w:r>
              <w:rPr>
                <w:rFonts w:hint="eastAsia"/>
                <w:sz w:val="24"/>
              </w:rPr>
              <w:t>、沉砂凼</w:t>
            </w:r>
            <w:r>
              <w:rPr>
                <w:sz w:val="24"/>
              </w:rPr>
              <w:t>少量泥沙，定期清掏干化后于排土场暂存，闭矿期用于采空区回填</w:t>
            </w:r>
            <w:r>
              <w:rPr>
                <w:rFonts w:hint="eastAsia"/>
                <w:sz w:val="24"/>
              </w:rPr>
              <w:t>。</w:t>
            </w:r>
          </w:p>
        </w:tc>
        <w:tc>
          <w:tcPr>
            <w:tcW w:w="2216" w:type="dxa"/>
            <w:vAlign w:val="center"/>
          </w:tcPr>
          <w:p>
            <w:pPr>
              <w:adjustRightInd w:val="0"/>
              <w:snapToGrid w:val="0"/>
              <w:ind w:firstLine="480" w:firstLineChars="200"/>
              <w:rPr>
                <w:sz w:val="24"/>
                <w:highlight w:val="yellow"/>
              </w:rPr>
            </w:pPr>
            <w:r>
              <w:rPr>
                <w:rFonts w:hint="eastAsia"/>
                <w:sz w:val="24"/>
              </w:rPr>
              <w:t>一般工业</w:t>
            </w:r>
            <w:r>
              <w:rPr>
                <w:sz w:val="24"/>
              </w:rPr>
              <w:t>固废综合利用，合理处置</w:t>
            </w:r>
            <w:r>
              <w:rPr>
                <w:rFonts w:hint="eastAsia"/>
                <w:sz w:val="24"/>
              </w:rPr>
              <w:t>；危废妥善</w:t>
            </w:r>
            <w:r>
              <w:rPr>
                <w:bCs/>
                <w:sz w:val="24"/>
              </w:rPr>
              <w:t>暂存</w:t>
            </w:r>
            <w:r>
              <w:rPr>
                <w:rFonts w:hint="eastAsia"/>
                <w:sz w:val="24"/>
              </w:rPr>
              <w:t>，委外收运处置</w:t>
            </w: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72" w:type="dxa"/>
            <w:vAlign w:val="center"/>
          </w:tcPr>
          <w:p>
            <w:pPr>
              <w:adjustRightInd w:val="0"/>
              <w:snapToGrid w:val="0"/>
              <w:jc w:val="center"/>
              <w:rPr>
                <w:sz w:val="24"/>
              </w:rPr>
            </w:pPr>
            <w:r>
              <w:rPr>
                <w:sz w:val="24"/>
              </w:rPr>
              <w:t>电磁环境</w:t>
            </w:r>
          </w:p>
        </w:tc>
        <w:tc>
          <w:tcPr>
            <w:tcW w:w="3013" w:type="dxa"/>
            <w:vAlign w:val="center"/>
          </w:tcPr>
          <w:p>
            <w:pPr>
              <w:adjustRightInd w:val="0"/>
              <w:snapToGrid w:val="0"/>
              <w:ind w:firstLine="480" w:firstLineChars="200"/>
              <w:jc w:val="left"/>
              <w:rPr>
                <w:sz w:val="24"/>
              </w:rPr>
            </w:pPr>
            <w:r>
              <w:rPr>
                <w:sz w:val="24"/>
              </w:rPr>
              <w:t>/</w:t>
            </w:r>
          </w:p>
        </w:tc>
        <w:tc>
          <w:tcPr>
            <w:tcW w:w="2029" w:type="dxa"/>
            <w:vAlign w:val="center"/>
          </w:tcPr>
          <w:p>
            <w:pPr>
              <w:adjustRightInd w:val="0"/>
              <w:snapToGrid w:val="0"/>
              <w:ind w:firstLine="480" w:firstLineChars="200"/>
              <w:jc w:val="left"/>
              <w:rPr>
                <w:sz w:val="24"/>
              </w:rPr>
            </w:pPr>
            <w:r>
              <w:rPr>
                <w:sz w:val="24"/>
              </w:rPr>
              <w:t>/</w:t>
            </w:r>
          </w:p>
        </w:tc>
        <w:tc>
          <w:tcPr>
            <w:tcW w:w="5308" w:type="dxa"/>
            <w:vAlign w:val="center"/>
          </w:tcPr>
          <w:p>
            <w:pPr>
              <w:adjustRightInd w:val="0"/>
              <w:snapToGrid w:val="0"/>
              <w:ind w:firstLine="480" w:firstLineChars="200"/>
              <w:jc w:val="left"/>
              <w:rPr>
                <w:sz w:val="24"/>
              </w:rPr>
            </w:pPr>
            <w:r>
              <w:rPr>
                <w:sz w:val="24"/>
              </w:rPr>
              <w:t>/</w:t>
            </w:r>
          </w:p>
        </w:tc>
        <w:tc>
          <w:tcPr>
            <w:tcW w:w="2216" w:type="dxa"/>
            <w:vAlign w:val="center"/>
          </w:tcPr>
          <w:p>
            <w:pPr>
              <w:adjustRightInd w:val="0"/>
              <w:snapToGrid w:val="0"/>
              <w:ind w:firstLine="480" w:firstLineChars="200"/>
              <w:jc w:val="left"/>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72" w:type="dxa"/>
            <w:vAlign w:val="center"/>
          </w:tcPr>
          <w:p>
            <w:pPr>
              <w:adjustRightInd w:val="0"/>
              <w:snapToGrid w:val="0"/>
              <w:jc w:val="center"/>
              <w:rPr>
                <w:sz w:val="24"/>
              </w:rPr>
            </w:pPr>
            <w:r>
              <w:rPr>
                <w:sz w:val="24"/>
              </w:rPr>
              <w:t>环境风险</w:t>
            </w:r>
          </w:p>
        </w:tc>
        <w:tc>
          <w:tcPr>
            <w:tcW w:w="3013" w:type="dxa"/>
            <w:vAlign w:val="center"/>
          </w:tcPr>
          <w:p>
            <w:pPr>
              <w:adjustRightInd w:val="0"/>
              <w:snapToGrid w:val="0"/>
              <w:ind w:firstLine="480" w:firstLineChars="200"/>
              <w:jc w:val="left"/>
              <w:rPr>
                <w:sz w:val="24"/>
              </w:rPr>
            </w:pPr>
            <w:r>
              <w:rPr>
                <w:sz w:val="24"/>
              </w:rPr>
              <w:t>/</w:t>
            </w:r>
          </w:p>
        </w:tc>
        <w:tc>
          <w:tcPr>
            <w:tcW w:w="2029" w:type="dxa"/>
            <w:vAlign w:val="center"/>
          </w:tcPr>
          <w:p>
            <w:pPr>
              <w:adjustRightInd w:val="0"/>
              <w:snapToGrid w:val="0"/>
              <w:ind w:firstLine="480" w:firstLineChars="200"/>
              <w:jc w:val="left"/>
              <w:rPr>
                <w:sz w:val="24"/>
              </w:rPr>
            </w:pPr>
            <w:r>
              <w:rPr>
                <w:sz w:val="24"/>
              </w:rPr>
              <w:t>/</w:t>
            </w:r>
          </w:p>
        </w:tc>
        <w:tc>
          <w:tcPr>
            <w:tcW w:w="5308" w:type="dxa"/>
            <w:vAlign w:val="center"/>
          </w:tcPr>
          <w:p>
            <w:pPr>
              <w:adjustRightInd w:val="0"/>
              <w:snapToGrid w:val="0"/>
              <w:ind w:firstLine="480" w:firstLineChars="200"/>
              <w:rPr>
                <w:sz w:val="24"/>
              </w:rPr>
            </w:pPr>
            <w:r>
              <w:rPr>
                <w:rFonts w:hint="eastAsia"/>
                <w:sz w:val="24"/>
              </w:rPr>
              <w:t>1、</w:t>
            </w:r>
            <w:r>
              <w:rPr>
                <w:sz w:val="24"/>
              </w:rPr>
              <w:t>在柴油储罐四周设置围堰，围堰容积50m</w:t>
            </w:r>
            <w:r>
              <w:rPr>
                <w:sz w:val="24"/>
                <w:vertAlign w:val="superscript"/>
              </w:rPr>
              <w:t>3</w:t>
            </w:r>
            <w:r>
              <w:rPr>
                <w:sz w:val="24"/>
              </w:rPr>
              <w:t>、高度</w:t>
            </w:r>
            <w:r>
              <w:rPr>
                <w:rFonts w:hint="eastAsia"/>
                <w:sz w:val="24"/>
              </w:rPr>
              <w:t>1</w:t>
            </w:r>
            <w:r>
              <w:rPr>
                <w:sz w:val="24"/>
              </w:rPr>
              <w:t>m</w:t>
            </w:r>
            <w:r>
              <w:rPr>
                <w:rFonts w:hint="eastAsia"/>
                <w:sz w:val="24"/>
              </w:rPr>
              <w:t>；</w:t>
            </w:r>
          </w:p>
          <w:p>
            <w:pPr>
              <w:adjustRightInd w:val="0"/>
              <w:snapToGrid w:val="0"/>
              <w:ind w:firstLine="480" w:firstLineChars="200"/>
              <w:rPr>
                <w:sz w:val="24"/>
              </w:rPr>
            </w:pPr>
            <w:r>
              <w:rPr>
                <w:sz w:val="24"/>
              </w:rPr>
              <w:t>2</w:t>
            </w:r>
            <w:r>
              <w:rPr>
                <w:rFonts w:hint="eastAsia"/>
                <w:sz w:val="24"/>
              </w:rPr>
              <w:t>、危废贮存点内</w:t>
            </w:r>
            <w:r>
              <w:rPr>
                <w:bCs/>
                <w:sz w:val="24"/>
              </w:rPr>
              <w:t>含油固废收集桶</w:t>
            </w:r>
            <w:r>
              <w:rPr>
                <w:rFonts w:hint="eastAsia"/>
                <w:sz w:val="24"/>
              </w:rPr>
              <w:t>下方应设防溢托盘，托盘的容积应能满足（大于）上方盛放物料的体积；</w:t>
            </w:r>
          </w:p>
          <w:p>
            <w:pPr>
              <w:adjustRightInd w:val="0"/>
              <w:snapToGrid w:val="0"/>
              <w:ind w:firstLine="480" w:firstLineChars="200"/>
              <w:rPr>
                <w:sz w:val="24"/>
              </w:rPr>
            </w:pPr>
            <w:r>
              <w:rPr>
                <w:rFonts w:hint="eastAsia"/>
                <w:sz w:val="24"/>
              </w:rPr>
              <w:t>3、</w:t>
            </w:r>
            <w:r>
              <w:rPr>
                <w:sz w:val="24"/>
              </w:rPr>
              <w:t>柴油储罐</w:t>
            </w:r>
            <w:r>
              <w:rPr>
                <w:rFonts w:hint="eastAsia"/>
                <w:color w:val="0000FF"/>
                <w:sz w:val="24"/>
              </w:rPr>
              <w:t>需</w:t>
            </w:r>
            <w:r>
              <w:rPr>
                <w:color w:val="0000FF"/>
                <w:sz w:val="24"/>
              </w:rPr>
              <w:t>做好</w:t>
            </w:r>
            <w:r>
              <w:rPr>
                <w:rFonts w:hint="eastAsia"/>
                <w:color w:val="0000FF"/>
                <w:sz w:val="24"/>
              </w:rPr>
              <w:t>防雨、防渗漏措施；</w:t>
            </w:r>
            <w:r>
              <w:rPr>
                <w:rFonts w:hint="eastAsia"/>
                <w:sz w:val="24"/>
              </w:rPr>
              <w:t>危废贮存点需</w:t>
            </w:r>
            <w:r>
              <w:rPr>
                <w:sz w:val="24"/>
              </w:rPr>
              <w:t>做好</w:t>
            </w:r>
            <w:r>
              <w:rPr>
                <w:rFonts w:hint="eastAsia"/>
                <w:sz w:val="24"/>
              </w:rPr>
              <w:t>“</w:t>
            </w:r>
            <w:r>
              <w:rPr>
                <w:sz w:val="24"/>
              </w:rPr>
              <w:t>六防</w:t>
            </w:r>
            <w:r>
              <w:rPr>
                <w:rFonts w:hint="eastAsia"/>
                <w:sz w:val="24"/>
              </w:rPr>
              <w:t>”</w:t>
            </w:r>
            <w:r>
              <w:rPr>
                <w:sz w:val="24"/>
              </w:rPr>
              <w:t>措施</w:t>
            </w:r>
            <w:r>
              <w:rPr>
                <w:rFonts w:hint="eastAsia"/>
                <w:sz w:val="24"/>
              </w:rPr>
              <w:t>（防风、防雨、防晒、防渗、防漏、防腐）</w:t>
            </w:r>
            <w:r>
              <w:rPr>
                <w:sz w:val="24"/>
              </w:rPr>
              <w:t>，</w:t>
            </w:r>
            <w:r>
              <w:rPr>
                <w:rFonts w:hint="eastAsia"/>
                <w:color w:val="0000FF"/>
                <w:sz w:val="24"/>
              </w:rPr>
              <w:t>均需</w:t>
            </w:r>
            <w:r>
              <w:rPr>
                <w:sz w:val="24"/>
              </w:rPr>
              <w:t>配备干粉灭火器、消防沙、隔油栏、吸油毡等应急物资</w:t>
            </w:r>
            <w:r>
              <w:rPr>
                <w:rFonts w:hint="eastAsia"/>
                <w:sz w:val="24"/>
              </w:rPr>
              <w:t>并</w:t>
            </w:r>
            <w:r>
              <w:rPr>
                <w:sz w:val="24"/>
              </w:rPr>
              <w:t>设置警示标识。</w:t>
            </w:r>
          </w:p>
          <w:p>
            <w:pPr>
              <w:adjustRightInd w:val="0"/>
              <w:snapToGrid w:val="0"/>
              <w:ind w:firstLine="480" w:firstLineChars="200"/>
              <w:rPr>
                <w:sz w:val="24"/>
              </w:rPr>
            </w:pPr>
            <w:r>
              <w:rPr>
                <w:rFonts w:hint="eastAsia"/>
                <w:sz w:val="24"/>
              </w:rPr>
              <w:t>4、厂区分区防渗，化粪池、雨水沉淀池、沉沙凼、”U型”车辆冲洗池为一般防渗区，危废贮存点、柴油罐区为重点防渗区。</w:t>
            </w:r>
          </w:p>
        </w:tc>
        <w:tc>
          <w:tcPr>
            <w:tcW w:w="2216" w:type="dxa"/>
            <w:vAlign w:val="center"/>
          </w:tcPr>
          <w:p>
            <w:pPr>
              <w:adjustRightInd w:val="0"/>
              <w:snapToGrid w:val="0"/>
              <w:ind w:firstLine="480" w:firstLineChars="200"/>
              <w:rPr>
                <w:sz w:val="24"/>
              </w:rPr>
            </w:pPr>
            <w:r>
              <w:rPr>
                <w:rFonts w:hint="eastAsia"/>
                <w:sz w:val="24"/>
              </w:rPr>
              <w:t>检查环境风险措施是否落实到位，是否按照要求编制环境风险评估与应急预案</w:t>
            </w: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72" w:type="dxa"/>
            <w:vAlign w:val="center"/>
          </w:tcPr>
          <w:p>
            <w:pPr>
              <w:adjustRightInd w:val="0"/>
              <w:snapToGrid w:val="0"/>
              <w:jc w:val="center"/>
              <w:rPr>
                <w:sz w:val="24"/>
              </w:rPr>
            </w:pPr>
            <w:r>
              <w:rPr>
                <w:sz w:val="24"/>
              </w:rPr>
              <w:t>环境监测</w:t>
            </w:r>
          </w:p>
        </w:tc>
        <w:tc>
          <w:tcPr>
            <w:tcW w:w="3013" w:type="dxa"/>
            <w:vAlign w:val="center"/>
          </w:tcPr>
          <w:p>
            <w:pPr>
              <w:adjustRightInd w:val="0"/>
              <w:snapToGrid w:val="0"/>
              <w:ind w:firstLine="480" w:firstLineChars="200"/>
              <w:jc w:val="left"/>
              <w:rPr>
                <w:sz w:val="24"/>
              </w:rPr>
            </w:pPr>
            <w:r>
              <w:rPr>
                <w:sz w:val="24"/>
              </w:rPr>
              <w:t>/</w:t>
            </w:r>
          </w:p>
        </w:tc>
        <w:tc>
          <w:tcPr>
            <w:tcW w:w="2029" w:type="dxa"/>
            <w:vAlign w:val="center"/>
          </w:tcPr>
          <w:p>
            <w:pPr>
              <w:adjustRightInd w:val="0"/>
              <w:snapToGrid w:val="0"/>
              <w:ind w:firstLine="480" w:firstLineChars="200"/>
              <w:jc w:val="left"/>
              <w:rPr>
                <w:sz w:val="24"/>
              </w:rPr>
            </w:pPr>
            <w:r>
              <w:rPr>
                <w:sz w:val="24"/>
              </w:rPr>
              <w:t>/</w:t>
            </w:r>
          </w:p>
        </w:tc>
        <w:tc>
          <w:tcPr>
            <w:tcW w:w="5308" w:type="dxa"/>
            <w:vAlign w:val="center"/>
          </w:tcPr>
          <w:p>
            <w:pPr>
              <w:adjustRightInd w:val="0"/>
              <w:snapToGrid w:val="0"/>
              <w:ind w:firstLine="480" w:firstLineChars="200"/>
              <w:rPr>
                <w:sz w:val="24"/>
              </w:rPr>
            </w:pPr>
            <w:r>
              <w:rPr>
                <w:sz w:val="24"/>
              </w:rPr>
              <w:t>建成投产后，应编制废气监测计划，委托第三方有环境监测资质的单位依照当期、当地规定定期开展企业例行取样监测。</w:t>
            </w:r>
          </w:p>
        </w:tc>
        <w:tc>
          <w:tcPr>
            <w:tcW w:w="2216" w:type="dxa"/>
            <w:vAlign w:val="center"/>
          </w:tcPr>
          <w:p>
            <w:pPr>
              <w:adjustRightInd w:val="0"/>
              <w:snapToGrid w:val="0"/>
              <w:ind w:firstLine="480" w:firstLineChars="200"/>
              <w:rPr>
                <w:sz w:val="24"/>
              </w:rPr>
            </w:pPr>
            <w:r>
              <w:rPr>
                <w:sz w:val="24"/>
              </w:rPr>
              <w:t>满足要求。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372" w:type="dxa"/>
            <w:vAlign w:val="center"/>
          </w:tcPr>
          <w:p>
            <w:pPr>
              <w:adjustRightInd w:val="0"/>
              <w:snapToGrid w:val="0"/>
              <w:jc w:val="center"/>
              <w:rPr>
                <w:sz w:val="24"/>
              </w:rPr>
            </w:pPr>
            <w:r>
              <w:rPr>
                <w:sz w:val="24"/>
              </w:rPr>
              <w:t>其他</w:t>
            </w:r>
          </w:p>
        </w:tc>
        <w:tc>
          <w:tcPr>
            <w:tcW w:w="12566" w:type="dxa"/>
            <w:gridSpan w:val="4"/>
            <w:vAlign w:val="center"/>
          </w:tcPr>
          <w:p>
            <w:pPr>
              <w:adjustRightInd w:val="0"/>
              <w:snapToGrid w:val="0"/>
              <w:ind w:firstLine="482" w:firstLineChars="200"/>
              <w:rPr>
                <w:b/>
                <w:bCs/>
                <w:kern w:val="0"/>
                <w:sz w:val="24"/>
              </w:rPr>
            </w:pPr>
            <w:r>
              <w:rPr>
                <w:rFonts w:hint="eastAsia"/>
                <w:b/>
                <w:bCs/>
                <w:sz w:val="24"/>
              </w:rPr>
              <w:t>严格执行“开发利用方案”、“可视论证报告”提出的</w:t>
            </w:r>
            <w:r>
              <w:rPr>
                <w:rFonts w:hint="eastAsia"/>
                <w:b/>
                <w:bCs/>
                <w:kern w:val="0"/>
                <w:sz w:val="24"/>
              </w:rPr>
              <w:t>各项优化开采方式及遮挡措施，采用直观可视采区覆盖仿真绿叶网及反向开采相结合的方案，实现采区开采活动全过程不处于S525省</w:t>
            </w:r>
            <w:r>
              <w:rPr>
                <w:b/>
                <w:bCs/>
                <w:kern w:val="0"/>
                <w:sz w:val="24"/>
              </w:rPr>
              <w:t>道</w:t>
            </w:r>
            <w:r>
              <w:rPr>
                <w:rFonts w:hint="eastAsia"/>
                <w:b/>
                <w:bCs/>
                <w:kern w:val="0"/>
                <w:sz w:val="24"/>
              </w:rPr>
              <w:t>的直观可视范围内。</w:t>
            </w:r>
          </w:p>
          <w:p>
            <w:pPr>
              <w:adjustRightInd w:val="0"/>
              <w:snapToGrid w:val="0"/>
              <w:ind w:firstLine="480" w:firstLineChars="200"/>
              <w:rPr>
                <w:sz w:val="24"/>
              </w:rPr>
            </w:pPr>
            <w:r>
              <w:rPr>
                <w:sz w:val="24"/>
              </w:rPr>
              <w:t>按环保部门有关规定办理环评、验收及相关手续。符合</w:t>
            </w:r>
            <w:r>
              <w:rPr>
                <w:rFonts w:ascii="宋体" w:hAnsi="宋体"/>
                <w:sz w:val="24"/>
              </w:rPr>
              <w:t>环保“三同时”规定</w:t>
            </w:r>
            <w:r>
              <w:rPr>
                <w:sz w:val="24"/>
              </w:rPr>
              <w:t>，运行正常，建立环境管理机构；环境保护档案齐全，有环境保护管理机构和人员，环境保护设施维护专人管理。</w:t>
            </w:r>
          </w:p>
          <w:p>
            <w:pPr>
              <w:adjustRightInd w:val="0"/>
              <w:snapToGrid w:val="0"/>
              <w:ind w:firstLine="480" w:firstLineChars="200"/>
              <w:rPr>
                <w:sz w:val="24"/>
              </w:rPr>
            </w:pPr>
            <w:r>
              <w:rPr>
                <w:rFonts w:hint="eastAsia"/>
                <w:sz w:val="24"/>
              </w:rPr>
              <w:t>根据《建设项目竣工环境保护验收技术规范生态影响类》（</w:t>
            </w:r>
            <w:r>
              <w:rPr>
                <w:sz w:val="24"/>
              </w:rPr>
              <w:t>HJ/T 394</w:t>
            </w:r>
            <w:r>
              <w:rPr>
                <w:rFonts w:hint="eastAsia"/>
                <w:sz w:val="24"/>
              </w:rPr>
              <w:t>-</w:t>
            </w:r>
            <w:r>
              <w:rPr>
                <w:sz w:val="24"/>
              </w:rPr>
              <w:t>2007</w:t>
            </w:r>
            <w:r>
              <w:rPr>
                <w:rFonts w:hint="eastAsia"/>
                <w:sz w:val="24"/>
              </w:rPr>
              <w:t>）、</w:t>
            </w:r>
            <w:r>
              <w:rPr>
                <w:rFonts w:hint="eastAsia"/>
                <w:color w:val="0000FF"/>
                <w:sz w:val="24"/>
              </w:rPr>
              <w:t>《排污许可证申请与核发技术规范 总则》（HJ 942-2018）</w:t>
            </w:r>
            <w:r>
              <w:rPr>
                <w:rFonts w:hint="eastAsia"/>
                <w:sz w:val="24"/>
              </w:rPr>
              <w:t>相关环境管理要求，具体如下：</w:t>
            </w:r>
          </w:p>
          <w:p>
            <w:pPr>
              <w:adjustRightInd w:val="0"/>
              <w:snapToGrid w:val="0"/>
              <w:ind w:firstLine="480" w:firstLineChars="200"/>
              <w:rPr>
                <w:sz w:val="24"/>
              </w:rPr>
            </w:pPr>
            <w:r>
              <w:rPr>
                <w:rFonts w:hint="eastAsia"/>
                <w:sz w:val="24"/>
              </w:rPr>
              <w:t>（</w:t>
            </w:r>
            <w:r>
              <w:rPr>
                <w:sz w:val="24"/>
              </w:rPr>
              <w:t>1</w:t>
            </w:r>
            <w:r>
              <w:rPr>
                <w:rFonts w:hint="eastAsia"/>
                <w:sz w:val="24"/>
              </w:rPr>
              <w:t>）环境管理工作职责</w:t>
            </w:r>
          </w:p>
          <w:p>
            <w:pPr>
              <w:adjustRightInd w:val="0"/>
              <w:snapToGrid w:val="0"/>
              <w:ind w:firstLine="480" w:firstLineChars="200"/>
              <w:rPr>
                <w:sz w:val="24"/>
              </w:rPr>
            </w:pPr>
            <w:r>
              <w:rPr>
                <w:sz w:val="24"/>
              </w:rPr>
              <w:t>1</w:t>
            </w:r>
            <w:r>
              <w:rPr>
                <w:rFonts w:hint="eastAsia"/>
                <w:sz w:val="24"/>
              </w:rPr>
              <w:t>）认真贯彻执行国家、地方的环境保护法律法规和相关环境保护政策。</w:t>
            </w:r>
          </w:p>
          <w:p>
            <w:pPr>
              <w:adjustRightInd w:val="0"/>
              <w:snapToGrid w:val="0"/>
              <w:ind w:firstLine="480" w:firstLineChars="200"/>
              <w:rPr>
                <w:sz w:val="24"/>
              </w:rPr>
            </w:pPr>
            <w:r>
              <w:rPr>
                <w:sz w:val="24"/>
              </w:rPr>
              <w:t>2</w:t>
            </w:r>
            <w:r>
              <w:rPr>
                <w:rFonts w:hint="eastAsia"/>
                <w:sz w:val="24"/>
              </w:rPr>
              <w:t>）制定环境保护方针实施计划和环境管理制度。</w:t>
            </w:r>
          </w:p>
          <w:p>
            <w:pPr>
              <w:adjustRightInd w:val="0"/>
              <w:snapToGrid w:val="0"/>
              <w:ind w:firstLine="480" w:firstLineChars="200"/>
              <w:rPr>
                <w:sz w:val="24"/>
              </w:rPr>
            </w:pPr>
            <w:r>
              <w:rPr>
                <w:sz w:val="24"/>
              </w:rPr>
              <w:t>3</w:t>
            </w:r>
            <w:r>
              <w:rPr>
                <w:rFonts w:hint="eastAsia"/>
                <w:sz w:val="24"/>
              </w:rPr>
              <w:t>）运行期加强污废水、废气、噪声等治理设施运行管理，确保污染治理设施设备正常运行，确保洗车废水处理后回用；有组织废气及无组织场界粉尘浓度满足排放标准要求；场界噪声达标排放。</w:t>
            </w:r>
          </w:p>
          <w:p>
            <w:pPr>
              <w:adjustRightInd w:val="0"/>
              <w:snapToGrid w:val="0"/>
              <w:ind w:firstLine="480" w:firstLineChars="200"/>
              <w:rPr>
                <w:sz w:val="24"/>
              </w:rPr>
            </w:pPr>
            <w:r>
              <w:rPr>
                <w:sz w:val="24"/>
              </w:rPr>
              <w:t>4</w:t>
            </w:r>
            <w:r>
              <w:rPr>
                <w:rFonts w:hint="eastAsia"/>
                <w:sz w:val="24"/>
              </w:rPr>
              <w:t>）按环保行政主管部门的规定要求，建立本企业有关“三废”排放量、排放浓度、噪声排放情况、固体废物综合利用、污染控制效果等情况的台账和档案，向上级领导及环保行政主管部门呈报。</w:t>
            </w:r>
          </w:p>
          <w:p>
            <w:pPr>
              <w:adjustRightInd w:val="0"/>
              <w:snapToGrid w:val="0"/>
              <w:ind w:firstLine="480" w:firstLineChars="200"/>
              <w:rPr>
                <w:sz w:val="24"/>
              </w:rPr>
            </w:pPr>
            <w:r>
              <w:rPr>
                <w:sz w:val="24"/>
              </w:rPr>
              <w:t>5</w:t>
            </w:r>
            <w:r>
              <w:rPr>
                <w:rFonts w:hint="eastAsia"/>
                <w:sz w:val="24"/>
              </w:rPr>
              <w:t>）加强环境保护宣传工作，不断提高职工的环境保护意识，并有序开展环境保护方面的知识教育及技术培训等工作。</w:t>
            </w:r>
          </w:p>
          <w:p>
            <w:pPr>
              <w:adjustRightInd w:val="0"/>
              <w:snapToGrid w:val="0"/>
              <w:ind w:firstLine="480" w:firstLineChars="200"/>
              <w:rPr>
                <w:sz w:val="24"/>
              </w:rPr>
            </w:pPr>
            <w:r>
              <w:rPr>
                <w:sz w:val="24"/>
              </w:rPr>
              <w:t>6</w:t>
            </w:r>
            <w:r>
              <w:rPr>
                <w:rFonts w:hint="eastAsia"/>
                <w:sz w:val="24"/>
              </w:rPr>
              <w:t>）检查环境管理工作中的问题和不足，对发现的问题和不足，提出改进意见。协同当地环保行政管理部门处理好相关环境问题，维护好公众的利益。</w:t>
            </w:r>
          </w:p>
          <w:p>
            <w:pPr>
              <w:adjustRightInd w:val="0"/>
              <w:snapToGrid w:val="0"/>
              <w:ind w:firstLine="480" w:firstLineChars="200"/>
              <w:rPr>
                <w:sz w:val="24"/>
              </w:rPr>
            </w:pPr>
            <w:r>
              <w:rPr>
                <w:rFonts w:hint="eastAsia"/>
                <w:sz w:val="24"/>
              </w:rPr>
              <w:t>（</w:t>
            </w:r>
            <w:r>
              <w:rPr>
                <w:sz w:val="24"/>
              </w:rPr>
              <w:t>2</w:t>
            </w:r>
            <w:r>
              <w:rPr>
                <w:rFonts w:hint="eastAsia"/>
                <w:sz w:val="24"/>
              </w:rPr>
              <w:t>）环保管理台账</w:t>
            </w:r>
          </w:p>
          <w:p>
            <w:pPr>
              <w:adjustRightInd w:val="0"/>
              <w:snapToGrid w:val="0"/>
              <w:ind w:firstLine="480" w:firstLineChars="200"/>
              <w:rPr>
                <w:sz w:val="24"/>
              </w:rPr>
            </w:pPr>
            <w:r>
              <w:rPr>
                <w:rFonts w:hint="eastAsia"/>
                <w:sz w:val="24"/>
              </w:rPr>
              <w:t>建设单位需制定相应污染物排放台账管理制度，具体要求如下：</w:t>
            </w:r>
          </w:p>
          <w:p>
            <w:pPr>
              <w:adjustRightInd w:val="0"/>
              <w:snapToGrid w:val="0"/>
              <w:ind w:firstLine="480" w:firstLineChars="200"/>
              <w:rPr>
                <w:sz w:val="24"/>
              </w:rPr>
            </w:pPr>
            <w:r>
              <w:rPr>
                <w:sz w:val="24"/>
              </w:rPr>
              <w:t>1</w:t>
            </w:r>
            <w:r>
              <w:rPr>
                <w:rFonts w:hint="eastAsia"/>
                <w:sz w:val="24"/>
              </w:rPr>
              <w:t>）建立污染物排污台账</w:t>
            </w:r>
          </w:p>
          <w:p>
            <w:pPr>
              <w:adjustRightInd w:val="0"/>
              <w:snapToGrid w:val="0"/>
              <w:ind w:firstLine="480" w:firstLineChars="200"/>
              <w:rPr>
                <w:sz w:val="24"/>
              </w:rPr>
            </w:pPr>
            <w:r>
              <w:rPr>
                <w:rFonts w:hint="eastAsia"/>
                <w:sz w:val="24"/>
              </w:rPr>
              <w:t>污染物排放台账内容包括排污单位名称、排污口编号、使用的计量方式、排污口位置等基本信息；记录污染物的产生、排放台账，并纳入厂务公开内容，及时向环境管理部门和周边企业、公众公布污染物排放和环境管理情况；</w:t>
            </w:r>
          </w:p>
          <w:p>
            <w:pPr>
              <w:adjustRightInd w:val="0"/>
              <w:snapToGrid w:val="0"/>
              <w:ind w:firstLine="480" w:firstLineChars="200"/>
              <w:rPr>
                <w:sz w:val="24"/>
              </w:rPr>
            </w:pPr>
            <w:r>
              <w:rPr>
                <w:sz w:val="24"/>
              </w:rPr>
              <w:t>2</w:t>
            </w:r>
            <w:r>
              <w:rPr>
                <w:rFonts w:hint="eastAsia"/>
                <w:sz w:val="24"/>
              </w:rPr>
              <w:t>）建立污染物监测制度</w:t>
            </w:r>
          </w:p>
          <w:p>
            <w:pPr>
              <w:adjustRightInd w:val="0"/>
              <w:snapToGrid w:val="0"/>
              <w:ind w:firstLine="480" w:firstLineChars="200"/>
              <w:rPr>
                <w:sz w:val="24"/>
              </w:rPr>
            </w:pPr>
            <w:r>
              <w:rPr>
                <w:rFonts w:hint="eastAsia"/>
                <w:sz w:val="24"/>
              </w:rPr>
              <w:t>企业应定期委托监测检查监测结果需要记录归档，并定期向公众公布。</w:t>
            </w:r>
          </w:p>
          <w:p>
            <w:pPr>
              <w:adjustRightInd w:val="0"/>
              <w:snapToGrid w:val="0"/>
              <w:ind w:firstLine="480" w:firstLineChars="200"/>
              <w:rPr>
                <w:sz w:val="24"/>
              </w:rPr>
            </w:pPr>
            <w:r>
              <w:rPr>
                <w:rFonts w:hint="eastAsia"/>
                <w:sz w:val="24"/>
              </w:rPr>
              <w:t>（</w:t>
            </w:r>
            <w:r>
              <w:rPr>
                <w:sz w:val="24"/>
              </w:rPr>
              <w:t>3</w:t>
            </w:r>
            <w:r>
              <w:rPr>
                <w:rFonts w:hint="eastAsia"/>
                <w:sz w:val="24"/>
              </w:rPr>
              <w:t>）排污口规范化管理</w:t>
            </w:r>
          </w:p>
          <w:p>
            <w:pPr>
              <w:adjustRightInd w:val="0"/>
              <w:snapToGrid w:val="0"/>
              <w:ind w:firstLine="480" w:firstLineChars="200"/>
              <w:rPr>
                <w:sz w:val="24"/>
              </w:rPr>
            </w:pPr>
            <w:r>
              <w:rPr>
                <w:rFonts w:hint="eastAsia"/>
                <w:sz w:val="24"/>
              </w:rPr>
              <w:t>根据《重庆市环境保护局关于印发重庆市排污口规范化清理整治实施方案的通知》（渝环发〔</w:t>
            </w:r>
            <w:r>
              <w:rPr>
                <w:sz w:val="24"/>
              </w:rPr>
              <w:t>2012</w:t>
            </w:r>
            <w:r>
              <w:rPr>
                <w:rFonts w:hint="eastAsia"/>
                <w:sz w:val="24"/>
              </w:rPr>
              <w:t>〕</w:t>
            </w:r>
            <w:r>
              <w:rPr>
                <w:sz w:val="24"/>
              </w:rPr>
              <w:t>26</w:t>
            </w:r>
            <w:r>
              <w:rPr>
                <w:rFonts w:hint="eastAsia"/>
                <w:sz w:val="24"/>
              </w:rPr>
              <w:t>号）文件规定，对项目排污口提出如下要求：</w:t>
            </w:r>
          </w:p>
          <w:p>
            <w:pPr>
              <w:adjustRightInd w:val="0"/>
              <w:snapToGrid w:val="0"/>
              <w:ind w:firstLine="480" w:firstLineChars="200"/>
              <w:rPr>
                <w:sz w:val="24"/>
              </w:rPr>
            </w:pPr>
            <w:r>
              <w:rPr>
                <w:sz w:val="24"/>
              </w:rPr>
              <w:t>1</w:t>
            </w:r>
            <w:r>
              <w:rPr>
                <w:rFonts w:hint="eastAsia"/>
                <w:sz w:val="24"/>
              </w:rPr>
              <w:t>）废气</w:t>
            </w:r>
          </w:p>
          <w:p>
            <w:pPr>
              <w:adjustRightInd w:val="0"/>
              <w:snapToGrid w:val="0"/>
              <w:ind w:firstLine="480" w:firstLineChars="200"/>
              <w:rPr>
                <w:sz w:val="24"/>
              </w:rPr>
            </w:pPr>
            <w:r>
              <w:rPr>
                <w:rFonts w:hint="eastAsia"/>
                <w:sz w:val="24"/>
              </w:rPr>
              <w:t>①有组织排放的废气应对其排气筒进行编号并设置标志。</w:t>
            </w:r>
          </w:p>
          <w:p>
            <w:pPr>
              <w:adjustRightInd w:val="0"/>
              <w:snapToGrid w:val="0"/>
              <w:ind w:firstLine="480" w:firstLineChars="200"/>
              <w:rPr>
                <w:sz w:val="24"/>
              </w:rPr>
            </w:pPr>
            <w:r>
              <w:rPr>
                <w:rFonts w:hint="eastAsia"/>
                <w:sz w:val="24"/>
              </w:rPr>
              <w:t>②排气筒应设置便于人工采样、监测的采样口，采样口的设置应符合《污染源监测技术规范》要求。根据《固定污染源排气中颗粒物测定与气态污染源采样方法》(GB/T 16157-1996)，废气排污口采样孔设置的位置应该是“距弯头、阀门、变径下游方向不小于6倍直径，上游方向不小于3倍直径”。如果是矩形烟道的，其当量直径D=2AB/(A+B)，式中A、B为边长。采样口位置无法满足规范要求的，其位置由当地环境监测部门确认。采样口必须设置常备电源。另应设置规范的采样平台，面积不少于1.5m</w:t>
            </w:r>
            <w:r>
              <w:rPr>
                <w:rFonts w:hint="eastAsia"/>
                <w:sz w:val="24"/>
                <w:vertAlign w:val="superscript"/>
              </w:rPr>
              <w:t>2</w:t>
            </w:r>
            <w:r>
              <w:rPr>
                <w:rFonts w:hint="eastAsia"/>
                <w:sz w:val="24"/>
              </w:rPr>
              <w:t>，周边有护栏，便于监测人员采样。</w:t>
            </w:r>
          </w:p>
          <w:p>
            <w:pPr>
              <w:adjustRightInd w:val="0"/>
              <w:snapToGrid w:val="0"/>
              <w:ind w:firstLine="480" w:firstLineChars="200"/>
              <w:rPr>
                <w:sz w:val="24"/>
              </w:rPr>
            </w:pPr>
            <w:r>
              <w:rPr>
                <w:sz w:val="24"/>
              </w:rPr>
              <w:t>2</w:t>
            </w:r>
            <w:r>
              <w:rPr>
                <w:rFonts w:hint="eastAsia"/>
                <w:sz w:val="24"/>
              </w:rPr>
              <w:t>）废水</w:t>
            </w:r>
          </w:p>
          <w:p>
            <w:pPr>
              <w:adjustRightInd w:val="0"/>
              <w:snapToGrid w:val="0"/>
              <w:ind w:firstLine="480" w:firstLineChars="200"/>
              <w:rPr>
                <w:sz w:val="24"/>
              </w:rPr>
            </w:pPr>
            <w:r>
              <w:rPr>
                <w:rFonts w:hint="eastAsia"/>
                <w:sz w:val="24"/>
              </w:rPr>
              <w:t>项目无废水排放口。</w:t>
            </w:r>
          </w:p>
          <w:p>
            <w:pPr>
              <w:adjustRightInd w:val="0"/>
              <w:snapToGrid w:val="0"/>
              <w:ind w:firstLine="480" w:firstLineChars="200"/>
              <w:rPr>
                <w:sz w:val="24"/>
              </w:rPr>
            </w:pPr>
            <w:r>
              <w:rPr>
                <w:sz w:val="24"/>
              </w:rPr>
              <w:t>3</w:t>
            </w:r>
            <w:r>
              <w:rPr>
                <w:rFonts w:hint="eastAsia"/>
                <w:sz w:val="24"/>
              </w:rPr>
              <w:t>）噪声</w:t>
            </w:r>
          </w:p>
          <w:p>
            <w:pPr>
              <w:adjustRightInd w:val="0"/>
              <w:snapToGrid w:val="0"/>
              <w:ind w:firstLine="480" w:firstLineChars="200"/>
              <w:rPr>
                <w:sz w:val="24"/>
              </w:rPr>
            </w:pPr>
            <w:r>
              <w:rPr>
                <w:rFonts w:hint="eastAsia"/>
                <w:sz w:val="24"/>
              </w:rPr>
              <w:t>厂界噪声测点应在矿界外</w:t>
            </w:r>
            <w:r>
              <w:rPr>
                <w:sz w:val="24"/>
              </w:rPr>
              <w:t>1m</w:t>
            </w:r>
            <w:r>
              <w:rPr>
                <w:rFonts w:hint="eastAsia"/>
                <w:sz w:val="24"/>
              </w:rPr>
              <w:t>、高度</w:t>
            </w:r>
            <w:r>
              <w:rPr>
                <w:sz w:val="24"/>
              </w:rPr>
              <w:t>1.2m</w:t>
            </w:r>
            <w:r>
              <w:rPr>
                <w:rFonts w:hint="eastAsia"/>
                <w:sz w:val="24"/>
              </w:rPr>
              <w:t>以上的噪声敏感处；</w:t>
            </w:r>
          </w:p>
          <w:p>
            <w:pPr>
              <w:adjustRightInd w:val="0"/>
              <w:snapToGrid w:val="0"/>
              <w:ind w:firstLine="480" w:firstLineChars="200"/>
              <w:rPr>
                <w:sz w:val="24"/>
              </w:rPr>
            </w:pPr>
            <w:r>
              <w:rPr>
                <w:sz w:val="24"/>
              </w:rPr>
              <w:t>4</w:t>
            </w:r>
            <w:r>
              <w:rPr>
                <w:rFonts w:hint="eastAsia"/>
                <w:sz w:val="24"/>
              </w:rPr>
              <w:t>）固体废物</w:t>
            </w:r>
          </w:p>
          <w:p>
            <w:pPr>
              <w:adjustRightInd w:val="0"/>
              <w:snapToGrid w:val="0"/>
              <w:ind w:firstLine="480" w:firstLineChars="200"/>
              <w:rPr>
                <w:sz w:val="24"/>
              </w:rPr>
            </w:pPr>
            <w:r>
              <w:rPr>
                <w:rFonts w:hint="eastAsia"/>
                <w:sz w:val="24"/>
              </w:rPr>
              <w:t>①一般固体物应设置专用贮存、堆放场地。易造成二次扬尘的贮存、堆放场地，应采取不定时喷洒等防治措施。</w:t>
            </w:r>
          </w:p>
          <w:p>
            <w:pPr>
              <w:adjustRightInd w:val="0"/>
              <w:snapToGrid w:val="0"/>
              <w:ind w:firstLine="480" w:firstLineChars="200"/>
              <w:rPr>
                <w:sz w:val="24"/>
              </w:rPr>
            </w:pPr>
            <w:r>
              <w:rPr>
                <w:rFonts w:hint="eastAsia"/>
                <w:sz w:val="24"/>
              </w:rPr>
              <w:t>②除综合利用外，固体废物的处置、贮存、堆放场应分别立标。标志牌立于边界线上。结合拟建项目</w:t>
            </w:r>
            <w:r>
              <w:rPr>
                <w:sz w:val="24"/>
              </w:rPr>
              <w:t>排土场</w:t>
            </w:r>
            <w:r>
              <w:rPr>
                <w:rFonts w:hint="eastAsia"/>
                <w:sz w:val="24"/>
              </w:rPr>
              <w:t>面积</w:t>
            </w:r>
            <w:r>
              <w:rPr>
                <w:sz w:val="24"/>
              </w:rPr>
              <w:t>及地势情况，在排土场</w:t>
            </w:r>
            <w:r>
              <w:rPr>
                <w:rFonts w:hint="eastAsia"/>
                <w:sz w:val="24"/>
              </w:rPr>
              <w:t>、弃渣场</w:t>
            </w:r>
            <w:r>
              <w:rPr>
                <w:sz w:val="24"/>
              </w:rPr>
              <w:t>西侧入口处</w:t>
            </w:r>
            <w:r>
              <w:rPr>
                <w:rFonts w:hint="eastAsia"/>
                <w:sz w:val="24"/>
              </w:rPr>
              <w:t>均</w:t>
            </w:r>
            <w:r>
              <w:rPr>
                <w:sz w:val="24"/>
              </w:rPr>
              <w:t>设置1</w:t>
            </w:r>
            <w:r>
              <w:rPr>
                <w:rFonts w:hint="eastAsia"/>
                <w:sz w:val="24"/>
              </w:rPr>
              <w:t>个</w:t>
            </w:r>
            <w:r>
              <w:rPr>
                <w:sz w:val="24"/>
              </w:rPr>
              <w:t>标志牌</w:t>
            </w:r>
            <w:r>
              <w:rPr>
                <w:rFonts w:hint="eastAsia"/>
                <w:sz w:val="24"/>
              </w:rPr>
              <w:t>。</w:t>
            </w:r>
          </w:p>
          <w:p>
            <w:pPr>
              <w:adjustRightInd w:val="0"/>
              <w:snapToGrid w:val="0"/>
              <w:ind w:firstLine="480" w:firstLineChars="200"/>
              <w:rPr>
                <w:sz w:val="24"/>
              </w:rPr>
            </w:pPr>
            <w:r>
              <w:rPr>
                <w:rFonts w:hint="eastAsia"/>
                <w:sz w:val="24"/>
              </w:rPr>
              <w:t>5）排污口立标要求</w:t>
            </w:r>
          </w:p>
          <w:p>
            <w:pPr>
              <w:adjustRightInd w:val="0"/>
              <w:snapToGrid w:val="0"/>
              <w:ind w:firstLine="480" w:firstLineChars="200"/>
              <w:rPr>
                <w:sz w:val="24"/>
              </w:rPr>
            </w:pPr>
            <w:r>
              <w:rPr>
                <w:rFonts w:hint="eastAsia"/>
                <w:sz w:val="24"/>
              </w:rPr>
              <w:t>项目营运期环保标志牌制作和规格参照《环境保护图形标志—排放口（源）》（GB</w:t>
            </w:r>
            <w:r>
              <w:rPr>
                <w:sz w:val="24"/>
              </w:rPr>
              <w:t xml:space="preserve"> </w:t>
            </w:r>
            <w:r>
              <w:rPr>
                <w:rFonts w:hint="eastAsia"/>
                <w:sz w:val="24"/>
              </w:rPr>
              <w:t>15562.1-1995）、《环境保护图形标志 固体废物贮存（处置）场》（GB 15562.2-1995）、《关于印发排放口标志牌技术规格的通知》（环办〔2003〕95号）执行。</w:t>
            </w:r>
          </w:p>
          <w:p>
            <w:pPr>
              <w:adjustRightInd w:val="0"/>
              <w:snapToGrid w:val="0"/>
              <w:ind w:firstLine="480" w:firstLineChars="200"/>
              <w:rPr>
                <w:sz w:val="24"/>
              </w:rPr>
            </w:pPr>
            <w:r>
              <w:rPr>
                <w:rFonts w:hint="eastAsia"/>
                <w:sz w:val="24"/>
              </w:rPr>
              <w:t>排污口必须按照国家颁布的有关污染物强制性排放标准的要求，设置排污口标志牌，排污口标志牌是对排污单位排放污染物实施监测采样和监督管理的法定标志。标志牌设置应距污染物排污口（源）及固体废物贮存（处置）场或采样、监测点附近且醒目处，并能长久保留。可根据情况分别选择设置立式或平面固定式标志牌，在地面设置标志牌上缘距离地面2米。</w:t>
            </w:r>
            <w:r>
              <w:rPr>
                <w:sz w:val="24"/>
              </w:rPr>
              <w:t>图形标志牌设置点见表6-1。</w:t>
            </w:r>
          </w:p>
          <w:p>
            <w:pPr>
              <w:adjustRightInd w:val="0"/>
              <w:snapToGrid w:val="0"/>
              <w:jc w:val="center"/>
              <w:rPr>
                <w:b/>
                <w:sz w:val="24"/>
              </w:rPr>
            </w:pPr>
            <w:r>
              <w:rPr>
                <w:b/>
                <w:sz w:val="24"/>
              </w:rPr>
              <w:t>表6-1  拟建项目图形标志牌设置点</w:t>
            </w:r>
          </w:p>
          <w:tbl>
            <w:tblPr>
              <w:tblStyle w:val="15"/>
              <w:tblW w:w="12290" w:type="dxa"/>
              <w:jc w:val="center"/>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1"/>
              <w:gridCol w:w="3038"/>
              <w:gridCol w:w="2819"/>
              <w:gridCol w:w="3306"/>
              <w:gridCol w:w="1856"/>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271" w:type="dxa"/>
                  <w:vAlign w:val="center"/>
                </w:tcPr>
                <w:p>
                  <w:pPr>
                    <w:tabs>
                      <w:tab w:val="left" w:pos="6720"/>
                    </w:tabs>
                    <w:adjustRightInd w:val="0"/>
                    <w:snapToGrid w:val="0"/>
                    <w:jc w:val="center"/>
                    <w:rPr>
                      <w:b/>
                    </w:rPr>
                  </w:pPr>
                  <w:r>
                    <w:rPr>
                      <w:b/>
                    </w:rPr>
                    <w:t>序号</w:t>
                  </w:r>
                </w:p>
              </w:tc>
              <w:tc>
                <w:tcPr>
                  <w:tcW w:w="3038" w:type="dxa"/>
                  <w:vAlign w:val="center"/>
                </w:tcPr>
                <w:p>
                  <w:pPr>
                    <w:tabs>
                      <w:tab w:val="left" w:pos="6720"/>
                    </w:tabs>
                    <w:adjustRightInd w:val="0"/>
                    <w:snapToGrid w:val="0"/>
                    <w:jc w:val="center"/>
                    <w:rPr>
                      <w:b/>
                    </w:rPr>
                  </w:pPr>
                  <w:r>
                    <w:rPr>
                      <w:b/>
                    </w:rPr>
                    <w:t>排污口名称</w:t>
                  </w:r>
                </w:p>
              </w:tc>
              <w:tc>
                <w:tcPr>
                  <w:tcW w:w="2819" w:type="dxa"/>
                  <w:vAlign w:val="center"/>
                </w:tcPr>
                <w:p>
                  <w:pPr>
                    <w:tabs>
                      <w:tab w:val="left" w:pos="6720"/>
                    </w:tabs>
                    <w:adjustRightInd w:val="0"/>
                    <w:snapToGrid w:val="0"/>
                    <w:jc w:val="center"/>
                    <w:rPr>
                      <w:b/>
                    </w:rPr>
                  </w:pPr>
                  <w:r>
                    <w:rPr>
                      <w:b/>
                    </w:rPr>
                    <w:t>主要污染物</w:t>
                  </w:r>
                </w:p>
              </w:tc>
              <w:tc>
                <w:tcPr>
                  <w:tcW w:w="3306" w:type="dxa"/>
                  <w:vAlign w:val="center"/>
                </w:tcPr>
                <w:p>
                  <w:pPr>
                    <w:tabs>
                      <w:tab w:val="left" w:pos="6720"/>
                    </w:tabs>
                    <w:adjustRightInd w:val="0"/>
                    <w:snapToGrid w:val="0"/>
                    <w:jc w:val="center"/>
                    <w:rPr>
                      <w:b/>
                    </w:rPr>
                  </w:pPr>
                  <w:r>
                    <w:rPr>
                      <w:b/>
                    </w:rPr>
                    <w:t>标志牌设置点位</w:t>
                  </w:r>
                </w:p>
              </w:tc>
              <w:tc>
                <w:tcPr>
                  <w:tcW w:w="1856" w:type="dxa"/>
                  <w:vAlign w:val="center"/>
                </w:tcPr>
                <w:p>
                  <w:pPr>
                    <w:tabs>
                      <w:tab w:val="left" w:pos="6720"/>
                    </w:tabs>
                    <w:adjustRightInd w:val="0"/>
                    <w:snapToGrid w:val="0"/>
                    <w:jc w:val="center"/>
                    <w:rPr>
                      <w:b/>
                    </w:rPr>
                  </w:pPr>
                  <w:r>
                    <w:rPr>
                      <w:b/>
                    </w:rPr>
                    <w:t>标志牌类型</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37" w:hRule="atLeast"/>
                <w:jc w:val="center"/>
              </w:trPr>
              <w:tc>
                <w:tcPr>
                  <w:tcW w:w="1271" w:type="dxa"/>
                  <w:vAlign w:val="center"/>
                </w:tcPr>
                <w:p>
                  <w:pPr>
                    <w:tabs>
                      <w:tab w:val="left" w:pos="6720"/>
                    </w:tabs>
                    <w:adjustRightInd w:val="0"/>
                    <w:snapToGrid w:val="0"/>
                    <w:jc w:val="center"/>
                  </w:pPr>
                  <w:r>
                    <w:t>1</w:t>
                  </w:r>
                </w:p>
              </w:tc>
              <w:tc>
                <w:tcPr>
                  <w:tcW w:w="3038" w:type="dxa"/>
                  <w:vAlign w:val="center"/>
                </w:tcPr>
                <w:p>
                  <w:pPr>
                    <w:tabs>
                      <w:tab w:val="left" w:pos="6720"/>
                    </w:tabs>
                    <w:adjustRightInd w:val="0"/>
                    <w:snapToGrid w:val="0"/>
                    <w:jc w:val="center"/>
                  </w:pPr>
                  <w:r>
                    <w:t>布袋除尘器排气筒</w:t>
                  </w:r>
                </w:p>
              </w:tc>
              <w:tc>
                <w:tcPr>
                  <w:tcW w:w="2819" w:type="dxa"/>
                  <w:vAlign w:val="center"/>
                </w:tcPr>
                <w:p>
                  <w:pPr>
                    <w:tabs>
                      <w:tab w:val="left" w:pos="6720"/>
                    </w:tabs>
                    <w:adjustRightInd w:val="0"/>
                    <w:snapToGrid w:val="0"/>
                    <w:jc w:val="center"/>
                  </w:pPr>
                  <w:r>
                    <w:rPr>
                      <w:rFonts w:hint="eastAsia"/>
                    </w:rPr>
                    <w:t>颗粒物</w:t>
                  </w:r>
                </w:p>
              </w:tc>
              <w:tc>
                <w:tcPr>
                  <w:tcW w:w="3306" w:type="dxa"/>
                  <w:vAlign w:val="center"/>
                </w:tcPr>
                <w:p>
                  <w:pPr>
                    <w:tabs>
                      <w:tab w:val="left" w:pos="6720"/>
                    </w:tabs>
                    <w:adjustRightInd w:val="0"/>
                    <w:snapToGrid w:val="0"/>
                    <w:jc w:val="center"/>
                  </w:pPr>
                  <w:r>
                    <w:t>排气筒</w:t>
                  </w:r>
                  <w:r>
                    <w:rPr>
                      <w:rFonts w:hint="eastAsia"/>
                    </w:rPr>
                    <w:t>上及周边显眼的位置</w:t>
                  </w:r>
                </w:p>
              </w:tc>
              <w:tc>
                <w:tcPr>
                  <w:tcW w:w="1856" w:type="dxa"/>
                  <w:vAlign w:val="center"/>
                </w:tcPr>
                <w:p>
                  <w:pPr>
                    <w:tabs>
                      <w:tab w:val="left" w:pos="6720"/>
                    </w:tabs>
                    <w:adjustRightInd w:val="0"/>
                    <w:snapToGrid w:val="0"/>
                    <w:jc w:val="center"/>
                  </w:pPr>
                  <w:r>
                    <w:drawing>
                      <wp:inline distT="0" distB="0" distL="0" distR="0">
                        <wp:extent cx="812800" cy="892175"/>
                        <wp:effectExtent l="0" t="0" r="6350" b="3175"/>
                        <wp:docPr id="21330969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96907" name="图片 1"/>
                                <pic:cNvPicPr>
                                  <a:picLocks noChangeAspect="1"/>
                                </pic:cNvPicPr>
                              </pic:nvPicPr>
                              <pic:blipFill>
                                <a:blip r:embed="rId50" cstate="hqprint"/>
                                <a:stretch>
                                  <a:fillRect/>
                                </a:stretch>
                              </pic:blipFill>
                              <pic:spPr>
                                <a:xfrm>
                                  <a:off x="0" y="0"/>
                                  <a:ext cx="826117" cy="906886"/>
                                </a:xfrm>
                                <a:prstGeom prst="rect">
                                  <a:avLst/>
                                </a:prstGeom>
                              </pic:spPr>
                            </pic:pic>
                          </a:graphicData>
                        </a:graphic>
                      </wp:inline>
                    </w:drawing>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68" w:hRule="atLeast"/>
                <w:jc w:val="center"/>
              </w:trPr>
              <w:tc>
                <w:tcPr>
                  <w:tcW w:w="1271" w:type="dxa"/>
                  <w:vAlign w:val="center"/>
                </w:tcPr>
                <w:p>
                  <w:pPr>
                    <w:tabs>
                      <w:tab w:val="left" w:pos="6720"/>
                    </w:tabs>
                    <w:adjustRightInd w:val="0"/>
                    <w:snapToGrid w:val="0"/>
                    <w:jc w:val="center"/>
                  </w:pPr>
                  <w:r>
                    <w:t>2</w:t>
                  </w:r>
                </w:p>
              </w:tc>
              <w:tc>
                <w:tcPr>
                  <w:tcW w:w="3038" w:type="dxa"/>
                  <w:vAlign w:val="center"/>
                </w:tcPr>
                <w:p>
                  <w:pPr>
                    <w:tabs>
                      <w:tab w:val="left" w:pos="6720"/>
                    </w:tabs>
                    <w:adjustRightInd w:val="0"/>
                    <w:snapToGrid w:val="0"/>
                    <w:jc w:val="center"/>
                  </w:pPr>
                  <w:r>
                    <w:t>排土场</w:t>
                  </w:r>
                </w:p>
              </w:tc>
              <w:tc>
                <w:tcPr>
                  <w:tcW w:w="2819" w:type="dxa"/>
                  <w:vAlign w:val="center"/>
                </w:tcPr>
                <w:p>
                  <w:pPr>
                    <w:tabs>
                      <w:tab w:val="left" w:pos="6720"/>
                    </w:tabs>
                    <w:adjustRightInd w:val="0"/>
                    <w:snapToGrid w:val="0"/>
                    <w:jc w:val="center"/>
                  </w:pPr>
                  <w:r>
                    <w:rPr>
                      <w:rFonts w:hint="eastAsia"/>
                    </w:rPr>
                    <w:t>剥离物（表土）</w:t>
                  </w:r>
                </w:p>
              </w:tc>
              <w:tc>
                <w:tcPr>
                  <w:tcW w:w="3306" w:type="dxa"/>
                  <w:vAlign w:val="center"/>
                </w:tcPr>
                <w:p>
                  <w:pPr>
                    <w:tabs>
                      <w:tab w:val="left" w:pos="6720"/>
                    </w:tabs>
                    <w:adjustRightInd w:val="0"/>
                    <w:snapToGrid w:val="0"/>
                    <w:jc w:val="center"/>
                  </w:pPr>
                  <w:r>
                    <w:rPr>
                      <w:rFonts w:hint="eastAsia"/>
                      <w:color w:val="0000FF"/>
                    </w:rPr>
                    <w:t>弃渣场</w:t>
                  </w:r>
                  <w:r>
                    <w:rPr>
                      <w:rFonts w:hint="eastAsia"/>
                    </w:rPr>
                    <w:t>东侧入口处、</w:t>
                  </w:r>
                  <w:r>
                    <w:rPr>
                      <w:rFonts w:hint="eastAsia"/>
                      <w:color w:val="0000FF"/>
                    </w:rPr>
                    <w:t>排土场</w:t>
                  </w:r>
                  <w:r>
                    <w:rPr>
                      <w:rFonts w:hint="eastAsia"/>
                    </w:rPr>
                    <w:t>南</w:t>
                  </w:r>
                  <w:r>
                    <w:t>侧入口处</w:t>
                  </w:r>
                </w:p>
              </w:tc>
              <w:tc>
                <w:tcPr>
                  <w:tcW w:w="1856" w:type="dxa"/>
                  <w:vAlign w:val="center"/>
                </w:tcPr>
                <w:p>
                  <w:pPr>
                    <w:tabs>
                      <w:tab w:val="left" w:pos="6720"/>
                    </w:tabs>
                    <w:adjustRightInd w:val="0"/>
                    <w:snapToGrid w:val="0"/>
                    <w:jc w:val="center"/>
                  </w:pPr>
                  <w:r>
                    <w:drawing>
                      <wp:inline distT="0" distB="0" distL="0" distR="0">
                        <wp:extent cx="801370" cy="869950"/>
                        <wp:effectExtent l="0" t="0" r="0" b="6350"/>
                        <wp:docPr id="17098424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42459" name="图片 1"/>
                                <pic:cNvPicPr>
                                  <a:picLocks noChangeAspect="1"/>
                                </pic:cNvPicPr>
                              </pic:nvPicPr>
                              <pic:blipFill>
                                <a:blip r:embed="rId51" cstate="hqprint"/>
                                <a:stretch>
                                  <a:fillRect/>
                                </a:stretch>
                              </pic:blipFill>
                              <pic:spPr>
                                <a:xfrm>
                                  <a:off x="0" y="0"/>
                                  <a:ext cx="816157" cy="886270"/>
                                </a:xfrm>
                                <a:prstGeom prst="rect">
                                  <a:avLst/>
                                </a:prstGeom>
                              </pic:spPr>
                            </pic:pic>
                          </a:graphicData>
                        </a:graphic>
                      </wp:inline>
                    </w:drawing>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8" w:hRule="atLeast"/>
                <w:jc w:val="center"/>
              </w:trPr>
              <w:tc>
                <w:tcPr>
                  <w:tcW w:w="1271" w:type="dxa"/>
                  <w:vAlign w:val="center"/>
                </w:tcPr>
                <w:p>
                  <w:pPr>
                    <w:tabs>
                      <w:tab w:val="left" w:pos="6720"/>
                    </w:tabs>
                    <w:adjustRightInd w:val="0"/>
                    <w:snapToGrid w:val="0"/>
                    <w:jc w:val="center"/>
                  </w:pPr>
                  <w:r>
                    <w:t>3</w:t>
                  </w:r>
                </w:p>
              </w:tc>
              <w:tc>
                <w:tcPr>
                  <w:tcW w:w="3038" w:type="dxa"/>
                  <w:vAlign w:val="center"/>
                </w:tcPr>
                <w:p>
                  <w:pPr>
                    <w:tabs>
                      <w:tab w:val="left" w:pos="6720"/>
                    </w:tabs>
                    <w:adjustRightInd w:val="0"/>
                    <w:snapToGrid w:val="0"/>
                    <w:jc w:val="center"/>
                  </w:pPr>
                  <w:r>
                    <w:t>噪声源</w:t>
                  </w:r>
                </w:p>
              </w:tc>
              <w:tc>
                <w:tcPr>
                  <w:tcW w:w="2819" w:type="dxa"/>
                  <w:vAlign w:val="center"/>
                </w:tcPr>
                <w:p>
                  <w:pPr>
                    <w:tabs>
                      <w:tab w:val="left" w:pos="6720"/>
                    </w:tabs>
                    <w:adjustRightInd w:val="0"/>
                    <w:snapToGrid w:val="0"/>
                    <w:jc w:val="center"/>
                  </w:pPr>
                  <w:r>
                    <w:t>噪声</w:t>
                  </w:r>
                </w:p>
              </w:tc>
              <w:tc>
                <w:tcPr>
                  <w:tcW w:w="3306" w:type="dxa"/>
                  <w:vAlign w:val="center"/>
                </w:tcPr>
                <w:p>
                  <w:pPr>
                    <w:tabs>
                      <w:tab w:val="left" w:pos="6720"/>
                    </w:tabs>
                    <w:adjustRightInd w:val="0"/>
                    <w:snapToGrid w:val="0"/>
                    <w:jc w:val="center"/>
                  </w:pPr>
                  <w:r>
                    <w:rPr>
                      <w:rFonts w:hint="eastAsia"/>
                    </w:rPr>
                    <w:t>主要生产设备及周边显眼的位置</w:t>
                  </w:r>
                </w:p>
              </w:tc>
              <w:tc>
                <w:tcPr>
                  <w:tcW w:w="1856" w:type="dxa"/>
                  <w:vAlign w:val="center"/>
                </w:tcPr>
                <w:p>
                  <w:pPr>
                    <w:tabs>
                      <w:tab w:val="left" w:pos="6720"/>
                    </w:tabs>
                    <w:adjustRightInd w:val="0"/>
                    <w:snapToGrid w:val="0"/>
                    <w:jc w:val="center"/>
                  </w:pPr>
                  <w:r>
                    <w:drawing>
                      <wp:inline distT="0" distB="0" distL="0" distR="0">
                        <wp:extent cx="811530" cy="877570"/>
                        <wp:effectExtent l="0" t="0" r="7620" b="0"/>
                        <wp:docPr id="16946497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49746" name="图片 1"/>
                                <pic:cNvPicPr>
                                  <a:picLocks noChangeAspect="1"/>
                                </pic:cNvPicPr>
                              </pic:nvPicPr>
                              <pic:blipFill>
                                <a:blip r:embed="rId52" cstate="hqprint"/>
                                <a:stretch>
                                  <a:fillRect/>
                                </a:stretch>
                              </pic:blipFill>
                              <pic:spPr>
                                <a:xfrm>
                                  <a:off x="0" y="0"/>
                                  <a:ext cx="824603" cy="892061"/>
                                </a:xfrm>
                                <a:prstGeom prst="rect">
                                  <a:avLst/>
                                </a:prstGeom>
                              </pic:spPr>
                            </pic:pic>
                          </a:graphicData>
                        </a:graphic>
                      </wp:inline>
                    </w:drawing>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8" w:hRule="atLeast"/>
                <w:jc w:val="center"/>
              </w:trPr>
              <w:tc>
                <w:tcPr>
                  <w:tcW w:w="1271" w:type="dxa"/>
                  <w:vAlign w:val="center"/>
                </w:tcPr>
                <w:p>
                  <w:pPr>
                    <w:tabs>
                      <w:tab w:val="left" w:pos="6720"/>
                    </w:tabs>
                    <w:adjustRightInd w:val="0"/>
                    <w:snapToGrid w:val="0"/>
                    <w:jc w:val="center"/>
                  </w:pPr>
                  <w:r>
                    <w:t>4</w:t>
                  </w:r>
                </w:p>
              </w:tc>
              <w:tc>
                <w:tcPr>
                  <w:tcW w:w="3038" w:type="dxa"/>
                  <w:vAlign w:val="center"/>
                </w:tcPr>
                <w:p>
                  <w:pPr>
                    <w:tabs>
                      <w:tab w:val="left" w:pos="6720"/>
                    </w:tabs>
                    <w:adjustRightInd w:val="0"/>
                    <w:snapToGrid w:val="0"/>
                    <w:jc w:val="center"/>
                  </w:pPr>
                  <w:r>
                    <w:t>危废贮存点</w:t>
                  </w:r>
                </w:p>
              </w:tc>
              <w:tc>
                <w:tcPr>
                  <w:tcW w:w="2819" w:type="dxa"/>
                  <w:vAlign w:val="center"/>
                </w:tcPr>
                <w:p>
                  <w:pPr>
                    <w:tabs>
                      <w:tab w:val="left" w:pos="6720"/>
                    </w:tabs>
                    <w:adjustRightInd w:val="0"/>
                    <w:snapToGrid w:val="0"/>
                    <w:jc w:val="center"/>
                  </w:pPr>
                  <w:r>
                    <w:t>设备保养危废</w:t>
                  </w:r>
                </w:p>
              </w:tc>
              <w:tc>
                <w:tcPr>
                  <w:tcW w:w="3306" w:type="dxa"/>
                  <w:vAlign w:val="center"/>
                </w:tcPr>
                <w:p>
                  <w:pPr>
                    <w:tabs>
                      <w:tab w:val="left" w:pos="6720"/>
                    </w:tabs>
                    <w:adjustRightInd w:val="0"/>
                    <w:snapToGrid w:val="0"/>
                    <w:jc w:val="center"/>
                  </w:pPr>
                  <w:r>
                    <w:t>危废贮存点大门或墙面</w:t>
                  </w:r>
                </w:p>
              </w:tc>
              <w:tc>
                <w:tcPr>
                  <w:tcW w:w="1856" w:type="dxa"/>
                  <w:vAlign w:val="center"/>
                </w:tcPr>
                <w:p>
                  <w:pPr>
                    <w:tabs>
                      <w:tab w:val="left" w:pos="6720"/>
                    </w:tabs>
                    <w:adjustRightInd w:val="0"/>
                    <w:snapToGrid w:val="0"/>
                    <w:jc w:val="center"/>
                  </w:pPr>
                  <w:r>
                    <w:drawing>
                      <wp:inline distT="0" distB="0" distL="0" distR="0">
                        <wp:extent cx="824865" cy="809625"/>
                        <wp:effectExtent l="0" t="0" r="0" b="0"/>
                        <wp:docPr id="1077372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72767" name="图片 1"/>
                                <pic:cNvPicPr>
                                  <a:picLocks noChangeAspect="1"/>
                                </pic:cNvPicPr>
                              </pic:nvPicPr>
                              <pic:blipFill>
                                <a:blip r:embed="rId53" cstate="hqprint"/>
                                <a:stretch>
                                  <a:fillRect/>
                                </a:stretch>
                              </pic:blipFill>
                              <pic:spPr>
                                <a:xfrm>
                                  <a:off x="0" y="0"/>
                                  <a:ext cx="847666" cy="831942"/>
                                </a:xfrm>
                                <a:prstGeom prst="rect">
                                  <a:avLst/>
                                </a:prstGeom>
                              </pic:spPr>
                            </pic:pic>
                          </a:graphicData>
                        </a:graphic>
                      </wp:inline>
                    </w:drawing>
                  </w:r>
                </w:p>
              </w:tc>
            </w:tr>
          </w:tbl>
          <w:p>
            <w:pPr>
              <w:adjustRightInd w:val="0"/>
              <w:snapToGrid w:val="0"/>
              <w:ind w:firstLine="480" w:firstLineChars="200"/>
              <w:rPr>
                <w:sz w:val="24"/>
              </w:rPr>
            </w:pPr>
            <w:r>
              <w:rPr>
                <w:rFonts w:hint="eastAsia"/>
                <w:sz w:val="24"/>
              </w:rPr>
              <w:t>（</w:t>
            </w:r>
            <w:r>
              <w:rPr>
                <w:sz w:val="24"/>
              </w:rPr>
              <w:t>4</w:t>
            </w:r>
            <w:r>
              <w:rPr>
                <w:rFonts w:hint="eastAsia"/>
                <w:sz w:val="24"/>
              </w:rPr>
              <w:t>）环境信息公开</w:t>
            </w:r>
          </w:p>
          <w:p>
            <w:pPr>
              <w:adjustRightInd w:val="0"/>
              <w:snapToGrid w:val="0"/>
              <w:ind w:firstLine="480" w:firstLineChars="200"/>
              <w:rPr>
                <w:sz w:val="24"/>
              </w:rPr>
            </w:pPr>
            <w:r>
              <w:rPr>
                <w:rFonts w:hint="eastAsia"/>
                <w:sz w:val="24"/>
              </w:rPr>
              <w:t>根据《企业环境信息依法披露管理办法》（生态环境部令第</w:t>
            </w:r>
            <w:r>
              <w:rPr>
                <w:sz w:val="24"/>
              </w:rPr>
              <w:t>24</w:t>
            </w:r>
            <w:r>
              <w:rPr>
                <w:rFonts w:hint="eastAsia"/>
                <w:sz w:val="24"/>
              </w:rPr>
              <w:t>号），排污单位应当通过其网站、企业事业单位环境信息公开平台或者当地报刊等便于公众知晓的方式公开环境信息，其具体公开的信息内容如下：</w:t>
            </w:r>
          </w:p>
          <w:p>
            <w:pPr>
              <w:adjustRightInd w:val="0"/>
              <w:snapToGrid w:val="0"/>
              <w:ind w:firstLine="480" w:firstLineChars="200"/>
              <w:rPr>
                <w:sz w:val="24"/>
              </w:rPr>
            </w:pPr>
            <w:r>
              <w:rPr>
                <w:sz w:val="24"/>
              </w:rPr>
              <w:t>1</w:t>
            </w:r>
            <w:r>
              <w:rPr>
                <w:rFonts w:hint="eastAsia"/>
                <w:sz w:val="24"/>
              </w:rPr>
              <w:t>）基础信息，包括单位名称、组织机构代码、法定代表人、生产地址、联系方式，以及生产经营和管理服务的主要内容、产品及规模；</w:t>
            </w:r>
          </w:p>
          <w:p>
            <w:pPr>
              <w:adjustRightInd w:val="0"/>
              <w:snapToGrid w:val="0"/>
              <w:ind w:firstLine="480" w:firstLineChars="200"/>
              <w:rPr>
                <w:sz w:val="24"/>
              </w:rPr>
            </w:pPr>
            <w:r>
              <w:rPr>
                <w:sz w:val="24"/>
              </w:rPr>
              <w:t>2</w:t>
            </w:r>
            <w:r>
              <w:rPr>
                <w:rFonts w:hint="eastAsia"/>
                <w:sz w:val="24"/>
              </w:rPr>
              <w:t>）排污信息，包括主要污染物及特征污染物的名称、排放方式、排放口数量和分布情况、排放浓度和总量、超标情况，以及执行的污染物排放标准、核定的排放总量；</w:t>
            </w:r>
          </w:p>
          <w:p>
            <w:pPr>
              <w:adjustRightInd w:val="0"/>
              <w:snapToGrid w:val="0"/>
              <w:ind w:firstLine="480" w:firstLineChars="200"/>
              <w:rPr>
                <w:sz w:val="24"/>
              </w:rPr>
            </w:pPr>
            <w:r>
              <w:rPr>
                <w:sz w:val="24"/>
              </w:rPr>
              <w:t>3</w:t>
            </w:r>
            <w:r>
              <w:rPr>
                <w:rFonts w:hint="eastAsia"/>
                <w:sz w:val="24"/>
              </w:rPr>
              <w:t>）污染设施的建设和运行情况；</w:t>
            </w:r>
          </w:p>
          <w:p>
            <w:pPr>
              <w:adjustRightInd w:val="0"/>
              <w:snapToGrid w:val="0"/>
              <w:ind w:firstLine="480" w:firstLineChars="200"/>
              <w:rPr>
                <w:sz w:val="24"/>
              </w:rPr>
            </w:pPr>
            <w:r>
              <w:rPr>
                <w:sz w:val="24"/>
              </w:rPr>
              <w:t>4</w:t>
            </w:r>
            <w:r>
              <w:rPr>
                <w:rFonts w:hint="eastAsia"/>
                <w:sz w:val="24"/>
              </w:rPr>
              <w:t>）建设项目环境影响评价及其他环境保护行政许可情况；</w:t>
            </w:r>
          </w:p>
          <w:p>
            <w:pPr>
              <w:adjustRightInd w:val="0"/>
              <w:snapToGrid w:val="0"/>
              <w:ind w:firstLine="480" w:firstLineChars="200"/>
              <w:rPr>
                <w:sz w:val="24"/>
              </w:rPr>
            </w:pPr>
            <w:r>
              <w:rPr>
                <w:sz w:val="24"/>
              </w:rPr>
              <w:t>5</w:t>
            </w:r>
            <w:r>
              <w:rPr>
                <w:rFonts w:hint="eastAsia"/>
                <w:sz w:val="24"/>
              </w:rPr>
              <w:t>）突发环境事件应急预案；</w:t>
            </w:r>
          </w:p>
          <w:p>
            <w:pPr>
              <w:adjustRightInd w:val="0"/>
              <w:snapToGrid w:val="0"/>
              <w:ind w:firstLine="480" w:firstLineChars="200"/>
              <w:rPr>
                <w:sz w:val="24"/>
              </w:rPr>
            </w:pPr>
            <w:r>
              <w:rPr>
                <w:sz w:val="24"/>
              </w:rPr>
              <w:t>6</w:t>
            </w:r>
            <w:r>
              <w:rPr>
                <w:rFonts w:hint="eastAsia"/>
                <w:sz w:val="24"/>
              </w:rPr>
              <w:t>）其他应当公开的环境信息。</w:t>
            </w:r>
          </w:p>
          <w:p>
            <w:pPr>
              <w:adjustRightInd w:val="0"/>
              <w:snapToGrid w:val="0"/>
              <w:ind w:firstLine="480" w:firstLineChars="200"/>
              <w:jc w:val="left"/>
              <w:rPr>
                <w:sz w:val="24"/>
              </w:rPr>
            </w:pPr>
          </w:p>
          <w:p>
            <w:pPr>
              <w:adjustRightInd w:val="0"/>
              <w:snapToGrid w:val="0"/>
              <w:ind w:firstLine="480" w:firstLineChars="200"/>
              <w:jc w:val="left"/>
              <w:rPr>
                <w:sz w:val="24"/>
              </w:rPr>
            </w:pPr>
          </w:p>
        </w:tc>
      </w:tr>
    </w:tbl>
    <w:p>
      <w:pPr>
        <w:pStyle w:val="13"/>
        <w:spacing w:before="192" w:beforeLines="80" w:beforeAutospacing="0"/>
        <w:jc w:val="center"/>
        <w:outlineLvl w:val="0"/>
        <w:rPr>
          <w:rFonts w:ascii="Times New Roman" w:hAnsi="Times New Roman" w:eastAsia="黑体"/>
          <w:snapToGrid w:val="0"/>
          <w:sz w:val="30"/>
          <w:szCs w:val="30"/>
        </w:rPr>
        <w:sectPr>
          <w:pgSz w:w="16838" w:h="11906" w:orient="landscape"/>
          <w:pgMar w:top="1080" w:right="1440" w:bottom="1080" w:left="1440" w:header="851" w:footer="1077" w:gutter="0"/>
          <w:cols w:space="720" w:num="1"/>
          <w:docGrid w:linePitch="312" w:charSpace="0"/>
        </w:sectPr>
      </w:pPr>
    </w:p>
    <w:p>
      <w:pPr>
        <w:pStyle w:val="13"/>
        <w:spacing w:before="192" w:beforeLines="80" w:beforeAutospacing="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七、结论</w:t>
      </w: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349" w:hRule="atLeast"/>
          <w:jc w:val="center"/>
        </w:trPr>
        <w:tc>
          <w:tcPr>
            <w:tcW w:w="9726" w:type="dxa"/>
          </w:tcPr>
          <w:p>
            <w:pPr>
              <w:adjustRightInd w:val="0"/>
              <w:snapToGrid w:val="0"/>
              <w:spacing w:line="360" w:lineRule="auto"/>
              <w:ind w:firstLine="520" w:firstLineChars="200"/>
              <w:rPr>
                <w:bCs/>
                <w:spacing w:val="10"/>
                <w:sz w:val="24"/>
              </w:rPr>
            </w:pPr>
            <w:r>
              <w:rPr>
                <w:bCs/>
                <w:spacing w:val="10"/>
                <w:sz w:val="24"/>
              </w:rPr>
              <w:t>拟建项目属于</w:t>
            </w:r>
            <w:r>
              <w:rPr>
                <w:rFonts w:hint="eastAsia"/>
                <w:bCs/>
                <w:color w:val="0000FF"/>
                <w:spacing w:val="10"/>
                <w:sz w:val="24"/>
              </w:rPr>
              <w:t>建筑石料</w:t>
            </w:r>
            <w:r>
              <w:rPr>
                <w:rFonts w:hint="eastAsia"/>
                <w:bCs/>
                <w:spacing w:val="10"/>
                <w:sz w:val="24"/>
              </w:rPr>
              <w:t>用灰岩</w:t>
            </w:r>
            <w:r>
              <w:rPr>
                <w:bCs/>
                <w:spacing w:val="10"/>
                <w:sz w:val="24"/>
              </w:rPr>
              <w:t>矿开采</w:t>
            </w:r>
            <w:r>
              <w:rPr>
                <w:rFonts w:hint="eastAsia"/>
                <w:bCs/>
                <w:spacing w:val="10"/>
                <w:sz w:val="24"/>
              </w:rPr>
              <w:t>加工</w:t>
            </w:r>
            <w:r>
              <w:rPr>
                <w:bCs/>
                <w:spacing w:val="10"/>
                <w:sz w:val="24"/>
              </w:rPr>
              <w:t>项目，</w:t>
            </w:r>
            <w:r>
              <w:rPr>
                <w:rFonts w:hint="eastAsia"/>
                <w:bCs/>
                <w:spacing w:val="10"/>
                <w:sz w:val="24"/>
              </w:rPr>
              <w:t>通过优化开采方式及采取直观可视采区仿真绿叶网覆盖相结合方案的前提下，采区开采活动不在重要道路及重要生态环境敏感目标的可视范围内，</w:t>
            </w:r>
            <w:r>
              <w:rPr>
                <w:bCs/>
                <w:spacing w:val="10"/>
                <w:sz w:val="24"/>
              </w:rPr>
              <w:t>符合产业政策、环保政策以及相关规划、规划环</w:t>
            </w:r>
            <w:r>
              <w:rPr>
                <w:rFonts w:ascii="宋体" w:hAnsi="宋体"/>
                <w:bCs/>
                <w:spacing w:val="10"/>
                <w:sz w:val="24"/>
              </w:rPr>
              <w:t>评和“三线一单”要求</w:t>
            </w:r>
            <w:r>
              <w:rPr>
                <w:bCs/>
                <w:spacing w:val="10"/>
                <w:sz w:val="24"/>
              </w:rPr>
              <w:t>，对促进当地经济发展具有一定作用。</w:t>
            </w:r>
          </w:p>
          <w:p>
            <w:pPr>
              <w:adjustRightInd w:val="0"/>
              <w:snapToGrid w:val="0"/>
              <w:spacing w:line="360" w:lineRule="auto"/>
              <w:ind w:firstLine="520" w:firstLineChars="200"/>
              <w:rPr>
                <w:bCs/>
                <w:spacing w:val="10"/>
                <w:sz w:val="24"/>
              </w:rPr>
            </w:pPr>
            <w:r>
              <w:rPr>
                <w:bCs/>
                <w:spacing w:val="10"/>
                <w:sz w:val="24"/>
              </w:rPr>
              <w:t>项目在运营期将对废水、废气、噪声、固废等各项污染物及生态影响采取积极有效的污染防治措施。从影响分析的角度来看，在采取各项污染防治和生态保护措施后，项目建设对生态环境的影响较小</w:t>
            </w:r>
            <w:r>
              <w:rPr>
                <w:rFonts w:hint="eastAsia"/>
                <w:bCs/>
                <w:spacing w:val="10"/>
                <w:sz w:val="24"/>
              </w:rPr>
              <w:t>，环境风险可控</w:t>
            </w:r>
            <w:r>
              <w:rPr>
                <w:bCs/>
                <w:spacing w:val="10"/>
                <w:sz w:val="24"/>
              </w:rPr>
              <w:t>。</w:t>
            </w:r>
          </w:p>
          <w:p>
            <w:pPr>
              <w:adjustRightInd w:val="0"/>
              <w:snapToGrid w:val="0"/>
              <w:spacing w:line="360" w:lineRule="auto"/>
              <w:ind w:firstLine="520" w:firstLineChars="200"/>
              <w:rPr>
                <w:sz w:val="24"/>
              </w:rPr>
            </w:pPr>
            <w:r>
              <w:rPr>
                <w:bCs/>
                <w:spacing w:val="10"/>
                <w:sz w:val="24"/>
              </w:rPr>
              <w:t>从</w:t>
            </w:r>
            <w:r>
              <w:rPr>
                <w:rFonts w:hint="eastAsia"/>
                <w:bCs/>
                <w:spacing w:val="10"/>
                <w:sz w:val="24"/>
              </w:rPr>
              <w:t>生态</w:t>
            </w:r>
            <w:r>
              <w:rPr>
                <w:bCs/>
                <w:spacing w:val="10"/>
                <w:sz w:val="24"/>
              </w:rPr>
              <w:t>环境保护的角度分析，建设单位在严格落实设计和环评中提出的各项环保措施，严格执</w:t>
            </w:r>
            <w:r>
              <w:rPr>
                <w:rFonts w:ascii="宋体" w:hAnsi="宋体"/>
                <w:bCs/>
                <w:spacing w:val="10"/>
                <w:sz w:val="24"/>
              </w:rPr>
              <w:t>行“三同时”制度</w:t>
            </w:r>
            <w:r>
              <w:rPr>
                <w:bCs/>
                <w:spacing w:val="10"/>
                <w:sz w:val="24"/>
              </w:rPr>
              <w:t>的基础上，拟建项目的建设是可行的。</w:t>
            </w:r>
          </w:p>
        </w:tc>
      </w:tr>
    </w:tbl>
    <w:p>
      <w:pPr>
        <w:pStyle w:val="13"/>
        <w:spacing w:before="0" w:beforeAutospacing="0" w:line="14" w:lineRule="auto"/>
        <w:outlineLvl w:val="0"/>
        <w:rPr>
          <w:rFonts w:ascii="Times New Roman" w:hAnsi="Times New Roman" w:eastAsia="黑体"/>
          <w:snapToGrid w:val="0"/>
          <w:sz w:val="30"/>
          <w:szCs w:val="30"/>
        </w:rPr>
      </w:pPr>
    </w:p>
    <w:p>
      <w:pPr>
        <w:widowControl/>
        <w:jc w:val="left"/>
        <w:rPr>
          <w:rFonts w:eastAsia="黑体"/>
          <w:snapToGrid w:val="0"/>
          <w:kern w:val="0"/>
          <w:sz w:val="30"/>
          <w:szCs w:val="30"/>
        </w:rPr>
      </w:pPr>
      <w:r>
        <w:rPr>
          <w:rFonts w:eastAsia="黑体"/>
          <w:snapToGrid w:val="0"/>
          <w:sz w:val="30"/>
          <w:szCs w:val="30"/>
        </w:rPr>
        <w:br w:type="page"/>
      </w:r>
    </w:p>
    <w:p>
      <w:pPr>
        <w:spacing w:line="360" w:lineRule="auto"/>
        <w:rPr>
          <w:b/>
          <w:bCs/>
          <w:sz w:val="24"/>
        </w:rPr>
      </w:pPr>
      <w:r>
        <w:rPr>
          <w:rFonts w:hint="eastAsia"/>
          <w:b/>
          <w:bCs/>
          <w:sz w:val="24"/>
        </w:rPr>
        <w:t>附图：</w:t>
      </w:r>
    </w:p>
    <w:p>
      <w:pPr>
        <w:spacing w:line="360" w:lineRule="auto"/>
        <w:rPr>
          <w:sz w:val="24"/>
        </w:rPr>
      </w:pPr>
      <w:r>
        <w:rPr>
          <w:rFonts w:hint="eastAsia"/>
          <w:sz w:val="24"/>
        </w:rPr>
        <w:t>附图1 项目地理位置及水系分布图</w:t>
      </w:r>
    </w:p>
    <w:p>
      <w:pPr>
        <w:spacing w:line="360" w:lineRule="auto"/>
        <w:rPr>
          <w:color w:val="0000FF"/>
          <w:sz w:val="24"/>
        </w:rPr>
      </w:pPr>
      <w:r>
        <w:rPr>
          <w:rFonts w:hint="eastAsia"/>
          <w:color w:val="0000FF"/>
          <w:sz w:val="24"/>
        </w:rPr>
        <w:t>附图2 原项目平面布置图</w:t>
      </w:r>
    </w:p>
    <w:p>
      <w:pPr>
        <w:spacing w:line="360" w:lineRule="auto"/>
        <w:rPr>
          <w:sz w:val="24"/>
        </w:rPr>
      </w:pPr>
      <w:r>
        <w:rPr>
          <w:rFonts w:hint="eastAsia"/>
          <w:sz w:val="24"/>
        </w:rPr>
        <w:t>附图3 拟建项目矿区储量估算及剖面图</w:t>
      </w:r>
    </w:p>
    <w:p>
      <w:pPr>
        <w:spacing w:line="360" w:lineRule="auto"/>
        <w:rPr>
          <w:color w:val="0000FF"/>
          <w:sz w:val="24"/>
        </w:rPr>
      </w:pPr>
      <w:r>
        <w:rPr>
          <w:rFonts w:hint="eastAsia"/>
          <w:color w:val="0000FF"/>
          <w:sz w:val="24"/>
        </w:rPr>
        <w:t>附图4-1 拟建项目平面布置、开拓系统及环保设施分布图（影像）</w:t>
      </w:r>
    </w:p>
    <w:p>
      <w:pPr>
        <w:spacing w:line="360" w:lineRule="auto"/>
        <w:rPr>
          <w:color w:val="0000FF"/>
          <w:sz w:val="24"/>
        </w:rPr>
      </w:pPr>
      <w:r>
        <w:rPr>
          <w:rFonts w:hint="eastAsia"/>
          <w:color w:val="0000FF"/>
          <w:sz w:val="24"/>
        </w:rPr>
        <w:t>附图4-2 拟建项目平面布置、开拓系统及环保设施分布图（地形）</w:t>
      </w:r>
    </w:p>
    <w:p>
      <w:pPr>
        <w:spacing w:line="360" w:lineRule="auto"/>
        <w:rPr>
          <w:sz w:val="24"/>
        </w:rPr>
      </w:pPr>
      <w:r>
        <w:rPr>
          <w:rFonts w:hint="eastAsia"/>
          <w:sz w:val="24"/>
        </w:rPr>
        <w:t>附图4-3 拟建项目典型开采剖面图</w:t>
      </w:r>
    </w:p>
    <w:p>
      <w:pPr>
        <w:spacing w:line="360" w:lineRule="auto"/>
        <w:rPr>
          <w:color w:val="0000FF"/>
          <w:sz w:val="24"/>
        </w:rPr>
      </w:pPr>
      <w:r>
        <w:rPr>
          <w:rFonts w:hint="eastAsia"/>
          <w:color w:val="0000FF"/>
          <w:sz w:val="24"/>
        </w:rPr>
        <w:t>附图5-1 拟建项目开采终了平面图</w:t>
      </w:r>
    </w:p>
    <w:p>
      <w:pPr>
        <w:spacing w:line="360" w:lineRule="auto"/>
        <w:rPr>
          <w:sz w:val="24"/>
        </w:rPr>
      </w:pPr>
      <w:r>
        <w:rPr>
          <w:rFonts w:hint="eastAsia"/>
          <w:sz w:val="24"/>
        </w:rPr>
        <w:t>附图5-2 拟建项目典型开采终了剖面图</w:t>
      </w:r>
    </w:p>
    <w:p>
      <w:pPr>
        <w:spacing w:line="360" w:lineRule="auto"/>
        <w:rPr>
          <w:sz w:val="24"/>
        </w:rPr>
      </w:pPr>
      <w:r>
        <w:rPr>
          <w:rFonts w:hint="eastAsia"/>
          <w:sz w:val="24"/>
        </w:rPr>
        <w:t>附图6-1 S525省道直观可视论证平面图</w:t>
      </w:r>
    </w:p>
    <w:p>
      <w:pPr>
        <w:spacing w:line="360" w:lineRule="auto"/>
        <w:rPr>
          <w:sz w:val="24"/>
        </w:rPr>
      </w:pPr>
      <w:r>
        <w:rPr>
          <w:rFonts w:hint="eastAsia"/>
          <w:sz w:val="24"/>
        </w:rPr>
        <w:t>附图6-2 S525省道直观可视论证剖面图</w:t>
      </w:r>
    </w:p>
    <w:p>
      <w:pPr>
        <w:spacing w:line="360" w:lineRule="auto"/>
        <w:rPr>
          <w:sz w:val="24"/>
        </w:rPr>
      </w:pPr>
      <w:r>
        <w:rPr>
          <w:rFonts w:hint="eastAsia"/>
          <w:sz w:val="24"/>
        </w:rPr>
        <w:t>附图6-</w:t>
      </w:r>
      <w:r>
        <w:rPr>
          <w:rFonts w:hint="eastAsia"/>
          <w:color w:val="0000FF"/>
          <w:sz w:val="24"/>
        </w:rPr>
        <w:t>3</w:t>
      </w:r>
      <w:r>
        <w:rPr>
          <w:rFonts w:hint="eastAsia"/>
          <w:sz w:val="24"/>
        </w:rPr>
        <w:t xml:space="preserve"> 525省道直观可视区临时遮挡方案平面图</w:t>
      </w:r>
    </w:p>
    <w:p>
      <w:pPr>
        <w:spacing w:line="360" w:lineRule="auto"/>
        <w:rPr>
          <w:sz w:val="24"/>
        </w:rPr>
      </w:pPr>
      <w:r>
        <w:rPr>
          <w:rFonts w:hint="eastAsia"/>
          <w:sz w:val="24"/>
        </w:rPr>
        <w:t>附图6-</w:t>
      </w:r>
      <w:r>
        <w:rPr>
          <w:rFonts w:hint="eastAsia"/>
          <w:color w:val="0000FF"/>
          <w:sz w:val="24"/>
        </w:rPr>
        <w:t>4</w:t>
      </w:r>
      <w:r>
        <w:rPr>
          <w:rFonts w:hint="eastAsia"/>
          <w:sz w:val="24"/>
        </w:rPr>
        <w:t xml:space="preserve"> 525省道直观可视区临时遮挡方案剖面图</w:t>
      </w:r>
    </w:p>
    <w:p>
      <w:pPr>
        <w:spacing w:line="360" w:lineRule="auto"/>
        <w:rPr>
          <w:sz w:val="24"/>
        </w:rPr>
      </w:pPr>
      <w:r>
        <w:rPr>
          <w:rFonts w:hint="eastAsia"/>
          <w:sz w:val="24"/>
        </w:rPr>
        <w:t>附图6-</w:t>
      </w:r>
      <w:r>
        <w:rPr>
          <w:rFonts w:hint="eastAsia"/>
          <w:color w:val="0000FF"/>
          <w:sz w:val="24"/>
        </w:rPr>
        <w:t>5</w:t>
      </w:r>
      <w:r>
        <w:rPr>
          <w:rFonts w:hint="eastAsia"/>
          <w:sz w:val="24"/>
        </w:rPr>
        <w:t xml:space="preserve"> S525省道直观可视区域典型开采剖面图</w:t>
      </w:r>
    </w:p>
    <w:p>
      <w:pPr>
        <w:spacing w:line="360" w:lineRule="auto"/>
        <w:rPr>
          <w:color w:val="0000FF"/>
          <w:sz w:val="24"/>
        </w:rPr>
      </w:pPr>
      <w:r>
        <w:rPr>
          <w:rFonts w:hint="eastAsia"/>
          <w:color w:val="0000FF"/>
          <w:sz w:val="24"/>
        </w:rPr>
        <w:t>附图7-1 矿山生态恢复平面布置图</w:t>
      </w:r>
    </w:p>
    <w:p>
      <w:pPr>
        <w:spacing w:line="360" w:lineRule="auto"/>
        <w:rPr>
          <w:sz w:val="24"/>
        </w:rPr>
      </w:pPr>
      <w:r>
        <w:rPr>
          <w:rFonts w:hint="eastAsia"/>
          <w:sz w:val="24"/>
        </w:rPr>
        <w:t>附图7-2 项目典型生态措施工程布置图</w:t>
      </w:r>
    </w:p>
    <w:p>
      <w:pPr>
        <w:spacing w:line="360" w:lineRule="auto"/>
        <w:rPr>
          <w:color w:val="0000FF"/>
          <w:sz w:val="24"/>
        </w:rPr>
      </w:pPr>
      <w:r>
        <w:rPr>
          <w:rFonts w:hint="eastAsia"/>
          <w:color w:val="0000FF"/>
          <w:sz w:val="24"/>
        </w:rPr>
        <w:t>附图8 项目环境保护目标分布图</w:t>
      </w:r>
    </w:p>
    <w:p>
      <w:pPr>
        <w:spacing w:line="360" w:lineRule="auto"/>
        <w:rPr>
          <w:sz w:val="24"/>
        </w:rPr>
      </w:pPr>
      <w:r>
        <w:rPr>
          <w:rFonts w:hint="eastAsia"/>
          <w:sz w:val="24"/>
        </w:rPr>
        <w:t>附图9 拟建项目环境质量现状监测布点图</w:t>
      </w:r>
    </w:p>
    <w:p>
      <w:pPr>
        <w:spacing w:line="360" w:lineRule="auto"/>
        <w:rPr>
          <w:sz w:val="24"/>
        </w:rPr>
      </w:pPr>
      <w:r>
        <w:rPr>
          <w:rFonts w:hint="eastAsia"/>
          <w:sz w:val="24"/>
        </w:rPr>
        <w:t>附图10 拟建项目植被类型分布图</w:t>
      </w:r>
    </w:p>
    <w:p>
      <w:pPr>
        <w:spacing w:line="360" w:lineRule="auto"/>
        <w:rPr>
          <w:sz w:val="24"/>
        </w:rPr>
      </w:pPr>
      <w:r>
        <w:rPr>
          <w:rFonts w:hint="eastAsia"/>
          <w:sz w:val="24"/>
        </w:rPr>
        <w:t>附图11 拟建项目土地利用现状图</w:t>
      </w:r>
    </w:p>
    <w:p>
      <w:pPr>
        <w:spacing w:line="360" w:lineRule="auto"/>
        <w:rPr>
          <w:sz w:val="24"/>
        </w:rPr>
      </w:pPr>
      <w:r>
        <w:rPr>
          <w:rFonts w:hint="eastAsia"/>
          <w:sz w:val="24"/>
        </w:rPr>
        <w:t>附图12 拟建项目水土流失现状分布图</w:t>
      </w:r>
    </w:p>
    <w:p>
      <w:pPr>
        <w:spacing w:line="360" w:lineRule="auto"/>
        <w:rPr>
          <w:sz w:val="24"/>
        </w:rPr>
      </w:pPr>
      <w:r>
        <w:rPr>
          <w:rFonts w:hint="eastAsia"/>
          <w:sz w:val="24"/>
        </w:rPr>
        <w:t>附图13 酉阳县矿产资源勘查开发利用现状图</w:t>
      </w:r>
    </w:p>
    <w:p>
      <w:pPr>
        <w:spacing w:line="360" w:lineRule="auto"/>
        <w:rPr>
          <w:sz w:val="24"/>
        </w:rPr>
      </w:pPr>
      <w:r>
        <w:rPr>
          <w:rFonts w:hint="eastAsia"/>
          <w:sz w:val="24"/>
        </w:rPr>
        <w:t>附图14 酉阳县</w:t>
      </w:r>
      <w:r>
        <w:rPr>
          <w:rFonts w:hint="eastAsia"/>
        </w:rPr>
        <w:t>“</w:t>
      </w:r>
      <w:r>
        <w:t>十四五</w:t>
      </w:r>
      <w:r>
        <w:rPr>
          <w:rFonts w:hint="eastAsia"/>
        </w:rPr>
        <w:t>”</w:t>
      </w:r>
      <w:r>
        <w:rPr>
          <w:rFonts w:hint="eastAsia"/>
          <w:sz w:val="24"/>
        </w:rPr>
        <w:t>期间后续矿产资源开采规划图</w:t>
      </w:r>
    </w:p>
    <w:p>
      <w:pPr>
        <w:spacing w:line="360" w:lineRule="auto"/>
        <w:rPr>
          <w:color w:val="0000FF"/>
          <w:sz w:val="24"/>
        </w:rPr>
      </w:pPr>
      <w:r>
        <w:rPr>
          <w:rFonts w:hint="eastAsia"/>
          <w:color w:val="0000FF"/>
          <w:sz w:val="24"/>
        </w:rPr>
        <w:t>附图15 项目与酉阳县饮用水源保护区位置关系图</w:t>
      </w:r>
    </w:p>
    <w:p>
      <w:pPr>
        <w:spacing w:line="360" w:lineRule="auto"/>
        <w:rPr>
          <w:sz w:val="24"/>
        </w:rPr>
      </w:pPr>
      <w:r>
        <w:rPr>
          <w:rFonts w:hint="eastAsia"/>
          <w:sz w:val="24"/>
        </w:rPr>
        <w:t>附图16 项目与酉阳县自然保护地位置关系图</w:t>
      </w:r>
    </w:p>
    <w:p>
      <w:pPr>
        <w:spacing w:line="360" w:lineRule="auto"/>
        <w:rPr>
          <w:sz w:val="24"/>
        </w:rPr>
      </w:pPr>
      <w:r>
        <w:rPr>
          <w:rFonts w:hint="eastAsia"/>
          <w:sz w:val="24"/>
        </w:rPr>
        <w:t>附图17 项目生物多样性保护优先区域位置关系图</w:t>
      </w:r>
    </w:p>
    <w:p>
      <w:pPr>
        <w:spacing w:line="360" w:lineRule="auto"/>
        <w:rPr>
          <w:color w:val="0000FF"/>
          <w:sz w:val="24"/>
        </w:rPr>
      </w:pPr>
      <w:r>
        <w:rPr>
          <w:rFonts w:hint="eastAsia"/>
          <w:color w:val="0000FF"/>
          <w:sz w:val="24"/>
        </w:rPr>
        <w:t>附图18 全厂雨污水管网图</w:t>
      </w:r>
    </w:p>
    <w:p>
      <w:pPr>
        <w:spacing w:line="360" w:lineRule="auto"/>
        <w:rPr>
          <w:sz w:val="24"/>
        </w:rPr>
      </w:pPr>
    </w:p>
    <w:p>
      <w:pPr>
        <w:spacing w:line="360" w:lineRule="auto"/>
        <w:rPr>
          <w:sz w:val="24"/>
        </w:rPr>
      </w:pPr>
    </w:p>
    <w:p>
      <w:pPr>
        <w:spacing w:line="360" w:lineRule="auto"/>
        <w:rPr>
          <w:sz w:val="24"/>
        </w:rPr>
      </w:pPr>
    </w:p>
    <w:p>
      <w:pPr>
        <w:spacing w:line="360" w:lineRule="auto"/>
        <w:rPr>
          <w:b/>
          <w:bCs/>
          <w:sz w:val="24"/>
        </w:rPr>
      </w:pPr>
      <w:r>
        <w:rPr>
          <w:rFonts w:hint="eastAsia"/>
          <w:b/>
          <w:bCs/>
          <w:sz w:val="24"/>
        </w:rPr>
        <w:t>附件：</w:t>
      </w:r>
    </w:p>
    <w:p>
      <w:pPr>
        <w:spacing w:line="360" w:lineRule="auto"/>
        <w:rPr>
          <w:bCs/>
          <w:spacing w:val="10"/>
          <w:sz w:val="24"/>
        </w:rPr>
      </w:pPr>
      <w:r>
        <w:rPr>
          <w:rFonts w:hint="eastAsia"/>
          <w:bCs/>
          <w:spacing w:val="10"/>
          <w:sz w:val="24"/>
        </w:rPr>
        <w:t>附件1 拟建项目备案证</w:t>
      </w:r>
    </w:p>
    <w:p>
      <w:pPr>
        <w:spacing w:line="360" w:lineRule="auto"/>
        <w:rPr>
          <w:bCs/>
          <w:spacing w:val="10"/>
          <w:sz w:val="24"/>
        </w:rPr>
      </w:pPr>
      <w:r>
        <w:rPr>
          <w:rFonts w:hint="eastAsia"/>
          <w:bCs/>
          <w:spacing w:val="10"/>
          <w:sz w:val="24"/>
        </w:rPr>
        <w:t>附件2 采矿权出让合同</w:t>
      </w:r>
    </w:p>
    <w:p>
      <w:pPr>
        <w:spacing w:line="360" w:lineRule="auto"/>
        <w:rPr>
          <w:bCs/>
          <w:spacing w:val="10"/>
          <w:sz w:val="24"/>
        </w:rPr>
      </w:pPr>
      <w:r>
        <w:rPr>
          <w:rFonts w:hint="eastAsia"/>
          <w:bCs/>
          <w:spacing w:val="10"/>
          <w:sz w:val="24"/>
        </w:rPr>
        <w:t>附件3 原项目地质环境保护与土地复垦方案评审意见</w:t>
      </w:r>
    </w:p>
    <w:p>
      <w:pPr>
        <w:spacing w:line="360" w:lineRule="auto"/>
        <w:rPr>
          <w:bCs/>
          <w:spacing w:val="10"/>
          <w:sz w:val="24"/>
        </w:rPr>
      </w:pPr>
      <w:r>
        <w:rPr>
          <w:rFonts w:hint="eastAsia"/>
          <w:bCs/>
          <w:spacing w:val="10"/>
          <w:sz w:val="24"/>
        </w:rPr>
        <w:t>附件4 原项目采矿许可证</w:t>
      </w:r>
    </w:p>
    <w:p>
      <w:pPr>
        <w:spacing w:line="360" w:lineRule="auto"/>
        <w:rPr>
          <w:bCs/>
          <w:spacing w:val="10"/>
          <w:sz w:val="24"/>
        </w:rPr>
      </w:pPr>
      <w:r>
        <w:rPr>
          <w:rFonts w:hint="eastAsia"/>
          <w:bCs/>
          <w:spacing w:val="10"/>
          <w:sz w:val="24"/>
        </w:rPr>
        <w:t>附件5 原项目第一次环评批文</w:t>
      </w:r>
    </w:p>
    <w:p>
      <w:pPr>
        <w:spacing w:line="360" w:lineRule="auto"/>
        <w:rPr>
          <w:bCs/>
          <w:spacing w:val="10"/>
          <w:sz w:val="24"/>
        </w:rPr>
      </w:pPr>
      <w:r>
        <w:rPr>
          <w:rFonts w:hint="eastAsia"/>
          <w:bCs/>
          <w:spacing w:val="10"/>
          <w:sz w:val="24"/>
        </w:rPr>
        <w:t>附件6 原项目第二次环境现状评估备案回执</w:t>
      </w:r>
      <w:r>
        <w:rPr>
          <w:rFonts w:hint="eastAsia"/>
          <w:bCs/>
          <w:color w:val="0000FF"/>
          <w:spacing w:val="10"/>
          <w:sz w:val="24"/>
        </w:rPr>
        <w:t>及专家意见</w:t>
      </w:r>
    </w:p>
    <w:p>
      <w:pPr>
        <w:spacing w:line="360" w:lineRule="auto"/>
        <w:rPr>
          <w:bCs/>
          <w:spacing w:val="10"/>
          <w:sz w:val="24"/>
        </w:rPr>
      </w:pPr>
      <w:r>
        <w:rPr>
          <w:rFonts w:hint="eastAsia"/>
          <w:bCs/>
          <w:spacing w:val="10"/>
          <w:sz w:val="24"/>
        </w:rPr>
        <w:t>附件7 拟建项目开发利用方案</w:t>
      </w:r>
    </w:p>
    <w:p>
      <w:pPr>
        <w:spacing w:line="360" w:lineRule="auto"/>
        <w:rPr>
          <w:bCs/>
          <w:spacing w:val="10"/>
          <w:sz w:val="24"/>
        </w:rPr>
      </w:pPr>
      <w:r>
        <w:rPr>
          <w:rFonts w:hint="eastAsia"/>
          <w:bCs/>
          <w:spacing w:val="10"/>
          <w:sz w:val="24"/>
        </w:rPr>
        <w:t>附件8 项目用地不占用公益林</w:t>
      </w:r>
      <w:r>
        <w:rPr>
          <w:rFonts w:hint="eastAsia"/>
          <w:bCs/>
          <w:color w:val="0000FF"/>
          <w:spacing w:val="10"/>
          <w:sz w:val="24"/>
        </w:rPr>
        <w:t>、天然林</w:t>
      </w:r>
      <w:r>
        <w:rPr>
          <w:rFonts w:hint="eastAsia"/>
          <w:bCs/>
          <w:spacing w:val="10"/>
          <w:sz w:val="24"/>
        </w:rPr>
        <w:t>的证明文件</w:t>
      </w:r>
    </w:p>
    <w:p>
      <w:pPr>
        <w:spacing w:line="360" w:lineRule="auto"/>
        <w:rPr>
          <w:bCs/>
          <w:spacing w:val="10"/>
          <w:sz w:val="24"/>
        </w:rPr>
      </w:pPr>
      <w:r>
        <w:rPr>
          <w:rFonts w:hint="eastAsia"/>
          <w:bCs/>
          <w:spacing w:val="10"/>
          <w:sz w:val="24"/>
        </w:rPr>
        <w:t>附件9 矿区300m范围内房屋购买腾空协议</w:t>
      </w:r>
    </w:p>
    <w:p>
      <w:pPr>
        <w:spacing w:line="360" w:lineRule="auto"/>
        <w:rPr>
          <w:bCs/>
          <w:spacing w:val="10"/>
          <w:sz w:val="24"/>
        </w:rPr>
      </w:pPr>
      <w:r>
        <w:rPr>
          <w:rFonts w:hint="eastAsia"/>
          <w:bCs/>
          <w:spacing w:val="10"/>
          <w:sz w:val="24"/>
        </w:rPr>
        <w:t>附件10 监测报告</w:t>
      </w:r>
    </w:p>
    <w:p>
      <w:pPr>
        <w:spacing w:line="360" w:lineRule="auto"/>
        <w:rPr>
          <w:bCs/>
          <w:spacing w:val="10"/>
          <w:sz w:val="24"/>
        </w:rPr>
      </w:pPr>
      <w:r>
        <w:rPr>
          <w:rFonts w:hint="eastAsia"/>
          <w:bCs/>
          <w:spacing w:val="10"/>
          <w:sz w:val="24"/>
        </w:rPr>
        <w:t>附件11 拟建项目生态评价范围中生态保护红线、自然遗产地、自然保护地、古树名木分布情况</w:t>
      </w:r>
    </w:p>
    <w:p>
      <w:pPr>
        <w:spacing w:line="360" w:lineRule="auto"/>
        <w:rPr>
          <w:bCs/>
          <w:spacing w:val="10"/>
          <w:sz w:val="24"/>
        </w:rPr>
      </w:pPr>
      <w:r>
        <w:rPr>
          <w:rFonts w:hint="eastAsia"/>
          <w:bCs/>
          <w:spacing w:val="10"/>
          <w:sz w:val="24"/>
        </w:rPr>
        <w:t>附件12 拟建项目占地范围内生态保护红线、永久基本农田、城镇开发边界分布情况</w:t>
      </w:r>
    </w:p>
    <w:p>
      <w:pPr>
        <w:spacing w:line="360" w:lineRule="auto"/>
        <w:rPr>
          <w:bCs/>
          <w:spacing w:val="10"/>
          <w:sz w:val="24"/>
        </w:rPr>
      </w:pPr>
      <w:r>
        <w:rPr>
          <w:rFonts w:hint="eastAsia"/>
          <w:bCs/>
          <w:spacing w:val="10"/>
          <w:sz w:val="24"/>
        </w:rPr>
        <w:t>附件13 项目“三线一单”质检分析报告</w:t>
      </w:r>
    </w:p>
    <w:p>
      <w:pPr>
        <w:spacing w:line="360" w:lineRule="auto"/>
        <w:rPr>
          <w:bCs/>
          <w:spacing w:val="10"/>
          <w:sz w:val="24"/>
        </w:rPr>
      </w:pPr>
      <w:r>
        <w:rPr>
          <w:rFonts w:hint="eastAsia"/>
          <w:bCs/>
          <w:spacing w:val="10"/>
          <w:sz w:val="24"/>
        </w:rPr>
        <w:t>附件14 酉阳县</w:t>
      </w:r>
      <w:r>
        <w:rPr>
          <w:rFonts w:hint="eastAsia"/>
        </w:rPr>
        <w:t>“</w:t>
      </w:r>
      <w:r>
        <w:t>十四五</w:t>
      </w:r>
      <w:r>
        <w:rPr>
          <w:rFonts w:hint="eastAsia"/>
        </w:rPr>
        <w:t>”</w:t>
      </w:r>
      <w:r>
        <w:rPr>
          <w:rFonts w:hint="eastAsia"/>
          <w:bCs/>
          <w:spacing w:val="10"/>
          <w:sz w:val="24"/>
        </w:rPr>
        <w:t>矿规规划环评批复</w:t>
      </w:r>
    </w:p>
    <w:p>
      <w:pPr>
        <w:spacing w:line="360" w:lineRule="auto"/>
        <w:rPr>
          <w:bCs/>
          <w:spacing w:val="10"/>
          <w:sz w:val="24"/>
        </w:rPr>
      </w:pPr>
      <w:r>
        <w:rPr>
          <w:rFonts w:hint="eastAsia"/>
          <w:bCs/>
          <w:spacing w:val="10"/>
          <w:sz w:val="24"/>
        </w:rPr>
        <w:t>附件15 重庆市</w:t>
      </w:r>
      <w:r>
        <w:rPr>
          <w:rFonts w:hint="eastAsia"/>
        </w:rPr>
        <w:t>“</w:t>
      </w:r>
      <w:r>
        <w:t>十四五</w:t>
      </w:r>
      <w:r>
        <w:rPr>
          <w:rFonts w:hint="eastAsia"/>
        </w:rPr>
        <w:t>”</w:t>
      </w:r>
      <w:r>
        <w:rPr>
          <w:rFonts w:hint="eastAsia"/>
          <w:bCs/>
          <w:spacing w:val="10"/>
          <w:sz w:val="24"/>
        </w:rPr>
        <w:t>矿规规划环评的审查意见</w:t>
      </w:r>
    </w:p>
    <w:p>
      <w:pPr>
        <w:spacing w:line="360" w:lineRule="auto"/>
        <w:rPr>
          <w:bCs/>
          <w:spacing w:val="10"/>
          <w:sz w:val="24"/>
        </w:rPr>
      </w:pPr>
      <w:r>
        <w:rPr>
          <w:rFonts w:hint="eastAsia"/>
          <w:bCs/>
          <w:spacing w:val="10"/>
          <w:sz w:val="24"/>
        </w:rPr>
        <w:t>附件16 酉阳县生态环境局关于项目扩大规模的意见</w:t>
      </w:r>
    </w:p>
    <w:p>
      <w:pPr>
        <w:spacing w:line="360" w:lineRule="auto"/>
        <w:rPr>
          <w:bCs/>
          <w:color w:val="0000FF"/>
          <w:spacing w:val="10"/>
          <w:sz w:val="24"/>
        </w:rPr>
      </w:pPr>
      <w:r>
        <w:rPr>
          <w:rFonts w:hint="eastAsia"/>
          <w:bCs/>
          <w:color w:val="0000FF"/>
          <w:spacing w:val="10"/>
          <w:sz w:val="24"/>
        </w:rPr>
        <w:t>附件17 酉阳自治县规资局关于项目矿石产品实际用途为建筑石料的说明文件</w:t>
      </w:r>
    </w:p>
    <w:p>
      <w:pPr>
        <w:spacing w:line="360" w:lineRule="auto"/>
        <w:rPr>
          <w:bCs/>
          <w:spacing w:val="10"/>
          <w:sz w:val="24"/>
        </w:rPr>
      </w:pPr>
      <w:r>
        <w:rPr>
          <w:rFonts w:hint="eastAsia"/>
          <w:bCs/>
          <w:spacing w:val="10"/>
          <w:sz w:val="24"/>
        </w:rPr>
        <w:t>附件1</w:t>
      </w:r>
      <w:r>
        <w:rPr>
          <w:rFonts w:hint="eastAsia"/>
          <w:bCs/>
          <w:color w:val="0000FF"/>
          <w:spacing w:val="10"/>
          <w:sz w:val="24"/>
        </w:rPr>
        <w:t>8</w:t>
      </w:r>
      <w:r>
        <w:rPr>
          <w:rFonts w:hint="eastAsia"/>
          <w:bCs/>
          <w:spacing w:val="10"/>
          <w:sz w:val="24"/>
        </w:rPr>
        <w:t xml:space="preserve"> 酉阳自治县规资局关于项目扩大规模的意见</w:t>
      </w:r>
    </w:p>
    <w:p>
      <w:pPr>
        <w:spacing w:line="360" w:lineRule="auto"/>
        <w:rPr>
          <w:bCs/>
          <w:spacing w:val="10"/>
          <w:sz w:val="24"/>
        </w:rPr>
      </w:pPr>
      <w:r>
        <w:rPr>
          <w:rFonts w:hint="eastAsia"/>
          <w:bCs/>
          <w:spacing w:val="10"/>
          <w:sz w:val="24"/>
        </w:rPr>
        <w:t>附件1</w:t>
      </w:r>
      <w:r>
        <w:rPr>
          <w:rFonts w:hint="eastAsia"/>
          <w:bCs/>
          <w:color w:val="0000FF"/>
          <w:spacing w:val="10"/>
          <w:sz w:val="24"/>
        </w:rPr>
        <w:t>9</w:t>
      </w:r>
      <w:r>
        <w:rPr>
          <w:rFonts w:hint="eastAsia"/>
          <w:bCs/>
          <w:spacing w:val="10"/>
          <w:sz w:val="24"/>
        </w:rPr>
        <w:t xml:space="preserve"> 矿区S525省道直观可视论证报告审查意见</w:t>
      </w:r>
    </w:p>
    <w:p>
      <w:pPr>
        <w:spacing w:line="360" w:lineRule="auto"/>
        <w:rPr>
          <w:bCs/>
          <w:color w:val="0000FF"/>
          <w:spacing w:val="10"/>
          <w:sz w:val="24"/>
        </w:rPr>
      </w:pPr>
      <w:r>
        <w:rPr>
          <w:rFonts w:hint="eastAsia"/>
          <w:bCs/>
          <w:color w:val="0000FF"/>
          <w:spacing w:val="10"/>
          <w:sz w:val="24"/>
        </w:rPr>
        <w:t>附件20 厂区危废转运协议</w:t>
      </w:r>
    </w:p>
    <w:p>
      <w:pPr>
        <w:spacing w:line="360" w:lineRule="auto"/>
        <w:rPr>
          <w:bCs/>
          <w:color w:val="0000FF"/>
          <w:spacing w:val="10"/>
          <w:sz w:val="24"/>
        </w:rPr>
      </w:pPr>
      <w:r>
        <w:rPr>
          <w:rFonts w:hint="eastAsia"/>
          <w:bCs/>
          <w:color w:val="0000FF"/>
          <w:spacing w:val="10"/>
          <w:sz w:val="24"/>
        </w:rPr>
        <w:t>附件21 项目用地范围林地占用手续</w:t>
      </w:r>
    </w:p>
    <w:sectPr>
      <w:pgSz w:w="11906" w:h="16838"/>
      <w:pgMar w:top="1440" w:right="1080" w:bottom="1440" w:left="1080" w:header="851" w:footer="107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20"/>
        <w:rFonts w:hint="eastAsia" w:ascii="宋体" w:hAnsi="宋体"/>
        <w:sz w:val="28"/>
        <w:szCs w:val="28"/>
      </w:rPr>
    </w:pPr>
    <w:r>
      <w:rPr>
        <w:rStyle w:val="20"/>
        <w:rFonts w:hint="eastAsia" w:ascii="宋体" w:hAnsi="宋体"/>
        <w:sz w:val="28"/>
        <w:szCs w:val="28"/>
      </w:rPr>
      <w:t>—</w:t>
    </w:r>
    <w:r>
      <w:rPr>
        <w:rStyle w:val="20"/>
        <w:rFonts w:hint="eastAsia" w:ascii="宋体" w:hAnsi="宋体"/>
        <w:sz w:val="20"/>
        <w:szCs w:val="20"/>
      </w:rPr>
      <w:t xml:space="preserve">  </w:t>
    </w:r>
    <w:r>
      <w:rPr>
        <w:rStyle w:val="20"/>
        <w:rFonts w:ascii="宋体" w:hAnsi="宋体"/>
        <w:sz w:val="26"/>
        <w:szCs w:val="26"/>
      </w:rPr>
      <w:fldChar w:fldCharType="begin"/>
    </w:r>
    <w:r>
      <w:rPr>
        <w:rStyle w:val="20"/>
        <w:rFonts w:ascii="宋体" w:hAnsi="宋体"/>
        <w:sz w:val="26"/>
        <w:szCs w:val="26"/>
      </w:rPr>
      <w:instrText xml:space="preserve">PAGE  </w:instrText>
    </w:r>
    <w:r>
      <w:rPr>
        <w:rStyle w:val="20"/>
        <w:rFonts w:ascii="宋体" w:hAnsi="宋体"/>
        <w:sz w:val="26"/>
        <w:szCs w:val="26"/>
      </w:rPr>
      <w:fldChar w:fldCharType="separate"/>
    </w:r>
    <w:r>
      <w:rPr>
        <w:rStyle w:val="20"/>
        <w:rFonts w:ascii="宋体" w:hAnsi="宋体"/>
        <w:sz w:val="26"/>
        <w:szCs w:val="26"/>
      </w:rPr>
      <w:t>6</w:t>
    </w:r>
    <w:r>
      <w:rPr>
        <w:rStyle w:val="20"/>
        <w:rFonts w:ascii="宋体" w:hAnsi="宋体"/>
        <w:sz w:val="26"/>
        <w:szCs w:val="26"/>
      </w:rPr>
      <w:fldChar w:fldCharType="end"/>
    </w:r>
    <w:r>
      <w:rPr>
        <w:rStyle w:val="20"/>
        <w:rFonts w:hint="eastAsia" w:ascii="宋体" w:hAnsi="宋体"/>
        <w:sz w:val="20"/>
        <w:szCs w:val="20"/>
      </w:rPr>
      <w:t xml:space="preserve">  </w:t>
    </w:r>
    <w:r>
      <w:rPr>
        <w:rStyle w:val="20"/>
        <w:rFonts w:hint="eastAsia" w:ascii="宋体" w:hAnsi="宋体"/>
        <w:sz w:val="28"/>
        <w:szCs w:val="28"/>
      </w:rPr>
      <w:t>—</w:t>
    </w:r>
  </w:p>
  <w:p>
    <w:pPr>
      <w:pStyle w:val="1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20"/>
      </w:rPr>
    </w:pPr>
    <w:r>
      <w:rPr>
        <w:rStyle w:val="20"/>
      </w:rPr>
      <w:fldChar w:fldCharType="begin"/>
    </w:r>
    <w:r>
      <w:rPr>
        <w:rStyle w:val="20"/>
      </w:rPr>
      <w:instrText xml:space="preserve">PAGE  </w:instrText>
    </w:r>
    <w:r>
      <w:rPr>
        <w:rStyle w:val="20"/>
      </w:rPr>
      <w:fldChar w:fldCharType="separate"/>
    </w:r>
    <w:r>
      <w:rPr>
        <w:rStyle w:val="20"/>
      </w:rPr>
      <w:t>5</w:t>
    </w:r>
    <w:r>
      <w:rPr>
        <w:rStyle w:val="20"/>
      </w:rPr>
      <w:fldChar w:fldCharType="end"/>
    </w:r>
  </w:p>
  <w:p>
    <w:pPr>
      <w:pStyle w:val="11"/>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A14947"/>
    <w:rsid w:val="000002A6"/>
    <w:rsid w:val="00000807"/>
    <w:rsid w:val="00000817"/>
    <w:rsid w:val="0000184A"/>
    <w:rsid w:val="00001CED"/>
    <w:rsid w:val="00001E67"/>
    <w:rsid w:val="00002A09"/>
    <w:rsid w:val="00003CD8"/>
    <w:rsid w:val="00004DE7"/>
    <w:rsid w:val="00006F23"/>
    <w:rsid w:val="00007F43"/>
    <w:rsid w:val="00010A97"/>
    <w:rsid w:val="00010CFE"/>
    <w:rsid w:val="00011146"/>
    <w:rsid w:val="000111CE"/>
    <w:rsid w:val="00011658"/>
    <w:rsid w:val="00011B2D"/>
    <w:rsid w:val="00012A55"/>
    <w:rsid w:val="00013979"/>
    <w:rsid w:val="000139B6"/>
    <w:rsid w:val="00014262"/>
    <w:rsid w:val="000147FA"/>
    <w:rsid w:val="00014965"/>
    <w:rsid w:val="0001523A"/>
    <w:rsid w:val="00016669"/>
    <w:rsid w:val="00016ECB"/>
    <w:rsid w:val="00020A36"/>
    <w:rsid w:val="00020BC7"/>
    <w:rsid w:val="00021B83"/>
    <w:rsid w:val="00023C68"/>
    <w:rsid w:val="00025879"/>
    <w:rsid w:val="000259D3"/>
    <w:rsid w:val="00025ECD"/>
    <w:rsid w:val="000269F6"/>
    <w:rsid w:val="000274ED"/>
    <w:rsid w:val="00027C7A"/>
    <w:rsid w:val="0003062C"/>
    <w:rsid w:val="00031939"/>
    <w:rsid w:val="00031C27"/>
    <w:rsid w:val="00031CDC"/>
    <w:rsid w:val="00031E38"/>
    <w:rsid w:val="0003201E"/>
    <w:rsid w:val="00032078"/>
    <w:rsid w:val="00032438"/>
    <w:rsid w:val="00032B43"/>
    <w:rsid w:val="00032D25"/>
    <w:rsid w:val="0003415A"/>
    <w:rsid w:val="00034E5D"/>
    <w:rsid w:val="00035115"/>
    <w:rsid w:val="00035B7A"/>
    <w:rsid w:val="00036A08"/>
    <w:rsid w:val="00037AF2"/>
    <w:rsid w:val="00037C2F"/>
    <w:rsid w:val="00040048"/>
    <w:rsid w:val="000403B6"/>
    <w:rsid w:val="000410CC"/>
    <w:rsid w:val="00041924"/>
    <w:rsid w:val="00043B3B"/>
    <w:rsid w:val="0004474B"/>
    <w:rsid w:val="00044B86"/>
    <w:rsid w:val="00044E06"/>
    <w:rsid w:val="00044E2F"/>
    <w:rsid w:val="00045590"/>
    <w:rsid w:val="00045CA6"/>
    <w:rsid w:val="00046881"/>
    <w:rsid w:val="00046ADF"/>
    <w:rsid w:val="00046CA6"/>
    <w:rsid w:val="00047502"/>
    <w:rsid w:val="0005176A"/>
    <w:rsid w:val="0005219D"/>
    <w:rsid w:val="00052286"/>
    <w:rsid w:val="000522F8"/>
    <w:rsid w:val="0005271B"/>
    <w:rsid w:val="00052BC7"/>
    <w:rsid w:val="000532DB"/>
    <w:rsid w:val="00053C27"/>
    <w:rsid w:val="0005568F"/>
    <w:rsid w:val="000559C9"/>
    <w:rsid w:val="000561AC"/>
    <w:rsid w:val="00057713"/>
    <w:rsid w:val="00060460"/>
    <w:rsid w:val="000613BF"/>
    <w:rsid w:val="0006153D"/>
    <w:rsid w:val="000618AE"/>
    <w:rsid w:val="00061AB4"/>
    <w:rsid w:val="00061B1F"/>
    <w:rsid w:val="000624A5"/>
    <w:rsid w:val="00063C9A"/>
    <w:rsid w:val="000664DB"/>
    <w:rsid w:val="00067C5A"/>
    <w:rsid w:val="00070D02"/>
    <w:rsid w:val="0007127D"/>
    <w:rsid w:val="00071AE5"/>
    <w:rsid w:val="00071B01"/>
    <w:rsid w:val="000729BF"/>
    <w:rsid w:val="00073A3F"/>
    <w:rsid w:val="00073C07"/>
    <w:rsid w:val="00074783"/>
    <w:rsid w:val="00075229"/>
    <w:rsid w:val="00076C7C"/>
    <w:rsid w:val="000771EE"/>
    <w:rsid w:val="00077405"/>
    <w:rsid w:val="000776FA"/>
    <w:rsid w:val="000779C2"/>
    <w:rsid w:val="000801E0"/>
    <w:rsid w:val="0008097F"/>
    <w:rsid w:val="0008114A"/>
    <w:rsid w:val="0008193C"/>
    <w:rsid w:val="00081E9B"/>
    <w:rsid w:val="00082110"/>
    <w:rsid w:val="00082841"/>
    <w:rsid w:val="00082A29"/>
    <w:rsid w:val="0008331D"/>
    <w:rsid w:val="000835CA"/>
    <w:rsid w:val="000839DE"/>
    <w:rsid w:val="00083C18"/>
    <w:rsid w:val="00085137"/>
    <w:rsid w:val="0008591E"/>
    <w:rsid w:val="00086A7D"/>
    <w:rsid w:val="00087949"/>
    <w:rsid w:val="00090577"/>
    <w:rsid w:val="000906F2"/>
    <w:rsid w:val="00090D82"/>
    <w:rsid w:val="00091652"/>
    <w:rsid w:val="00091669"/>
    <w:rsid w:val="000926F3"/>
    <w:rsid w:val="00092899"/>
    <w:rsid w:val="00092962"/>
    <w:rsid w:val="00094DB7"/>
    <w:rsid w:val="00095157"/>
    <w:rsid w:val="00095FB1"/>
    <w:rsid w:val="0009646F"/>
    <w:rsid w:val="000964CC"/>
    <w:rsid w:val="00096EB6"/>
    <w:rsid w:val="000A0435"/>
    <w:rsid w:val="000A119C"/>
    <w:rsid w:val="000A178E"/>
    <w:rsid w:val="000A1A78"/>
    <w:rsid w:val="000A2910"/>
    <w:rsid w:val="000A2DFF"/>
    <w:rsid w:val="000A51AA"/>
    <w:rsid w:val="000A557E"/>
    <w:rsid w:val="000A5E6A"/>
    <w:rsid w:val="000A67D5"/>
    <w:rsid w:val="000B058F"/>
    <w:rsid w:val="000B06F8"/>
    <w:rsid w:val="000B0E1A"/>
    <w:rsid w:val="000B27DF"/>
    <w:rsid w:val="000B2843"/>
    <w:rsid w:val="000B334D"/>
    <w:rsid w:val="000B3CE6"/>
    <w:rsid w:val="000B4E40"/>
    <w:rsid w:val="000B5704"/>
    <w:rsid w:val="000B693F"/>
    <w:rsid w:val="000C0466"/>
    <w:rsid w:val="000C09AC"/>
    <w:rsid w:val="000C0A63"/>
    <w:rsid w:val="000C0B66"/>
    <w:rsid w:val="000C0C4F"/>
    <w:rsid w:val="000C1CFA"/>
    <w:rsid w:val="000C30E1"/>
    <w:rsid w:val="000C376A"/>
    <w:rsid w:val="000C437E"/>
    <w:rsid w:val="000D0647"/>
    <w:rsid w:val="000D0997"/>
    <w:rsid w:val="000D12C7"/>
    <w:rsid w:val="000D137B"/>
    <w:rsid w:val="000D1AEB"/>
    <w:rsid w:val="000D1CF1"/>
    <w:rsid w:val="000D1F36"/>
    <w:rsid w:val="000D2752"/>
    <w:rsid w:val="000D27A8"/>
    <w:rsid w:val="000D39C9"/>
    <w:rsid w:val="000D40C9"/>
    <w:rsid w:val="000D4CED"/>
    <w:rsid w:val="000D561C"/>
    <w:rsid w:val="000D69E3"/>
    <w:rsid w:val="000D7A5B"/>
    <w:rsid w:val="000E0137"/>
    <w:rsid w:val="000E139B"/>
    <w:rsid w:val="000E1542"/>
    <w:rsid w:val="000E3E72"/>
    <w:rsid w:val="000E4645"/>
    <w:rsid w:val="000E4B38"/>
    <w:rsid w:val="000E52DB"/>
    <w:rsid w:val="000E5F16"/>
    <w:rsid w:val="000E7F9B"/>
    <w:rsid w:val="000F0CCC"/>
    <w:rsid w:val="000F16A1"/>
    <w:rsid w:val="000F1B70"/>
    <w:rsid w:val="000F1F3A"/>
    <w:rsid w:val="000F29D7"/>
    <w:rsid w:val="000F2E3B"/>
    <w:rsid w:val="000F3235"/>
    <w:rsid w:val="000F3755"/>
    <w:rsid w:val="000F3CD3"/>
    <w:rsid w:val="000F4161"/>
    <w:rsid w:val="000F4452"/>
    <w:rsid w:val="000F6DA1"/>
    <w:rsid w:val="000F701B"/>
    <w:rsid w:val="000F752E"/>
    <w:rsid w:val="00100051"/>
    <w:rsid w:val="00100349"/>
    <w:rsid w:val="001003A1"/>
    <w:rsid w:val="001021A9"/>
    <w:rsid w:val="001029AF"/>
    <w:rsid w:val="00103228"/>
    <w:rsid w:val="001032CA"/>
    <w:rsid w:val="00103733"/>
    <w:rsid w:val="001051BE"/>
    <w:rsid w:val="00105540"/>
    <w:rsid w:val="001056A0"/>
    <w:rsid w:val="00105C53"/>
    <w:rsid w:val="001070CF"/>
    <w:rsid w:val="00107DFA"/>
    <w:rsid w:val="00110B9D"/>
    <w:rsid w:val="00111E83"/>
    <w:rsid w:val="00112DFA"/>
    <w:rsid w:val="001142C5"/>
    <w:rsid w:val="00114471"/>
    <w:rsid w:val="00114B74"/>
    <w:rsid w:val="00114BEA"/>
    <w:rsid w:val="00114E3A"/>
    <w:rsid w:val="00115279"/>
    <w:rsid w:val="00115C40"/>
    <w:rsid w:val="001164A2"/>
    <w:rsid w:val="0011667C"/>
    <w:rsid w:val="00117459"/>
    <w:rsid w:val="0011749A"/>
    <w:rsid w:val="00117B58"/>
    <w:rsid w:val="00121238"/>
    <w:rsid w:val="001216EF"/>
    <w:rsid w:val="00123223"/>
    <w:rsid w:val="00123399"/>
    <w:rsid w:val="0012390F"/>
    <w:rsid w:val="00123F3B"/>
    <w:rsid w:val="00124197"/>
    <w:rsid w:val="00124296"/>
    <w:rsid w:val="00124FF9"/>
    <w:rsid w:val="00125A8C"/>
    <w:rsid w:val="00127A68"/>
    <w:rsid w:val="00130825"/>
    <w:rsid w:val="00131005"/>
    <w:rsid w:val="001311A1"/>
    <w:rsid w:val="00131A29"/>
    <w:rsid w:val="00131F6E"/>
    <w:rsid w:val="00132073"/>
    <w:rsid w:val="0013301F"/>
    <w:rsid w:val="00133638"/>
    <w:rsid w:val="0013384F"/>
    <w:rsid w:val="001338AA"/>
    <w:rsid w:val="00135FA0"/>
    <w:rsid w:val="00136095"/>
    <w:rsid w:val="0013680F"/>
    <w:rsid w:val="00136BAF"/>
    <w:rsid w:val="00136D90"/>
    <w:rsid w:val="001371F2"/>
    <w:rsid w:val="00137957"/>
    <w:rsid w:val="00137F2E"/>
    <w:rsid w:val="0014056C"/>
    <w:rsid w:val="00140B13"/>
    <w:rsid w:val="001419CD"/>
    <w:rsid w:val="00141B68"/>
    <w:rsid w:val="00141D9B"/>
    <w:rsid w:val="00141D9F"/>
    <w:rsid w:val="001428B9"/>
    <w:rsid w:val="00144277"/>
    <w:rsid w:val="001456AD"/>
    <w:rsid w:val="001458AA"/>
    <w:rsid w:val="00146519"/>
    <w:rsid w:val="001466DA"/>
    <w:rsid w:val="001472B4"/>
    <w:rsid w:val="00147C17"/>
    <w:rsid w:val="00147E3C"/>
    <w:rsid w:val="0015010D"/>
    <w:rsid w:val="00150224"/>
    <w:rsid w:val="00151D86"/>
    <w:rsid w:val="00152416"/>
    <w:rsid w:val="00152FF7"/>
    <w:rsid w:val="00153954"/>
    <w:rsid w:val="001545F8"/>
    <w:rsid w:val="00154B93"/>
    <w:rsid w:val="00154DE1"/>
    <w:rsid w:val="00155B40"/>
    <w:rsid w:val="00155D76"/>
    <w:rsid w:val="00156D22"/>
    <w:rsid w:val="00156FD6"/>
    <w:rsid w:val="00157154"/>
    <w:rsid w:val="00157435"/>
    <w:rsid w:val="001606D6"/>
    <w:rsid w:val="0016086A"/>
    <w:rsid w:val="00161546"/>
    <w:rsid w:val="0016207F"/>
    <w:rsid w:val="0016280E"/>
    <w:rsid w:val="00162C4B"/>
    <w:rsid w:val="00162F71"/>
    <w:rsid w:val="00163EEA"/>
    <w:rsid w:val="00164878"/>
    <w:rsid w:val="00164C05"/>
    <w:rsid w:val="001651E0"/>
    <w:rsid w:val="00165F1D"/>
    <w:rsid w:val="001668B4"/>
    <w:rsid w:val="00167A07"/>
    <w:rsid w:val="00167B87"/>
    <w:rsid w:val="0017003D"/>
    <w:rsid w:val="00170190"/>
    <w:rsid w:val="0017046A"/>
    <w:rsid w:val="001704A3"/>
    <w:rsid w:val="001710B5"/>
    <w:rsid w:val="00171BE9"/>
    <w:rsid w:val="001727E8"/>
    <w:rsid w:val="00174FDF"/>
    <w:rsid w:val="0017504D"/>
    <w:rsid w:val="00175115"/>
    <w:rsid w:val="0017519C"/>
    <w:rsid w:val="001753E8"/>
    <w:rsid w:val="00176F64"/>
    <w:rsid w:val="00177422"/>
    <w:rsid w:val="0017744C"/>
    <w:rsid w:val="00177988"/>
    <w:rsid w:val="00177ADC"/>
    <w:rsid w:val="00177EC4"/>
    <w:rsid w:val="00180AB6"/>
    <w:rsid w:val="00183061"/>
    <w:rsid w:val="00184D1C"/>
    <w:rsid w:val="00184F10"/>
    <w:rsid w:val="001850A2"/>
    <w:rsid w:val="001851FB"/>
    <w:rsid w:val="00185546"/>
    <w:rsid w:val="00186765"/>
    <w:rsid w:val="00186AB0"/>
    <w:rsid w:val="00187792"/>
    <w:rsid w:val="00190738"/>
    <w:rsid w:val="0019146B"/>
    <w:rsid w:val="0019166B"/>
    <w:rsid w:val="00191EB8"/>
    <w:rsid w:val="00192757"/>
    <w:rsid w:val="00194398"/>
    <w:rsid w:val="00194B4D"/>
    <w:rsid w:val="001953A8"/>
    <w:rsid w:val="001956AC"/>
    <w:rsid w:val="00196059"/>
    <w:rsid w:val="0019640B"/>
    <w:rsid w:val="00196CC6"/>
    <w:rsid w:val="00196F9F"/>
    <w:rsid w:val="001A0BE4"/>
    <w:rsid w:val="001A127A"/>
    <w:rsid w:val="001A20C3"/>
    <w:rsid w:val="001A3FAA"/>
    <w:rsid w:val="001A494F"/>
    <w:rsid w:val="001A5934"/>
    <w:rsid w:val="001A65E1"/>
    <w:rsid w:val="001A7D1B"/>
    <w:rsid w:val="001A7D2A"/>
    <w:rsid w:val="001B0E9C"/>
    <w:rsid w:val="001B23A4"/>
    <w:rsid w:val="001B29D4"/>
    <w:rsid w:val="001B3A6F"/>
    <w:rsid w:val="001B3EB2"/>
    <w:rsid w:val="001B4563"/>
    <w:rsid w:val="001B51AA"/>
    <w:rsid w:val="001B574C"/>
    <w:rsid w:val="001B78A0"/>
    <w:rsid w:val="001C00CD"/>
    <w:rsid w:val="001C04C2"/>
    <w:rsid w:val="001C050F"/>
    <w:rsid w:val="001C0AF9"/>
    <w:rsid w:val="001C1213"/>
    <w:rsid w:val="001C155A"/>
    <w:rsid w:val="001C1611"/>
    <w:rsid w:val="001C1651"/>
    <w:rsid w:val="001C16AE"/>
    <w:rsid w:val="001C17FC"/>
    <w:rsid w:val="001C2483"/>
    <w:rsid w:val="001C4046"/>
    <w:rsid w:val="001C48C0"/>
    <w:rsid w:val="001C494E"/>
    <w:rsid w:val="001C4A12"/>
    <w:rsid w:val="001C4A4E"/>
    <w:rsid w:val="001C52EA"/>
    <w:rsid w:val="001C55AF"/>
    <w:rsid w:val="001C6162"/>
    <w:rsid w:val="001C6FEA"/>
    <w:rsid w:val="001C773D"/>
    <w:rsid w:val="001C79CD"/>
    <w:rsid w:val="001C7C61"/>
    <w:rsid w:val="001D10B9"/>
    <w:rsid w:val="001D2358"/>
    <w:rsid w:val="001D3CB5"/>
    <w:rsid w:val="001D4793"/>
    <w:rsid w:val="001D4FD9"/>
    <w:rsid w:val="001D5020"/>
    <w:rsid w:val="001D5739"/>
    <w:rsid w:val="001D5A50"/>
    <w:rsid w:val="001D6726"/>
    <w:rsid w:val="001E0301"/>
    <w:rsid w:val="001E0771"/>
    <w:rsid w:val="001E1058"/>
    <w:rsid w:val="001E1408"/>
    <w:rsid w:val="001E1C7E"/>
    <w:rsid w:val="001E264C"/>
    <w:rsid w:val="001E2922"/>
    <w:rsid w:val="001E37D6"/>
    <w:rsid w:val="001E572B"/>
    <w:rsid w:val="001E62EA"/>
    <w:rsid w:val="001E7651"/>
    <w:rsid w:val="001F0CA5"/>
    <w:rsid w:val="001F0CCC"/>
    <w:rsid w:val="001F0E86"/>
    <w:rsid w:val="001F0FBA"/>
    <w:rsid w:val="001F1005"/>
    <w:rsid w:val="001F113E"/>
    <w:rsid w:val="001F1880"/>
    <w:rsid w:val="001F24D6"/>
    <w:rsid w:val="001F284C"/>
    <w:rsid w:val="001F3347"/>
    <w:rsid w:val="001F3761"/>
    <w:rsid w:val="001F3BE7"/>
    <w:rsid w:val="001F4440"/>
    <w:rsid w:val="001F49C9"/>
    <w:rsid w:val="001F6270"/>
    <w:rsid w:val="001F6330"/>
    <w:rsid w:val="001F69E4"/>
    <w:rsid w:val="00200091"/>
    <w:rsid w:val="00201C10"/>
    <w:rsid w:val="00202248"/>
    <w:rsid w:val="00202CA4"/>
    <w:rsid w:val="002034F4"/>
    <w:rsid w:val="00203724"/>
    <w:rsid w:val="0020415A"/>
    <w:rsid w:val="002042F9"/>
    <w:rsid w:val="0020654D"/>
    <w:rsid w:val="00206A65"/>
    <w:rsid w:val="00206E49"/>
    <w:rsid w:val="00206FD6"/>
    <w:rsid w:val="0020796F"/>
    <w:rsid w:val="00207DD4"/>
    <w:rsid w:val="00212287"/>
    <w:rsid w:val="002122E3"/>
    <w:rsid w:val="002126A4"/>
    <w:rsid w:val="002127FA"/>
    <w:rsid w:val="00212D31"/>
    <w:rsid w:val="002130C7"/>
    <w:rsid w:val="00213292"/>
    <w:rsid w:val="002134B1"/>
    <w:rsid w:val="00213972"/>
    <w:rsid w:val="00213ED9"/>
    <w:rsid w:val="0021423B"/>
    <w:rsid w:val="00214857"/>
    <w:rsid w:val="002153C5"/>
    <w:rsid w:val="00216FD0"/>
    <w:rsid w:val="0021789F"/>
    <w:rsid w:val="00217FC6"/>
    <w:rsid w:val="00220874"/>
    <w:rsid w:val="00221035"/>
    <w:rsid w:val="00221361"/>
    <w:rsid w:val="002218A8"/>
    <w:rsid w:val="00222D6B"/>
    <w:rsid w:val="0022306D"/>
    <w:rsid w:val="002247AA"/>
    <w:rsid w:val="00225DBE"/>
    <w:rsid w:val="00225EC5"/>
    <w:rsid w:val="00226305"/>
    <w:rsid w:val="00226312"/>
    <w:rsid w:val="00226574"/>
    <w:rsid w:val="00226E10"/>
    <w:rsid w:val="002278EC"/>
    <w:rsid w:val="00227D98"/>
    <w:rsid w:val="00230DEF"/>
    <w:rsid w:val="0023429E"/>
    <w:rsid w:val="0023461B"/>
    <w:rsid w:val="0023495A"/>
    <w:rsid w:val="002357C7"/>
    <w:rsid w:val="00235895"/>
    <w:rsid w:val="002361E7"/>
    <w:rsid w:val="002367C4"/>
    <w:rsid w:val="0023713A"/>
    <w:rsid w:val="00237473"/>
    <w:rsid w:val="00237B45"/>
    <w:rsid w:val="00240260"/>
    <w:rsid w:val="002408B6"/>
    <w:rsid w:val="0024155B"/>
    <w:rsid w:val="0024252C"/>
    <w:rsid w:val="002449E4"/>
    <w:rsid w:val="0024505E"/>
    <w:rsid w:val="00245BBD"/>
    <w:rsid w:val="002460C3"/>
    <w:rsid w:val="00246272"/>
    <w:rsid w:val="00247957"/>
    <w:rsid w:val="00247A71"/>
    <w:rsid w:val="0025003F"/>
    <w:rsid w:val="002504EB"/>
    <w:rsid w:val="00252507"/>
    <w:rsid w:val="00252571"/>
    <w:rsid w:val="00252CDE"/>
    <w:rsid w:val="0025305D"/>
    <w:rsid w:val="00253185"/>
    <w:rsid w:val="0025352D"/>
    <w:rsid w:val="002546B6"/>
    <w:rsid w:val="0025613E"/>
    <w:rsid w:val="0025679E"/>
    <w:rsid w:val="00257B48"/>
    <w:rsid w:val="00260C68"/>
    <w:rsid w:val="002621AB"/>
    <w:rsid w:val="002624A6"/>
    <w:rsid w:val="00262B39"/>
    <w:rsid w:val="00263979"/>
    <w:rsid w:val="002648B0"/>
    <w:rsid w:val="00264EB1"/>
    <w:rsid w:val="0026519D"/>
    <w:rsid w:val="00266048"/>
    <w:rsid w:val="00267B88"/>
    <w:rsid w:val="002709ED"/>
    <w:rsid w:val="0027339B"/>
    <w:rsid w:val="00273C1B"/>
    <w:rsid w:val="0027467C"/>
    <w:rsid w:val="00275271"/>
    <w:rsid w:val="0027535E"/>
    <w:rsid w:val="0027553E"/>
    <w:rsid w:val="0027598B"/>
    <w:rsid w:val="00275AA6"/>
    <w:rsid w:val="00275B57"/>
    <w:rsid w:val="00276453"/>
    <w:rsid w:val="002767B7"/>
    <w:rsid w:val="002772CD"/>
    <w:rsid w:val="00277D56"/>
    <w:rsid w:val="00280103"/>
    <w:rsid w:val="002802ED"/>
    <w:rsid w:val="002807D5"/>
    <w:rsid w:val="002813B1"/>
    <w:rsid w:val="00281A4D"/>
    <w:rsid w:val="00281BAD"/>
    <w:rsid w:val="00282CCD"/>
    <w:rsid w:val="002831E8"/>
    <w:rsid w:val="002839BA"/>
    <w:rsid w:val="00284CD5"/>
    <w:rsid w:val="002876D4"/>
    <w:rsid w:val="00290A35"/>
    <w:rsid w:val="00290DA1"/>
    <w:rsid w:val="00291F0E"/>
    <w:rsid w:val="002923D0"/>
    <w:rsid w:val="00292B7D"/>
    <w:rsid w:val="002935F4"/>
    <w:rsid w:val="00293BEA"/>
    <w:rsid w:val="002951E7"/>
    <w:rsid w:val="002956D0"/>
    <w:rsid w:val="00297909"/>
    <w:rsid w:val="002A0235"/>
    <w:rsid w:val="002A168C"/>
    <w:rsid w:val="002A1FCD"/>
    <w:rsid w:val="002A2C48"/>
    <w:rsid w:val="002A35D4"/>
    <w:rsid w:val="002A3EC5"/>
    <w:rsid w:val="002A3EED"/>
    <w:rsid w:val="002A4566"/>
    <w:rsid w:val="002A4862"/>
    <w:rsid w:val="002A4A39"/>
    <w:rsid w:val="002A4CA0"/>
    <w:rsid w:val="002A50F0"/>
    <w:rsid w:val="002A5A17"/>
    <w:rsid w:val="002A6425"/>
    <w:rsid w:val="002A6EE7"/>
    <w:rsid w:val="002A7B22"/>
    <w:rsid w:val="002A7CC7"/>
    <w:rsid w:val="002B0C7E"/>
    <w:rsid w:val="002B12E6"/>
    <w:rsid w:val="002B142B"/>
    <w:rsid w:val="002B153C"/>
    <w:rsid w:val="002B349A"/>
    <w:rsid w:val="002B49E2"/>
    <w:rsid w:val="002B5218"/>
    <w:rsid w:val="002B572C"/>
    <w:rsid w:val="002B5AE6"/>
    <w:rsid w:val="002B76D6"/>
    <w:rsid w:val="002B7B00"/>
    <w:rsid w:val="002B7C44"/>
    <w:rsid w:val="002B7E87"/>
    <w:rsid w:val="002C067F"/>
    <w:rsid w:val="002C0A83"/>
    <w:rsid w:val="002C1388"/>
    <w:rsid w:val="002C2287"/>
    <w:rsid w:val="002C2987"/>
    <w:rsid w:val="002C2DD4"/>
    <w:rsid w:val="002C30C1"/>
    <w:rsid w:val="002C30CE"/>
    <w:rsid w:val="002C3C6A"/>
    <w:rsid w:val="002C4F79"/>
    <w:rsid w:val="002C55A9"/>
    <w:rsid w:val="002C5927"/>
    <w:rsid w:val="002C5AA3"/>
    <w:rsid w:val="002C61BD"/>
    <w:rsid w:val="002C6F1D"/>
    <w:rsid w:val="002D03FC"/>
    <w:rsid w:val="002D0C51"/>
    <w:rsid w:val="002D326F"/>
    <w:rsid w:val="002D42DB"/>
    <w:rsid w:val="002D4A8B"/>
    <w:rsid w:val="002D4AAC"/>
    <w:rsid w:val="002D5B1A"/>
    <w:rsid w:val="002D69A5"/>
    <w:rsid w:val="002E0912"/>
    <w:rsid w:val="002E1E11"/>
    <w:rsid w:val="002E1F3A"/>
    <w:rsid w:val="002E298A"/>
    <w:rsid w:val="002E2C92"/>
    <w:rsid w:val="002E4591"/>
    <w:rsid w:val="002E4BA8"/>
    <w:rsid w:val="002E4E68"/>
    <w:rsid w:val="002E6018"/>
    <w:rsid w:val="002E6191"/>
    <w:rsid w:val="002E7923"/>
    <w:rsid w:val="002F02A4"/>
    <w:rsid w:val="002F02A8"/>
    <w:rsid w:val="002F0573"/>
    <w:rsid w:val="002F1F35"/>
    <w:rsid w:val="002F272B"/>
    <w:rsid w:val="002F284B"/>
    <w:rsid w:val="002F4BF9"/>
    <w:rsid w:val="002F4F2D"/>
    <w:rsid w:val="002F5F9D"/>
    <w:rsid w:val="002F651D"/>
    <w:rsid w:val="002F6522"/>
    <w:rsid w:val="002F6BF0"/>
    <w:rsid w:val="002F71E9"/>
    <w:rsid w:val="002F7975"/>
    <w:rsid w:val="002F7C6D"/>
    <w:rsid w:val="002F7E48"/>
    <w:rsid w:val="002F7FAA"/>
    <w:rsid w:val="003004F6"/>
    <w:rsid w:val="0030051B"/>
    <w:rsid w:val="00301081"/>
    <w:rsid w:val="003027E4"/>
    <w:rsid w:val="00302872"/>
    <w:rsid w:val="00302EBA"/>
    <w:rsid w:val="0030332C"/>
    <w:rsid w:val="00303586"/>
    <w:rsid w:val="003036E8"/>
    <w:rsid w:val="00303BB7"/>
    <w:rsid w:val="003046CC"/>
    <w:rsid w:val="00305880"/>
    <w:rsid w:val="003067DE"/>
    <w:rsid w:val="00306809"/>
    <w:rsid w:val="0030696A"/>
    <w:rsid w:val="003074CF"/>
    <w:rsid w:val="00310525"/>
    <w:rsid w:val="003113E1"/>
    <w:rsid w:val="00312023"/>
    <w:rsid w:val="00312296"/>
    <w:rsid w:val="00312EEA"/>
    <w:rsid w:val="0031340E"/>
    <w:rsid w:val="003138A3"/>
    <w:rsid w:val="00314331"/>
    <w:rsid w:val="00316027"/>
    <w:rsid w:val="00316464"/>
    <w:rsid w:val="00317AAB"/>
    <w:rsid w:val="0032073A"/>
    <w:rsid w:val="00321D8E"/>
    <w:rsid w:val="00322280"/>
    <w:rsid w:val="003224DE"/>
    <w:rsid w:val="003226DA"/>
    <w:rsid w:val="003226FE"/>
    <w:rsid w:val="00322AE3"/>
    <w:rsid w:val="00322B14"/>
    <w:rsid w:val="00323099"/>
    <w:rsid w:val="003233ED"/>
    <w:rsid w:val="00323525"/>
    <w:rsid w:val="003236D0"/>
    <w:rsid w:val="00323D81"/>
    <w:rsid w:val="003243B5"/>
    <w:rsid w:val="00324BED"/>
    <w:rsid w:val="00325274"/>
    <w:rsid w:val="00325941"/>
    <w:rsid w:val="00326633"/>
    <w:rsid w:val="003274F0"/>
    <w:rsid w:val="0032759F"/>
    <w:rsid w:val="00327D47"/>
    <w:rsid w:val="003302C6"/>
    <w:rsid w:val="00330356"/>
    <w:rsid w:val="0033056D"/>
    <w:rsid w:val="00331D6E"/>
    <w:rsid w:val="003328C0"/>
    <w:rsid w:val="00332A69"/>
    <w:rsid w:val="0033346A"/>
    <w:rsid w:val="00334996"/>
    <w:rsid w:val="00334FA1"/>
    <w:rsid w:val="00335745"/>
    <w:rsid w:val="00336969"/>
    <w:rsid w:val="00336C52"/>
    <w:rsid w:val="00336F85"/>
    <w:rsid w:val="003379BD"/>
    <w:rsid w:val="00341495"/>
    <w:rsid w:val="0034156E"/>
    <w:rsid w:val="00341780"/>
    <w:rsid w:val="00341B0D"/>
    <w:rsid w:val="00341B3E"/>
    <w:rsid w:val="00341B42"/>
    <w:rsid w:val="00342379"/>
    <w:rsid w:val="00342ACB"/>
    <w:rsid w:val="003439B6"/>
    <w:rsid w:val="003442A8"/>
    <w:rsid w:val="00345154"/>
    <w:rsid w:val="0034560E"/>
    <w:rsid w:val="00346BA6"/>
    <w:rsid w:val="00347103"/>
    <w:rsid w:val="0034765D"/>
    <w:rsid w:val="00350523"/>
    <w:rsid w:val="00351AB9"/>
    <w:rsid w:val="00352975"/>
    <w:rsid w:val="0035373A"/>
    <w:rsid w:val="00354098"/>
    <w:rsid w:val="00354650"/>
    <w:rsid w:val="00354B67"/>
    <w:rsid w:val="00354DD1"/>
    <w:rsid w:val="00356868"/>
    <w:rsid w:val="00356EA8"/>
    <w:rsid w:val="003570A0"/>
    <w:rsid w:val="00360F15"/>
    <w:rsid w:val="00361323"/>
    <w:rsid w:val="0036324C"/>
    <w:rsid w:val="00363315"/>
    <w:rsid w:val="0036485B"/>
    <w:rsid w:val="00364AB6"/>
    <w:rsid w:val="0036515C"/>
    <w:rsid w:val="003657BD"/>
    <w:rsid w:val="0036606D"/>
    <w:rsid w:val="00366155"/>
    <w:rsid w:val="00366805"/>
    <w:rsid w:val="00370E43"/>
    <w:rsid w:val="0037189A"/>
    <w:rsid w:val="00371AAC"/>
    <w:rsid w:val="00371F5A"/>
    <w:rsid w:val="0037288E"/>
    <w:rsid w:val="00372C8A"/>
    <w:rsid w:val="00373941"/>
    <w:rsid w:val="00373B0D"/>
    <w:rsid w:val="003742EF"/>
    <w:rsid w:val="00374F75"/>
    <w:rsid w:val="0037500A"/>
    <w:rsid w:val="003765A1"/>
    <w:rsid w:val="003768AA"/>
    <w:rsid w:val="00376988"/>
    <w:rsid w:val="0037724A"/>
    <w:rsid w:val="00380E4A"/>
    <w:rsid w:val="00381671"/>
    <w:rsid w:val="00381A72"/>
    <w:rsid w:val="00381AE9"/>
    <w:rsid w:val="00383467"/>
    <w:rsid w:val="00384038"/>
    <w:rsid w:val="003850A1"/>
    <w:rsid w:val="0038560C"/>
    <w:rsid w:val="00385DF2"/>
    <w:rsid w:val="0038761A"/>
    <w:rsid w:val="00387810"/>
    <w:rsid w:val="003900BA"/>
    <w:rsid w:val="003902B0"/>
    <w:rsid w:val="003905A5"/>
    <w:rsid w:val="00391783"/>
    <w:rsid w:val="00392548"/>
    <w:rsid w:val="003932D8"/>
    <w:rsid w:val="00393CA8"/>
    <w:rsid w:val="00393F80"/>
    <w:rsid w:val="003955B4"/>
    <w:rsid w:val="0039672D"/>
    <w:rsid w:val="00396988"/>
    <w:rsid w:val="00396D44"/>
    <w:rsid w:val="003A06B6"/>
    <w:rsid w:val="003A0869"/>
    <w:rsid w:val="003A0EA7"/>
    <w:rsid w:val="003A16D5"/>
    <w:rsid w:val="003A187A"/>
    <w:rsid w:val="003A1948"/>
    <w:rsid w:val="003A1B27"/>
    <w:rsid w:val="003A1DD6"/>
    <w:rsid w:val="003A1F28"/>
    <w:rsid w:val="003A2336"/>
    <w:rsid w:val="003A41DA"/>
    <w:rsid w:val="003A4463"/>
    <w:rsid w:val="003A589E"/>
    <w:rsid w:val="003A61D2"/>
    <w:rsid w:val="003A6A2B"/>
    <w:rsid w:val="003A7042"/>
    <w:rsid w:val="003B01D8"/>
    <w:rsid w:val="003B152A"/>
    <w:rsid w:val="003B19AA"/>
    <w:rsid w:val="003B1E0E"/>
    <w:rsid w:val="003B21BA"/>
    <w:rsid w:val="003B2EC5"/>
    <w:rsid w:val="003B35D9"/>
    <w:rsid w:val="003B4E0F"/>
    <w:rsid w:val="003B5205"/>
    <w:rsid w:val="003B537D"/>
    <w:rsid w:val="003B545B"/>
    <w:rsid w:val="003B5472"/>
    <w:rsid w:val="003B56D8"/>
    <w:rsid w:val="003B57DC"/>
    <w:rsid w:val="003B6294"/>
    <w:rsid w:val="003B7C03"/>
    <w:rsid w:val="003C2E54"/>
    <w:rsid w:val="003C3646"/>
    <w:rsid w:val="003C456F"/>
    <w:rsid w:val="003C4F3D"/>
    <w:rsid w:val="003C5616"/>
    <w:rsid w:val="003C5EC1"/>
    <w:rsid w:val="003C61AA"/>
    <w:rsid w:val="003C6DB8"/>
    <w:rsid w:val="003C7AED"/>
    <w:rsid w:val="003C7BFA"/>
    <w:rsid w:val="003D006C"/>
    <w:rsid w:val="003D053C"/>
    <w:rsid w:val="003D0945"/>
    <w:rsid w:val="003D0DE9"/>
    <w:rsid w:val="003D1AB9"/>
    <w:rsid w:val="003D1E7B"/>
    <w:rsid w:val="003D2295"/>
    <w:rsid w:val="003D302E"/>
    <w:rsid w:val="003D30CE"/>
    <w:rsid w:val="003D3504"/>
    <w:rsid w:val="003D3EE9"/>
    <w:rsid w:val="003D4D86"/>
    <w:rsid w:val="003D5177"/>
    <w:rsid w:val="003D51F2"/>
    <w:rsid w:val="003D54D4"/>
    <w:rsid w:val="003D564E"/>
    <w:rsid w:val="003D6414"/>
    <w:rsid w:val="003D6F0A"/>
    <w:rsid w:val="003D714A"/>
    <w:rsid w:val="003D7243"/>
    <w:rsid w:val="003D72EC"/>
    <w:rsid w:val="003D7E1D"/>
    <w:rsid w:val="003E0272"/>
    <w:rsid w:val="003E0332"/>
    <w:rsid w:val="003E0E7B"/>
    <w:rsid w:val="003E1365"/>
    <w:rsid w:val="003E461A"/>
    <w:rsid w:val="003E4B34"/>
    <w:rsid w:val="003E528B"/>
    <w:rsid w:val="003E5ECA"/>
    <w:rsid w:val="003E6BDC"/>
    <w:rsid w:val="003E70CC"/>
    <w:rsid w:val="003E71B5"/>
    <w:rsid w:val="003E7681"/>
    <w:rsid w:val="003F06CB"/>
    <w:rsid w:val="003F0809"/>
    <w:rsid w:val="003F0C2D"/>
    <w:rsid w:val="003F1E2A"/>
    <w:rsid w:val="003F2113"/>
    <w:rsid w:val="003F389B"/>
    <w:rsid w:val="003F4AAD"/>
    <w:rsid w:val="003F5954"/>
    <w:rsid w:val="003F5BD9"/>
    <w:rsid w:val="003F611C"/>
    <w:rsid w:val="003F68A2"/>
    <w:rsid w:val="003F7054"/>
    <w:rsid w:val="003F7381"/>
    <w:rsid w:val="003F755C"/>
    <w:rsid w:val="003F7D40"/>
    <w:rsid w:val="004019AB"/>
    <w:rsid w:val="00402115"/>
    <w:rsid w:val="00402BB0"/>
    <w:rsid w:val="00402DA9"/>
    <w:rsid w:val="00403B0D"/>
    <w:rsid w:val="00404F78"/>
    <w:rsid w:val="00405B04"/>
    <w:rsid w:val="00405F67"/>
    <w:rsid w:val="00406A70"/>
    <w:rsid w:val="00406AC8"/>
    <w:rsid w:val="00406F01"/>
    <w:rsid w:val="004071E2"/>
    <w:rsid w:val="00407B69"/>
    <w:rsid w:val="004107C7"/>
    <w:rsid w:val="004119E8"/>
    <w:rsid w:val="00411B36"/>
    <w:rsid w:val="004121D7"/>
    <w:rsid w:val="00412CE4"/>
    <w:rsid w:val="004134E6"/>
    <w:rsid w:val="00414245"/>
    <w:rsid w:val="00414C53"/>
    <w:rsid w:val="00415F74"/>
    <w:rsid w:val="00415FA3"/>
    <w:rsid w:val="004162FA"/>
    <w:rsid w:val="004163C5"/>
    <w:rsid w:val="00416721"/>
    <w:rsid w:val="00416D50"/>
    <w:rsid w:val="00417772"/>
    <w:rsid w:val="0042075A"/>
    <w:rsid w:val="00420798"/>
    <w:rsid w:val="004209BC"/>
    <w:rsid w:val="00420E6A"/>
    <w:rsid w:val="0042117A"/>
    <w:rsid w:val="0042198B"/>
    <w:rsid w:val="00421995"/>
    <w:rsid w:val="00423329"/>
    <w:rsid w:val="00423DB7"/>
    <w:rsid w:val="00424471"/>
    <w:rsid w:val="0042458D"/>
    <w:rsid w:val="00424734"/>
    <w:rsid w:val="0042521C"/>
    <w:rsid w:val="00425EBB"/>
    <w:rsid w:val="00426596"/>
    <w:rsid w:val="00427C90"/>
    <w:rsid w:val="004302D5"/>
    <w:rsid w:val="004305F8"/>
    <w:rsid w:val="004309A3"/>
    <w:rsid w:val="00430E68"/>
    <w:rsid w:val="00432FF7"/>
    <w:rsid w:val="00433805"/>
    <w:rsid w:val="00433975"/>
    <w:rsid w:val="00433CA9"/>
    <w:rsid w:val="00434493"/>
    <w:rsid w:val="00434ACD"/>
    <w:rsid w:val="00434E05"/>
    <w:rsid w:val="00434EFA"/>
    <w:rsid w:val="0043521D"/>
    <w:rsid w:val="0043643C"/>
    <w:rsid w:val="00436B48"/>
    <w:rsid w:val="004402F5"/>
    <w:rsid w:val="00442024"/>
    <w:rsid w:val="00442528"/>
    <w:rsid w:val="0044254C"/>
    <w:rsid w:val="00442D0D"/>
    <w:rsid w:val="0044307A"/>
    <w:rsid w:val="0044318A"/>
    <w:rsid w:val="00443C54"/>
    <w:rsid w:val="00443F6A"/>
    <w:rsid w:val="004454CC"/>
    <w:rsid w:val="00445CC4"/>
    <w:rsid w:val="004473D6"/>
    <w:rsid w:val="00447CB6"/>
    <w:rsid w:val="0045030B"/>
    <w:rsid w:val="00450A17"/>
    <w:rsid w:val="00450BB0"/>
    <w:rsid w:val="0045220E"/>
    <w:rsid w:val="00452DAA"/>
    <w:rsid w:val="004530B3"/>
    <w:rsid w:val="00453528"/>
    <w:rsid w:val="0045398F"/>
    <w:rsid w:val="00453E31"/>
    <w:rsid w:val="004544A6"/>
    <w:rsid w:val="0045473E"/>
    <w:rsid w:val="004553F8"/>
    <w:rsid w:val="00456AFE"/>
    <w:rsid w:val="00464CD1"/>
    <w:rsid w:val="00465019"/>
    <w:rsid w:val="00465885"/>
    <w:rsid w:val="00465992"/>
    <w:rsid w:val="00466228"/>
    <w:rsid w:val="00466321"/>
    <w:rsid w:val="004666FB"/>
    <w:rsid w:val="004672AF"/>
    <w:rsid w:val="00467BCF"/>
    <w:rsid w:val="00467E8F"/>
    <w:rsid w:val="00470BBF"/>
    <w:rsid w:val="00470E24"/>
    <w:rsid w:val="00471350"/>
    <w:rsid w:val="004723B8"/>
    <w:rsid w:val="004727B0"/>
    <w:rsid w:val="00472988"/>
    <w:rsid w:val="004733AE"/>
    <w:rsid w:val="00473D12"/>
    <w:rsid w:val="00474490"/>
    <w:rsid w:val="0047485A"/>
    <w:rsid w:val="004755AC"/>
    <w:rsid w:val="00475C6A"/>
    <w:rsid w:val="00476135"/>
    <w:rsid w:val="0047633F"/>
    <w:rsid w:val="00480247"/>
    <w:rsid w:val="00480470"/>
    <w:rsid w:val="0048081D"/>
    <w:rsid w:val="00480D68"/>
    <w:rsid w:val="0048117E"/>
    <w:rsid w:val="004811E5"/>
    <w:rsid w:val="004813F3"/>
    <w:rsid w:val="00481629"/>
    <w:rsid w:val="00481742"/>
    <w:rsid w:val="004820F7"/>
    <w:rsid w:val="0048369C"/>
    <w:rsid w:val="00483B91"/>
    <w:rsid w:val="004850DE"/>
    <w:rsid w:val="004855F6"/>
    <w:rsid w:val="00485903"/>
    <w:rsid w:val="00486219"/>
    <w:rsid w:val="004862CE"/>
    <w:rsid w:val="004866BD"/>
    <w:rsid w:val="00486F0C"/>
    <w:rsid w:val="00487611"/>
    <w:rsid w:val="004902B0"/>
    <w:rsid w:val="00490807"/>
    <w:rsid w:val="00490BE2"/>
    <w:rsid w:val="00490DF5"/>
    <w:rsid w:val="004914ED"/>
    <w:rsid w:val="004916E5"/>
    <w:rsid w:val="00494670"/>
    <w:rsid w:val="00495291"/>
    <w:rsid w:val="00495EA6"/>
    <w:rsid w:val="004A0304"/>
    <w:rsid w:val="004A0EB4"/>
    <w:rsid w:val="004A2DC2"/>
    <w:rsid w:val="004A343D"/>
    <w:rsid w:val="004A3823"/>
    <w:rsid w:val="004A39B8"/>
    <w:rsid w:val="004A59BB"/>
    <w:rsid w:val="004A5BEE"/>
    <w:rsid w:val="004A68D3"/>
    <w:rsid w:val="004A7126"/>
    <w:rsid w:val="004B01E8"/>
    <w:rsid w:val="004B023B"/>
    <w:rsid w:val="004B1B37"/>
    <w:rsid w:val="004B29F0"/>
    <w:rsid w:val="004B319E"/>
    <w:rsid w:val="004B3CB9"/>
    <w:rsid w:val="004B3FE7"/>
    <w:rsid w:val="004B43A3"/>
    <w:rsid w:val="004B44EB"/>
    <w:rsid w:val="004B4AB5"/>
    <w:rsid w:val="004B4C49"/>
    <w:rsid w:val="004B58A5"/>
    <w:rsid w:val="004B5BA0"/>
    <w:rsid w:val="004B63D9"/>
    <w:rsid w:val="004B70AB"/>
    <w:rsid w:val="004B79EE"/>
    <w:rsid w:val="004C01DE"/>
    <w:rsid w:val="004C0882"/>
    <w:rsid w:val="004C0E08"/>
    <w:rsid w:val="004C10D2"/>
    <w:rsid w:val="004C1BFD"/>
    <w:rsid w:val="004C374B"/>
    <w:rsid w:val="004C3BE4"/>
    <w:rsid w:val="004C3D60"/>
    <w:rsid w:val="004C3EC2"/>
    <w:rsid w:val="004C51B8"/>
    <w:rsid w:val="004C55BE"/>
    <w:rsid w:val="004C579D"/>
    <w:rsid w:val="004C5960"/>
    <w:rsid w:val="004C682A"/>
    <w:rsid w:val="004C71E6"/>
    <w:rsid w:val="004C76A4"/>
    <w:rsid w:val="004C782F"/>
    <w:rsid w:val="004D0039"/>
    <w:rsid w:val="004D13B4"/>
    <w:rsid w:val="004D2500"/>
    <w:rsid w:val="004D3CFB"/>
    <w:rsid w:val="004D4C7C"/>
    <w:rsid w:val="004D5109"/>
    <w:rsid w:val="004D53C3"/>
    <w:rsid w:val="004D549D"/>
    <w:rsid w:val="004D54ED"/>
    <w:rsid w:val="004D6AB3"/>
    <w:rsid w:val="004E0527"/>
    <w:rsid w:val="004E0856"/>
    <w:rsid w:val="004E1256"/>
    <w:rsid w:val="004E152D"/>
    <w:rsid w:val="004E1E1E"/>
    <w:rsid w:val="004E28A4"/>
    <w:rsid w:val="004E2A47"/>
    <w:rsid w:val="004E2B0F"/>
    <w:rsid w:val="004E35EA"/>
    <w:rsid w:val="004E42DC"/>
    <w:rsid w:val="004E5188"/>
    <w:rsid w:val="004E590C"/>
    <w:rsid w:val="004E5B30"/>
    <w:rsid w:val="004E6A35"/>
    <w:rsid w:val="004E706B"/>
    <w:rsid w:val="004E7330"/>
    <w:rsid w:val="004E745D"/>
    <w:rsid w:val="004F0779"/>
    <w:rsid w:val="004F07F3"/>
    <w:rsid w:val="004F09B3"/>
    <w:rsid w:val="004F1230"/>
    <w:rsid w:val="004F173F"/>
    <w:rsid w:val="004F177C"/>
    <w:rsid w:val="004F1A97"/>
    <w:rsid w:val="004F2CB8"/>
    <w:rsid w:val="004F2DCE"/>
    <w:rsid w:val="004F36D9"/>
    <w:rsid w:val="004F3E86"/>
    <w:rsid w:val="004F4E4B"/>
    <w:rsid w:val="00500428"/>
    <w:rsid w:val="00501C90"/>
    <w:rsid w:val="00501D5B"/>
    <w:rsid w:val="005020C9"/>
    <w:rsid w:val="005020DA"/>
    <w:rsid w:val="005027CB"/>
    <w:rsid w:val="005039CB"/>
    <w:rsid w:val="0050428B"/>
    <w:rsid w:val="00505390"/>
    <w:rsid w:val="0050558F"/>
    <w:rsid w:val="005057E0"/>
    <w:rsid w:val="00506286"/>
    <w:rsid w:val="005063CA"/>
    <w:rsid w:val="00506F22"/>
    <w:rsid w:val="00510813"/>
    <w:rsid w:val="00511354"/>
    <w:rsid w:val="00511BAD"/>
    <w:rsid w:val="00511DE0"/>
    <w:rsid w:val="0051225C"/>
    <w:rsid w:val="00512D63"/>
    <w:rsid w:val="0051317B"/>
    <w:rsid w:val="005143A1"/>
    <w:rsid w:val="00514A16"/>
    <w:rsid w:val="00517F02"/>
    <w:rsid w:val="00520697"/>
    <w:rsid w:val="0052096F"/>
    <w:rsid w:val="00520F92"/>
    <w:rsid w:val="00521DDD"/>
    <w:rsid w:val="005224F1"/>
    <w:rsid w:val="00523725"/>
    <w:rsid w:val="00523A56"/>
    <w:rsid w:val="00524547"/>
    <w:rsid w:val="0052481A"/>
    <w:rsid w:val="00524D95"/>
    <w:rsid w:val="00525385"/>
    <w:rsid w:val="005258A2"/>
    <w:rsid w:val="00525F37"/>
    <w:rsid w:val="00525F91"/>
    <w:rsid w:val="00526835"/>
    <w:rsid w:val="00526915"/>
    <w:rsid w:val="00526AB5"/>
    <w:rsid w:val="00526DB7"/>
    <w:rsid w:val="00527D8E"/>
    <w:rsid w:val="005306FE"/>
    <w:rsid w:val="00530F7C"/>
    <w:rsid w:val="00532270"/>
    <w:rsid w:val="00533E79"/>
    <w:rsid w:val="00534567"/>
    <w:rsid w:val="00534F43"/>
    <w:rsid w:val="00535A84"/>
    <w:rsid w:val="005363B7"/>
    <w:rsid w:val="00536889"/>
    <w:rsid w:val="005373A7"/>
    <w:rsid w:val="005374CD"/>
    <w:rsid w:val="00537A4F"/>
    <w:rsid w:val="00540DFE"/>
    <w:rsid w:val="00541871"/>
    <w:rsid w:val="00541A9A"/>
    <w:rsid w:val="00542E07"/>
    <w:rsid w:val="00543767"/>
    <w:rsid w:val="00544D4A"/>
    <w:rsid w:val="005466E9"/>
    <w:rsid w:val="005475B1"/>
    <w:rsid w:val="00547D32"/>
    <w:rsid w:val="00552177"/>
    <w:rsid w:val="0055238C"/>
    <w:rsid w:val="00552442"/>
    <w:rsid w:val="00552ABB"/>
    <w:rsid w:val="00553607"/>
    <w:rsid w:val="00554A7B"/>
    <w:rsid w:val="00554FBB"/>
    <w:rsid w:val="0055572C"/>
    <w:rsid w:val="00555839"/>
    <w:rsid w:val="00555B72"/>
    <w:rsid w:val="005572B6"/>
    <w:rsid w:val="0056064F"/>
    <w:rsid w:val="00560CC4"/>
    <w:rsid w:val="00561B84"/>
    <w:rsid w:val="00561CDC"/>
    <w:rsid w:val="00562466"/>
    <w:rsid w:val="005625C8"/>
    <w:rsid w:val="005626FE"/>
    <w:rsid w:val="00562DE9"/>
    <w:rsid w:val="00564F84"/>
    <w:rsid w:val="00565D66"/>
    <w:rsid w:val="00566B73"/>
    <w:rsid w:val="0056738E"/>
    <w:rsid w:val="00570906"/>
    <w:rsid w:val="00571D98"/>
    <w:rsid w:val="005720AE"/>
    <w:rsid w:val="00574BB9"/>
    <w:rsid w:val="005758DD"/>
    <w:rsid w:val="00575A04"/>
    <w:rsid w:val="00576A62"/>
    <w:rsid w:val="005770FB"/>
    <w:rsid w:val="0058030D"/>
    <w:rsid w:val="005807DE"/>
    <w:rsid w:val="00581562"/>
    <w:rsid w:val="00581589"/>
    <w:rsid w:val="00581654"/>
    <w:rsid w:val="00581B9D"/>
    <w:rsid w:val="00582045"/>
    <w:rsid w:val="00582CD0"/>
    <w:rsid w:val="00583867"/>
    <w:rsid w:val="005839DD"/>
    <w:rsid w:val="0058405A"/>
    <w:rsid w:val="00585D25"/>
    <w:rsid w:val="005862E1"/>
    <w:rsid w:val="00586CC5"/>
    <w:rsid w:val="00590088"/>
    <w:rsid w:val="005906E3"/>
    <w:rsid w:val="00590AE3"/>
    <w:rsid w:val="005918F1"/>
    <w:rsid w:val="00593272"/>
    <w:rsid w:val="00593B29"/>
    <w:rsid w:val="00593CF4"/>
    <w:rsid w:val="00596C73"/>
    <w:rsid w:val="00596E2D"/>
    <w:rsid w:val="005A06B7"/>
    <w:rsid w:val="005A0876"/>
    <w:rsid w:val="005A0BC4"/>
    <w:rsid w:val="005A16DD"/>
    <w:rsid w:val="005A1759"/>
    <w:rsid w:val="005A1FF8"/>
    <w:rsid w:val="005A240C"/>
    <w:rsid w:val="005A3A20"/>
    <w:rsid w:val="005A3C17"/>
    <w:rsid w:val="005A3D88"/>
    <w:rsid w:val="005A4753"/>
    <w:rsid w:val="005A47C0"/>
    <w:rsid w:val="005A4DA1"/>
    <w:rsid w:val="005A4EFF"/>
    <w:rsid w:val="005A5086"/>
    <w:rsid w:val="005A6223"/>
    <w:rsid w:val="005A786D"/>
    <w:rsid w:val="005A7C4B"/>
    <w:rsid w:val="005A7D6E"/>
    <w:rsid w:val="005B070D"/>
    <w:rsid w:val="005B0FEA"/>
    <w:rsid w:val="005B23C3"/>
    <w:rsid w:val="005B2768"/>
    <w:rsid w:val="005B3453"/>
    <w:rsid w:val="005B466F"/>
    <w:rsid w:val="005B517B"/>
    <w:rsid w:val="005B5AEE"/>
    <w:rsid w:val="005B612F"/>
    <w:rsid w:val="005B642E"/>
    <w:rsid w:val="005C03F8"/>
    <w:rsid w:val="005C17AA"/>
    <w:rsid w:val="005C2795"/>
    <w:rsid w:val="005C3594"/>
    <w:rsid w:val="005C359A"/>
    <w:rsid w:val="005C54D2"/>
    <w:rsid w:val="005C55CF"/>
    <w:rsid w:val="005C727D"/>
    <w:rsid w:val="005C791B"/>
    <w:rsid w:val="005C7FD5"/>
    <w:rsid w:val="005D0369"/>
    <w:rsid w:val="005D0AFB"/>
    <w:rsid w:val="005D3070"/>
    <w:rsid w:val="005D30D6"/>
    <w:rsid w:val="005D3816"/>
    <w:rsid w:val="005D4DC0"/>
    <w:rsid w:val="005D53FE"/>
    <w:rsid w:val="005D5D9B"/>
    <w:rsid w:val="005D5DF0"/>
    <w:rsid w:val="005D6AAE"/>
    <w:rsid w:val="005D708C"/>
    <w:rsid w:val="005D7A0F"/>
    <w:rsid w:val="005D7D9A"/>
    <w:rsid w:val="005E0438"/>
    <w:rsid w:val="005E06F3"/>
    <w:rsid w:val="005E1084"/>
    <w:rsid w:val="005E1791"/>
    <w:rsid w:val="005E2CE6"/>
    <w:rsid w:val="005E30C8"/>
    <w:rsid w:val="005E336A"/>
    <w:rsid w:val="005E34D2"/>
    <w:rsid w:val="005E3547"/>
    <w:rsid w:val="005E3627"/>
    <w:rsid w:val="005E396E"/>
    <w:rsid w:val="005E4F48"/>
    <w:rsid w:val="005E4FE6"/>
    <w:rsid w:val="005E51DC"/>
    <w:rsid w:val="005E521C"/>
    <w:rsid w:val="005E5F36"/>
    <w:rsid w:val="005E5F63"/>
    <w:rsid w:val="005E6324"/>
    <w:rsid w:val="005E646A"/>
    <w:rsid w:val="005E67A3"/>
    <w:rsid w:val="005E6A1A"/>
    <w:rsid w:val="005F12FA"/>
    <w:rsid w:val="005F228B"/>
    <w:rsid w:val="005F29CD"/>
    <w:rsid w:val="005F2DB1"/>
    <w:rsid w:val="005F315D"/>
    <w:rsid w:val="005F3268"/>
    <w:rsid w:val="005F432D"/>
    <w:rsid w:val="005F4DFB"/>
    <w:rsid w:val="005F4F43"/>
    <w:rsid w:val="005F558A"/>
    <w:rsid w:val="005F55AE"/>
    <w:rsid w:val="005F5EDE"/>
    <w:rsid w:val="005F6741"/>
    <w:rsid w:val="005F6B6F"/>
    <w:rsid w:val="005F6CC0"/>
    <w:rsid w:val="005F78FD"/>
    <w:rsid w:val="00600D83"/>
    <w:rsid w:val="00602182"/>
    <w:rsid w:val="00603E5B"/>
    <w:rsid w:val="0060467B"/>
    <w:rsid w:val="00604BC8"/>
    <w:rsid w:val="00604F4E"/>
    <w:rsid w:val="00604F9B"/>
    <w:rsid w:val="00605379"/>
    <w:rsid w:val="0060566D"/>
    <w:rsid w:val="0060584D"/>
    <w:rsid w:val="006074AC"/>
    <w:rsid w:val="00607C12"/>
    <w:rsid w:val="00610060"/>
    <w:rsid w:val="00610E60"/>
    <w:rsid w:val="006112F7"/>
    <w:rsid w:val="00611887"/>
    <w:rsid w:val="00611C2C"/>
    <w:rsid w:val="0061206F"/>
    <w:rsid w:val="00612C4D"/>
    <w:rsid w:val="00614B35"/>
    <w:rsid w:val="00615126"/>
    <w:rsid w:val="006155C0"/>
    <w:rsid w:val="00615A2F"/>
    <w:rsid w:val="00615B4C"/>
    <w:rsid w:val="00615B5D"/>
    <w:rsid w:val="00616854"/>
    <w:rsid w:val="006169A7"/>
    <w:rsid w:val="00616A28"/>
    <w:rsid w:val="00620DC5"/>
    <w:rsid w:val="0062146F"/>
    <w:rsid w:val="00621A84"/>
    <w:rsid w:val="006228EB"/>
    <w:rsid w:val="006249C4"/>
    <w:rsid w:val="00625236"/>
    <w:rsid w:val="00625B20"/>
    <w:rsid w:val="00626ABD"/>
    <w:rsid w:val="00627908"/>
    <w:rsid w:val="00630C2B"/>
    <w:rsid w:val="0063149E"/>
    <w:rsid w:val="0063240F"/>
    <w:rsid w:val="006343AF"/>
    <w:rsid w:val="00634CB6"/>
    <w:rsid w:val="00635EAA"/>
    <w:rsid w:val="0063603F"/>
    <w:rsid w:val="006362B3"/>
    <w:rsid w:val="006362FE"/>
    <w:rsid w:val="0063634A"/>
    <w:rsid w:val="00636F2B"/>
    <w:rsid w:val="006373A2"/>
    <w:rsid w:val="00637574"/>
    <w:rsid w:val="00637A76"/>
    <w:rsid w:val="00637CCB"/>
    <w:rsid w:val="00641E89"/>
    <w:rsid w:val="006421B8"/>
    <w:rsid w:val="0064250D"/>
    <w:rsid w:val="00643502"/>
    <w:rsid w:val="00644E8A"/>
    <w:rsid w:val="00645451"/>
    <w:rsid w:val="00647195"/>
    <w:rsid w:val="00651E82"/>
    <w:rsid w:val="00651E88"/>
    <w:rsid w:val="00652212"/>
    <w:rsid w:val="00652937"/>
    <w:rsid w:val="006532D2"/>
    <w:rsid w:val="006535EB"/>
    <w:rsid w:val="00653F12"/>
    <w:rsid w:val="0065478B"/>
    <w:rsid w:val="006560C7"/>
    <w:rsid w:val="00656D2C"/>
    <w:rsid w:val="006575B6"/>
    <w:rsid w:val="0065763A"/>
    <w:rsid w:val="00657DDA"/>
    <w:rsid w:val="006600B7"/>
    <w:rsid w:val="006621FC"/>
    <w:rsid w:val="0066299F"/>
    <w:rsid w:val="00663016"/>
    <w:rsid w:val="006631C4"/>
    <w:rsid w:val="0066334B"/>
    <w:rsid w:val="00665863"/>
    <w:rsid w:val="00665F24"/>
    <w:rsid w:val="006667B6"/>
    <w:rsid w:val="00667C88"/>
    <w:rsid w:val="0067065C"/>
    <w:rsid w:val="00670BB2"/>
    <w:rsid w:val="00672324"/>
    <w:rsid w:val="006739B1"/>
    <w:rsid w:val="00674605"/>
    <w:rsid w:val="006748B8"/>
    <w:rsid w:val="006750BB"/>
    <w:rsid w:val="00675CA1"/>
    <w:rsid w:val="006761DF"/>
    <w:rsid w:val="00682A95"/>
    <w:rsid w:val="00683057"/>
    <w:rsid w:val="006846E6"/>
    <w:rsid w:val="00684775"/>
    <w:rsid w:val="0068535B"/>
    <w:rsid w:val="00685776"/>
    <w:rsid w:val="00686711"/>
    <w:rsid w:val="0068695E"/>
    <w:rsid w:val="0068736E"/>
    <w:rsid w:val="00687A76"/>
    <w:rsid w:val="00690527"/>
    <w:rsid w:val="00692339"/>
    <w:rsid w:val="0069290A"/>
    <w:rsid w:val="00692B6F"/>
    <w:rsid w:val="00693BE4"/>
    <w:rsid w:val="0069488F"/>
    <w:rsid w:val="0069577E"/>
    <w:rsid w:val="00695AE5"/>
    <w:rsid w:val="00697032"/>
    <w:rsid w:val="006975AC"/>
    <w:rsid w:val="00697622"/>
    <w:rsid w:val="00697F29"/>
    <w:rsid w:val="006A03A9"/>
    <w:rsid w:val="006A15FB"/>
    <w:rsid w:val="006A2016"/>
    <w:rsid w:val="006A21F6"/>
    <w:rsid w:val="006A2D10"/>
    <w:rsid w:val="006A358E"/>
    <w:rsid w:val="006A3779"/>
    <w:rsid w:val="006A3C2C"/>
    <w:rsid w:val="006A3E8C"/>
    <w:rsid w:val="006A437B"/>
    <w:rsid w:val="006A5E6A"/>
    <w:rsid w:val="006A6055"/>
    <w:rsid w:val="006A72BF"/>
    <w:rsid w:val="006B0635"/>
    <w:rsid w:val="006B0BD8"/>
    <w:rsid w:val="006B0CAE"/>
    <w:rsid w:val="006B2033"/>
    <w:rsid w:val="006B332A"/>
    <w:rsid w:val="006B33BD"/>
    <w:rsid w:val="006B4653"/>
    <w:rsid w:val="006B4D55"/>
    <w:rsid w:val="006B4FA0"/>
    <w:rsid w:val="006B543A"/>
    <w:rsid w:val="006B567E"/>
    <w:rsid w:val="006B59E8"/>
    <w:rsid w:val="006B62A6"/>
    <w:rsid w:val="006B68AF"/>
    <w:rsid w:val="006B7145"/>
    <w:rsid w:val="006C0567"/>
    <w:rsid w:val="006C2007"/>
    <w:rsid w:val="006C3946"/>
    <w:rsid w:val="006C3E96"/>
    <w:rsid w:val="006C3F38"/>
    <w:rsid w:val="006C3F75"/>
    <w:rsid w:val="006C4EBD"/>
    <w:rsid w:val="006C73B0"/>
    <w:rsid w:val="006C74B0"/>
    <w:rsid w:val="006D0BFC"/>
    <w:rsid w:val="006D1115"/>
    <w:rsid w:val="006D170E"/>
    <w:rsid w:val="006D1C8D"/>
    <w:rsid w:val="006D2BBC"/>
    <w:rsid w:val="006D3549"/>
    <w:rsid w:val="006D48EC"/>
    <w:rsid w:val="006D6A5A"/>
    <w:rsid w:val="006D7748"/>
    <w:rsid w:val="006E06AF"/>
    <w:rsid w:val="006E16F4"/>
    <w:rsid w:val="006E1803"/>
    <w:rsid w:val="006E1F24"/>
    <w:rsid w:val="006E2036"/>
    <w:rsid w:val="006E34C2"/>
    <w:rsid w:val="006E3CD5"/>
    <w:rsid w:val="006E4C6D"/>
    <w:rsid w:val="006E51EA"/>
    <w:rsid w:val="006E6FA8"/>
    <w:rsid w:val="006E7513"/>
    <w:rsid w:val="006F0037"/>
    <w:rsid w:val="006F1789"/>
    <w:rsid w:val="006F27F2"/>
    <w:rsid w:val="006F3472"/>
    <w:rsid w:val="006F42DD"/>
    <w:rsid w:val="006F611E"/>
    <w:rsid w:val="006F67EE"/>
    <w:rsid w:val="006F68AC"/>
    <w:rsid w:val="006F78BB"/>
    <w:rsid w:val="006F7DAB"/>
    <w:rsid w:val="0070100F"/>
    <w:rsid w:val="00702D7D"/>
    <w:rsid w:val="00703C15"/>
    <w:rsid w:val="0070460A"/>
    <w:rsid w:val="0070660F"/>
    <w:rsid w:val="00706C5D"/>
    <w:rsid w:val="00706D78"/>
    <w:rsid w:val="00706E91"/>
    <w:rsid w:val="00707A70"/>
    <w:rsid w:val="00710936"/>
    <w:rsid w:val="007118E6"/>
    <w:rsid w:val="00712AC2"/>
    <w:rsid w:val="00713295"/>
    <w:rsid w:val="007142B3"/>
    <w:rsid w:val="0071611A"/>
    <w:rsid w:val="0071655B"/>
    <w:rsid w:val="00716AA6"/>
    <w:rsid w:val="00720541"/>
    <w:rsid w:val="00720749"/>
    <w:rsid w:val="007215AD"/>
    <w:rsid w:val="00721A49"/>
    <w:rsid w:val="0072226B"/>
    <w:rsid w:val="007225C9"/>
    <w:rsid w:val="00722ACF"/>
    <w:rsid w:val="0072329D"/>
    <w:rsid w:val="00723D61"/>
    <w:rsid w:val="00723F33"/>
    <w:rsid w:val="007244B6"/>
    <w:rsid w:val="00725982"/>
    <w:rsid w:val="00726822"/>
    <w:rsid w:val="00727362"/>
    <w:rsid w:val="007307E7"/>
    <w:rsid w:val="00730B6E"/>
    <w:rsid w:val="007316A5"/>
    <w:rsid w:val="00731768"/>
    <w:rsid w:val="00731EC0"/>
    <w:rsid w:val="00731F0B"/>
    <w:rsid w:val="0073307F"/>
    <w:rsid w:val="007331CD"/>
    <w:rsid w:val="007341BB"/>
    <w:rsid w:val="0073488D"/>
    <w:rsid w:val="00735BBA"/>
    <w:rsid w:val="00735CD7"/>
    <w:rsid w:val="00736198"/>
    <w:rsid w:val="00736930"/>
    <w:rsid w:val="007372F1"/>
    <w:rsid w:val="007377C0"/>
    <w:rsid w:val="00741828"/>
    <w:rsid w:val="0074193B"/>
    <w:rsid w:val="00741CEC"/>
    <w:rsid w:val="00743AAB"/>
    <w:rsid w:val="00743D9B"/>
    <w:rsid w:val="007441FA"/>
    <w:rsid w:val="00745CE5"/>
    <w:rsid w:val="00746102"/>
    <w:rsid w:val="007464FD"/>
    <w:rsid w:val="00746BD7"/>
    <w:rsid w:val="00746F65"/>
    <w:rsid w:val="00747459"/>
    <w:rsid w:val="00747BEF"/>
    <w:rsid w:val="00750554"/>
    <w:rsid w:val="00751D21"/>
    <w:rsid w:val="007534C3"/>
    <w:rsid w:val="00754034"/>
    <w:rsid w:val="00754BF1"/>
    <w:rsid w:val="00754D99"/>
    <w:rsid w:val="00755A30"/>
    <w:rsid w:val="00755E1C"/>
    <w:rsid w:val="00756556"/>
    <w:rsid w:val="00757158"/>
    <w:rsid w:val="007576B4"/>
    <w:rsid w:val="00757DA4"/>
    <w:rsid w:val="007601D0"/>
    <w:rsid w:val="0076132B"/>
    <w:rsid w:val="007620BA"/>
    <w:rsid w:val="00762350"/>
    <w:rsid w:val="007623AE"/>
    <w:rsid w:val="007643D2"/>
    <w:rsid w:val="00764A63"/>
    <w:rsid w:val="00764B75"/>
    <w:rsid w:val="007651A2"/>
    <w:rsid w:val="00765D49"/>
    <w:rsid w:val="007661AD"/>
    <w:rsid w:val="007664F4"/>
    <w:rsid w:val="007668CB"/>
    <w:rsid w:val="0076779A"/>
    <w:rsid w:val="0076783A"/>
    <w:rsid w:val="007703CB"/>
    <w:rsid w:val="00770B19"/>
    <w:rsid w:val="00771548"/>
    <w:rsid w:val="007717F0"/>
    <w:rsid w:val="00772353"/>
    <w:rsid w:val="00774FA0"/>
    <w:rsid w:val="00775829"/>
    <w:rsid w:val="00775C5A"/>
    <w:rsid w:val="00776119"/>
    <w:rsid w:val="00776620"/>
    <w:rsid w:val="00776909"/>
    <w:rsid w:val="00776C5D"/>
    <w:rsid w:val="00777B6D"/>
    <w:rsid w:val="00777CAB"/>
    <w:rsid w:val="00777E3F"/>
    <w:rsid w:val="007800E1"/>
    <w:rsid w:val="007804C5"/>
    <w:rsid w:val="00780A06"/>
    <w:rsid w:val="00780B67"/>
    <w:rsid w:val="00782DD8"/>
    <w:rsid w:val="00784855"/>
    <w:rsid w:val="00784F39"/>
    <w:rsid w:val="00785229"/>
    <w:rsid w:val="0078545C"/>
    <w:rsid w:val="00785E54"/>
    <w:rsid w:val="007862FA"/>
    <w:rsid w:val="00786688"/>
    <w:rsid w:val="00786D3A"/>
    <w:rsid w:val="007906C4"/>
    <w:rsid w:val="007916B8"/>
    <w:rsid w:val="00791E05"/>
    <w:rsid w:val="00792968"/>
    <w:rsid w:val="007940EA"/>
    <w:rsid w:val="007941AF"/>
    <w:rsid w:val="00794503"/>
    <w:rsid w:val="007958AC"/>
    <w:rsid w:val="00795AC0"/>
    <w:rsid w:val="00796122"/>
    <w:rsid w:val="007967E8"/>
    <w:rsid w:val="00797D69"/>
    <w:rsid w:val="007A0B33"/>
    <w:rsid w:val="007A0F97"/>
    <w:rsid w:val="007A3370"/>
    <w:rsid w:val="007A39CD"/>
    <w:rsid w:val="007A46F5"/>
    <w:rsid w:val="007A5129"/>
    <w:rsid w:val="007A5799"/>
    <w:rsid w:val="007A63F2"/>
    <w:rsid w:val="007A6926"/>
    <w:rsid w:val="007A70E6"/>
    <w:rsid w:val="007A77A8"/>
    <w:rsid w:val="007B1068"/>
    <w:rsid w:val="007B223B"/>
    <w:rsid w:val="007B2D2F"/>
    <w:rsid w:val="007B30D3"/>
    <w:rsid w:val="007B32D0"/>
    <w:rsid w:val="007B3B36"/>
    <w:rsid w:val="007B4512"/>
    <w:rsid w:val="007B6371"/>
    <w:rsid w:val="007B68DE"/>
    <w:rsid w:val="007B70D7"/>
    <w:rsid w:val="007B7908"/>
    <w:rsid w:val="007B7A86"/>
    <w:rsid w:val="007C0007"/>
    <w:rsid w:val="007C164C"/>
    <w:rsid w:val="007C1857"/>
    <w:rsid w:val="007C1EC5"/>
    <w:rsid w:val="007C514F"/>
    <w:rsid w:val="007C7697"/>
    <w:rsid w:val="007D0A14"/>
    <w:rsid w:val="007D0C50"/>
    <w:rsid w:val="007D0F95"/>
    <w:rsid w:val="007D47B2"/>
    <w:rsid w:val="007D4AC5"/>
    <w:rsid w:val="007D4AFD"/>
    <w:rsid w:val="007D5DDD"/>
    <w:rsid w:val="007D65EC"/>
    <w:rsid w:val="007D75A5"/>
    <w:rsid w:val="007D7ECB"/>
    <w:rsid w:val="007E00E4"/>
    <w:rsid w:val="007E02D5"/>
    <w:rsid w:val="007E0770"/>
    <w:rsid w:val="007E11FD"/>
    <w:rsid w:val="007E1915"/>
    <w:rsid w:val="007E24DA"/>
    <w:rsid w:val="007E25A1"/>
    <w:rsid w:val="007E3024"/>
    <w:rsid w:val="007E33BB"/>
    <w:rsid w:val="007E377D"/>
    <w:rsid w:val="007E4BD2"/>
    <w:rsid w:val="007E56AD"/>
    <w:rsid w:val="007E5BF4"/>
    <w:rsid w:val="007E668F"/>
    <w:rsid w:val="007E6A2C"/>
    <w:rsid w:val="007E6BD7"/>
    <w:rsid w:val="007E7145"/>
    <w:rsid w:val="007F03E4"/>
    <w:rsid w:val="007F0C7A"/>
    <w:rsid w:val="007F16DE"/>
    <w:rsid w:val="007F1ABE"/>
    <w:rsid w:val="007F2A3D"/>
    <w:rsid w:val="007F34C5"/>
    <w:rsid w:val="007F3916"/>
    <w:rsid w:val="007F4872"/>
    <w:rsid w:val="007F4B79"/>
    <w:rsid w:val="007F4CDC"/>
    <w:rsid w:val="007F5BA6"/>
    <w:rsid w:val="007F5E63"/>
    <w:rsid w:val="007F6CF8"/>
    <w:rsid w:val="007F7524"/>
    <w:rsid w:val="008010A1"/>
    <w:rsid w:val="00801179"/>
    <w:rsid w:val="00801182"/>
    <w:rsid w:val="0080168F"/>
    <w:rsid w:val="00802479"/>
    <w:rsid w:val="00804FE4"/>
    <w:rsid w:val="00805372"/>
    <w:rsid w:val="00805B7B"/>
    <w:rsid w:val="00806AF0"/>
    <w:rsid w:val="00806FF3"/>
    <w:rsid w:val="00807B97"/>
    <w:rsid w:val="00807CD3"/>
    <w:rsid w:val="008103FE"/>
    <w:rsid w:val="0081267A"/>
    <w:rsid w:val="0081293E"/>
    <w:rsid w:val="00812FDC"/>
    <w:rsid w:val="0081347C"/>
    <w:rsid w:val="00813A6A"/>
    <w:rsid w:val="00814FFB"/>
    <w:rsid w:val="0081509C"/>
    <w:rsid w:val="0081586D"/>
    <w:rsid w:val="00816102"/>
    <w:rsid w:val="0082005E"/>
    <w:rsid w:val="00820568"/>
    <w:rsid w:val="008205AA"/>
    <w:rsid w:val="00820EF3"/>
    <w:rsid w:val="00821196"/>
    <w:rsid w:val="00821479"/>
    <w:rsid w:val="00821512"/>
    <w:rsid w:val="008215D1"/>
    <w:rsid w:val="00821C65"/>
    <w:rsid w:val="0082208F"/>
    <w:rsid w:val="008231A8"/>
    <w:rsid w:val="00824B27"/>
    <w:rsid w:val="00825EE8"/>
    <w:rsid w:val="008265BB"/>
    <w:rsid w:val="008266D5"/>
    <w:rsid w:val="00826EAA"/>
    <w:rsid w:val="008273E4"/>
    <w:rsid w:val="008274F3"/>
    <w:rsid w:val="008274F5"/>
    <w:rsid w:val="00830329"/>
    <w:rsid w:val="00831A35"/>
    <w:rsid w:val="00831A80"/>
    <w:rsid w:val="00832720"/>
    <w:rsid w:val="008332C8"/>
    <w:rsid w:val="00833743"/>
    <w:rsid w:val="00833F9F"/>
    <w:rsid w:val="008340A4"/>
    <w:rsid w:val="008358B0"/>
    <w:rsid w:val="008363F3"/>
    <w:rsid w:val="008364D3"/>
    <w:rsid w:val="00836799"/>
    <w:rsid w:val="00836A9B"/>
    <w:rsid w:val="00836F82"/>
    <w:rsid w:val="00837028"/>
    <w:rsid w:val="00837131"/>
    <w:rsid w:val="008375C0"/>
    <w:rsid w:val="00837FF9"/>
    <w:rsid w:val="00842258"/>
    <w:rsid w:val="008432E7"/>
    <w:rsid w:val="008436B6"/>
    <w:rsid w:val="00843F93"/>
    <w:rsid w:val="00844260"/>
    <w:rsid w:val="008449AE"/>
    <w:rsid w:val="008453DD"/>
    <w:rsid w:val="00845BF8"/>
    <w:rsid w:val="00845F57"/>
    <w:rsid w:val="008477A1"/>
    <w:rsid w:val="008479E8"/>
    <w:rsid w:val="00847DC9"/>
    <w:rsid w:val="00850296"/>
    <w:rsid w:val="008506D9"/>
    <w:rsid w:val="00850BC0"/>
    <w:rsid w:val="00851441"/>
    <w:rsid w:val="008521E0"/>
    <w:rsid w:val="008525B0"/>
    <w:rsid w:val="00852E5B"/>
    <w:rsid w:val="00853029"/>
    <w:rsid w:val="0085330F"/>
    <w:rsid w:val="00853BC6"/>
    <w:rsid w:val="008547E2"/>
    <w:rsid w:val="008554C1"/>
    <w:rsid w:val="008557D2"/>
    <w:rsid w:val="00855B33"/>
    <w:rsid w:val="00855C9D"/>
    <w:rsid w:val="0085648E"/>
    <w:rsid w:val="00856F61"/>
    <w:rsid w:val="008600FA"/>
    <w:rsid w:val="0086076C"/>
    <w:rsid w:val="00860BEE"/>
    <w:rsid w:val="008620ED"/>
    <w:rsid w:val="008627C9"/>
    <w:rsid w:val="008631FE"/>
    <w:rsid w:val="00863690"/>
    <w:rsid w:val="00865A2C"/>
    <w:rsid w:val="00865DC5"/>
    <w:rsid w:val="008662EE"/>
    <w:rsid w:val="00866F38"/>
    <w:rsid w:val="00867CBC"/>
    <w:rsid w:val="00867CF4"/>
    <w:rsid w:val="00870378"/>
    <w:rsid w:val="00870712"/>
    <w:rsid w:val="00873144"/>
    <w:rsid w:val="008731E5"/>
    <w:rsid w:val="00875652"/>
    <w:rsid w:val="00875FCF"/>
    <w:rsid w:val="00876C30"/>
    <w:rsid w:val="00876DD9"/>
    <w:rsid w:val="00877017"/>
    <w:rsid w:val="008773C0"/>
    <w:rsid w:val="0088012F"/>
    <w:rsid w:val="00880364"/>
    <w:rsid w:val="0088183C"/>
    <w:rsid w:val="00881D3E"/>
    <w:rsid w:val="008832FE"/>
    <w:rsid w:val="0088344C"/>
    <w:rsid w:val="0088434B"/>
    <w:rsid w:val="008843EB"/>
    <w:rsid w:val="008843F3"/>
    <w:rsid w:val="008845E9"/>
    <w:rsid w:val="008848C4"/>
    <w:rsid w:val="0088558F"/>
    <w:rsid w:val="00885E4F"/>
    <w:rsid w:val="008869EB"/>
    <w:rsid w:val="00886B83"/>
    <w:rsid w:val="00886C4C"/>
    <w:rsid w:val="0088711C"/>
    <w:rsid w:val="00887DD3"/>
    <w:rsid w:val="008901AA"/>
    <w:rsid w:val="0089070F"/>
    <w:rsid w:val="00890ADB"/>
    <w:rsid w:val="00890EFF"/>
    <w:rsid w:val="00891467"/>
    <w:rsid w:val="00891BF2"/>
    <w:rsid w:val="00892530"/>
    <w:rsid w:val="00892ECF"/>
    <w:rsid w:val="00892F06"/>
    <w:rsid w:val="0089368E"/>
    <w:rsid w:val="0089421A"/>
    <w:rsid w:val="00894285"/>
    <w:rsid w:val="00894390"/>
    <w:rsid w:val="00894B6A"/>
    <w:rsid w:val="00895442"/>
    <w:rsid w:val="00895482"/>
    <w:rsid w:val="008959D8"/>
    <w:rsid w:val="00895AF6"/>
    <w:rsid w:val="00895CD0"/>
    <w:rsid w:val="00897BCE"/>
    <w:rsid w:val="008A1975"/>
    <w:rsid w:val="008A2C9C"/>
    <w:rsid w:val="008A31F9"/>
    <w:rsid w:val="008A40AE"/>
    <w:rsid w:val="008A4E19"/>
    <w:rsid w:val="008A4E8B"/>
    <w:rsid w:val="008A50A4"/>
    <w:rsid w:val="008A53DC"/>
    <w:rsid w:val="008A566E"/>
    <w:rsid w:val="008A67C5"/>
    <w:rsid w:val="008A69C3"/>
    <w:rsid w:val="008A6CA6"/>
    <w:rsid w:val="008A6DDD"/>
    <w:rsid w:val="008B19DB"/>
    <w:rsid w:val="008B227C"/>
    <w:rsid w:val="008B22E1"/>
    <w:rsid w:val="008B2AE3"/>
    <w:rsid w:val="008B2CAA"/>
    <w:rsid w:val="008B3C78"/>
    <w:rsid w:val="008B4AE9"/>
    <w:rsid w:val="008B4DA0"/>
    <w:rsid w:val="008B5520"/>
    <w:rsid w:val="008B6CA2"/>
    <w:rsid w:val="008B7486"/>
    <w:rsid w:val="008B7BEA"/>
    <w:rsid w:val="008C117B"/>
    <w:rsid w:val="008C2F40"/>
    <w:rsid w:val="008C30AD"/>
    <w:rsid w:val="008C416B"/>
    <w:rsid w:val="008C5093"/>
    <w:rsid w:val="008C5341"/>
    <w:rsid w:val="008C5538"/>
    <w:rsid w:val="008D068E"/>
    <w:rsid w:val="008D0F7A"/>
    <w:rsid w:val="008D1033"/>
    <w:rsid w:val="008D2B4A"/>
    <w:rsid w:val="008D42A0"/>
    <w:rsid w:val="008D538C"/>
    <w:rsid w:val="008D5996"/>
    <w:rsid w:val="008D5BB6"/>
    <w:rsid w:val="008D63BE"/>
    <w:rsid w:val="008D6847"/>
    <w:rsid w:val="008D6C66"/>
    <w:rsid w:val="008D6D0B"/>
    <w:rsid w:val="008D7E39"/>
    <w:rsid w:val="008E035A"/>
    <w:rsid w:val="008E037C"/>
    <w:rsid w:val="008E0CFF"/>
    <w:rsid w:val="008E1526"/>
    <w:rsid w:val="008E1BCB"/>
    <w:rsid w:val="008E1C60"/>
    <w:rsid w:val="008E2171"/>
    <w:rsid w:val="008E2182"/>
    <w:rsid w:val="008E48CE"/>
    <w:rsid w:val="008E5BE5"/>
    <w:rsid w:val="008E5D6B"/>
    <w:rsid w:val="008E61E5"/>
    <w:rsid w:val="008E6744"/>
    <w:rsid w:val="008E6754"/>
    <w:rsid w:val="008E689B"/>
    <w:rsid w:val="008E76F0"/>
    <w:rsid w:val="008F1382"/>
    <w:rsid w:val="008F15F9"/>
    <w:rsid w:val="008F15FE"/>
    <w:rsid w:val="008F1B21"/>
    <w:rsid w:val="008F21C7"/>
    <w:rsid w:val="008F23EC"/>
    <w:rsid w:val="008F2A94"/>
    <w:rsid w:val="008F2E2B"/>
    <w:rsid w:val="008F47A9"/>
    <w:rsid w:val="008F5187"/>
    <w:rsid w:val="008F6E46"/>
    <w:rsid w:val="008F709C"/>
    <w:rsid w:val="008F74C2"/>
    <w:rsid w:val="008F75E5"/>
    <w:rsid w:val="008F7728"/>
    <w:rsid w:val="008F7937"/>
    <w:rsid w:val="008F7A9E"/>
    <w:rsid w:val="009004D4"/>
    <w:rsid w:val="009005E1"/>
    <w:rsid w:val="00901444"/>
    <w:rsid w:val="0090197B"/>
    <w:rsid w:val="009020D4"/>
    <w:rsid w:val="00902A00"/>
    <w:rsid w:val="00902DD8"/>
    <w:rsid w:val="0090301B"/>
    <w:rsid w:val="0090312B"/>
    <w:rsid w:val="00903AF8"/>
    <w:rsid w:val="009040C1"/>
    <w:rsid w:val="00904961"/>
    <w:rsid w:val="009053EE"/>
    <w:rsid w:val="009055A3"/>
    <w:rsid w:val="0090639D"/>
    <w:rsid w:val="00906561"/>
    <w:rsid w:val="009069D5"/>
    <w:rsid w:val="00906D95"/>
    <w:rsid w:val="009107BB"/>
    <w:rsid w:val="00910F53"/>
    <w:rsid w:val="009121F5"/>
    <w:rsid w:val="009129D4"/>
    <w:rsid w:val="00915427"/>
    <w:rsid w:val="009160C4"/>
    <w:rsid w:val="009168CD"/>
    <w:rsid w:val="0091736D"/>
    <w:rsid w:val="00920435"/>
    <w:rsid w:val="009214BD"/>
    <w:rsid w:val="00921D4E"/>
    <w:rsid w:val="0092202A"/>
    <w:rsid w:val="00923146"/>
    <w:rsid w:val="00923326"/>
    <w:rsid w:val="0092378D"/>
    <w:rsid w:val="00924981"/>
    <w:rsid w:val="009254A9"/>
    <w:rsid w:val="00927ADD"/>
    <w:rsid w:val="0093003B"/>
    <w:rsid w:val="00931001"/>
    <w:rsid w:val="00931863"/>
    <w:rsid w:val="00932F32"/>
    <w:rsid w:val="00933524"/>
    <w:rsid w:val="00933C21"/>
    <w:rsid w:val="00933CBF"/>
    <w:rsid w:val="00933E5F"/>
    <w:rsid w:val="00933F05"/>
    <w:rsid w:val="00934071"/>
    <w:rsid w:val="0093699F"/>
    <w:rsid w:val="00936AA5"/>
    <w:rsid w:val="00940D82"/>
    <w:rsid w:val="00940E69"/>
    <w:rsid w:val="00940EC0"/>
    <w:rsid w:val="00940ECE"/>
    <w:rsid w:val="00941667"/>
    <w:rsid w:val="00942343"/>
    <w:rsid w:val="0094278D"/>
    <w:rsid w:val="0094340F"/>
    <w:rsid w:val="00943540"/>
    <w:rsid w:val="00944304"/>
    <w:rsid w:val="00944B33"/>
    <w:rsid w:val="00944D38"/>
    <w:rsid w:val="0094532E"/>
    <w:rsid w:val="00945545"/>
    <w:rsid w:val="00945CAC"/>
    <w:rsid w:val="0094680A"/>
    <w:rsid w:val="00946C50"/>
    <w:rsid w:val="00946FCA"/>
    <w:rsid w:val="0094737D"/>
    <w:rsid w:val="00947EC2"/>
    <w:rsid w:val="00950170"/>
    <w:rsid w:val="00950182"/>
    <w:rsid w:val="00950183"/>
    <w:rsid w:val="00950730"/>
    <w:rsid w:val="009515E2"/>
    <w:rsid w:val="00951DE5"/>
    <w:rsid w:val="00951EBD"/>
    <w:rsid w:val="00952120"/>
    <w:rsid w:val="00953048"/>
    <w:rsid w:val="0095308A"/>
    <w:rsid w:val="009530FE"/>
    <w:rsid w:val="00953373"/>
    <w:rsid w:val="00953887"/>
    <w:rsid w:val="00953982"/>
    <w:rsid w:val="009556B4"/>
    <w:rsid w:val="00955AEE"/>
    <w:rsid w:val="009562FC"/>
    <w:rsid w:val="00956F14"/>
    <w:rsid w:val="009574E1"/>
    <w:rsid w:val="0095782B"/>
    <w:rsid w:val="009601FE"/>
    <w:rsid w:val="00960753"/>
    <w:rsid w:val="009620FD"/>
    <w:rsid w:val="0096210D"/>
    <w:rsid w:val="0096247A"/>
    <w:rsid w:val="00962791"/>
    <w:rsid w:val="009645CA"/>
    <w:rsid w:val="00964B22"/>
    <w:rsid w:val="00965892"/>
    <w:rsid w:val="00965DD8"/>
    <w:rsid w:val="00965F4B"/>
    <w:rsid w:val="0096619F"/>
    <w:rsid w:val="009671D1"/>
    <w:rsid w:val="0096784B"/>
    <w:rsid w:val="00967CEA"/>
    <w:rsid w:val="009701C5"/>
    <w:rsid w:val="0097023C"/>
    <w:rsid w:val="00970B68"/>
    <w:rsid w:val="00970C8C"/>
    <w:rsid w:val="00970F8A"/>
    <w:rsid w:val="00971FB5"/>
    <w:rsid w:val="00972D2A"/>
    <w:rsid w:val="009747EE"/>
    <w:rsid w:val="009750F9"/>
    <w:rsid w:val="009759B5"/>
    <w:rsid w:val="00975CC5"/>
    <w:rsid w:val="009761BB"/>
    <w:rsid w:val="009761E9"/>
    <w:rsid w:val="00976328"/>
    <w:rsid w:val="00976B4E"/>
    <w:rsid w:val="009772E3"/>
    <w:rsid w:val="00977D6C"/>
    <w:rsid w:val="009804FC"/>
    <w:rsid w:val="009813C2"/>
    <w:rsid w:val="00981C4B"/>
    <w:rsid w:val="0098318F"/>
    <w:rsid w:val="00983669"/>
    <w:rsid w:val="00983AA3"/>
    <w:rsid w:val="00984458"/>
    <w:rsid w:val="00985283"/>
    <w:rsid w:val="00985463"/>
    <w:rsid w:val="009872E7"/>
    <w:rsid w:val="00987322"/>
    <w:rsid w:val="00987899"/>
    <w:rsid w:val="00987B03"/>
    <w:rsid w:val="00987FCB"/>
    <w:rsid w:val="009902EA"/>
    <w:rsid w:val="009903B9"/>
    <w:rsid w:val="0099152D"/>
    <w:rsid w:val="00991B3B"/>
    <w:rsid w:val="00991CA1"/>
    <w:rsid w:val="0099289A"/>
    <w:rsid w:val="00993700"/>
    <w:rsid w:val="00994D1F"/>
    <w:rsid w:val="00994D34"/>
    <w:rsid w:val="00995166"/>
    <w:rsid w:val="0099525A"/>
    <w:rsid w:val="00995504"/>
    <w:rsid w:val="009955D1"/>
    <w:rsid w:val="009955E3"/>
    <w:rsid w:val="00996B3A"/>
    <w:rsid w:val="0099797D"/>
    <w:rsid w:val="00997E4B"/>
    <w:rsid w:val="009A0F3B"/>
    <w:rsid w:val="009A18C1"/>
    <w:rsid w:val="009A19D4"/>
    <w:rsid w:val="009A1C1E"/>
    <w:rsid w:val="009A2B8E"/>
    <w:rsid w:val="009A2D97"/>
    <w:rsid w:val="009A3FC2"/>
    <w:rsid w:val="009A49FC"/>
    <w:rsid w:val="009A4AD5"/>
    <w:rsid w:val="009A4CC0"/>
    <w:rsid w:val="009A5246"/>
    <w:rsid w:val="009A6527"/>
    <w:rsid w:val="009A65BC"/>
    <w:rsid w:val="009A72C7"/>
    <w:rsid w:val="009A7F8B"/>
    <w:rsid w:val="009B084C"/>
    <w:rsid w:val="009B0897"/>
    <w:rsid w:val="009B08DE"/>
    <w:rsid w:val="009B188E"/>
    <w:rsid w:val="009B22E1"/>
    <w:rsid w:val="009B2319"/>
    <w:rsid w:val="009B2693"/>
    <w:rsid w:val="009B3957"/>
    <w:rsid w:val="009B3F56"/>
    <w:rsid w:val="009B4512"/>
    <w:rsid w:val="009B50F7"/>
    <w:rsid w:val="009C1A84"/>
    <w:rsid w:val="009C22E7"/>
    <w:rsid w:val="009C34DD"/>
    <w:rsid w:val="009C3870"/>
    <w:rsid w:val="009C4313"/>
    <w:rsid w:val="009C439C"/>
    <w:rsid w:val="009C6C55"/>
    <w:rsid w:val="009C7441"/>
    <w:rsid w:val="009C7EAC"/>
    <w:rsid w:val="009D0852"/>
    <w:rsid w:val="009D0922"/>
    <w:rsid w:val="009D1FBF"/>
    <w:rsid w:val="009D1FE8"/>
    <w:rsid w:val="009D249A"/>
    <w:rsid w:val="009D28B8"/>
    <w:rsid w:val="009D5935"/>
    <w:rsid w:val="009D596E"/>
    <w:rsid w:val="009D5B9C"/>
    <w:rsid w:val="009D6AA0"/>
    <w:rsid w:val="009D6F3D"/>
    <w:rsid w:val="009D712F"/>
    <w:rsid w:val="009D741B"/>
    <w:rsid w:val="009D7C9E"/>
    <w:rsid w:val="009D7DF7"/>
    <w:rsid w:val="009E013A"/>
    <w:rsid w:val="009E0B4D"/>
    <w:rsid w:val="009E2727"/>
    <w:rsid w:val="009E2C75"/>
    <w:rsid w:val="009E3406"/>
    <w:rsid w:val="009E399C"/>
    <w:rsid w:val="009E43A1"/>
    <w:rsid w:val="009E43C1"/>
    <w:rsid w:val="009E7E95"/>
    <w:rsid w:val="009F10A2"/>
    <w:rsid w:val="009F116F"/>
    <w:rsid w:val="009F1327"/>
    <w:rsid w:val="009F182C"/>
    <w:rsid w:val="009F195B"/>
    <w:rsid w:val="009F1ACD"/>
    <w:rsid w:val="009F27DB"/>
    <w:rsid w:val="009F3241"/>
    <w:rsid w:val="009F329E"/>
    <w:rsid w:val="009F440A"/>
    <w:rsid w:val="009F4A06"/>
    <w:rsid w:val="009F4F8C"/>
    <w:rsid w:val="009F5349"/>
    <w:rsid w:val="009F540C"/>
    <w:rsid w:val="009F59ED"/>
    <w:rsid w:val="009F65F2"/>
    <w:rsid w:val="009F7ED3"/>
    <w:rsid w:val="009F7F0D"/>
    <w:rsid w:val="00A02636"/>
    <w:rsid w:val="00A03607"/>
    <w:rsid w:val="00A03CE8"/>
    <w:rsid w:val="00A047FF"/>
    <w:rsid w:val="00A04EE6"/>
    <w:rsid w:val="00A04FEF"/>
    <w:rsid w:val="00A05C2C"/>
    <w:rsid w:val="00A0629B"/>
    <w:rsid w:val="00A062A5"/>
    <w:rsid w:val="00A0787C"/>
    <w:rsid w:val="00A079AB"/>
    <w:rsid w:val="00A122CD"/>
    <w:rsid w:val="00A127DA"/>
    <w:rsid w:val="00A12A32"/>
    <w:rsid w:val="00A13B6B"/>
    <w:rsid w:val="00A13C0B"/>
    <w:rsid w:val="00A14248"/>
    <w:rsid w:val="00A14947"/>
    <w:rsid w:val="00A15867"/>
    <w:rsid w:val="00A16C8D"/>
    <w:rsid w:val="00A170FE"/>
    <w:rsid w:val="00A17173"/>
    <w:rsid w:val="00A172E8"/>
    <w:rsid w:val="00A22089"/>
    <w:rsid w:val="00A22411"/>
    <w:rsid w:val="00A22ED9"/>
    <w:rsid w:val="00A230EE"/>
    <w:rsid w:val="00A23784"/>
    <w:rsid w:val="00A237B0"/>
    <w:rsid w:val="00A2390D"/>
    <w:rsid w:val="00A23DC5"/>
    <w:rsid w:val="00A2574F"/>
    <w:rsid w:val="00A273E1"/>
    <w:rsid w:val="00A276ED"/>
    <w:rsid w:val="00A27BC1"/>
    <w:rsid w:val="00A27CE5"/>
    <w:rsid w:val="00A30681"/>
    <w:rsid w:val="00A30D19"/>
    <w:rsid w:val="00A30E25"/>
    <w:rsid w:val="00A3162A"/>
    <w:rsid w:val="00A32243"/>
    <w:rsid w:val="00A3266D"/>
    <w:rsid w:val="00A32D7B"/>
    <w:rsid w:val="00A33154"/>
    <w:rsid w:val="00A338E1"/>
    <w:rsid w:val="00A34028"/>
    <w:rsid w:val="00A34153"/>
    <w:rsid w:val="00A34A9B"/>
    <w:rsid w:val="00A35568"/>
    <w:rsid w:val="00A37056"/>
    <w:rsid w:val="00A37070"/>
    <w:rsid w:val="00A37190"/>
    <w:rsid w:val="00A37F86"/>
    <w:rsid w:val="00A406B6"/>
    <w:rsid w:val="00A40759"/>
    <w:rsid w:val="00A4087F"/>
    <w:rsid w:val="00A4358F"/>
    <w:rsid w:val="00A44BA5"/>
    <w:rsid w:val="00A4610D"/>
    <w:rsid w:val="00A46F67"/>
    <w:rsid w:val="00A47631"/>
    <w:rsid w:val="00A47890"/>
    <w:rsid w:val="00A47BB5"/>
    <w:rsid w:val="00A47DDA"/>
    <w:rsid w:val="00A5030F"/>
    <w:rsid w:val="00A53275"/>
    <w:rsid w:val="00A5405E"/>
    <w:rsid w:val="00A547B1"/>
    <w:rsid w:val="00A54952"/>
    <w:rsid w:val="00A54AA1"/>
    <w:rsid w:val="00A55785"/>
    <w:rsid w:val="00A568FF"/>
    <w:rsid w:val="00A57226"/>
    <w:rsid w:val="00A5776A"/>
    <w:rsid w:val="00A60317"/>
    <w:rsid w:val="00A6072C"/>
    <w:rsid w:val="00A61496"/>
    <w:rsid w:val="00A6168B"/>
    <w:rsid w:val="00A61833"/>
    <w:rsid w:val="00A61CEB"/>
    <w:rsid w:val="00A61E9A"/>
    <w:rsid w:val="00A62445"/>
    <w:rsid w:val="00A624C6"/>
    <w:rsid w:val="00A62EE9"/>
    <w:rsid w:val="00A63CEC"/>
    <w:rsid w:val="00A63FBA"/>
    <w:rsid w:val="00A64E7D"/>
    <w:rsid w:val="00A652E6"/>
    <w:rsid w:val="00A67731"/>
    <w:rsid w:val="00A7031E"/>
    <w:rsid w:val="00A709C0"/>
    <w:rsid w:val="00A71580"/>
    <w:rsid w:val="00A71C21"/>
    <w:rsid w:val="00A728B1"/>
    <w:rsid w:val="00A739E7"/>
    <w:rsid w:val="00A73D43"/>
    <w:rsid w:val="00A7418D"/>
    <w:rsid w:val="00A74ECC"/>
    <w:rsid w:val="00A752D5"/>
    <w:rsid w:val="00A763DE"/>
    <w:rsid w:val="00A76C7F"/>
    <w:rsid w:val="00A76F07"/>
    <w:rsid w:val="00A771C6"/>
    <w:rsid w:val="00A803D6"/>
    <w:rsid w:val="00A80940"/>
    <w:rsid w:val="00A80999"/>
    <w:rsid w:val="00A80CB4"/>
    <w:rsid w:val="00A80D15"/>
    <w:rsid w:val="00A81282"/>
    <w:rsid w:val="00A831A5"/>
    <w:rsid w:val="00A8360B"/>
    <w:rsid w:val="00A836C2"/>
    <w:rsid w:val="00A83913"/>
    <w:rsid w:val="00A84FCE"/>
    <w:rsid w:val="00A86174"/>
    <w:rsid w:val="00A868A4"/>
    <w:rsid w:val="00A8713F"/>
    <w:rsid w:val="00A874B9"/>
    <w:rsid w:val="00A91167"/>
    <w:rsid w:val="00A9171C"/>
    <w:rsid w:val="00A919BC"/>
    <w:rsid w:val="00A91B7C"/>
    <w:rsid w:val="00A91E56"/>
    <w:rsid w:val="00A92589"/>
    <w:rsid w:val="00A9259A"/>
    <w:rsid w:val="00A92FD0"/>
    <w:rsid w:val="00A92FFD"/>
    <w:rsid w:val="00A93BB9"/>
    <w:rsid w:val="00A954B7"/>
    <w:rsid w:val="00A95975"/>
    <w:rsid w:val="00A96140"/>
    <w:rsid w:val="00A9708D"/>
    <w:rsid w:val="00AA0F28"/>
    <w:rsid w:val="00AA1E11"/>
    <w:rsid w:val="00AA1FFA"/>
    <w:rsid w:val="00AA26EE"/>
    <w:rsid w:val="00AA277B"/>
    <w:rsid w:val="00AA2C17"/>
    <w:rsid w:val="00AA37B7"/>
    <w:rsid w:val="00AA4172"/>
    <w:rsid w:val="00AA514A"/>
    <w:rsid w:val="00AA546C"/>
    <w:rsid w:val="00AA5CF9"/>
    <w:rsid w:val="00AA73FE"/>
    <w:rsid w:val="00AA77AA"/>
    <w:rsid w:val="00AA7FC2"/>
    <w:rsid w:val="00AB0A40"/>
    <w:rsid w:val="00AB1914"/>
    <w:rsid w:val="00AB2611"/>
    <w:rsid w:val="00AB2AB3"/>
    <w:rsid w:val="00AB436E"/>
    <w:rsid w:val="00AB5330"/>
    <w:rsid w:val="00AB5A32"/>
    <w:rsid w:val="00AB64B0"/>
    <w:rsid w:val="00AB66E5"/>
    <w:rsid w:val="00AB6AB4"/>
    <w:rsid w:val="00AB72D5"/>
    <w:rsid w:val="00AB7747"/>
    <w:rsid w:val="00AC0D80"/>
    <w:rsid w:val="00AC226B"/>
    <w:rsid w:val="00AC2532"/>
    <w:rsid w:val="00AC3356"/>
    <w:rsid w:val="00AC38F6"/>
    <w:rsid w:val="00AC396B"/>
    <w:rsid w:val="00AC3FEA"/>
    <w:rsid w:val="00AC50EC"/>
    <w:rsid w:val="00AC621A"/>
    <w:rsid w:val="00AC639B"/>
    <w:rsid w:val="00AC68DA"/>
    <w:rsid w:val="00AC6C8B"/>
    <w:rsid w:val="00AC7A52"/>
    <w:rsid w:val="00AD00DD"/>
    <w:rsid w:val="00AD0F80"/>
    <w:rsid w:val="00AD1507"/>
    <w:rsid w:val="00AD15CB"/>
    <w:rsid w:val="00AD29E7"/>
    <w:rsid w:val="00AD2A54"/>
    <w:rsid w:val="00AD50E3"/>
    <w:rsid w:val="00AD5A70"/>
    <w:rsid w:val="00AD5FFA"/>
    <w:rsid w:val="00AD7210"/>
    <w:rsid w:val="00AD738B"/>
    <w:rsid w:val="00AE060F"/>
    <w:rsid w:val="00AE0855"/>
    <w:rsid w:val="00AE0BB2"/>
    <w:rsid w:val="00AE1BF4"/>
    <w:rsid w:val="00AE2A43"/>
    <w:rsid w:val="00AE31D4"/>
    <w:rsid w:val="00AE341B"/>
    <w:rsid w:val="00AE394C"/>
    <w:rsid w:val="00AE5D97"/>
    <w:rsid w:val="00AE65BF"/>
    <w:rsid w:val="00AE6794"/>
    <w:rsid w:val="00AE75A1"/>
    <w:rsid w:val="00AE7C10"/>
    <w:rsid w:val="00AE7E12"/>
    <w:rsid w:val="00AE7ECD"/>
    <w:rsid w:val="00AE7F67"/>
    <w:rsid w:val="00AE7FEF"/>
    <w:rsid w:val="00AF0A4F"/>
    <w:rsid w:val="00AF1FD1"/>
    <w:rsid w:val="00AF4B34"/>
    <w:rsid w:val="00AF596A"/>
    <w:rsid w:val="00AF6F9D"/>
    <w:rsid w:val="00AF7537"/>
    <w:rsid w:val="00AF76E6"/>
    <w:rsid w:val="00AF793F"/>
    <w:rsid w:val="00AF7AD0"/>
    <w:rsid w:val="00B01110"/>
    <w:rsid w:val="00B013D1"/>
    <w:rsid w:val="00B0148D"/>
    <w:rsid w:val="00B01614"/>
    <w:rsid w:val="00B01D12"/>
    <w:rsid w:val="00B02262"/>
    <w:rsid w:val="00B03345"/>
    <w:rsid w:val="00B03C23"/>
    <w:rsid w:val="00B03CEC"/>
    <w:rsid w:val="00B03DC8"/>
    <w:rsid w:val="00B050B4"/>
    <w:rsid w:val="00B050F5"/>
    <w:rsid w:val="00B05C67"/>
    <w:rsid w:val="00B05F9A"/>
    <w:rsid w:val="00B06DF2"/>
    <w:rsid w:val="00B10315"/>
    <w:rsid w:val="00B10AEF"/>
    <w:rsid w:val="00B10C50"/>
    <w:rsid w:val="00B11252"/>
    <w:rsid w:val="00B1209F"/>
    <w:rsid w:val="00B1239B"/>
    <w:rsid w:val="00B12A66"/>
    <w:rsid w:val="00B12AD0"/>
    <w:rsid w:val="00B12F67"/>
    <w:rsid w:val="00B13657"/>
    <w:rsid w:val="00B15E63"/>
    <w:rsid w:val="00B1602C"/>
    <w:rsid w:val="00B168E9"/>
    <w:rsid w:val="00B16A09"/>
    <w:rsid w:val="00B17018"/>
    <w:rsid w:val="00B203A8"/>
    <w:rsid w:val="00B20671"/>
    <w:rsid w:val="00B2154F"/>
    <w:rsid w:val="00B24F2D"/>
    <w:rsid w:val="00B24F30"/>
    <w:rsid w:val="00B25CCB"/>
    <w:rsid w:val="00B26BA3"/>
    <w:rsid w:val="00B26E69"/>
    <w:rsid w:val="00B2702E"/>
    <w:rsid w:val="00B2785E"/>
    <w:rsid w:val="00B27E3C"/>
    <w:rsid w:val="00B30914"/>
    <w:rsid w:val="00B312C2"/>
    <w:rsid w:val="00B31776"/>
    <w:rsid w:val="00B31ABF"/>
    <w:rsid w:val="00B32B47"/>
    <w:rsid w:val="00B3330E"/>
    <w:rsid w:val="00B335AE"/>
    <w:rsid w:val="00B340FA"/>
    <w:rsid w:val="00B34164"/>
    <w:rsid w:val="00B3465D"/>
    <w:rsid w:val="00B350EE"/>
    <w:rsid w:val="00B355D8"/>
    <w:rsid w:val="00B35E5E"/>
    <w:rsid w:val="00B3619D"/>
    <w:rsid w:val="00B368B0"/>
    <w:rsid w:val="00B36AF7"/>
    <w:rsid w:val="00B374B3"/>
    <w:rsid w:val="00B37CE1"/>
    <w:rsid w:val="00B40ACF"/>
    <w:rsid w:val="00B42048"/>
    <w:rsid w:val="00B4504D"/>
    <w:rsid w:val="00B45284"/>
    <w:rsid w:val="00B45787"/>
    <w:rsid w:val="00B45866"/>
    <w:rsid w:val="00B46BAA"/>
    <w:rsid w:val="00B46C25"/>
    <w:rsid w:val="00B46D08"/>
    <w:rsid w:val="00B47584"/>
    <w:rsid w:val="00B47C7F"/>
    <w:rsid w:val="00B50467"/>
    <w:rsid w:val="00B5086C"/>
    <w:rsid w:val="00B50878"/>
    <w:rsid w:val="00B50B5F"/>
    <w:rsid w:val="00B511FF"/>
    <w:rsid w:val="00B51C5A"/>
    <w:rsid w:val="00B52AE2"/>
    <w:rsid w:val="00B53B27"/>
    <w:rsid w:val="00B54128"/>
    <w:rsid w:val="00B5423E"/>
    <w:rsid w:val="00B55826"/>
    <w:rsid w:val="00B55A12"/>
    <w:rsid w:val="00B5680B"/>
    <w:rsid w:val="00B56FC2"/>
    <w:rsid w:val="00B60426"/>
    <w:rsid w:val="00B61154"/>
    <w:rsid w:val="00B6179E"/>
    <w:rsid w:val="00B622DD"/>
    <w:rsid w:val="00B63522"/>
    <w:rsid w:val="00B6413A"/>
    <w:rsid w:val="00B67247"/>
    <w:rsid w:val="00B6784E"/>
    <w:rsid w:val="00B700B3"/>
    <w:rsid w:val="00B725DC"/>
    <w:rsid w:val="00B734C2"/>
    <w:rsid w:val="00B74843"/>
    <w:rsid w:val="00B74975"/>
    <w:rsid w:val="00B749E9"/>
    <w:rsid w:val="00B76F1D"/>
    <w:rsid w:val="00B777E1"/>
    <w:rsid w:val="00B77B8D"/>
    <w:rsid w:val="00B77E7E"/>
    <w:rsid w:val="00B812C0"/>
    <w:rsid w:val="00B81866"/>
    <w:rsid w:val="00B81910"/>
    <w:rsid w:val="00B81C2A"/>
    <w:rsid w:val="00B8244D"/>
    <w:rsid w:val="00B829AE"/>
    <w:rsid w:val="00B83A5E"/>
    <w:rsid w:val="00B84065"/>
    <w:rsid w:val="00B84894"/>
    <w:rsid w:val="00B848B8"/>
    <w:rsid w:val="00B84E3B"/>
    <w:rsid w:val="00B84FD1"/>
    <w:rsid w:val="00B85B9D"/>
    <w:rsid w:val="00B85CD1"/>
    <w:rsid w:val="00B85EAF"/>
    <w:rsid w:val="00B87CE4"/>
    <w:rsid w:val="00B87D37"/>
    <w:rsid w:val="00B87E67"/>
    <w:rsid w:val="00B902B3"/>
    <w:rsid w:val="00B9075D"/>
    <w:rsid w:val="00B90FF7"/>
    <w:rsid w:val="00B92A19"/>
    <w:rsid w:val="00B92AED"/>
    <w:rsid w:val="00B92C4B"/>
    <w:rsid w:val="00B92EC2"/>
    <w:rsid w:val="00B93608"/>
    <w:rsid w:val="00B94146"/>
    <w:rsid w:val="00B9544C"/>
    <w:rsid w:val="00B97186"/>
    <w:rsid w:val="00BA0974"/>
    <w:rsid w:val="00BA0E65"/>
    <w:rsid w:val="00BA13E2"/>
    <w:rsid w:val="00BA17F4"/>
    <w:rsid w:val="00BA1ECD"/>
    <w:rsid w:val="00BA1F1A"/>
    <w:rsid w:val="00BA1FF1"/>
    <w:rsid w:val="00BA29E9"/>
    <w:rsid w:val="00BA4507"/>
    <w:rsid w:val="00BA45B6"/>
    <w:rsid w:val="00BA48FB"/>
    <w:rsid w:val="00BA4E95"/>
    <w:rsid w:val="00BA5350"/>
    <w:rsid w:val="00BA54AC"/>
    <w:rsid w:val="00BA585C"/>
    <w:rsid w:val="00BA5F78"/>
    <w:rsid w:val="00BA6961"/>
    <w:rsid w:val="00BA6B2B"/>
    <w:rsid w:val="00BA6C7E"/>
    <w:rsid w:val="00BA6D01"/>
    <w:rsid w:val="00BA6DD1"/>
    <w:rsid w:val="00BA6FF3"/>
    <w:rsid w:val="00BA7277"/>
    <w:rsid w:val="00BA7744"/>
    <w:rsid w:val="00BA7BA1"/>
    <w:rsid w:val="00BB06C5"/>
    <w:rsid w:val="00BB1E43"/>
    <w:rsid w:val="00BB3618"/>
    <w:rsid w:val="00BB3AD6"/>
    <w:rsid w:val="00BB41EF"/>
    <w:rsid w:val="00BB4704"/>
    <w:rsid w:val="00BB48FF"/>
    <w:rsid w:val="00BB59E0"/>
    <w:rsid w:val="00BB6653"/>
    <w:rsid w:val="00BB6ADC"/>
    <w:rsid w:val="00BB7EBB"/>
    <w:rsid w:val="00BC0C9E"/>
    <w:rsid w:val="00BC0D64"/>
    <w:rsid w:val="00BC10F6"/>
    <w:rsid w:val="00BC1289"/>
    <w:rsid w:val="00BC1610"/>
    <w:rsid w:val="00BC1CD0"/>
    <w:rsid w:val="00BC1DD2"/>
    <w:rsid w:val="00BC32DC"/>
    <w:rsid w:val="00BC351E"/>
    <w:rsid w:val="00BC38B1"/>
    <w:rsid w:val="00BC41FB"/>
    <w:rsid w:val="00BC435F"/>
    <w:rsid w:val="00BC499B"/>
    <w:rsid w:val="00BC582E"/>
    <w:rsid w:val="00BC59AC"/>
    <w:rsid w:val="00BC668A"/>
    <w:rsid w:val="00BD0B07"/>
    <w:rsid w:val="00BD1B51"/>
    <w:rsid w:val="00BD1BE6"/>
    <w:rsid w:val="00BD32DB"/>
    <w:rsid w:val="00BD3A48"/>
    <w:rsid w:val="00BD47F6"/>
    <w:rsid w:val="00BD48AD"/>
    <w:rsid w:val="00BD4A36"/>
    <w:rsid w:val="00BD5920"/>
    <w:rsid w:val="00BE2A37"/>
    <w:rsid w:val="00BE2C6A"/>
    <w:rsid w:val="00BE30C1"/>
    <w:rsid w:val="00BE312D"/>
    <w:rsid w:val="00BE3FCA"/>
    <w:rsid w:val="00BE51FC"/>
    <w:rsid w:val="00BE547B"/>
    <w:rsid w:val="00BE7357"/>
    <w:rsid w:val="00BE79FE"/>
    <w:rsid w:val="00BF1FFE"/>
    <w:rsid w:val="00BF20DE"/>
    <w:rsid w:val="00BF5422"/>
    <w:rsid w:val="00BF5D2A"/>
    <w:rsid w:val="00BF6706"/>
    <w:rsid w:val="00BF6F43"/>
    <w:rsid w:val="00BF7014"/>
    <w:rsid w:val="00BF7BD8"/>
    <w:rsid w:val="00BF7F07"/>
    <w:rsid w:val="00C012BA"/>
    <w:rsid w:val="00C02753"/>
    <w:rsid w:val="00C02E94"/>
    <w:rsid w:val="00C03875"/>
    <w:rsid w:val="00C04410"/>
    <w:rsid w:val="00C04A2F"/>
    <w:rsid w:val="00C04CB6"/>
    <w:rsid w:val="00C05719"/>
    <w:rsid w:val="00C0636D"/>
    <w:rsid w:val="00C063A3"/>
    <w:rsid w:val="00C06D5B"/>
    <w:rsid w:val="00C076E0"/>
    <w:rsid w:val="00C07CAD"/>
    <w:rsid w:val="00C100A6"/>
    <w:rsid w:val="00C10388"/>
    <w:rsid w:val="00C10578"/>
    <w:rsid w:val="00C105E9"/>
    <w:rsid w:val="00C12F06"/>
    <w:rsid w:val="00C12F1C"/>
    <w:rsid w:val="00C13270"/>
    <w:rsid w:val="00C1384C"/>
    <w:rsid w:val="00C15FA0"/>
    <w:rsid w:val="00C175A3"/>
    <w:rsid w:val="00C175DE"/>
    <w:rsid w:val="00C17D62"/>
    <w:rsid w:val="00C20CDC"/>
    <w:rsid w:val="00C2137C"/>
    <w:rsid w:val="00C21FDC"/>
    <w:rsid w:val="00C23053"/>
    <w:rsid w:val="00C23086"/>
    <w:rsid w:val="00C23D32"/>
    <w:rsid w:val="00C24696"/>
    <w:rsid w:val="00C24EE7"/>
    <w:rsid w:val="00C2555A"/>
    <w:rsid w:val="00C25758"/>
    <w:rsid w:val="00C2596A"/>
    <w:rsid w:val="00C25AD4"/>
    <w:rsid w:val="00C25C0D"/>
    <w:rsid w:val="00C26553"/>
    <w:rsid w:val="00C271BE"/>
    <w:rsid w:val="00C27297"/>
    <w:rsid w:val="00C27425"/>
    <w:rsid w:val="00C27CF7"/>
    <w:rsid w:val="00C27EC9"/>
    <w:rsid w:val="00C300AE"/>
    <w:rsid w:val="00C30F69"/>
    <w:rsid w:val="00C31585"/>
    <w:rsid w:val="00C328FE"/>
    <w:rsid w:val="00C332B3"/>
    <w:rsid w:val="00C33A05"/>
    <w:rsid w:val="00C34225"/>
    <w:rsid w:val="00C3530E"/>
    <w:rsid w:val="00C35383"/>
    <w:rsid w:val="00C36A10"/>
    <w:rsid w:val="00C36A72"/>
    <w:rsid w:val="00C37998"/>
    <w:rsid w:val="00C402EE"/>
    <w:rsid w:val="00C406F9"/>
    <w:rsid w:val="00C40E7C"/>
    <w:rsid w:val="00C418A0"/>
    <w:rsid w:val="00C42500"/>
    <w:rsid w:val="00C433A3"/>
    <w:rsid w:val="00C43BA7"/>
    <w:rsid w:val="00C4409D"/>
    <w:rsid w:val="00C44296"/>
    <w:rsid w:val="00C44E77"/>
    <w:rsid w:val="00C44F18"/>
    <w:rsid w:val="00C455BE"/>
    <w:rsid w:val="00C4598F"/>
    <w:rsid w:val="00C45E44"/>
    <w:rsid w:val="00C4652B"/>
    <w:rsid w:val="00C47506"/>
    <w:rsid w:val="00C47AA0"/>
    <w:rsid w:val="00C51E5F"/>
    <w:rsid w:val="00C524A7"/>
    <w:rsid w:val="00C524B4"/>
    <w:rsid w:val="00C52750"/>
    <w:rsid w:val="00C52A06"/>
    <w:rsid w:val="00C52CE2"/>
    <w:rsid w:val="00C53CBE"/>
    <w:rsid w:val="00C54979"/>
    <w:rsid w:val="00C555E3"/>
    <w:rsid w:val="00C57178"/>
    <w:rsid w:val="00C60A57"/>
    <w:rsid w:val="00C6131E"/>
    <w:rsid w:val="00C61B39"/>
    <w:rsid w:val="00C61C35"/>
    <w:rsid w:val="00C61E4B"/>
    <w:rsid w:val="00C6227C"/>
    <w:rsid w:val="00C62292"/>
    <w:rsid w:val="00C62E3A"/>
    <w:rsid w:val="00C632F7"/>
    <w:rsid w:val="00C63B0F"/>
    <w:rsid w:val="00C642C1"/>
    <w:rsid w:val="00C64503"/>
    <w:rsid w:val="00C64A1F"/>
    <w:rsid w:val="00C64A60"/>
    <w:rsid w:val="00C64BFF"/>
    <w:rsid w:val="00C654C2"/>
    <w:rsid w:val="00C65D93"/>
    <w:rsid w:val="00C65E08"/>
    <w:rsid w:val="00C66749"/>
    <w:rsid w:val="00C6768C"/>
    <w:rsid w:val="00C706B2"/>
    <w:rsid w:val="00C70D7B"/>
    <w:rsid w:val="00C71D4B"/>
    <w:rsid w:val="00C72F26"/>
    <w:rsid w:val="00C73B50"/>
    <w:rsid w:val="00C744F4"/>
    <w:rsid w:val="00C750A5"/>
    <w:rsid w:val="00C75728"/>
    <w:rsid w:val="00C75F08"/>
    <w:rsid w:val="00C763C9"/>
    <w:rsid w:val="00C76895"/>
    <w:rsid w:val="00C76F1B"/>
    <w:rsid w:val="00C80057"/>
    <w:rsid w:val="00C823A9"/>
    <w:rsid w:val="00C825A2"/>
    <w:rsid w:val="00C82C79"/>
    <w:rsid w:val="00C83730"/>
    <w:rsid w:val="00C84563"/>
    <w:rsid w:val="00C84656"/>
    <w:rsid w:val="00C84753"/>
    <w:rsid w:val="00C84787"/>
    <w:rsid w:val="00C84791"/>
    <w:rsid w:val="00C8597E"/>
    <w:rsid w:val="00C8655F"/>
    <w:rsid w:val="00C906E9"/>
    <w:rsid w:val="00C90BEE"/>
    <w:rsid w:val="00C91290"/>
    <w:rsid w:val="00C91611"/>
    <w:rsid w:val="00C9162B"/>
    <w:rsid w:val="00C920E1"/>
    <w:rsid w:val="00C92EA2"/>
    <w:rsid w:val="00C9366C"/>
    <w:rsid w:val="00C94201"/>
    <w:rsid w:val="00C95AB8"/>
    <w:rsid w:val="00C96B51"/>
    <w:rsid w:val="00C971AC"/>
    <w:rsid w:val="00C97FF1"/>
    <w:rsid w:val="00CA048B"/>
    <w:rsid w:val="00CA056E"/>
    <w:rsid w:val="00CA1477"/>
    <w:rsid w:val="00CA1533"/>
    <w:rsid w:val="00CA1CFE"/>
    <w:rsid w:val="00CA2BB2"/>
    <w:rsid w:val="00CA30A6"/>
    <w:rsid w:val="00CA3585"/>
    <w:rsid w:val="00CA3D5A"/>
    <w:rsid w:val="00CA40DB"/>
    <w:rsid w:val="00CA4C7C"/>
    <w:rsid w:val="00CA51F7"/>
    <w:rsid w:val="00CA57AA"/>
    <w:rsid w:val="00CA77AD"/>
    <w:rsid w:val="00CA7E3F"/>
    <w:rsid w:val="00CB0183"/>
    <w:rsid w:val="00CB0211"/>
    <w:rsid w:val="00CB13DD"/>
    <w:rsid w:val="00CB1758"/>
    <w:rsid w:val="00CB1EA3"/>
    <w:rsid w:val="00CB34DA"/>
    <w:rsid w:val="00CB3C60"/>
    <w:rsid w:val="00CB552C"/>
    <w:rsid w:val="00CB5844"/>
    <w:rsid w:val="00CB6685"/>
    <w:rsid w:val="00CB66AA"/>
    <w:rsid w:val="00CB6A9E"/>
    <w:rsid w:val="00CB6D73"/>
    <w:rsid w:val="00CB7A4C"/>
    <w:rsid w:val="00CB7E9F"/>
    <w:rsid w:val="00CB7EDE"/>
    <w:rsid w:val="00CC0DA1"/>
    <w:rsid w:val="00CC0DB5"/>
    <w:rsid w:val="00CC0ECE"/>
    <w:rsid w:val="00CC1FF9"/>
    <w:rsid w:val="00CC2DDA"/>
    <w:rsid w:val="00CC2F06"/>
    <w:rsid w:val="00CC3A18"/>
    <w:rsid w:val="00CC3E3B"/>
    <w:rsid w:val="00CC4288"/>
    <w:rsid w:val="00CC454C"/>
    <w:rsid w:val="00CC6181"/>
    <w:rsid w:val="00CC67A8"/>
    <w:rsid w:val="00CC6C34"/>
    <w:rsid w:val="00CD045A"/>
    <w:rsid w:val="00CD14E1"/>
    <w:rsid w:val="00CD1706"/>
    <w:rsid w:val="00CD1786"/>
    <w:rsid w:val="00CD219F"/>
    <w:rsid w:val="00CD2BCD"/>
    <w:rsid w:val="00CD34D6"/>
    <w:rsid w:val="00CD36AA"/>
    <w:rsid w:val="00CD3791"/>
    <w:rsid w:val="00CD3B9C"/>
    <w:rsid w:val="00CD5095"/>
    <w:rsid w:val="00CD5991"/>
    <w:rsid w:val="00CD5DE6"/>
    <w:rsid w:val="00CD65B0"/>
    <w:rsid w:val="00CD7451"/>
    <w:rsid w:val="00CD745D"/>
    <w:rsid w:val="00CE0058"/>
    <w:rsid w:val="00CE02CD"/>
    <w:rsid w:val="00CE0877"/>
    <w:rsid w:val="00CE0AD1"/>
    <w:rsid w:val="00CE0BAF"/>
    <w:rsid w:val="00CE10E9"/>
    <w:rsid w:val="00CE3ED3"/>
    <w:rsid w:val="00CE411E"/>
    <w:rsid w:val="00CE5C53"/>
    <w:rsid w:val="00CE669F"/>
    <w:rsid w:val="00CE7AD5"/>
    <w:rsid w:val="00CF02A6"/>
    <w:rsid w:val="00CF0948"/>
    <w:rsid w:val="00CF0AE4"/>
    <w:rsid w:val="00CF0BC8"/>
    <w:rsid w:val="00CF0D53"/>
    <w:rsid w:val="00CF192C"/>
    <w:rsid w:val="00CF1E7A"/>
    <w:rsid w:val="00CF20DE"/>
    <w:rsid w:val="00CF2621"/>
    <w:rsid w:val="00CF39B0"/>
    <w:rsid w:val="00CF41BA"/>
    <w:rsid w:val="00CF4416"/>
    <w:rsid w:val="00CF4634"/>
    <w:rsid w:val="00CF543E"/>
    <w:rsid w:val="00CF66DF"/>
    <w:rsid w:val="00D0054F"/>
    <w:rsid w:val="00D0072E"/>
    <w:rsid w:val="00D007E3"/>
    <w:rsid w:val="00D00A71"/>
    <w:rsid w:val="00D0114C"/>
    <w:rsid w:val="00D023F9"/>
    <w:rsid w:val="00D02440"/>
    <w:rsid w:val="00D02FCD"/>
    <w:rsid w:val="00D04180"/>
    <w:rsid w:val="00D048F3"/>
    <w:rsid w:val="00D04EA6"/>
    <w:rsid w:val="00D051A4"/>
    <w:rsid w:val="00D056BB"/>
    <w:rsid w:val="00D059F8"/>
    <w:rsid w:val="00D05D23"/>
    <w:rsid w:val="00D066D9"/>
    <w:rsid w:val="00D06A06"/>
    <w:rsid w:val="00D11FD4"/>
    <w:rsid w:val="00D124B7"/>
    <w:rsid w:val="00D12A85"/>
    <w:rsid w:val="00D12FD1"/>
    <w:rsid w:val="00D143C5"/>
    <w:rsid w:val="00D14AB4"/>
    <w:rsid w:val="00D15727"/>
    <w:rsid w:val="00D15A67"/>
    <w:rsid w:val="00D15A77"/>
    <w:rsid w:val="00D16332"/>
    <w:rsid w:val="00D16F4E"/>
    <w:rsid w:val="00D2061F"/>
    <w:rsid w:val="00D20E97"/>
    <w:rsid w:val="00D210CE"/>
    <w:rsid w:val="00D2235C"/>
    <w:rsid w:val="00D22F14"/>
    <w:rsid w:val="00D23B83"/>
    <w:rsid w:val="00D23DFD"/>
    <w:rsid w:val="00D24972"/>
    <w:rsid w:val="00D2515E"/>
    <w:rsid w:val="00D277E9"/>
    <w:rsid w:val="00D301E4"/>
    <w:rsid w:val="00D301F1"/>
    <w:rsid w:val="00D305F6"/>
    <w:rsid w:val="00D308ED"/>
    <w:rsid w:val="00D31492"/>
    <w:rsid w:val="00D31BA2"/>
    <w:rsid w:val="00D31C30"/>
    <w:rsid w:val="00D32759"/>
    <w:rsid w:val="00D33F4C"/>
    <w:rsid w:val="00D35123"/>
    <w:rsid w:val="00D3736D"/>
    <w:rsid w:val="00D37652"/>
    <w:rsid w:val="00D37E95"/>
    <w:rsid w:val="00D4080F"/>
    <w:rsid w:val="00D424C9"/>
    <w:rsid w:val="00D427B1"/>
    <w:rsid w:val="00D42A07"/>
    <w:rsid w:val="00D42D68"/>
    <w:rsid w:val="00D43087"/>
    <w:rsid w:val="00D441B7"/>
    <w:rsid w:val="00D451EA"/>
    <w:rsid w:val="00D45B62"/>
    <w:rsid w:val="00D46D32"/>
    <w:rsid w:val="00D46DCA"/>
    <w:rsid w:val="00D50571"/>
    <w:rsid w:val="00D506E9"/>
    <w:rsid w:val="00D52215"/>
    <w:rsid w:val="00D54ADE"/>
    <w:rsid w:val="00D55C14"/>
    <w:rsid w:val="00D56178"/>
    <w:rsid w:val="00D562CB"/>
    <w:rsid w:val="00D564BF"/>
    <w:rsid w:val="00D56CF0"/>
    <w:rsid w:val="00D56F5C"/>
    <w:rsid w:val="00D57892"/>
    <w:rsid w:val="00D60C7D"/>
    <w:rsid w:val="00D61964"/>
    <w:rsid w:val="00D6201F"/>
    <w:rsid w:val="00D63CF3"/>
    <w:rsid w:val="00D64A5E"/>
    <w:rsid w:val="00D65142"/>
    <w:rsid w:val="00D65FC3"/>
    <w:rsid w:val="00D66040"/>
    <w:rsid w:val="00D6670C"/>
    <w:rsid w:val="00D66C8A"/>
    <w:rsid w:val="00D67FE6"/>
    <w:rsid w:val="00D704B1"/>
    <w:rsid w:val="00D709C7"/>
    <w:rsid w:val="00D70B63"/>
    <w:rsid w:val="00D70B89"/>
    <w:rsid w:val="00D70D4A"/>
    <w:rsid w:val="00D72B92"/>
    <w:rsid w:val="00D72ED4"/>
    <w:rsid w:val="00D736CC"/>
    <w:rsid w:val="00D73F61"/>
    <w:rsid w:val="00D74657"/>
    <w:rsid w:val="00D74888"/>
    <w:rsid w:val="00D74F3E"/>
    <w:rsid w:val="00D754C0"/>
    <w:rsid w:val="00D7710F"/>
    <w:rsid w:val="00D776A2"/>
    <w:rsid w:val="00D776E8"/>
    <w:rsid w:val="00D801C4"/>
    <w:rsid w:val="00D80CE4"/>
    <w:rsid w:val="00D80F0F"/>
    <w:rsid w:val="00D81A1C"/>
    <w:rsid w:val="00D81C3C"/>
    <w:rsid w:val="00D832C1"/>
    <w:rsid w:val="00D841DF"/>
    <w:rsid w:val="00D85F61"/>
    <w:rsid w:val="00D86D84"/>
    <w:rsid w:val="00D872F3"/>
    <w:rsid w:val="00D877FD"/>
    <w:rsid w:val="00D90836"/>
    <w:rsid w:val="00D911A5"/>
    <w:rsid w:val="00D91F5E"/>
    <w:rsid w:val="00D957E1"/>
    <w:rsid w:val="00D95896"/>
    <w:rsid w:val="00D95CC6"/>
    <w:rsid w:val="00D9724A"/>
    <w:rsid w:val="00D97EE7"/>
    <w:rsid w:val="00DA0383"/>
    <w:rsid w:val="00DA0542"/>
    <w:rsid w:val="00DA0C75"/>
    <w:rsid w:val="00DA0D95"/>
    <w:rsid w:val="00DA1CE0"/>
    <w:rsid w:val="00DA2094"/>
    <w:rsid w:val="00DA2DA3"/>
    <w:rsid w:val="00DA3023"/>
    <w:rsid w:val="00DA39FD"/>
    <w:rsid w:val="00DA5628"/>
    <w:rsid w:val="00DA59DA"/>
    <w:rsid w:val="00DA5BFE"/>
    <w:rsid w:val="00DA6615"/>
    <w:rsid w:val="00DA76AE"/>
    <w:rsid w:val="00DB0224"/>
    <w:rsid w:val="00DB07E7"/>
    <w:rsid w:val="00DB133D"/>
    <w:rsid w:val="00DB181E"/>
    <w:rsid w:val="00DB1884"/>
    <w:rsid w:val="00DB1C7A"/>
    <w:rsid w:val="00DB26DE"/>
    <w:rsid w:val="00DB2983"/>
    <w:rsid w:val="00DB30E9"/>
    <w:rsid w:val="00DB343D"/>
    <w:rsid w:val="00DB3E00"/>
    <w:rsid w:val="00DB4969"/>
    <w:rsid w:val="00DB52E1"/>
    <w:rsid w:val="00DB5579"/>
    <w:rsid w:val="00DB57EF"/>
    <w:rsid w:val="00DB5885"/>
    <w:rsid w:val="00DB59CE"/>
    <w:rsid w:val="00DB5CFE"/>
    <w:rsid w:val="00DB7D96"/>
    <w:rsid w:val="00DC0CF4"/>
    <w:rsid w:val="00DC2854"/>
    <w:rsid w:val="00DC342E"/>
    <w:rsid w:val="00DC58E8"/>
    <w:rsid w:val="00DC5914"/>
    <w:rsid w:val="00DC72A6"/>
    <w:rsid w:val="00DD06AB"/>
    <w:rsid w:val="00DD2113"/>
    <w:rsid w:val="00DD265E"/>
    <w:rsid w:val="00DD3688"/>
    <w:rsid w:val="00DD7767"/>
    <w:rsid w:val="00DD7D30"/>
    <w:rsid w:val="00DD7E1B"/>
    <w:rsid w:val="00DE0766"/>
    <w:rsid w:val="00DE0C09"/>
    <w:rsid w:val="00DE12AF"/>
    <w:rsid w:val="00DE1783"/>
    <w:rsid w:val="00DE1EF3"/>
    <w:rsid w:val="00DE3499"/>
    <w:rsid w:val="00DE3C89"/>
    <w:rsid w:val="00DE47F7"/>
    <w:rsid w:val="00DE51E9"/>
    <w:rsid w:val="00DE62B2"/>
    <w:rsid w:val="00DE6416"/>
    <w:rsid w:val="00DE673B"/>
    <w:rsid w:val="00DE690C"/>
    <w:rsid w:val="00DE6EF2"/>
    <w:rsid w:val="00DE79DD"/>
    <w:rsid w:val="00DE7E7D"/>
    <w:rsid w:val="00DF0FA5"/>
    <w:rsid w:val="00DF1930"/>
    <w:rsid w:val="00DF21A0"/>
    <w:rsid w:val="00DF38A2"/>
    <w:rsid w:val="00DF3D86"/>
    <w:rsid w:val="00DF4EC6"/>
    <w:rsid w:val="00DF514A"/>
    <w:rsid w:val="00DF573F"/>
    <w:rsid w:val="00DF5E1E"/>
    <w:rsid w:val="00DF6182"/>
    <w:rsid w:val="00DF65E6"/>
    <w:rsid w:val="00DF6609"/>
    <w:rsid w:val="00DF67AA"/>
    <w:rsid w:val="00DF7A29"/>
    <w:rsid w:val="00DF7E08"/>
    <w:rsid w:val="00E02921"/>
    <w:rsid w:val="00E0358D"/>
    <w:rsid w:val="00E04680"/>
    <w:rsid w:val="00E04C4D"/>
    <w:rsid w:val="00E05CD2"/>
    <w:rsid w:val="00E06327"/>
    <w:rsid w:val="00E0752D"/>
    <w:rsid w:val="00E07F20"/>
    <w:rsid w:val="00E10DE1"/>
    <w:rsid w:val="00E11860"/>
    <w:rsid w:val="00E125BC"/>
    <w:rsid w:val="00E129D1"/>
    <w:rsid w:val="00E13501"/>
    <w:rsid w:val="00E138D5"/>
    <w:rsid w:val="00E14318"/>
    <w:rsid w:val="00E15441"/>
    <w:rsid w:val="00E15C8F"/>
    <w:rsid w:val="00E16A2D"/>
    <w:rsid w:val="00E17850"/>
    <w:rsid w:val="00E2064B"/>
    <w:rsid w:val="00E206BB"/>
    <w:rsid w:val="00E21ABC"/>
    <w:rsid w:val="00E223D4"/>
    <w:rsid w:val="00E22988"/>
    <w:rsid w:val="00E23E39"/>
    <w:rsid w:val="00E24016"/>
    <w:rsid w:val="00E24391"/>
    <w:rsid w:val="00E24AE2"/>
    <w:rsid w:val="00E25239"/>
    <w:rsid w:val="00E257A3"/>
    <w:rsid w:val="00E262E3"/>
    <w:rsid w:val="00E26455"/>
    <w:rsid w:val="00E2651C"/>
    <w:rsid w:val="00E265B1"/>
    <w:rsid w:val="00E275B0"/>
    <w:rsid w:val="00E278CE"/>
    <w:rsid w:val="00E27965"/>
    <w:rsid w:val="00E30118"/>
    <w:rsid w:val="00E3120F"/>
    <w:rsid w:val="00E320EC"/>
    <w:rsid w:val="00E3218B"/>
    <w:rsid w:val="00E323B7"/>
    <w:rsid w:val="00E3268D"/>
    <w:rsid w:val="00E34C03"/>
    <w:rsid w:val="00E34FFA"/>
    <w:rsid w:val="00E354E7"/>
    <w:rsid w:val="00E36063"/>
    <w:rsid w:val="00E36BE7"/>
    <w:rsid w:val="00E37122"/>
    <w:rsid w:val="00E37988"/>
    <w:rsid w:val="00E40877"/>
    <w:rsid w:val="00E412D0"/>
    <w:rsid w:val="00E4168F"/>
    <w:rsid w:val="00E419D8"/>
    <w:rsid w:val="00E422B5"/>
    <w:rsid w:val="00E42D8E"/>
    <w:rsid w:val="00E42FD2"/>
    <w:rsid w:val="00E43498"/>
    <w:rsid w:val="00E43EF9"/>
    <w:rsid w:val="00E464BA"/>
    <w:rsid w:val="00E477E5"/>
    <w:rsid w:val="00E47CDB"/>
    <w:rsid w:val="00E47E35"/>
    <w:rsid w:val="00E51870"/>
    <w:rsid w:val="00E52C74"/>
    <w:rsid w:val="00E533A6"/>
    <w:rsid w:val="00E541A0"/>
    <w:rsid w:val="00E5440A"/>
    <w:rsid w:val="00E54CA4"/>
    <w:rsid w:val="00E566BC"/>
    <w:rsid w:val="00E56DE5"/>
    <w:rsid w:val="00E57A80"/>
    <w:rsid w:val="00E57C71"/>
    <w:rsid w:val="00E6044D"/>
    <w:rsid w:val="00E60982"/>
    <w:rsid w:val="00E60C8D"/>
    <w:rsid w:val="00E60E5C"/>
    <w:rsid w:val="00E61430"/>
    <w:rsid w:val="00E6160D"/>
    <w:rsid w:val="00E6162F"/>
    <w:rsid w:val="00E61E13"/>
    <w:rsid w:val="00E622F2"/>
    <w:rsid w:val="00E6311B"/>
    <w:rsid w:val="00E65B86"/>
    <w:rsid w:val="00E65D97"/>
    <w:rsid w:val="00E661E0"/>
    <w:rsid w:val="00E6663A"/>
    <w:rsid w:val="00E66969"/>
    <w:rsid w:val="00E67EFD"/>
    <w:rsid w:val="00E702DC"/>
    <w:rsid w:val="00E707EA"/>
    <w:rsid w:val="00E710C8"/>
    <w:rsid w:val="00E71FFB"/>
    <w:rsid w:val="00E726F3"/>
    <w:rsid w:val="00E74289"/>
    <w:rsid w:val="00E7504A"/>
    <w:rsid w:val="00E76D1D"/>
    <w:rsid w:val="00E76E5C"/>
    <w:rsid w:val="00E806F8"/>
    <w:rsid w:val="00E81CB8"/>
    <w:rsid w:val="00E81D6A"/>
    <w:rsid w:val="00E81F42"/>
    <w:rsid w:val="00E82370"/>
    <w:rsid w:val="00E827F6"/>
    <w:rsid w:val="00E828DB"/>
    <w:rsid w:val="00E83441"/>
    <w:rsid w:val="00E84387"/>
    <w:rsid w:val="00E844A4"/>
    <w:rsid w:val="00E845A3"/>
    <w:rsid w:val="00E849C6"/>
    <w:rsid w:val="00E84BEB"/>
    <w:rsid w:val="00E861A3"/>
    <w:rsid w:val="00E87752"/>
    <w:rsid w:val="00E87932"/>
    <w:rsid w:val="00E8793B"/>
    <w:rsid w:val="00E87AB7"/>
    <w:rsid w:val="00E87BB7"/>
    <w:rsid w:val="00E87EB5"/>
    <w:rsid w:val="00E90F81"/>
    <w:rsid w:val="00E91A6D"/>
    <w:rsid w:val="00E91E39"/>
    <w:rsid w:val="00E921F4"/>
    <w:rsid w:val="00E9242D"/>
    <w:rsid w:val="00E925D3"/>
    <w:rsid w:val="00E92758"/>
    <w:rsid w:val="00E93450"/>
    <w:rsid w:val="00E93DE2"/>
    <w:rsid w:val="00E9471F"/>
    <w:rsid w:val="00E96868"/>
    <w:rsid w:val="00E97AB7"/>
    <w:rsid w:val="00E97C82"/>
    <w:rsid w:val="00EA0847"/>
    <w:rsid w:val="00EA15DD"/>
    <w:rsid w:val="00EA27EC"/>
    <w:rsid w:val="00EA3EA5"/>
    <w:rsid w:val="00EA3F58"/>
    <w:rsid w:val="00EA45E9"/>
    <w:rsid w:val="00EA5C30"/>
    <w:rsid w:val="00EA6D7C"/>
    <w:rsid w:val="00EA6E24"/>
    <w:rsid w:val="00EA7BE3"/>
    <w:rsid w:val="00EA7C34"/>
    <w:rsid w:val="00EA7F96"/>
    <w:rsid w:val="00EB041C"/>
    <w:rsid w:val="00EB0DAE"/>
    <w:rsid w:val="00EB168D"/>
    <w:rsid w:val="00EB1D4E"/>
    <w:rsid w:val="00EB1F81"/>
    <w:rsid w:val="00EB2133"/>
    <w:rsid w:val="00EB2449"/>
    <w:rsid w:val="00EB292F"/>
    <w:rsid w:val="00EB2A7D"/>
    <w:rsid w:val="00EB2DD9"/>
    <w:rsid w:val="00EB3299"/>
    <w:rsid w:val="00EB4E1F"/>
    <w:rsid w:val="00EB4FB6"/>
    <w:rsid w:val="00EB5FB6"/>
    <w:rsid w:val="00EB6526"/>
    <w:rsid w:val="00EB699A"/>
    <w:rsid w:val="00EB6D47"/>
    <w:rsid w:val="00EB6E5D"/>
    <w:rsid w:val="00EB77B4"/>
    <w:rsid w:val="00EC0510"/>
    <w:rsid w:val="00EC084D"/>
    <w:rsid w:val="00EC0C5E"/>
    <w:rsid w:val="00EC0E20"/>
    <w:rsid w:val="00EC13D3"/>
    <w:rsid w:val="00EC1BE7"/>
    <w:rsid w:val="00EC2DF9"/>
    <w:rsid w:val="00EC2FA4"/>
    <w:rsid w:val="00EC4098"/>
    <w:rsid w:val="00EC45A4"/>
    <w:rsid w:val="00EC5874"/>
    <w:rsid w:val="00ED0761"/>
    <w:rsid w:val="00ED08DD"/>
    <w:rsid w:val="00ED192D"/>
    <w:rsid w:val="00ED2BF0"/>
    <w:rsid w:val="00ED2C25"/>
    <w:rsid w:val="00ED30B4"/>
    <w:rsid w:val="00ED31F5"/>
    <w:rsid w:val="00ED3B6E"/>
    <w:rsid w:val="00ED413B"/>
    <w:rsid w:val="00ED5980"/>
    <w:rsid w:val="00ED702B"/>
    <w:rsid w:val="00ED71A7"/>
    <w:rsid w:val="00EE1818"/>
    <w:rsid w:val="00EE2D7F"/>
    <w:rsid w:val="00EE4EAF"/>
    <w:rsid w:val="00EE5286"/>
    <w:rsid w:val="00EE59D6"/>
    <w:rsid w:val="00EE7896"/>
    <w:rsid w:val="00EF0B92"/>
    <w:rsid w:val="00EF1791"/>
    <w:rsid w:val="00EF22CC"/>
    <w:rsid w:val="00EF2759"/>
    <w:rsid w:val="00EF2DD4"/>
    <w:rsid w:val="00EF3EC6"/>
    <w:rsid w:val="00EF45EB"/>
    <w:rsid w:val="00EF5099"/>
    <w:rsid w:val="00EF56FE"/>
    <w:rsid w:val="00EF5C5D"/>
    <w:rsid w:val="00EF5E33"/>
    <w:rsid w:val="00EF5F19"/>
    <w:rsid w:val="00EF7448"/>
    <w:rsid w:val="00EF7D45"/>
    <w:rsid w:val="00F00075"/>
    <w:rsid w:val="00F016CD"/>
    <w:rsid w:val="00F02504"/>
    <w:rsid w:val="00F02993"/>
    <w:rsid w:val="00F02B90"/>
    <w:rsid w:val="00F03892"/>
    <w:rsid w:val="00F03A33"/>
    <w:rsid w:val="00F0502F"/>
    <w:rsid w:val="00F05463"/>
    <w:rsid w:val="00F06999"/>
    <w:rsid w:val="00F06C31"/>
    <w:rsid w:val="00F06F6B"/>
    <w:rsid w:val="00F07822"/>
    <w:rsid w:val="00F10AE6"/>
    <w:rsid w:val="00F112CB"/>
    <w:rsid w:val="00F113B1"/>
    <w:rsid w:val="00F13023"/>
    <w:rsid w:val="00F13DC1"/>
    <w:rsid w:val="00F14250"/>
    <w:rsid w:val="00F156E2"/>
    <w:rsid w:val="00F15AFC"/>
    <w:rsid w:val="00F15C95"/>
    <w:rsid w:val="00F16C59"/>
    <w:rsid w:val="00F16FA9"/>
    <w:rsid w:val="00F17307"/>
    <w:rsid w:val="00F175D6"/>
    <w:rsid w:val="00F17E41"/>
    <w:rsid w:val="00F220F3"/>
    <w:rsid w:val="00F22985"/>
    <w:rsid w:val="00F22C50"/>
    <w:rsid w:val="00F241AB"/>
    <w:rsid w:val="00F243D0"/>
    <w:rsid w:val="00F245BE"/>
    <w:rsid w:val="00F24EE4"/>
    <w:rsid w:val="00F25841"/>
    <w:rsid w:val="00F273CF"/>
    <w:rsid w:val="00F27615"/>
    <w:rsid w:val="00F279E7"/>
    <w:rsid w:val="00F27F45"/>
    <w:rsid w:val="00F31027"/>
    <w:rsid w:val="00F31382"/>
    <w:rsid w:val="00F31582"/>
    <w:rsid w:val="00F320A5"/>
    <w:rsid w:val="00F32739"/>
    <w:rsid w:val="00F32B49"/>
    <w:rsid w:val="00F333FD"/>
    <w:rsid w:val="00F356C6"/>
    <w:rsid w:val="00F35829"/>
    <w:rsid w:val="00F35A71"/>
    <w:rsid w:val="00F35EFB"/>
    <w:rsid w:val="00F37C43"/>
    <w:rsid w:val="00F41D52"/>
    <w:rsid w:val="00F42171"/>
    <w:rsid w:val="00F42868"/>
    <w:rsid w:val="00F431A5"/>
    <w:rsid w:val="00F4352E"/>
    <w:rsid w:val="00F44002"/>
    <w:rsid w:val="00F4404F"/>
    <w:rsid w:val="00F44EDB"/>
    <w:rsid w:val="00F4546F"/>
    <w:rsid w:val="00F45A4C"/>
    <w:rsid w:val="00F45E1C"/>
    <w:rsid w:val="00F465A7"/>
    <w:rsid w:val="00F472A8"/>
    <w:rsid w:val="00F47BBD"/>
    <w:rsid w:val="00F50B7C"/>
    <w:rsid w:val="00F518EF"/>
    <w:rsid w:val="00F5202D"/>
    <w:rsid w:val="00F52CF6"/>
    <w:rsid w:val="00F5343A"/>
    <w:rsid w:val="00F54496"/>
    <w:rsid w:val="00F56DFF"/>
    <w:rsid w:val="00F56F47"/>
    <w:rsid w:val="00F57091"/>
    <w:rsid w:val="00F579B0"/>
    <w:rsid w:val="00F60443"/>
    <w:rsid w:val="00F60FA6"/>
    <w:rsid w:val="00F61097"/>
    <w:rsid w:val="00F639B1"/>
    <w:rsid w:val="00F649C4"/>
    <w:rsid w:val="00F6544F"/>
    <w:rsid w:val="00F65811"/>
    <w:rsid w:val="00F65A60"/>
    <w:rsid w:val="00F66019"/>
    <w:rsid w:val="00F662AC"/>
    <w:rsid w:val="00F6680D"/>
    <w:rsid w:val="00F706E0"/>
    <w:rsid w:val="00F7080F"/>
    <w:rsid w:val="00F70C4A"/>
    <w:rsid w:val="00F71056"/>
    <w:rsid w:val="00F71627"/>
    <w:rsid w:val="00F71F4C"/>
    <w:rsid w:val="00F71FD3"/>
    <w:rsid w:val="00F73F4B"/>
    <w:rsid w:val="00F74345"/>
    <w:rsid w:val="00F74441"/>
    <w:rsid w:val="00F753E1"/>
    <w:rsid w:val="00F7692B"/>
    <w:rsid w:val="00F77F30"/>
    <w:rsid w:val="00F77F76"/>
    <w:rsid w:val="00F8167F"/>
    <w:rsid w:val="00F82589"/>
    <w:rsid w:val="00F82B19"/>
    <w:rsid w:val="00F83E2F"/>
    <w:rsid w:val="00F8461C"/>
    <w:rsid w:val="00F851CB"/>
    <w:rsid w:val="00F851D6"/>
    <w:rsid w:val="00F85E92"/>
    <w:rsid w:val="00F86323"/>
    <w:rsid w:val="00F863FA"/>
    <w:rsid w:val="00F8793C"/>
    <w:rsid w:val="00F87A58"/>
    <w:rsid w:val="00F909B6"/>
    <w:rsid w:val="00F90AA7"/>
    <w:rsid w:val="00F90DF3"/>
    <w:rsid w:val="00F9203D"/>
    <w:rsid w:val="00F9209B"/>
    <w:rsid w:val="00F9212D"/>
    <w:rsid w:val="00F924AA"/>
    <w:rsid w:val="00F92940"/>
    <w:rsid w:val="00F92E89"/>
    <w:rsid w:val="00F935CE"/>
    <w:rsid w:val="00F941A1"/>
    <w:rsid w:val="00F945EE"/>
    <w:rsid w:val="00F94CA3"/>
    <w:rsid w:val="00F94E6B"/>
    <w:rsid w:val="00F95523"/>
    <w:rsid w:val="00F973A8"/>
    <w:rsid w:val="00F97CB1"/>
    <w:rsid w:val="00FA18ED"/>
    <w:rsid w:val="00FA1C0A"/>
    <w:rsid w:val="00FA1DBB"/>
    <w:rsid w:val="00FA2233"/>
    <w:rsid w:val="00FA2ABD"/>
    <w:rsid w:val="00FA2E9A"/>
    <w:rsid w:val="00FA301A"/>
    <w:rsid w:val="00FA39FF"/>
    <w:rsid w:val="00FA3A0E"/>
    <w:rsid w:val="00FA406A"/>
    <w:rsid w:val="00FA4924"/>
    <w:rsid w:val="00FA5CB6"/>
    <w:rsid w:val="00FA61EA"/>
    <w:rsid w:val="00FA63F0"/>
    <w:rsid w:val="00FA721A"/>
    <w:rsid w:val="00FB192A"/>
    <w:rsid w:val="00FB271B"/>
    <w:rsid w:val="00FB295D"/>
    <w:rsid w:val="00FB2C24"/>
    <w:rsid w:val="00FB31EA"/>
    <w:rsid w:val="00FB34B2"/>
    <w:rsid w:val="00FB43E7"/>
    <w:rsid w:val="00FB6975"/>
    <w:rsid w:val="00FB6AFD"/>
    <w:rsid w:val="00FB72F2"/>
    <w:rsid w:val="00FB75AF"/>
    <w:rsid w:val="00FC05AD"/>
    <w:rsid w:val="00FC0E69"/>
    <w:rsid w:val="00FC12B0"/>
    <w:rsid w:val="00FC2F34"/>
    <w:rsid w:val="00FC303F"/>
    <w:rsid w:val="00FC6295"/>
    <w:rsid w:val="00FC6464"/>
    <w:rsid w:val="00FC66AC"/>
    <w:rsid w:val="00FC6A55"/>
    <w:rsid w:val="00FC6F6A"/>
    <w:rsid w:val="00FC7FE2"/>
    <w:rsid w:val="00FD1512"/>
    <w:rsid w:val="00FD15BF"/>
    <w:rsid w:val="00FD1750"/>
    <w:rsid w:val="00FD18F4"/>
    <w:rsid w:val="00FD23BA"/>
    <w:rsid w:val="00FD31DE"/>
    <w:rsid w:val="00FD3F66"/>
    <w:rsid w:val="00FD46A0"/>
    <w:rsid w:val="00FD4E2C"/>
    <w:rsid w:val="00FD6296"/>
    <w:rsid w:val="00FD6F29"/>
    <w:rsid w:val="00FD74B4"/>
    <w:rsid w:val="00FE08CA"/>
    <w:rsid w:val="00FE0ED4"/>
    <w:rsid w:val="00FE1DFC"/>
    <w:rsid w:val="00FE1F01"/>
    <w:rsid w:val="00FE449F"/>
    <w:rsid w:val="00FE4D87"/>
    <w:rsid w:val="00FE59D7"/>
    <w:rsid w:val="00FE607E"/>
    <w:rsid w:val="00FE6101"/>
    <w:rsid w:val="00FE68A2"/>
    <w:rsid w:val="00FE6D1F"/>
    <w:rsid w:val="00FE7B29"/>
    <w:rsid w:val="00FF1E99"/>
    <w:rsid w:val="00FF2043"/>
    <w:rsid w:val="00FF20EF"/>
    <w:rsid w:val="00FF2D77"/>
    <w:rsid w:val="00FF3329"/>
    <w:rsid w:val="00FF3E7C"/>
    <w:rsid w:val="00FF56A7"/>
    <w:rsid w:val="00FF5D2D"/>
    <w:rsid w:val="00FF662F"/>
    <w:rsid w:val="00FF666C"/>
    <w:rsid w:val="00FF688B"/>
    <w:rsid w:val="00FF6FCE"/>
    <w:rsid w:val="00FF71C1"/>
    <w:rsid w:val="00FF7518"/>
    <w:rsid w:val="00FF7FD8"/>
    <w:rsid w:val="00FF7FE7"/>
    <w:rsid w:val="03015F20"/>
    <w:rsid w:val="038912D2"/>
    <w:rsid w:val="05742AC8"/>
    <w:rsid w:val="06352F05"/>
    <w:rsid w:val="063E7D85"/>
    <w:rsid w:val="070875E0"/>
    <w:rsid w:val="07293586"/>
    <w:rsid w:val="07295285"/>
    <w:rsid w:val="07770C56"/>
    <w:rsid w:val="092217DD"/>
    <w:rsid w:val="093A7294"/>
    <w:rsid w:val="0AA34654"/>
    <w:rsid w:val="0BD27BF6"/>
    <w:rsid w:val="0E110D06"/>
    <w:rsid w:val="0F13775A"/>
    <w:rsid w:val="0F9A112B"/>
    <w:rsid w:val="106D2F64"/>
    <w:rsid w:val="10B63710"/>
    <w:rsid w:val="10DA55EB"/>
    <w:rsid w:val="111C2F7A"/>
    <w:rsid w:val="113013DE"/>
    <w:rsid w:val="122B06C2"/>
    <w:rsid w:val="12D2179B"/>
    <w:rsid w:val="133C40E3"/>
    <w:rsid w:val="13951726"/>
    <w:rsid w:val="14396509"/>
    <w:rsid w:val="1447165C"/>
    <w:rsid w:val="165110B9"/>
    <w:rsid w:val="166C1A77"/>
    <w:rsid w:val="168C1465"/>
    <w:rsid w:val="17735226"/>
    <w:rsid w:val="17964F4E"/>
    <w:rsid w:val="1A1C66C0"/>
    <w:rsid w:val="1A42393B"/>
    <w:rsid w:val="1AAC1A7B"/>
    <w:rsid w:val="1B046F80"/>
    <w:rsid w:val="1B3267B5"/>
    <w:rsid w:val="1BC25DC8"/>
    <w:rsid w:val="1C5E7925"/>
    <w:rsid w:val="1C887FC8"/>
    <w:rsid w:val="1CDC668A"/>
    <w:rsid w:val="1D5F6196"/>
    <w:rsid w:val="1D6132A5"/>
    <w:rsid w:val="1D8E56D5"/>
    <w:rsid w:val="1E7A43DA"/>
    <w:rsid w:val="1EB277FE"/>
    <w:rsid w:val="1EB55B06"/>
    <w:rsid w:val="1EEC0F4D"/>
    <w:rsid w:val="1FE7539E"/>
    <w:rsid w:val="20963CB8"/>
    <w:rsid w:val="209A67D6"/>
    <w:rsid w:val="20B07FB6"/>
    <w:rsid w:val="213B74B1"/>
    <w:rsid w:val="215A2310"/>
    <w:rsid w:val="21DE318A"/>
    <w:rsid w:val="21EF5B80"/>
    <w:rsid w:val="22576990"/>
    <w:rsid w:val="229C4EAB"/>
    <w:rsid w:val="22D75F07"/>
    <w:rsid w:val="252D53FE"/>
    <w:rsid w:val="25EC2D81"/>
    <w:rsid w:val="264528BD"/>
    <w:rsid w:val="26B536F8"/>
    <w:rsid w:val="26FB0F39"/>
    <w:rsid w:val="278F6BF3"/>
    <w:rsid w:val="27D15DD1"/>
    <w:rsid w:val="282468DA"/>
    <w:rsid w:val="28A76295"/>
    <w:rsid w:val="29206EB8"/>
    <w:rsid w:val="29E325E0"/>
    <w:rsid w:val="2A452503"/>
    <w:rsid w:val="2AC74B8A"/>
    <w:rsid w:val="2B982267"/>
    <w:rsid w:val="2BA936A8"/>
    <w:rsid w:val="2C315A5A"/>
    <w:rsid w:val="2D9E56F5"/>
    <w:rsid w:val="2E6609A2"/>
    <w:rsid w:val="2E667F96"/>
    <w:rsid w:val="2E8226AB"/>
    <w:rsid w:val="2EE50B32"/>
    <w:rsid w:val="2F832C79"/>
    <w:rsid w:val="2FEF2D58"/>
    <w:rsid w:val="30580BC9"/>
    <w:rsid w:val="311E2ED7"/>
    <w:rsid w:val="315C449C"/>
    <w:rsid w:val="318323E4"/>
    <w:rsid w:val="31B82709"/>
    <w:rsid w:val="31EF22C6"/>
    <w:rsid w:val="32400B34"/>
    <w:rsid w:val="329E6876"/>
    <w:rsid w:val="33D934D4"/>
    <w:rsid w:val="33D96C77"/>
    <w:rsid w:val="33FE2F6A"/>
    <w:rsid w:val="34F727AC"/>
    <w:rsid w:val="36074A7F"/>
    <w:rsid w:val="36923549"/>
    <w:rsid w:val="36AD0338"/>
    <w:rsid w:val="36B75FBF"/>
    <w:rsid w:val="36FB4891"/>
    <w:rsid w:val="37C01999"/>
    <w:rsid w:val="37C55CEC"/>
    <w:rsid w:val="38F12CD3"/>
    <w:rsid w:val="38F94775"/>
    <w:rsid w:val="390D653D"/>
    <w:rsid w:val="392971ED"/>
    <w:rsid w:val="3A29797A"/>
    <w:rsid w:val="3AFC1371"/>
    <w:rsid w:val="3B1A3241"/>
    <w:rsid w:val="3B3763D1"/>
    <w:rsid w:val="3C5A012C"/>
    <w:rsid w:val="3CDA245A"/>
    <w:rsid w:val="3CEE0A37"/>
    <w:rsid w:val="3EBE6BC6"/>
    <w:rsid w:val="3F660E74"/>
    <w:rsid w:val="3F9925BA"/>
    <w:rsid w:val="3FEC1713"/>
    <w:rsid w:val="407A6407"/>
    <w:rsid w:val="423A3BCC"/>
    <w:rsid w:val="42486A89"/>
    <w:rsid w:val="433A6FE6"/>
    <w:rsid w:val="4350713C"/>
    <w:rsid w:val="436653E0"/>
    <w:rsid w:val="44CD14E0"/>
    <w:rsid w:val="44FC5765"/>
    <w:rsid w:val="458946E9"/>
    <w:rsid w:val="45FA7C6C"/>
    <w:rsid w:val="46D955A7"/>
    <w:rsid w:val="47133957"/>
    <w:rsid w:val="4779329E"/>
    <w:rsid w:val="47A07E0C"/>
    <w:rsid w:val="4870272E"/>
    <w:rsid w:val="49AA5F40"/>
    <w:rsid w:val="49DC7715"/>
    <w:rsid w:val="4A023139"/>
    <w:rsid w:val="4A7B576F"/>
    <w:rsid w:val="4B4C0582"/>
    <w:rsid w:val="4C4A0649"/>
    <w:rsid w:val="4CE470D3"/>
    <w:rsid w:val="4D9F1366"/>
    <w:rsid w:val="4DEC4FB0"/>
    <w:rsid w:val="4E075D8A"/>
    <w:rsid w:val="4FC62A8C"/>
    <w:rsid w:val="4FE20F0D"/>
    <w:rsid w:val="50504C4B"/>
    <w:rsid w:val="509C6E7C"/>
    <w:rsid w:val="5162104E"/>
    <w:rsid w:val="53A039CC"/>
    <w:rsid w:val="53A1505A"/>
    <w:rsid w:val="54063E08"/>
    <w:rsid w:val="543437E8"/>
    <w:rsid w:val="559B174B"/>
    <w:rsid w:val="55C56C04"/>
    <w:rsid w:val="55CE0CF4"/>
    <w:rsid w:val="56B22A9C"/>
    <w:rsid w:val="57B72A76"/>
    <w:rsid w:val="59EA6DB2"/>
    <w:rsid w:val="5A262D7D"/>
    <w:rsid w:val="5A3C747D"/>
    <w:rsid w:val="5A735AF1"/>
    <w:rsid w:val="5A781C2E"/>
    <w:rsid w:val="5A902780"/>
    <w:rsid w:val="5ABE2233"/>
    <w:rsid w:val="5B276D18"/>
    <w:rsid w:val="5BD916DA"/>
    <w:rsid w:val="5BDF5D95"/>
    <w:rsid w:val="5DF87A0F"/>
    <w:rsid w:val="5E0B2F81"/>
    <w:rsid w:val="5E807125"/>
    <w:rsid w:val="5ED66BCF"/>
    <w:rsid w:val="5ED86C69"/>
    <w:rsid w:val="5F1A2B43"/>
    <w:rsid w:val="5FB837BB"/>
    <w:rsid w:val="62364782"/>
    <w:rsid w:val="63694AE7"/>
    <w:rsid w:val="6398405C"/>
    <w:rsid w:val="63D40BE9"/>
    <w:rsid w:val="63E0211F"/>
    <w:rsid w:val="64915A72"/>
    <w:rsid w:val="64CE6552"/>
    <w:rsid w:val="65373578"/>
    <w:rsid w:val="65890AD6"/>
    <w:rsid w:val="673F2C7A"/>
    <w:rsid w:val="681F6961"/>
    <w:rsid w:val="68610A2F"/>
    <w:rsid w:val="68805514"/>
    <w:rsid w:val="68BB440C"/>
    <w:rsid w:val="694E2071"/>
    <w:rsid w:val="697A3B33"/>
    <w:rsid w:val="699E2456"/>
    <w:rsid w:val="6A6B735D"/>
    <w:rsid w:val="6B322639"/>
    <w:rsid w:val="6B9E0A74"/>
    <w:rsid w:val="6C636C38"/>
    <w:rsid w:val="6DB34098"/>
    <w:rsid w:val="6DB545B6"/>
    <w:rsid w:val="6E4375A0"/>
    <w:rsid w:val="6E514CED"/>
    <w:rsid w:val="6E79491A"/>
    <w:rsid w:val="6EB563D5"/>
    <w:rsid w:val="6EB96428"/>
    <w:rsid w:val="6F225983"/>
    <w:rsid w:val="6F3A592B"/>
    <w:rsid w:val="6FFC5590"/>
    <w:rsid w:val="70301DA3"/>
    <w:rsid w:val="706D1DD0"/>
    <w:rsid w:val="70856B87"/>
    <w:rsid w:val="70D527EE"/>
    <w:rsid w:val="70EE7F25"/>
    <w:rsid w:val="71521CF8"/>
    <w:rsid w:val="715B5300"/>
    <w:rsid w:val="715F4BD7"/>
    <w:rsid w:val="71D27F8A"/>
    <w:rsid w:val="71F744C6"/>
    <w:rsid w:val="71F960CF"/>
    <w:rsid w:val="731F5D5E"/>
    <w:rsid w:val="73B314ED"/>
    <w:rsid w:val="74113EFA"/>
    <w:rsid w:val="741E793C"/>
    <w:rsid w:val="758D75E2"/>
    <w:rsid w:val="75907680"/>
    <w:rsid w:val="77762421"/>
    <w:rsid w:val="780F09F4"/>
    <w:rsid w:val="786F5C73"/>
    <w:rsid w:val="789C4F47"/>
    <w:rsid w:val="78A90480"/>
    <w:rsid w:val="78C56569"/>
    <w:rsid w:val="79811327"/>
    <w:rsid w:val="7A364017"/>
    <w:rsid w:val="7A8265E1"/>
    <w:rsid w:val="7B2D5625"/>
    <w:rsid w:val="7B606F19"/>
    <w:rsid w:val="7B686D42"/>
    <w:rsid w:val="7B841746"/>
    <w:rsid w:val="7D0239FF"/>
    <w:rsid w:val="7D440714"/>
    <w:rsid w:val="7D5E40CD"/>
    <w:rsid w:val="7D693BED"/>
    <w:rsid w:val="7DF03882"/>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23"/>
    <w:qFormat/>
    <w:locked/>
    <w:uiPriority w:val="0"/>
    <w:pPr>
      <w:keepNext/>
      <w:keepLines/>
      <w:spacing w:before="260" w:after="260" w:line="416" w:lineRule="auto"/>
      <w:outlineLvl w:val="1"/>
    </w:pPr>
    <w:rPr>
      <w:rFonts w:ascii="等线 Light" w:hAnsi="等线 Light" w:eastAsia="等线 Light"/>
      <w:b/>
      <w:bCs/>
      <w:sz w:val="32"/>
      <w:szCs w:val="32"/>
    </w:rPr>
  </w:style>
  <w:style w:type="character" w:default="1" w:styleId="19">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annotation text"/>
    <w:basedOn w:val="1"/>
    <w:link w:val="24"/>
    <w:qFormat/>
    <w:uiPriority w:val="0"/>
    <w:pPr>
      <w:jc w:val="left"/>
    </w:pPr>
    <w:rPr>
      <w:kern w:val="0"/>
      <w:sz w:val="20"/>
    </w:rPr>
  </w:style>
  <w:style w:type="paragraph" w:styleId="6">
    <w:name w:val="Body Text"/>
    <w:basedOn w:val="1"/>
    <w:link w:val="25"/>
    <w:qFormat/>
    <w:uiPriority w:val="0"/>
    <w:pPr>
      <w:widowControl/>
      <w:snapToGrid w:val="0"/>
      <w:spacing w:before="60" w:after="160" w:line="259" w:lineRule="auto"/>
      <w:ind w:right="113"/>
    </w:pPr>
    <w:rPr>
      <w:kern w:val="0"/>
      <w:sz w:val="18"/>
      <w:szCs w:val="18"/>
    </w:rPr>
  </w:style>
  <w:style w:type="paragraph" w:styleId="7">
    <w:name w:val="Body Text Indent"/>
    <w:basedOn w:val="1"/>
    <w:link w:val="26"/>
    <w:semiHidden/>
    <w:qFormat/>
    <w:uiPriority w:val="0"/>
    <w:pPr>
      <w:spacing w:after="120"/>
      <w:ind w:left="420" w:leftChars="200"/>
    </w:pPr>
  </w:style>
  <w:style w:type="paragraph" w:styleId="8">
    <w:name w:val="Plain Text"/>
    <w:basedOn w:val="1"/>
    <w:link w:val="27"/>
    <w:qFormat/>
    <w:uiPriority w:val="0"/>
    <w:rPr>
      <w:rFonts w:ascii="宋体" w:hAnsi="Courier New"/>
      <w:szCs w:val="20"/>
    </w:rPr>
  </w:style>
  <w:style w:type="paragraph" w:styleId="9">
    <w:name w:val="Date"/>
    <w:basedOn w:val="1"/>
    <w:next w:val="1"/>
    <w:link w:val="28"/>
    <w:uiPriority w:val="0"/>
    <w:pPr>
      <w:ind w:left="100" w:leftChars="2500"/>
    </w:pPr>
    <w:rPr>
      <w:kern w:val="0"/>
      <w:sz w:val="20"/>
    </w:rPr>
  </w:style>
  <w:style w:type="paragraph" w:styleId="10">
    <w:name w:val="Balloon Text"/>
    <w:basedOn w:val="1"/>
    <w:link w:val="29"/>
    <w:semiHidden/>
    <w:qFormat/>
    <w:uiPriority w:val="0"/>
    <w:rPr>
      <w:sz w:val="18"/>
      <w:szCs w:val="18"/>
    </w:rPr>
  </w:style>
  <w:style w:type="paragraph" w:styleId="11">
    <w:name w:val="footer"/>
    <w:basedOn w:val="1"/>
    <w:link w:val="30"/>
    <w:qFormat/>
    <w:uiPriority w:val="99"/>
    <w:pPr>
      <w:tabs>
        <w:tab w:val="center" w:pos="4153"/>
        <w:tab w:val="right" w:pos="8306"/>
      </w:tabs>
      <w:snapToGrid w:val="0"/>
      <w:jc w:val="left"/>
    </w:pPr>
    <w:rPr>
      <w:sz w:val="18"/>
      <w:szCs w:val="18"/>
    </w:rPr>
  </w:style>
  <w:style w:type="paragraph" w:styleId="12">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link w:val="32"/>
    <w:qFormat/>
    <w:uiPriority w:val="99"/>
    <w:pPr>
      <w:widowControl/>
      <w:spacing w:before="100" w:beforeAutospacing="1" w:after="100" w:afterAutospacing="1"/>
      <w:jc w:val="left"/>
    </w:pPr>
    <w:rPr>
      <w:rFonts w:ascii="宋体" w:hAnsi="宋体"/>
      <w:kern w:val="0"/>
      <w:sz w:val="24"/>
    </w:rPr>
  </w:style>
  <w:style w:type="paragraph" w:styleId="14">
    <w:name w:val="annotation subject"/>
    <w:basedOn w:val="5"/>
    <w:next w:val="5"/>
    <w:link w:val="33"/>
    <w:semiHidden/>
    <w:qFormat/>
    <w:uiPriority w:val="0"/>
    <w:rPr>
      <w:b/>
      <w:bCs/>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17">
    <w:name w:val="Table Theme"/>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18">
    <w:name w:val="Table Elegant"/>
    <w:basedOn w:val="1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20">
    <w:name w:val="page number"/>
    <w:qFormat/>
    <w:uiPriority w:val="0"/>
  </w:style>
  <w:style w:type="character" w:styleId="21">
    <w:name w:val="Hyperlink"/>
    <w:basedOn w:val="19"/>
    <w:qFormat/>
    <w:uiPriority w:val="0"/>
    <w:rPr>
      <w:color w:val="0563C1" w:themeColor="hyperlink"/>
      <w:u w:val="single"/>
      <w14:textFill>
        <w14:solidFill>
          <w14:schemeClr w14:val="hlink"/>
        </w14:solidFill>
      </w14:textFill>
    </w:rPr>
  </w:style>
  <w:style w:type="character" w:styleId="22">
    <w:name w:val="annotation reference"/>
    <w:qFormat/>
    <w:uiPriority w:val="0"/>
    <w:rPr>
      <w:sz w:val="21"/>
    </w:rPr>
  </w:style>
  <w:style w:type="character" w:customStyle="1" w:styleId="23">
    <w:name w:val="标题 2 字符"/>
    <w:link w:val="3"/>
    <w:semiHidden/>
    <w:qFormat/>
    <w:uiPriority w:val="0"/>
    <w:rPr>
      <w:rFonts w:ascii="等线 Light" w:hAnsi="等线 Light" w:eastAsia="等线 Light" w:cs="Times New Roman"/>
      <w:b/>
      <w:bCs/>
      <w:kern w:val="2"/>
      <w:sz w:val="32"/>
      <w:szCs w:val="32"/>
    </w:rPr>
  </w:style>
  <w:style w:type="character" w:customStyle="1" w:styleId="24">
    <w:name w:val="批注文字 字符"/>
    <w:link w:val="5"/>
    <w:qFormat/>
    <w:locked/>
    <w:uiPriority w:val="0"/>
    <w:rPr>
      <w:rFonts w:ascii="Times New Roman" w:hAnsi="Times New Roman" w:eastAsia="宋体"/>
      <w:sz w:val="24"/>
    </w:rPr>
  </w:style>
  <w:style w:type="character" w:customStyle="1" w:styleId="25">
    <w:name w:val="正文文本 字符"/>
    <w:link w:val="6"/>
    <w:qFormat/>
    <w:locked/>
    <w:uiPriority w:val="0"/>
    <w:rPr>
      <w:sz w:val="18"/>
    </w:rPr>
  </w:style>
  <w:style w:type="character" w:customStyle="1" w:styleId="26">
    <w:name w:val="正文文本缩进 字符"/>
    <w:link w:val="7"/>
    <w:semiHidden/>
    <w:qFormat/>
    <w:locked/>
    <w:uiPriority w:val="0"/>
    <w:rPr>
      <w:rFonts w:ascii="Times New Roman" w:hAnsi="Times New Roman" w:eastAsia="宋体" w:cs="Times New Roman"/>
      <w:sz w:val="24"/>
      <w:szCs w:val="24"/>
    </w:rPr>
  </w:style>
  <w:style w:type="character" w:customStyle="1" w:styleId="27">
    <w:name w:val="纯文本 字符"/>
    <w:link w:val="8"/>
    <w:qFormat/>
    <w:uiPriority w:val="0"/>
    <w:rPr>
      <w:rFonts w:ascii="宋体" w:hAnsi="Courier New"/>
      <w:kern w:val="2"/>
      <w:sz w:val="21"/>
    </w:rPr>
  </w:style>
  <w:style w:type="character" w:customStyle="1" w:styleId="28">
    <w:name w:val="日期 字符1"/>
    <w:link w:val="9"/>
    <w:qFormat/>
    <w:locked/>
    <w:uiPriority w:val="0"/>
    <w:rPr>
      <w:rFonts w:ascii="Times New Roman" w:hAnsi="Times New Roman" w:eastAsia="宋体"/>
      <w:sz w:val="24"/>
    </w:rPr>
  </w:style>
  <w:style w:type="character" w:customStyle="1" w:styleId="29">
    <w:name w:val="批注框文本 字符"/>
    <w:link w:val="10"/>
    <w:semiHidden/>
    <w:qFormat/>
    <w:locked/>
    <w:uiPriority w:val="0"/>
    <w:rPr>
      <w:rFonts w:ascii="Times New Roman" w:hAnsi="Times New Roman" w:eastAsia="宋体" w:cs="Times New Roman"/>
      <w:sz w:val="18"/>
      <w:szCs w:val="18"/>
    </w:rPr>
  </w:style>
  <w:style w:type="character" w:customStyle="1" w:styleId="30">
    <w:name w:val="页脚 字符"/>
    <w:link w:val="11"/>
    <w:qFormat/>
    <w:locked/>
    <w:uiPriority w:val="99"/>
    <w:rPr>
      <w:rFonts w:cs="Times New Roman"/>
      <w:sz w:val="18"/>
      <w:szCs w:val="18"/>
    </w:rPr>
  </w:style>
  <w:style w:type="character" w:customStyle="1" w:styleId="31">
    <w:name w:val="页眉 字符"/>
    <w:link w:val="12"/>
    <w:qFormat/>
    <w:locked/>
    <w:uiPriority w:val="0"/>
    <w:rPr>
      <w:rFonts w:cs="Times New Roman"/>
      <w:sz w:val="18"/>
      <w:szCs w:val="18"/>
    </w:rPr>
  </w:style>
  <w:style w:type="character" w:customStyle="1" w:styleId="32">
    <w:name w:val="普通(网站) 字符"/>
    <w:link w:val="13"/>
    <w:qFormat/>
    <w:locked/>
    <w:uiPriority w:val="0"/>
    <w:rPr>
      <w:rFonts w:ascii="宋体" w:hAnsi="宋体" w:eastAsia="宋体"/>
      <w:sz w:val="24"/>
    </w:rPr>
  </w:style>
  <w:style w:type="character" w:customStyle="1" w:styleId="33">
    <w:name w:val="批注主题 字符"/>
    <w:link w:val="14"/>
    <w:semiHidden/>
    <w:qFormat/>
    <w:locked/>
    <w:uiPriority w:val="0"/>
    <w:rPr>
      <w:rFonts w:ascii="Times New Roman" w:hAnsi="Times New Roman" w:eastAsia="宋体" w:cs="Times New Roman"/>
      <w:b/>
      <w:bCs/>
      <w:kern w:val="2"/>
      <w:sz w:val="24"/>
      <w:szCs w:val="24"/>
    </w:rPr>
  </w:style>
  <w:style w:type="character" w:customStyle="1" w:styleId="34">
    <w:name w:val="日期 字符"/>
    <w:semiHidden/>
    <w:qFormat/>
    <w:uiPriority w:val="0"/>
    <w:rPr>
      <w:rFonts w:ascii="Times New Roman" w:hAnsi="Times New Roman" w:eastAsia="宋体" w:cs="Times New Roman"/>
      <w:sz w:val="24"/>
      <w:szCs w:val="24"/>
    </w:rPr>
  </w:style>
  <w:style w:type="character" w:customStyle="1" w:styleId="35">
    <w:name w:val="正文文本 字符1"/>
    <w:semiHidden/>
    <w:qFormat/>
    <w:uiPriority w:val="0"/>
    <w:rPr>
      <w:rFonts w:ascii="Times New Roman" w:hAnsi="Times New Roman" w:eastAsia="宋体" w:cs="Times New Roman"/>
      <w:sz w:val="24"/>
      <w:szCs w:val="24"/>
    </w:rPr>
  </w:style>
  <w:style w:type="paragraph" w:customStyle="1" w:styleId="36">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37">
    <w:name w:val="表格 Char"/>
    <w:link w:val="38"/>
    <w:qFormat/>
    <w:locked/>
    <w:uiPriority w:val="0"/>
    <w:rPr>
      <w:rFonts w:ascii="宋体"/>
      <w:sz w:val="21"/>
    </w:rPr>
  </w:style>
  <w:style w:type="paragraph" w:customStyle="1" w:styleId="38">
    <w:name w:val="表格"/>
    <w:basedOn w:val="1"/>
    <w:next w:val="1"/>
    <w:link w:val="37"/>
    <w:qFormat/>
    <w:uiPriority w:val="0"/>
    <w:pPr>
      <w:adjustRightInd w:val="0"/>
      <w:snapToGrid w:val="0"/>
      <w:spacing w:beforeLines="10" w:afterLines="10" w:line="259" w:lineRule="auto"/>
      <w:jc w:val="center"/>
    </w:pPr>
    <w:rPr>
      <w:rFonts w:ascii="宋体"/>
      <w:kern w:val="0"/>
      <w:sz w:val="20"/>
      <w:szCs w:val="21"/>
    </w:rPr>
  </w:style>
  <w:style w:type="character" w:customStyle="1" w:styleId="39">
    <w:name w:val="批注文字 字符1"/>
    <w:semiHidden/>
    <w:qFormat/>
    <w:uiPriority w:val="0"/>
    <w:rPr>
      <w:rFonts w:ascii="Times New Roman" w:hAnsi="Times New Roman" w:eastAsia="宋体" w:cs="Times New Roman"/>
      <w:sz w:val="24"/>
      <w:szCs w:val="24"/>
    </w:rPr>
  </w:style>
  <w:style w:type="character" w:customStyle="1" w:styleId="40">
    <w:name w:val="普通(网站) Char"/>
    <w:qFormat/>
    <w:locked/>
    <w:uiPriority w:val="0"/>
    <w:rPr>
      <w:rFonts w:ascii="宋体" w:hAnsi="宋体" w:eastAsia="宋体"/>
      <w:sz w:val="24"/>
    </w:rPr>
  </w:style>
  <w:style w:type="character" w:customStyle="1" w:styleId="41">
    <w:name w:val="表格中的文字 Char"/>
    <w:link w:val="42"/>
    <w:qFormat/>
    <w:uiPriority w:val="0"/>
    <w:rPr>
      <w:kern w:val="2"/>
      <w:sz w:val="21"/>
      <w:szCs w:val="22"/>
    </w:rPr>
  </w:style>
  <w:style w:type="paragraph" w:customStyle="1" w:styleId="42">
    <w:name w:val="表格中的文字"/>
    <w:basedOn w:val="1"/>
    <w:link w:val="41"/>
    <w:qFormat/>
    <w:uiPriority w:val="0"/>
    <w:pPr>
      <w:snapToGrid w:val="0"/>
      <w:jc w:val="center"/>
    </w:pPr>
    <w:rPr>
      <w:szCs w:val="22"/>
    </w:rPr>
  </w:style>
  <w:style w:type="character" w:customStyle="1" w:styleId="43">
    <w:name w:val="表文字 Char1"/>
    <w:link w:val="44"/>
    <w:qFormat/>
    <w:uiPriority w:val="0"/>
    <w:rPr>
      <w:sz w:val="24"/>
    </w:rPr>
  </w:style>
  <w:style w:type="paragraph" w:customStyle="1" w:styleId="44">
    <w:name w:val="表文字"/>
    <w:basedOn w:val="1"/>
    <w:link w:val="43"/>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45">
    <w:name w:val="样式35"/>
    <w:basedOn w:val="1"/>
    <w:qFormat/>
    <w:uiPriority w:val="0"/>
    <w:pPr>
      <w:adjustRightInd w:val="0"/>
      <w:spacing w:line="312" w:lineRule="auto"/>
      <w:ind w:firstLine="567" w:firstLineChars="200"/>
      <w:textAlignment w:val="baseline"/>
    </w:pPr>
    <w:rPr>
      <w:rFonts w:ascii="宋体"/>
      <w:kern w:val="0"/>
      <w:sz w:val="24"/>
      <w:szCs w:val="20"/>
    </w:rPr>
  </w:style>
  <w:style w:type="paragraph" w:customStyle="1" w:styleId="46">
    <w:name w:val="正文_4"/>
    <w:qFormat/>
    <w:uiPriority w:val="0"/>
    <w:pPr>
      <w:widowControl w:val="0"/>
      <w:jc w:val="both"/>
    </w:pPr>
    <w:rPr>
      <w:rFonts w:ascii="Calibri" w:hAnsi="Calibri" w:eastAsia="宋体" w:cs="Times New Roman"/>
      <w:kern w:val="2"/>
      <w:sz w:val="21"/>
      <w:lang w:val="en-US" w:eastAsia="zh-CN" w:bidi="ar-SA"/>
    </w:rPr>
  </w:style>
  <w:style w:type="paragraph" w:customStyle="1" w:styleId="47">
    <w:name w:val="正文_6"/>
    <w:qFormat/>
    <w:uiPriority w:val="0"/>
    <w:pPr>
      <w:widowControl w:val="0"/>
      <w:spacing w:line="240" w:lineRule="atLeast"/>
      <w:jc w:val="center"/>
    </w:pPr>
    <w:rPr>
      <w:rFonts w:ascii="Times New Roman" w:hAnsi="Times New Roman" w:eastAsia="宋体" w:cs="Times New Roman"/>
      <w:kern w:val="2"/>
      <w:lang w:val="en-US" w:eastAsia="zh-CN" w:bidi="ar-SA"/>
    </w:rPr>
  </w:style>
  <w:style w:type="character" w:customStyle="1" w:styleId="48">
    <w:name w:val="纯文本 字符1"/>
    <w:qFormat/>
    <w:uiPriority w:val="0"/>
    <w:rPr>
      <w:rFonts w:ascii="宋体" w:hAnsi="Courier New" w:cs="Courier New"/>
      <w:kern w:val="2"/>
      <w:sz w:val="21"/>
      <w:szCs w:val="21"/>
    </w:rPr>
  </w:style>
  <w:style w:type="paragraph" w:customStyle="1" w:styleId="49">
    <w:name w:val="表格表格"/>
    <w:basedOn w:val="1"/>
    <w:link w:val="50"/>
    <w:qFormat/>
    <w:uiPriority w:val="0"/>
    <w:pPr>
      <w:spacing w:line="280" w:lineRule="exact"/>
      <w:jc w:val="center"/>
    </w:pPr>
    <w:rPr>
      <w:bCs/>
      <w:color w:val="0000FF"/>
      <w:kern w:val="0"/>
      <w:sz w:val="20"/>
      <w:szCs w:val="20"/>
    </w:rPr>
  </w:style>
  <w:style w:type="character" w:customStyle="1" w:styleId="50">
    <w:name w:val="表格表格 Char"/>
    <w:link w:val="49"/>
    <w:qFormat/>
    <w:uiPriority w:val="0"/>
    <w:rPr>
      <w:bCs/>
      <w:color w:val="0000FF"/>
    </w:rPr>
  </w:style>
  <w:style w:type="paragraph" w:customStyle="1" w:styleId="51">
    <w:name w:val="正文_18"/>
    <w:qFormat/>
    <w:uiPriority w:val="0"/>
    <w:pPr>
      <w:widowControl w:val="0"/>
      <w:jc w:val="both"/>
    </w:pPr>
    <w:rPr>
      <w:rFonts w:ascii="Calibri" w:hAnsi="Calibri" w:eastAsia="宋体" w:cs="Times New Roman"/>
      <w:kern w:val="2"/>
      <w:sz w:val="21"/>
      <w:lang w:val="en-US" w:eastAsia="zh-CN" w:bidi="ar-SA"/>
    </w:rPr>
  </w:style>
  <w:style w:type="paragraph" w:customStyle="1" w:styleId="52">
    <w:name w:val="Table Paragraph"/>
    <w:basedOn w:val="1"/>
    <w:qFormat/>
    <w:uiPriority w:val="0"/>
    <w:rPr>
      <w:szCs w:val="20"/>
    </w:rPr>
  </w:style>
  <w:style w:type="paragraph" w:customStyle="1" w:styleId="53">
    <w:name w:val="正文_1"/>
    <w:qFormat/>
    <w:uiPriority w:val="0"/>
    <w:pPr>
      <w:widowControl w:val="0"/>
      <w:jc w:val="both"/>
    </w:pPr>
    <w:rPr>
      <w:rFonts w:ascii="Calibri" w:hAnsi="Calibri" w:eastAsia="宋体" w:cs="Times New Roman"/>
      <w:kern w:val="2"/>
      <w:sz w:val="21"/>
      <w:lang w:val="en-US" w:eastAsia="zh-CN" w:bidi="ar-SA"/>
    </w:rPr>
  </w:style>
  <w:style w:type="paragraph" w:customStyle="1" w:styleId="54">
    <w:name w:val="正文（科宏）"/>
    <w:link w:val="55"/>
    <w:qFormat/>
    <w:uiPriority w:val="0"/>
    <w:pPr>
      <w:jc w:val="both"/>
    </w:pPr>
    <w:rPr>
      <w:rFonts w:ascii="Arial" w:hAnsi="Arial" w:eastAsia="仿宋_GB2312" w:cs="Times New Roman"/>
      <w:sz w:val="21"/>
      <w:lang w:val="en-US" w:eastAsia="zh-CN" w:bidi="ar-SA"/>
    </w:rPr>
  </w:style>
  <w:style w:type="character" w:customStyle="1" w:styleId="55">
    <w:name w:val="正文（科宏） Char"/>
    <w:link w:val="54"/>
    <w:qFormat/>
    <w:uiPriority w:val="0"/>
    <w:rPr>
      <w:rFonts w:ascii="Arial" w:hAnsi="Arial" w:eastAsia="仿宋_GB2312"/>
      <w:sz w:val="21"/>
    </w:rPr>
  </w:style>
  <w:style w:type="character" w:customStyle="1" w:styleId="56">
    <w:name w:val="表格内居中 Char"/>
    <w:link w:val="57"/>
    <w:qFormat/>
    <w:uiPriority w:val="0"/>
    <w:rPr>
      <w:kern w:val="2"/>
      <w:sz w:val="24"/>
    </w:rPr>
  </w:style>
  <w:style w:type="paragraph" w:customStyle="1" w:styleId="57">
    <w:name w:val="表格内居中"/>
    <w:basedOn w:val="1"/>
    <w:link w:val="56"/>
    <w:qFormat/>
    <w:uiPriority w:val="0"/>
    <w:pPr>
      <w:adjustRightInd w:val="0"/>
      <w:snapToGrid w:val="0"/>
      <w:jc w:val="center"/>
    </w:pPr>
    <w:rPr>
      <w:sz w:val="24"/>
      <w:szCs w:val="20"/>
    </w:rPr>
  </w:style>
  <w:style w:type="paragraph" w:customStyle="1" w:styleId="5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9">
    <w:name w:val="表格123 Char"/>
    <w:link w:val="60"/>
    <w:qFormat/>
    <w:uiPriority w:val="0"/>
    <w:rPr>
      <w:rFonts w:eastAsia="仿宋_GB2312"/>
      <w:sz w:val="22"/>
      <w:szCs w:val="30"/>
    </w:rPr>
  </w:style>
  <w:style w:type="paragraph" w:customStyle="1" w:styleId="60">
    <w:name w:val="表格123"/>
    <w:basedOn w:val="1"/>
    <w:link w:val="59"/>
    <w:qFormat/>
    <w:uiPriority w:val="0"/>
    <w:pPr>
      <w:jc w:val="center"/>
    </w:pPr>
    <w:rPr>
      <w:rFonts w:eastAsia="仿宋_GB2312"/>
      <w:kern w:val="0"/>
      <w:sz w:val="22"/>
      <w:szCs w:val="30"/>
    </w:rPr>
  </w:style>
  <w:style w:type="character" w:customStyle="1" w:styleId="61">
    <w:name w:val="6表居中 Char"/>
    <w:link w:val="62"/>
    <w:qFormat/>
    <w:uiPriority w:val="0"/>
    <w:rPr>
      <w:rFonts w:eastAsia="仿宋_GB2312"/>
      <w:kern w:val="2"/>
      <w:sz w:val="21"/>
      <w:szCs w:val="22"/>
    </w:rPr>
  </w:style>
  <w:style w:type="paragraph" w:customStyle="1" w:styleId="62">
    <w:name w:val="6表居中"/>
    <w:basedOn w:val="1"/>
    <w:link w:val="61"/>
    <w:qFormat/>
    <w:uiPriority w:val="0"/>
    <w:pPr>
      <w:snapToGrid w:val="0"/>
      <w:spacing w:before="50" w:beforeLines="50"/>
      <w:jc w:val="center"/>
    </w:pPr>
    <w:rPr>
      <w:rFonts w:eastAsia="仿宋_GB2312"/>
      <w:szCs w:val="22"/>
    </w:rPr>
  </w:style>
  <w:style w:type="paragraph" w:customStyle="1" w:styleId="63">
    <w:name w:val="表格文字"/>
    <w:basedOn w:val="1"/>
    <w:qFormat/>
    <w:uiPriority w:val="0"/>
    <w:pPr>
      <w:spacing w:line="460" w:lineRule="exact"/>
      <w:jc w:val="center"/>
    </w:pPr>
    <w:rPr>
      <w:rFonts w:ascii="宋体" w:hAnsi="宋体" w:eastAsia="仿宋_GB2312"/>
      <w:kern w:val="44"/>
      <w:sz w:val="24"/>
      <w:szCs w:val="20"/>
    </w:rPr>
  </w:style>
  <w:style w:type="paragraph" w:styleId="64">
    <w:name w:val="List Paragraph"/>
    <w:basedOn w:val="1"/>
    <w:qFormat/>
    <w:uiPriority w:val="34"/>
    <w:pPr>
      <w:spacing w:line="360" w:lineRule="auto"/>
      <w:ind w:firstLine="420" w:firstLineChars="200"/>
    </w:pPr>
    <w:rPr>
      <w:rFonts w:eastAsia="仿宋_GB2312"/>
      <w:sz w:val="24"/>
    </w:rPr>
  </w:style>
  <w:style w:type="character" w:customStyle="1" w:styleId="65">
    <w:name w:val="NormalCharacter"/>
    <w:qFormat/>
    <w:uiPriority w:val="0"/>
  </w:style>
  <w:style w:type="character" w:customStyle="1" w:styleId="66">
    <w:name w:val="表头 Char Char"/>
    <w:link w:val="67"/>
    <w:qFormat/>
    <w:uiPriority w:val="0"/>
    <w:rPr>
      <w:b/>
      <w:bCs/>
      <w:spacing w:val="14"/>
      <w:sz w:val="21"/>
      <w:szCs w:val="21"/>
      <w:lang w:bidi="en-US"/>
    </w:rPr>
  </w:style>
  <w:style w:type="paragraph" w:customStyle="1" w:styleId="67">
    <w:name w:val="表头"/>
    <w:basedOn w:val="1"/>
    <w:link w:val="66"/>
    <w:qFormat/>
    <w:uiPriority w:val="0"/>
    <w:pPr>
      <w:tabs>
        <w:tab w:val="right" w:leader="dot" w:pos="8302"/>
      </w:tabs>
      <w:jc w:val="center"/>
    </w:pPr>
    <w:rPr>
      <w:b/>
      <w:bCs/>
      <w:spacing w:val="14"/>
      <w:kern w:val="0"/>
      <w:szCs w:val="21"/>
      <w:lang w:bidi="en-US"/>
    </w:rPr>
  </w:style>
  <w:style w:type="character" w:customStyle="1" w:styleId="68">
    <w:name w:val="未处理的提及1"/>
    <w:basedOn w:val="19"/>
    <w:semiHidden/>
    <w:unhideWhenUsed/>
    <w:qFormat/>
    <w:uiPriority w:val="99"/>
    <w:rPr>
      <w:color w:val="605E5C"/>
      <w:shd w:val="clear" w:color="auto" w:fill="E1DFDD"/>
    </w:rPr>
  </w:style>
  <w:style w:type="paragraph" w:customStyle="1" w:styleId="69">
    <w:name w:val="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0">
    <w:name w:val="图表文字~"/>
    <w:qFormat/>
    <w:uiPriority w:val="0"/>
    <w:pPr>
      <w:adjustRightInd w:val="0"/>
      <w:snapToGrid w:val="0"/>
      <w:spacing w:line="340" w:lineRule="exact"/>
      <w:jc w:val="center"/>
    </w:pPr>
    <w:rPr>
      <w:rFonts w:ascii="Times New Roman" w:hAnsi="Times New Roman" w:eastAsia="仿宋" w:cs="Times New Roman"/>
      <w:color w:val="000000"/>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package" Target="embeddings/Microsoft_Visio___2.vsdx"/><Relationship Id="rId7" Type="http://schemas.openxmlformats.org/officeDocument/2006/relationships/image" Target="media/image1.emf"/><Relationship Id="rId6" Type="http://schemas.openxmlformats.org/officeDocument/2006/relationships/package" Target="embeddings/Microsoft_Visio___1.vsdx"/><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customXml" Target="../customXml/item1.xml"/><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theme" Target="theme/theme1.xml"/><Relationship Id="rId49" Type="http://schemas.openxmlformats.org/officeDocument/2006/relationships/image" Target="media/image33.jpeg"/><Relationship Id="rId48" Type="http://schemas.openxmlformats.org/officeDocument/2006/relationships/image" Target="media/image32.jpe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wmf"/><Relationship Id="rId44" Type="http://schemas.openxmlformats.org/officeDocument/2006/relationships/oleObject" Target="embeddings/oleObject3.bin"/><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footer" Target="footer2.xml"/><Relationship Id="rId39" Type="http://schemas.openxmlformats.org/officeDocument/2006/relationships/image" Target="media/image24.wmf"/><Relationship Id="rId38" Type="http://schemas.openxmlformats.org/officeDocument/2006/relationships/oleObject" Target="embeddings/oleObject2.bin"/><Relationship Id="rId37" Type="http://schemas.openxmlformats.org/officeDocument/2006/relationships/image" Target="media/image23.wmf"/><Relationship Id="rId36" Type="http://schemas.openxmlformats.org/officeDocument/2006/relationships/oleObject" Target="embeddings/oleObject1.bin"/><Relationship Id="rId35" Type="http://schemas.openxmlformats.org/officeDocument/2006/relationships/image" Target="media/image22.emf"/><Relationship Id="rId34" Type="http://schemas.openxmlformats.org/officeDocument/2006/relationships/package" Target="embeddings/Microsoft_Visio___8.vsdx"/><Relationship Id="rId33" Type="http://schemas.openxmlformats.org/officeDocument/2006/relationships/image" Target="media/image21.emf"/><Relationship Id="rId32" Type="http://schemas.openxmlformats.org/officeDocument/2006/relationships/package" Target="embeddings/Microsoft_Visio___7.vsdx"/><Relationship Id="rId31" Type="http://schemas.openxmlformats.org/officeDocument/2006/relationships/image" Target="media/image20.emf"/><Relationship Id="rId30" Type="http://schemas.openxmlformats.org/officeDocument/2006/relationships/package" Target="embeddings/Microsoft_Visio___6.vsdx"/><Relationship Id="rId3" Type="http://schemas.openxmlformats.org/officeDocument/2006/relationships/footer" Target="footer1.xml"/><Relationship Id="rId29" Type="http://schemas.openxmlformats.org/officeDocument/2006/relationships/image" Target="media/image19.emf"/><Relationship Id="rId28" Type="http://schemas.openxmlformats.org/officeDocument/2006/relationships/package" Target="embeddings/Microsoft_Visio___5.vsdx"/><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emf"/><Relationship Id="rId24" Type="http://schemas.openxmlformats.org/officeDocument/2006/relationships/package" Target="embeddings/Microsoft_Visio___4.vsdx"/><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emf"/><Relationship Id="rId16" Type="http://schemas.openxmlformats.org/officeDocument/2006/relationships/package" Target="embeddings/Microsoft_Visio___3.vsdx"/><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4E4D86-1DF0-4A9A-82FB-5102300FDEC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158</Pages>
  <Words>19060</Words>
  <Characters>108648</Characters>
  <Lines>905</Lines>
  <Paragraphs>254</Paragraphs>
  <TotalTime>1500</TotalTime>
  <ScaleCrop>false</ScaleCrop>
  <LinksUpToDate>false</LinksUpToDate>
  <CharactersWithSpaces>127454</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2025-09-03T02:55:00Z</dcterms:created>
  <dc:creator>陈闻文</dc:creator>
  <cp:lastModifiedBy>Administrator</cp:lastModifiedBy>
  <cp:lastPrinted>2024-04-25T03:24:00Z</cp:lastPrinted>
  <dcterms:modified xsi:type="dcterms:W3CDTF">2025-11-13T09:46:42Z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E8A2470F1BE142EF8FB74EE6E74FA95F_13</vt:lpwstr>
  </property>
  <property fmtid="{D5CDD505-2E9C-101B-9397-08002B2CF9AE}" pid="4" name="KSOTemplateDocerSaveRecord">
    <vt:lpwstr>eyJoZGlkIjoiMGJiN2FlNmM4M2JkNDY0OWM0NWI3NTI3YTY1ODQ4M2MiLCJ1c2VySWQiOiI3MDA2OTA3MDIifQ==</vt:lpwstr>
  </property>
</Properties>
</file>