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ascii="黑体" w:hAnsi="黑体" w:eastAsia="黑体"/>
          <w:bCs/>
          <w:spacing w:val="-20"/>
          <w:sz w:val="32"/>
          <w:szCs w:val="32"/>
        </w:rPr>
      </w:pPr>
      <w:r>
        <w:rPr>
          <w:rFonts w:hint="eastAsia" w:ascii="黑体" w:hAnsi="黑体" w:eastAsia="黑体"/>
          <w:bCs/>
          <w:spacing w:val="-20"/>
          <w:sz w:val="32"/>
          <w:szCs w:val="32"/>
        </w:rPr>
        <w:t>附件</w:t>
      </w:r>
      <w:r>
        <w:rPr>
          <w:rFonts w:ascii="黑体" w:hAnsi="黑体" w:eastAsia="黑体"/>
          <w:bCs/>
          <w:spacing w:val="-20"/>
          <w:sz w:val="32"/>
          <w:szCs w:val="32"/>
        </w:rPr>
        <w:t>2</w:t>
      </w:r>
    </w:p>
    <w:p>
      <w:pPr>
        <w:spacing w:line="640" w:lineRule="exact"/>
        <w:jc w:val="center"/>
        <w:rPr>
          <w:rFonts w:ascii="方正小标宋_GBK" w:eastAsia="方正小标宋_GBK"/>
          <w:sz w:val="40"/>
          <w:szCs w:val="40"/>
        </w:rPr>
      </w:pPr>
      <w:r>
        <w:rPr>
          <w:rFonts w:hint="eastAsia" w:ascii="方正小标宋_GBK" w:eastAsia="方正小标宋_GBK"/>
          <w:sz w:val="40"/>
          <w:szCs w:val="40"/>
        </w:rPr>
        <w:t>酉阳县丁市镇丁后路至周家寨道路扩建工程水土保持方案报告书专家评审意见</w:t>
      </w:r>
    </w:p>
    <w:p>
      <w:pPr>
        <w:spacing w:line="320" w:lineRule="exact"/>
        <w:ind w:right="-22" w:rightChars="-8" w:firstLine="560" w:firstLineChars="200"/>
        <w:rPr>
          <w:rFonts w:eastAsia="仿宋_GB2312"/>
          <w:szCs w:val="28"/>
        </w:rPr>
      </w:pPr>
    </w:p>
    <w:p>
      <w:pPr>
        <w:spacing w:line="520" w:lineRule="exact"/>
        <w:ind w:right="-22" w:rightChars="-8" w:firstLine="640" w:firstLineChars="200"/>
        <w:rPr>
          <w:rFonts w:ascii="方正仿宋_GBK" w:eastAsia="方正仿宋_GBK"/>
          <w:sz w:val="32"/>
          <w:szCs w:val="32"/>
        </w:rPr>
      </w:pPr>
      <w:r>
        <w:rPr>
          <w:rFonts w:hint="eastAsia" w:ascii="方正仿宋_GBK" w:eastAsia="方正仿宋_GBK"/>
          <w:sz w:val="32"/>
          <w:szCs w:val="32"/>
        </w:rPr>
        <w:t>2023年6月1日，重庆市酉阳土家族苗族自治县水利局组织召开了《酉阳县丁市镇丁后路至周家寨道路扩建工程水土保持方案报告书》（以下简称《水保方案》）进行了技术评审，会议成立了专家组。专家组成员详细审阅了《水保方案》，根据“渝水〔2018〕267号”、“水保监〔2020〕63号”和“渝水规范〔2021〕2号</w:t>
      </w:r>
      <w:bookmarkStart w:id="7" w:name="_GoBack"/>
      <w:bookmarkEnd w:id="7"/>
      <w:r>
        <w:rPr>
          <w:rFonts w:hint="eastAsia" w:ascii="方正仿宋_GBK" w:eastAsia="方正仿宋_GBK"/>
          <w:sz w:val="32"/>
          <w:szCs w:val="32"/>
        </w:rPr>
        <w:t>”，对《水保方案》进行了质量评分，质量评定等级合格，同时提出了修改补充意见。报告编制单位对《水保方案》进行了修改、补充和完善，经专家组复核，形成审查意见如下：</w:t>
      </w:r>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一、综合说明</w:t>
      </w:r>
    </w:p>
    <w:p>
      <w:pPr>
        <w:adjustRightInd w:val="0"/>
        <w:snapToGrid w:val="0"/>
        <w:spacing w:line="520" w:lineRule="exact"/>
        <w:ind w:firstLine="560"/>
        <w:rPr>
          <w:rFonts w:ascii="方正仿宋_GBK" w:eastAsia="方正仿宋_GBK"/>
          <w:sz w:val="32"/>
          <w:szCs w:val="32"/>
        </w:rPr>
      </w:pPr>
      <w:r>
        <w:rPr>
          <w:rFonts w:hint="eastAsia" w:ascii="方正仿宋_GBK" w:eastAsia="方正仿宋_GBK"/>
          <w:sz w:val="32"/>
          <w:szCs w:val="32"/>
        </w:rPr>
        <w:t>（一）项目前期工作情况及场地现状介绍基本清楚。</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（二）方案编制所依据的法律法规、技术标准及技术资料基本正确。</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（三）同意设计水平年为2024年。</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（四）水土流失防治责任范围确定基本合理，防治面积为7.41hm</w:t>
      </w:r>
      <w:r>
        <w:rPr>
          <w:rFonts w:ascii="Cambria" w:hAnsi="Cambria" w:eastAsia="方正仿宋_GBK" w:cs="Cambria"/>
          <w:sz w:val="32"/>
          <w:szCs w:val="32"/>
        </w:rPr>
        <w:t>²</w:t>
      </w:r>
      <w:r>
        <w:rPr>
          <w:rFonts w:hint="eastAsia" w:ascii="方正仿宋_GBK" w:eastAsia="方正仿宋_GBK"/>
          <w:bCs/>
          <w:sz w:val="32"/>
          <w:szCs w:val="32"/>
        </w:rPr>
        <w:t>。</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五）同意水土流失防治标准执行等级为西南紫色土区建设类项目一级标准。防治目标值确定基本合理，其中：水土流失治理度97％、土壤流失控制比1.0、渣土防护率92％、表土保护率92％、林草植被恢复率97％、林草覆盖率25％。</w:t>
      </w:r>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二、项目概况</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（一）项目概况阐述基本清楚。</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项目位于重庆市酉阳土家族苗族自治县丁市镇，为改扩建项目，建设单位为酉阳县桃花源旅游投资（集团）有限公司。路线起点（K0+000）与现状丁后路相接，途经董家、木林、周家寨、何家、台子上，终点（K6+535.56）与既有国道G211相接，路线全长6.536km。旧路全段路基宽度大部分为4.0～5.0m，路面为水泥混凝土，路面与路基同宽、无路肩，本工程主要对原道路水泥混凝土路面进行拆除，碎化压实，对原路基进行改造，新建路基支挡防护，新建路基排水及涵洞，新建沥青混凝土路面。对路基改造后采用设计速度15km/h的四级公路技术标准，路基宽度为6.5m（指定路段为7.5m），双向两车道。施工场地布设于K1+190左侧，占地面积为0.16hm</w:t>
      </w:r>
      <w:r>
        <w:rPr>
          <w:rFonts w:ascii="Cambria" w:hAnsi="Cambria" w:eastAsia="方正仿宋_GBK" w:cs="Cambria"/>
          <w:sz w:val="32"/>
          <w:szCs w:val="32"/>
        </w:rPr>
        <w:t>²</w:t>
      </w:r>
      <w:r>
        <w:rPr>
          <w:rFonts w:hint="eastAsia" w:ascii="方正仿宋_GBK" w:hAnsi="方正仿宋_GBK" w:eastAsia="方正仿宋_GBK" w:cs="方正仿宋_GBK"/>
          <w:sz w:val="32"/>
          <w:szCs w:val="32"/>
        </w:rPr>
        <w:t>；方案新增表土堆场</w:t>
      </w:r>
      <w:r>
        <w:rPr>
          <w:rFonts w:hint="eastAsia" w:ascii="方正仿宋_GBK" w:eastAsia="方正仿宋_GBK"/>
          <w:sz w:val="32"/>
          <w:szCs w:val="32"/>
        </w:rPr>
        <w:t>0.50hm</w:t>
      </w:r>
      <w:r>
        <w:rPr>
          <w:rFonts w:ascii="Cambria" w:hAnsi="Cambria" w:eastAsia="方正仿宋_GBK" w:cs="Cambria"/>
          <w:sz w:val="32"/>
          <w:szCs w:val="32"/>
        </w:rPr>
        <w:t>²</w:t>
      </w:r>
      <w:r>
        <w:rPr>
          <w:rFonts w:hint="eastAsia" w:ascii="方正仿宋_GBK" w:eastAsia="方正仿宋_GBK"/>
          <w:sz w:val="32"/>
          <w:szCs w:val="32"/>
        </w:rPr>
        <w:t>/2处，分别位于K0+950右侧，占地面积0.20hm</w:t>
      </w:r>
      <w:r>
        <w:rPr>
          <w:rFonts w:ascii="Cambria" w:hAnsi="Cambria" w:eastAsia="方正仿宋_GBK" w:cs="Cambria"/>
          <w:sz w:val="32"/>
          <w:szCs w:val="32"/>
        </w:rPr>
        <w:t>²</w:t>
      </w:r>
      <w:r>
        <w:rPr>
          <w:rFonts w:hint="eastAsia" w:ascii="方正仿宋_GBK" w:hAnsi="方正仿宋_GBK" w:eastAsia="方正仿宋_GBK" w:cs="方正仿宋_GBK"/>
          <w:sz w:val="32"/>
          <w:szCs w:val="32"/>
        </w:rPr>
        <w:t>；</w:t>
      </w:r>
      <w:r>
        <w:rPr>
          <w:rFonts w:hint="eastAsia" w:ascii="方正仿宋_GBK" w:eastAsia="方正仿宋_GBK"/>
          <w:sz w:val="32"/>
          <w:szCs w:val="32"/>
        </w:rPr>
        <w:t>K4+700左侧，占地面积0.30hm</w:t>
      </w:r>
      <w:r>
        <w:rPr>
          <w:rFonts w:ascii="Cambria" w:hAnsi="Cambria" w:eastAsia="方正仿宋_GBK" w:cs="Cambria"/>
          <w:sz w:val="32"/>
          <w:szCs w:val="32"/>
        </w:rPr>
        <w:t>²</w:t>
      </w:r>
      <w:r>
        <w:rPr>
          <w:rFonts w:hint="eastAsia" w:ascii="方正仿宋_GBK" w:hAnsi="方正仿宋_GBK" w:eastAsia="方正仿宋_GBK" w:cs="方正仿宋_GBK"/>
          <w:sz w:val="32"/>
          <w:szCs w:val="32"/>
        </w:rPr>
        <w:t>。本工程占地面积为</w:t>
      </w:r>
      <w:r>
        <w:rPr>
          <w:rFonts w:hint="eastAsia" w:ascii="方正仿宋_GBK" w:eastAsia="方正仿宋_GBK"/>
          <w:sz w:val="32"/>
          <w:szCs w:val="32"/>
        </w:rPr>
        <w:t>7.41hm</w:t>
      </w:r>
      <w:r>
        <w:rPr>
          <w:rFonts w:ascii="Cambria" w:hAnsi="Cambria" w:eastAsia="方正仿宋_GBK" w:cs="Cambria"/>
          <w:sz w:val="32"/>
          <w:szCs w:val="32"/>
        </w:rPr>
        <w:t>²</w:t>
      </w:r>
      <w:r>
        <w:rPr>
          <w:rFonts w:hint="eastAsia" w:ascii="方正仿宋_GBK" w:hAnsi="方正仿宋_GBK" w:eastAsia="方正仿宋_GBK" w:cs="方正仿宋_GBK"/>
          <w:sz w:val="32"/>
          <w:szCs w:val="32"/>
        </w:rPr>
        <w:t>，其中永久占地</w:t>
      </w:r>
      <w:r>
        <w:rPr>
          <w:rFonts w:hint="eastAsia" w:ascii="方正仿宋_GBK" w:eastAsia="方正仿宋_GBK"/>
          <w:sz w:val="32"/>
          <w:szCs w:val="32"/>
        </w:rPr>
        <w:t>6.71hm</w:t>
      </w:r>
      <w:r>
        <w:rPr>
          <w:rFonts w:ascii="Cambria" w:hAnsi="Cambria" w:eastAsia="方正仿宋_GBK" w:cs="Cambria"/>
          <w:sz w:val="32"/>
          <w:szCs w:val="32"/>
        </w:rPr>
        <w:t>²</w:t>
      </w:r>
      <w:r>
        <w:rPr>
          <w:rFonts w:hint="eastAsia" w:ascii="方正仿宋_GBK" w:hAnsi="方正仿宋_GBK" w:eastAsia="方正仿宋_GBK" w:cs="方正仿宋_GBK"/>
          <w:sz w:val="32"/>
          <w:szCs w:val="32"/>
        </w:rPr>
        <w:t>，临时占地</w:t>
      </w:r>
      <w:r>
        <w:rPr>
          <w:rFonts w:hint="eastAsia" w:ascii="方正仿宋_GBK" w:eastAsia="方正仿宋_GBK"/>
          <w:sz w:val="32"/>
          <w:szCs w:val="32"/>
        </w:rPr>
        <w:t>0.70hm</w:t>
      </w:r>
      <w:r>
        <w:rPr>
          <w:rFonts w:ascii="Cambria" w:hAnsi="Cambria" w:eastAsia="方正仿宋_GBK" w:cs="Cambria"/>
          <w:sz w:val="32"/>
          <w:szCs w:val="32"/>
        </w:rPr>
        <w:t>²</w:t>
      </w:r>
      <w:r>
        <w:rPr>
          <w:rFonts w:hint="eastAsia" w:ascii="方正仿宋_GBK" w:hAnsi="方正仿宋_GBK" w:eastAsia="方正仿宋_GBK" w:cs="方正仿宋_GBK"/>
          <w:sz w:val="32"/>
          <w:szCs w:val="32"/>
        </w:rPr>
        <w:t>。工程挖方</w:t>
      </w:r>
      <w:r>
        <w:rPr>
          <w:rFonts w:hint="eastAsia" w:ascii="方正仿宋_GBK" w:eastAsia="方正仿宋_GBK"/>
          <w:sz w:val="32"/>
          <w:szCs w:val="32"/>
        </w:rPr>
        <w:t>9.69万m</w:t>
      </w:r>
      <w:r>
        <w:rPr>
          <w:rFonts w:ascii="Cambria" w:hAnsi="Cambria" w:eastAsia="方正仿宋_GBK" w:cs="Cambria"/>
          <w:sz w:val="32"/>
          <w:szCs w:val="32"/>
        </w:rPr>
        <w:t>³</w:t>
      </w:r>
      <w:r>
        <w:rPr>
          <w:rFonts w:hint="eastAsia" w:ascii="方正仿宋_GBK" w:hAnsi="方正仿宋_GBK" w:eastAsia="方正仿宋_GBK" w:cs="方正仿宋_GBK"/>
          <w:sz w:val="32"/>
          <w:szCs w:val="32"/>
        </w:rPr>
        <w:t>（</w:t>
      </w:r>
      <w:r>
        <w:rPr>
          <w:rFonts w:hint="eastAsia" w:ascii="方正仿宋_GBK" w:eastAsia="方正仿宋_GBK"/>
          <w:sz w:val="32"/>
          <w:szCs w:val="32"/>
        </w:rPr>
        <w:t>含表土剥离0.63万m</w:t>
      </w:r>
      <w:r>
        <w:rPr>
          <w:rFonts w:ascii="Cambria" w:hAnsi="Cambria" w:eastAsia="方正仿宋_GBK" w:cs="Cambria"/>
          <w:sz w:val="32"/>
          <w:szCs w:val="32"/>
        </w:rPr>
        <w:t>³</w:t>
      </w:r>
      <w:r>
        <w:rPr>
          <w:rFonts w:hint="eastAsia" w:ascii="方正仿宋_GBK" w:hAnsi="方正仿宋_GBK" w:eastAsia="方正仿宋_GBK" w:cs="方正仿宋_GBK"/>
          <w:sz w:val="32"/>
          <w:szCs w:val="32"/>
        </w:rPr>
        <w:t>），填方</w:t>
      </w:r>
      <w:r>
        <w:rPr>
          <w:rFonts w:hint="eastAsia" w:ascii="方正仿宋_GBK" w:eastAsia="方正仿宋_GBK"/>
          <w:sz w:val="32"/>
          <w:szCs w:val="32"/>
        </w:rPr>
        <w:t>3.35万m</w:t>
      </w:r>
      <w:r>
        <w:rPr>
          <w:rFonts w:ascii="Cambria" w:hAnsi="Cambria" w:eastAsia="方正仿宋_GBK" w:cs="Cambria"/>
          <w:sz w:val="32"/>
          <w:szCs w:val="32"/>
        </w:rPr>
        <w:t>³</w:t>
      </w:r>
      <w:r>
        <w:rPr>
          <w:rFonts w:hint="eastAsia" w:ascii="方正仿宋_GBK" w:hAnsi="方正仿宋_GBK" w:eastAsia="方正仿宋_GBK" w:cs="方正仿宋_GBK"/>
          <w:sz w:val="32"/>
          <w:szCs w:val="32"/>
        </w:rPr>
        <w:t>（含表土回</w:t>
      </w:r>
      <w:r>
        <w:rPr>
          <w:rFonts w:hint="eastAsia" w:ascii="方正仿宋_GBK" w:eastAsia="方正仿宋_GBK"/>
          <w:sz w:val="32"/>
          <w:szCs w:val="32"/>
        </w:rPr>
        <w:t>覆0.63万m</w:t>
      </w:r>
      <w:r>
        <w:rPr>
          <w:rFonts w:ascii="Cambria" w:hAnsi="Cambria" w:eastAsia="方正仿宋_GBK" w:cs="Cambria"/>
          <w:sz w:val="32"/>
          <w:szCs w:val="32"/>
        </w:rPr>
        <w:t>³</w:t>
      </w:r>
      <w:r>
        <w:rPr>
          <w:rFonts w:hint="eastAsia" w:ascii="方正仿宋_GBK" w:hAnsi="方正仿宋_GBK" w:eastAsia="方正仿宋_GBK" w:cs="方正仿宋_GBK"/>
          <w:sz w:val="32"/>
          <w:szCs w:val="32"/>
        </w:rPr>
        <w:t>），弃方</w:t>
      </w:r>
      <w:r>
        <w:rPr>
          <w:rFonts w:hint="eastAsia" w:ascii="方正仿宋_GBK" w:eastAsia="方正仿宋_GBK"/>
          <w:sz w:val="32"/>
          <w:szCs w:val="32"/>
        </w:rPr>
        <w:t>6.34万m</w:t>
      </w:r>
      <w:r>
        <w:rPr>
          <w:rFonts w:ascii="Cambria" w:hAnsi="Cambria" w:eastAsia="方正仿宋_GBK" w:cs="Cambria"/>
          <w:sz w:val="32"/>
          <w:szCs w:val="32"/>
        </w:rPr>
        <w:t>³</w:t>
      </w:r>
      <w:r>
        <w:rPr>
          <w:rFonts w:hint="eastAsia" w:ascii="方正仿宋_GBK" w:hAnsi="方正仿宋_GBK" w:eastAsia="方正仿宋_GBK" w:cs="方正仿宋_GBK"/>
          <w:sz w:val="32"/>
          <w:szCs w:val="32"/>
        </w:rPr>
        <w:t>。弃方调运至重庆市山水画廊旅游开发股份有限公司负责</w:t>
      </w:r>
      <w:r>
        <w:rPr>
          <w:rFonts w:hint="eastAsia" w:ascii="方正仿宋_GBK" w:eastAsia="方正仿宋_GBK"/>
          <w:sz w:val="32"/>
          <w:szCs w:val="32"/>
        </w:rPr>
        <w:t>建设的千氹田停车场及露营基地工程，用于基础回填，本项目不设置弃土场。施工工期预计为2023年6月至2024年1月，总工期8个月。项目总投资2196.61万元，其中土建工程投资：1575.55万元。项目拆迁安置采取货币补偿的方式解决，其防治责任不纳入本项目。</w:t>
      </w:r>
    </w:p>
    <w:p>
      <w:pPr>
        <w:adjustRightInd w:val="0"/>
        <w:snapToGrid w:val="0"/>
        <w:spacing w:line="520" w:lineRule="exact"/>
        <w:ind w:firstLine="640" w:firstLineChars="200"/>
        <w:rPr>
          <w:rFonts w:ascii="方正仿宋_GBK" w:eastAsia="方正仿宋_GBK"/>
          <w:sz w:val="32"/>
          <w:szCs w:val="32"/>
        </w:rPr>
      </w:pPr>
      <w:r>
        <w:rPr>
          <w:rFonts w:hint="eastAsia" w:ascii="方正仿宋_GBK" w:eastAsia="方正仿宋_GBK"/>
          <w:sz w:val="32"/>
          <w:szCs w:val="32"/>
        </w:rPr>
        <w:t>（二）项目区自然概况介绍基本清楚。</w:t>
      </w:r>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三、项目水土保持评价</w:t>
      </w:r>
    </w:p>
    <w:p>
      <w:pPr>
        <w:spacing w:line="520" w:lineRule="exact"/>
        <w:ind w:firstLine="640" w:firstLineChars="200"/>
        <w:rPr>
          <w:rFonts w:ascii="方正仿宋_GBK" w:eastAsia="方正仿宋_GBK"/>
          <w:bCs/>
          <w:sz w:val="32"/>
          <w:szCs w:val="32"/>
        </w:rPr>
      </w:pPr>
      <w:r>
        <w:rPr>
          <w:rFonts w:hint="eastAsia" w:ascii="方正仿宋_GBK" w:eastAsia="方正仿宋_GBK"/>
          <w:bCs/>
          <w:sz w:val="32"/>
          <w:szCs w:val="32"/>
        </w:rPr>
        <w:t>（一）基本同意主体工程选线水土保持评价。</w:t>
      </w:r>
    </w:p>
    <w:p>
      <w:pPr>
        <w:spacing w:line="520" w:lineRule="exact"/>
        <w:ind w:firstLine="640" w:firstLineChars="200"/>
        <w:rPr>
          <w:rFonts w:ascii="方正仿宋_GBK" w:eastAsia="方正仿宋_GBK"/>
          <w:bCs/>
          <w:sz w:val="32"/>
          <w:szCs w:val="32"/>
        </w:rPr>
      </w:pPr>
      <w:r>
        <w:rPr>
          <w:rFonts w:hint="eastAsia" w:ascii="方正仿宋_GBK" w:eastAsia="方正仿宋_GBK"/>
          <w:bCs/>
          <w:sz w:val="32"/>
          <w:szCs w:val="32"/>
        </w:rPr>
        <w:t>（二）基本同意建设方案与布局水土保持评价。</w:t>
      </w:r>
    </w:p>
    <w:p>
      <w:pPr>
        <w:spacing w:line="520" w:lineRule="exact"/>
        <w:ind w:firstLine="640" w:firstLineChars="200"/>
        <w:rPr>
          <w:rFonts w:ascii="方正仿宋_GBK" w:eastAsia="方正仿宋_GBK"/>
          <w:bCs/>
          <w:sz w:val="32"/>
          <w:szCs w:val="32"/>
        </w:rPr>
      </w:pPr>
      <w:r>
        <w:rPr>
          <w:rFonts w:hint="eastAsia" w:ascii="方正仿宋_GBK" w:eastAsia="方正仿宋_GBK"/>
          <w:bCs/>
          <w:sz w:val="32"/>
          <w:szCs w:val="32"/>
        </w:rPr>
        <w:t>（三）基本同意主体工程中具有水土保持功能的工程评价和水土保持措施界定。</w:t>
      </w:r>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四、水土流失分析与预测</w:t>
      </w:r>
    </w:p>
    <w:p>
      <w:pPr>
        <w:spacing w:line="520" w:lineRule="exact"/>
        <w:ind w:right="-22" w:rightChars="-8" w:firstLine="640" w:firstLineChars="200"/>
        <w:outlineLvl w:val="0"/>
        <w:rPr>
          <w:rFonts w:ascii="方正仿宋_GBK" w:eastAsia="方正仿宋_GBK"/>
          <w:sz w:val="32"/>
          <w:szCs w:val="32"/>
        </w:rPr>
      </w:pPr>
      <w:r>
        <w:rPr>
          <w:rFonts w:hint="eastAsia" w:ascii="方正仿宋_GBK" w:eastAsia="方正仿宋_GBK"/>
          <w:sz w:val="32"/>
          <w:szCs w:val="32"/>
        </w:rPr>
        <w:t>（一）水土流失预测方法、时段和结果基本正确。</w:t>
      </w:r>
    </w:p>
    <w:p>
      <w:pPr>
        <w:spacing w:line="520" w:lineRule="exact"/>
        <w:ind w:right="-22" w:rightChars="-8" w:firstLine="640" w:firstLineChars="200"/>
        <w:outlineLvl w:val="0"/>
        <w:rPr>
          <w:rFonts w:ascii="方正仿宋_GBK" w:eastAsia="方正仿宋_GBK"/>
          <w:sz w:val="32"/>
          <w:szCs w:val="32"/>
        </w:rPr>
      </w:pPr>
      <w:r>
        <w:rPr>
          <w:rFonts w:hint="eastAsia" w:ascii="方正仿宋_GBK" w:eastAsia="方正仿宋_GBK"/>
          <w:sz w:val="32"/>
          <w:szCs w:val="32"/>
        </w:rPr>
        <w:t>（二）基本同意水土流失的危害性分析。</w:t>
      </w:r>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五、水土保持措施</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（一）项目划分为3个水土流失防治区：路基工程防治区、施工场地防治区、表土堆场防治区。</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（二）</w:t>
      </w:r>
      <w:bookmarkStart w:id="0" w:name="_Toc196628359"/>
      <w:bookmarkStart w:id="1" w:name="_Toc208023523"/>
      <w:bookmarkStart w:id="2" w:name="_Toc184357072"/>
      <w:bookmarkStart w:id="3" w:name="_Toc197147903"/>
      <w:bookmarkStart w:id="4" w:name="_Toc196628603"/>
      <w:bookmarkStart w:id="5" w:name="_Toc211063906"/>
      <w:bookmarkStart w:id="6" w:name="_Toc212968412"/>
      <w:r>
        <w:rPr>
          <w:rFonts w:hint="eastAsia" w:ascii="方正仿宋_GBK" w:eastAsia="方正仿宋_GBK"/>
          <w:sz w:val="32"/>
          <w:szCs w:val="32"/>
        </w:rPr>
        <w:t>由主体工程设计的具有水土保持功能的措施和方案新增措施所组成的水土流失防治体系基本合理。</w:t>
      </w:r>
    </w:p>
    <w:bookmarkEnd w:id="0"/>
    <w:bookmarkEnd w:id="1"/>
    <w:bookmarkEnd w:id="2"/>
    <w:bookmarkEnd w:id="3"/>
    <w:bookmarkEnd w:id="4"/>
    <w:bookmarkEnd w:id="5"/>
    <w:bookmarkEnd w:id="6"/>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1、路基工程防治区</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施工前，对施工扰动范围内可剥离表土进行剥离，并将表土运至表土堆场集中堆存。施工过程中，按照永临结合原则，在永久路堑坡脚排水沟位置开挖临时排水沟，临时排水沟出口设置临时沉沙池，临时排水沟出口顺接周边排水系统。在施工裸露区、挖填边坡采用防雨布临时覆盖。路基形成后完成永久性边沟、路堑坡脚排水沟等排水措施，边坡表土回覆后，填方边坡撒播草籽护坡和挖方边坡挂网喷播植草护坡措施。</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2、施工场地防治区</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施工前，根据施工场地周边来水情况设置临时排水沟、临时沉沙池，临时排水沟与路基排水边沟顺接。施工过程中，对场内堆置的沙石材料进行防雨布覆盖。施工结束后，对该区实施表土回覆后，撒播草籽进行绿化。</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3、表土堆场防治区</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表土堆放前，方案设计利用土工布进行铺垫保护，在表土临时堆场周边设填土编织袋挡土墙，表面进行防雨布覆盖，并在挡土墙外设临时排水沟，排水沟出口设置临时沉沙池。表土堆场使用完毕后，及时对占地范围进行土地整治后恢复耕作。</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（三）基本同意水土保持施工组织设计。</w:t>
      </w:r>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六、水土保持监测</w:t>
      </w:r>
    </w:p>
    <w:p>
      <w:pPr>
        <w:spacing w:line="520" w:lineRule="exact"/>
        <w:ind w:firstLine="640" w:firstLineChars="200"/>
        <w:rPr>
          <w:rFonts w:ascii="方正仿宋_GBK" w:eastAsia="方正仿宋_GBK"/>
          <w:bCs/>
          <w:sz w:val="32"/>
          <w:szCs w:val="32"/>
        </w:rPr>
      </w:pPr>
      <w:r>
        <w:rPr>
          <w:rFonts w:hint="eastAsia" w:ascii="方正仿宋_GBK" w:eastAsia="方正仿宋_GBK"/>
          <w:bCs/>
          <w:sz w:val="32"/>
          <w:szCs w:val="32"/>
        </w:rPr>
        <w:t>基本同意水土保持监测方案。</w:t>
      </w:r>
    </w:p>
    <w:p>
      <w:pPr>
        <w:spacing w:line="520" w:lineRule="exact"/>
        <w:ind w:firstLine="640" w:firstLineChars="200"/>
        <w:outlineLvl w:val="0"/>
        <w:rPr>
          <w:rFonts w:ascii="黑体" w:hAnsi="黑体" w:eastAsia="黑体"/>
          <w:sz w:val="32"/>
          <w:szCs w:val="32"/>
        </w:rPr>
      </w:pPr>
      <w:r>
        <w:rPr>
          <w:rFonts w:hint="eastAsia" w:ascii="黑体" w:hAnsi="黑体" w:eastAsia="黑体"/>
          <w:sz w:val="32"/>
          <w:szCs w:val="32"/>
        </w:rPr>
        <w:t>七、水土保持投资估算及效益分析</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（一）投资编制依据基本正确，费用及定额基本合理。</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（二）</w:t>
      </w:r>
      <w:r>
        <w:rPr>
          <w:rFonts w:hint="eastAsia" w:ascii="方正仿宋_GBK" w:eastAsia="方正仿宋_GBK"/>
          <w:sz w:val="32"/>
          <w:szCs w:val="32"/>
          <w:lang w:val="zh-CN"/>
        </w:rPr>
        <w:t>项目</w:t>
      </w:r>
      <w:r>
        <w:rPr>
          <w:rFonts w:hint="eastAsia" w:ascii="方正仿宋_GBK" w:eastAsia="方正仿宋_GBK"/>
          <w:sz w:val="32"/>
          <w:szCs w:val="32"/>
        </w:rPr>
        <w:t>水土保持工程总投资208.09万元。其中，主体设计中已有水土保持工程投资为91.33万元，水土保持方案新增投资为116.76万元。新增投资中，工程措施费17.16万元，植物措施16.32万元，监测措施费11.01万元，施工临时措施费28.90万元，独立费用26.98万元（其中水土保持监理费2.14万元），基本预备费6.02万元，水土保持补偿费10.374万元（103740.0元）。</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（三）效益分析方法基本正确，分析结果基本合理。</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八、水土保持管理</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基本同意组织管理、后续设计、水土保持监测、水土保持监理、水土保持施工、水土保持设施验收等水土保持管理要求。</w:t>
      </w:r>
    </w:p>
    <w:p>
      <w:pPr>
        <w:pStyle w:val="4"/>
        <w:spacing w:line="520" w:lineRule="exact"/>
        <w:ind w:firstLine="482"/>
      </w:pPr>
    </w:p>
    <w:p>
      <w:pPr>
        <w:spacing w:line="520" w:lineRule="exact"/>
        <w:ind w:left="960" w:hanging="960" w:hangingChars="300"/>
        <w:jc w:val="left"/>
        <w:rPr>
          <w:rFonts w:ascii="方正仿宋_GBK" w:eastAsia="方正仿宋_GBK"/>
          <w:b/>
          <w:sz w:val="32"/>
          <w:szCs w:val="32"/>
        </w:rPr>
      </w:pPr>
      <w:r>
        <w:rPr>
          <w:rFonts w:hint="eastAsia" w:ascii="方正仿宋_GBK" w:eastAsia="方正仿宋_GBK"/>
          <w:sz w:val="32"/>
          <w:szCs w:val="32"/>
        </w:rPr>
        <w:t>附件：酉阳县丁市镇丁后路至周家寨道路扩建工程水土保持方案报告书投资估算审核表</w:t>
      </w:r>
    </w:p>
    <w:p>
      <w:pPr>
        <w:spacing w:line="520" w:lineRule="exact"/>
        <w:ind w:right="560" w:firstLine="5600" w:firstLineChars="2000"/>
        <w:rPr>
          <w:rFonts w:ascii="方正仿宋_GBK" w:eastAsia="方正仿宋_GBK"/>
          <w:sz w:val="32"/>
          <w:szCs w:val="32"/>
        </w:rPr>
      </w:pPr>
      <w:r>
        <w:drawing>
          <wp:anchor distT="0" distB="0" distL="114300" distR="114300" simplePos="0" relativeHeight="251659264" behindDoc="1" locked="0" layoutInCell="1" allowOverlap="1">
            <wp:simplePos x="0" y="0"/>
            <wp:positionH relativeFrom="column">
              <wp:posOffset>4428490</wp:posOffset>
            </wp:positionH>
            <wp:positionV relativeFrom="paragraph">
              <wp:posOffset>266065</wp:posOffset>
            </wp:positionV>
            <wp:extent cx="1040130" cy="450850"/>
            <wp:effectExtent l="0" t="0" r="762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clrChange>
                        <a:clrFrom>
                          <a:srgbClr val="CDCDCD"/>
                        </a:clrFrom>
                        <a:clrTo>
                          <a:srgbClr val="CDCDCD">
                            <a:alpha val="0"/>
                          </a:srgbClr>
                        </a:clrTo>
                      </a:clrChange>
                      <a:biLevel thresh="50000"/>
                      <a:grayscl/>
                      <a:extLst>
                        <a:ext uri="{BEBA8EAE-BF5A-486C-A8C5-ECC9F3942E4B}">
                          <a14:imgProps xmlns:a14="http://schemas.microsoft.com/office/drawing/2010/main">
                            <a14:imgLayer r:embed="rId5">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a:xfrm>
                      <a:off x="0" y="0"/>
                      <a:ext cx="1040130" cy="450850"/>
                    </a:xfrm>
                    <a:prstGeom prst="rect">
                      <a:avLst/>
                    </a:prstGeom>
                    <a:noFill/>
                    <a:ln>
                      <a:noFill/>
                    </a:ln>
                  </pic:spPr>
                </pic:pic>
              </a:graphicData>
            </a:graphic>
          </wp:anchor>
        </w:drawing>
      </w:r>
    </w:p>
    <w:p>
      <w:pPr>
        <w:tabs>
          <w:tab w:val="right" w:pos="8284"/>
        </w:tabs>
        <w:spacing w:line="520" w:lineRule="exact"/>
        <w:ind w:right="560" w:firstLine="5440" w:firstLineChars="1700"/>
        <w:rPr>
          <w:rFonts w:ascii="方正仿宋_GBK" w:eastAsia="方正仿宋_GBK"/>
          <w:sz w:val="32"/>
          <w:szCs w:val="32"/>
        </w:rPr>
      </w:pPr>
      <w:r>
        <w:rPr>
          <w:rFonts w:hint="eastAsia" w:ascii="方正仿宋_GBK" w:eastAsia="方正仿宋_GBK"/>
          <w:sz w:val="32"/>
          <w:szCs w:val="32"/>
        </w:rPr>
        <w:t>专家组组长：</w:t>
      </w:r>
      <w:r>
        <w:rPr>
          <w:rFonts w:ascii="方正仿宋_GBK" w:eastAsia="方正仿宋_GBK"/>
          <w:sz w:val="32"/>
          <w:szCs w:val="32"/>
        </w:rPr>
        <w:tab/>
      </w:r>
    </w:p>
    <w:p>
      <w:pPr>
        <w:pStyle w:val="4"/>
        <w:spacing w:line="520" w:lineRule="exact"/>
        <w:ind w:firstLine="0" w:firstLineChars="0"/>
        <w:jc w:val="center"/>
        <w:rPr>
          <w:rFonts w:ascii="方正小标宋_GBK" w:eastAsia="方正小标宋_GBK"/>
          <w:b w:val="0"/>
          <w:bCs/>
          <w:sz w:val="32"/>
          <w:szCs w:val="32"/>
        </w:rPr>
      </w:pPr>
      <w:r>
        <w:rPr>
          <w:rFonts w:hint="eastAsia" w:ascii="方正仿宋_GBK" w:eastAsia="方正仿宋_GBK"/>
          <w:sz w:val="32"/>
          <w:szCs w:val="32"/>
        </w:rPr>
        <w:t xml:space="preserve">                                </w:t>
      </w:r>
      <w:r>
        <w:rPr>
          <w:rFonts w:hint="eastAsia" w:ascii="方正仿宋_GBK" w:eastAsia="方正仿宋_GBK"/>
          <w:b w:val="0"/>
          <w:sz w:val="32"/>
          <w:szCs w:val="32"/>
        </w:rPr>
        <w:t>2023年6月13日</w:t>
      </w:r>
      <w:r>
        <w:rPr>
          <w:rFonts w:ascii="方正仿宋_GBK" w:eastAsia="方正仿宋_GBK"/>
          <w:sz w:val="32"/>
          <w:szCs w:val="32"/>
        </w:rPr>
        <w:br w:type="page"/>
      </w:r>
      <w:r>
        <w:rPr>
          <w:rFonts w:hint="eastAsia" w:ascii="方正小标宋_GBK" w:eastAsia="方正小标宋_GBK"/>
          <w:b w:val="0"/>
          <w:bCs/>
          <w:sz w:val="32"/>
          <w:szCs w:val="32"/>
        </w:rPr>
        <w:t>酉阳县丁市镇丁后路至周家寨道路扩建工程水土保持方案报告书投资估算审核表</w:t>
      </w:r>
    </w:p>
    <w:p>
      <w:pPr>
        <w:pStyle w:val="4"/>
        <w:spacing w:line="520" w:lineRule="exact"/>
        <w:ind w:firstLine="0" w:firstLineChars="0"/>
        <w:jc w:val="right"/>
        <w:rPr>
          <w:rFonts w:ascii="方正仿宋_GBK" w:eastAsia="方正仿宋_GBK"/>
          <w:b w:val="0"/>
          <w:bCs/>
        </w:rPr>
      </w:pPr>
      <w:r>
        <w:rPr>
          <w:rFonts w:hint="eastAsia" w:ascii="方正仿宋_GBK" w:eastAsia="方正仿宋_GBK"/>
          <w:b w:val="0"/>
          <w:bCs/>
        </w:rPr>
        <w:t>单位：万元</w:t>
      </w:r>
    </w:p>
    <w:tbl>
      <w:tblPr>
        <w:tblStyle w:val="2"/>
        <w:tblW w:w="10347" w:type="dxa"/>
        <w:jc w:val="center"/>
        <w:tblLayout w:type="autofit"/>
        <w:tblCellMar>
          <w:top w:w="0" w:type="dxa"/>
          <w:left w:w="108" w:type="dxa"/>
          <w:bottom w:w="0" w:type="dxa"/>
          <w:right w:w="108" w:type="dxa"/>
        </w:tblCellMar>
      </w:tblPr>
      <w:tblGrid>
        <w:gridCol w:w="846"/>
        <w:gridCol w:w="2407"/>
        <w:gridCol w:w="1300"/>
        <w:gridCol w:w="1102"/>
        <w:gridCol w:w="789"/>
        <w:gridCol w:w="1102"/>
        <w:gridCol w:w="1102"/>
        <w:gridCol w:w="789"/>
        <w:gridCol w:w="1187"/>
      </w:tblGrid>
      <w:tr>
        <w:tblPrEx>
          <w:tblCellMar>
            <w:top w:w="0" w:type="dxa"/>
            <w:left w:w="108" w:type="dxa"/>
            <w:bottom w:w="0" w:type="dxa"/>
            <w:right w:w="108" w:type="dxa"/>
          </w:tblCellMar>
        </w:tblPrEx>
        <w:trPr>
          <w:trHeight w:val="384"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序号</w:t>
            </w:r>
          </w:p>
        </w:tc>
        <w:tc>
          <w:tcPr>
            <w:tcW w:w="24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工程或费用名称</w:t>
            </w:r>
          </w:p>
        </w:tc>
        <w:tc>
          <w:tcPr>
            <w:tcW w:w="319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设计投资</w:t>
            </w:r>
          </w:p>
        </w:tc>
        <w:tc>
          <w:tcPr>
            <w:tcW w:w="299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审核投资</w:t>
            </w:r>
          </w:p>
        </w:tc>
        <w:tc>
          <w:tcPr>
            <w:tcW w:w="11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核增</w:t>
            </w:r>
          </w:p>
        </w:tc>
      </w:tr>
      <w:tr>
        <w:tblPrEx>
          <w:tblCellMar>
            <w:top w:w="0" w:type="dxa"/>
            <w:left w:w="108" w:type="dxa"/>
            <w:bottom w:w="0" w:type="dxa"/>
            <w:right w:w="108" w:type="dxa"/>
          </w:tblCellMar>
        </w:tblPrEx>
        <w:trPr>
          <w:trHeight w:val="424" w:hRule="atLeast"/>
          <w:jc w:val="center"/>
        </w:trPr>
        <w:tc>
          <w:tcPr>
            <w:tcW w:w="56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2407" w:type="dxa"/>
            <w:tcBorders>
              <w:top w:val="nil"/>
              <w:left w:val="nil"/>
              <w:bottom w:val="single" w:color="auto" w:sz="4" w:space="0"/>
              <w:right w:val="single" w:color="auto" w:sz="4" w:space="0"/>
            </w:tcBorders>
            <w:shd w:val="clear" w:color="auto" w:fill="auto"/>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方案新增</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主体已列</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方案新增</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主体已列</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合计</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w:t>
            </w:r>
            <w:r>
              <w:rPr>
                <w:rFonts w:hint="eastAsia" w:ascii="方正仿宋_GBK" w:eastAsia="方正仿宋_GBK"/>
                <w:kern w:val="0"/>
                <w:sz w:val="21"/>
                <w:szCs w:val="21"/>
              </w:rPr>
              <w:t>+</w:t>
            </w:r>
            <w:r>
              <w:rPr>
                <w:rFonts w:hint="eastAsia" w:ascii="方正仿宋_GBK" w:hAnsi="宋体" w:eastAsia="方正仿宋_GBK" w:cs="宋体"/>
                <w:kern w:val="0"/>
                <w:sz w:val="21"/>
                <w:szCs w:val="21"/>
              </w:rPr>
              <w:t>、</w:t>
            </w:r>
            <w:r>
              <w:rPr>
                <w:rFonts w:hint="eastAsia" w:ascii="方正仿宋_GBK" w:eastAsia="方正仿宋_GBK"/>
                <w:kern w:val="0"/>
                <w:sz w:val="21"/>
                <w:szCs w:val="21"/>
              </w:rPr>
              <w:t>-</w:t>
            </w:r>
            <w:r>
              <w:rPr>
                <w:rFonts w:hint="eastAsia" w:ascii="方正仿宋_GBK" w:hAnsi="宋体" w:eastAsia="方正仿宋_GBK" w:cs="宋体"/>
                <w:kern w:val="0"/>
                <w:sz w:val="21"/>
                <w:szCs w:val="21"/>
              </w:rPr>
              <w:t>）</w:t>
            </w:r>
          </w:p>
        </w:tc>
      </w:tr>
      <w:tr>
        <w:tblPrEx>
          <w:tblCellMar>
            <w:top w:w="0" w:type="dxa"/>
            <w:left w:w="108" w:type="dxa"/>
            <w:bottom w:w="0" w:type="dxa"/>
            <w:right w:w="108" w:type="dxa"/>
          </w:tblCellMar>
        </w:tblPrEx>
        <w:trPr>
          <w:trHeight w:val="384" w:hRule="atLeast"/>
          <w:jc w:val="center"/>
        </w:trPr>
        <w:tc>
          <w:tcPr>
            <w:tcW w:w="29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第一部分</w:t>
            </w:r>
            <w:r>
              <w:rPr>
                <w:rFonts w:hint="eastAsia" w:ascii="方正仿宋_GBK" w:eastAsia="方正仿宋_GBK"/>
                <w:kern w:val="0"/>
                <w:sz w:val="21"/>
                <w:szCs w:val="21"/>
              </w:rPr>
              <w:t xml:space="preserve">   </w:t>
            </w:r>
            <w:r>
              <w:rPr>
                <w:rFonts w:hint="eastAsia" w:ascii="方正仿宋_GBK" w:hAnsi="宋体" w:eastAsia="方正仿宋_GBK" w:cs="宋体"/>
                <w:kern w:val="0"/>
                <w:sz w:val="21"/>
                <w:szCs w:val="21"/>
              </w:rPr>
              <w:t>工程措施</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17.46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91.33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108.79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17.16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91.33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108.49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-0.30 </w:t>
            </w:r>
          </w:p>
        </w:tc>
      </w:tr>
      <w:tr>
        <w:tblPrEx>
          <w:tblCellMar>
            <w:top w:w="0" w:type="dxa"/>
            <w:left w:w="108" w:type="dxa"/>
            <w:bottom w:w="0" w:type="dxa"/>
            <w:right w:w="108" w:type="dxa"/>
          </w:tblCellMar>
        </w:tblPrEx>
        <w:trPr>
          <w:trHeight w:val="384"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一</w:t>
            </w:r>
          </w:p>
        </w:tc>
        <w:tc>
          <w:tcPr>
            <w:tcW w:w="240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路基工程防治区</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12.45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91.33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103.78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12.45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91.33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103.78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r>
      <w:tr>
        <w:tblPrEx>
          <w:tblCellMar>
            <w:top w:w="0" w:type="dxa"/>
            <w:left w:w="108" w:type="dxa"/>
            <w:bottom w:w="0" w:type="dxa"/>
            <w:right w:w="108" w:type="dxa"/>
          </w:tblCellMar>
        </w:tblPrEx>
        <w:trPr>
          <w:trHeight w:val="384"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二</w:t>
            </w:r>
          </w:p>
        </w:tc>
        <w:tc>
          <w:tcPr>
            <w:tcW w:w="240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施工场地防治区</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3.19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3.19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2.89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2.89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-0.30 </w:t>
            </w:r>
          </w:p>
        </w:tc>
      </w:tr>
      <w:tr>
        <w:tblPrEx>
          <w:tblCellMar>
            <w:top w:w="0" w:type="dxa"/>
            <w:left w:w="108" w:type="dxa"/>
            <w:bottom w:w="0" w:type="dxa"/>
            <w:right w:w="108" w:type="dxa"/>
          </w:tblCellMar>
        </w:tblPrEx>
        <w:trPr>
          <w:trHeight w:val="424"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三</w:t>
            </w:r>
          </w:p>
        </w:tc>
        <w:tc>
          <w:tcPr>
            <w:tcW w:w="240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表土堆场防治区</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1.82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1.82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1.82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1.82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r>
      <w:tr>
        <w:tblPrEx>
          <w:tblCellMar>
            <w:top w:w="0" w:type="dxa"/>
            <w:left w:w="108" w:type="dxa"/>
            <w:bottom w:w="0" w:type="dxa"/>
            <w:right w:w="108" w:type="dxa"/>
          </w:tblCellMar>
        </w:tblPrEx>
        <w:trPr>
          <w:trHeight w:val="384" w:hRule="atLeast"/>
          <w:jc w:val="center"/>
        </w:trPr>
        <w:tc>
          <w:tcPr>
            <w:tcW w:w="29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第二部分</w:t>
            </w:r>
            <w:r>
              <w:rPr>
                <w:rFonts w:hint="eastAsia" w:ascii="方正仿宋_GBK" w:eastAsia="方正仿宋_GBK"/>
                <w:kern w:val="0"/>
                <w:sz w:val="21"/>
                <w:szCs w:val="21"/>
              </w:rPr>
              <w:t xml:space="preserve">   </w:t>
            </w:r>
            <w:r>
              <w:rPr>
                <w:rFonts w:hint="eastAsia" w:ascii="方正仿宋_GBK" w:hAnsi="宋体" w:eastAsia="方正仿宋_GBK" w:cs="宋体"/>
                <w:kern w:val="0"/>
                <w:sz w:val="21"/>
                <w:szCs w:val="21"/>
              </w:rPr>
              <w:t>植物措施</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16.32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16.32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16.32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16.32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r>
      <w:tr>
        <w:tblPrEx>
          <w:tblCellMar>
            <w:top w:w="0" w:type="dxa"/>
            <w:left w:w="108" w:type="dxa"/>
            <w:bottom w:w="0" w:type="dxa"/>
            <w:right w:w="108" w:type="dxa"/>
          </w:tblCellMar>
        </w:tblPrEx>
        <w:trPr>
          <w:trHeight w:val="384"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一</w:t>
            </w:r>
          </w:p>
        </w:tc>
        <w:tc>
          <w:tcPr>
            <w:tcW w:w="240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路基工程防治区</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16.17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16.17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16.17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16.17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r>
      <w:tr>
        <w:tblPrEx>
          <w:tblCellMar>
            <w:top w:w="0" w:type="dxa"/>
            <w:left w:w="108" w:type="dxa"/>
            <w:bottom w:w="0" w:type="dxa"/>
            <w:right w:w="108" w:type="dxa"/>
          </w:tblCellMar>
        </w:tblPrEx>
        <w:trPr>
          <w:trHeight w:val="384"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二</w:t>
            </w:r>
          </w:p>
        </w:tc>
        <w:tc>
          <w:tcPr>
            <w:tcW w:w="240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施工场地防治区</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0.15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0.15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0.15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0.15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r>
      <w:tr>
        <w:tblPrEx>
          <w:tblCellMar>
            <w:top w:w="0" w:type="dxa"/>
            <w:left w:w="108" w:type="dxa"/>
            <w:bottom w:w="0" w:type="dxa"/>
            <w:right w:w="108" w:type="dxa"/>
          </w:tblCellMar>
        </w:tblPrEx>
        <w:trPr>
          <w:trHeight w:val="424"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三</w:t>
            </w:r>
          </w:p>
        </w:tc>
        <w:tc>
          <w:tcPr>
            <w:tcW w:w="240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表土堆场防治区</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r>
      <w:tr>
        <w:tblPrEx>
          <w:tblCellMar>
            <w:top w:w="0" w:type="dxa"/>
            <w:left w:w="108" w:type="dxa"/>
            <w:bottom w:w="0" w:type="dxa"/>
            <w:right w:w="108" w:type="dxa"/>
          </w:tblCellMar>
        </w:tblPrEx>
        <w:trPr>
          <w:trHeight w:val="424" w:hRule="atLeast"/>
          <w:jc w:val="center"/>
        </w:trPr>
        <w:tc>
          <w:tcPr>
            <w:tcW w:w="29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第三部分</w:t>
            </w:r>
            <w:r>
              <w:rPr>
                <w:rFonts w:hint="eastAsia" w:ascii="方正仿宋_GBK" w:eastAsia="方正仿宋_GBK"/>
                <w:kern w:val="0"/>
                <w:sz w:val="21"/>
                <w:szCs w:val="21"/>
              </w:rPr>
              <w:t xml:space="preserve">   </w:t>
            </w:r>
            <w:r>
              <w:rPr>
                <w:rFonts w:hint="eastAsia" w:ascii="方正仿宋_GBK" w:hAnsi="宋体" w:eastAsia="方正仿宋_GBK" w:cs="宋体"/>
                <w:kern w:val="0"/>
                <w:sz w:val="21"/>
                <w:szCs w:val="21"/>
              </w:rPr>
              <w:t>监测措施</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11.01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11.01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11.01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11.01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r>
      <w:tr>
        <w:tblPrEx>
          <w:tblCellMar>
            <w:top w:w="0" w:type="dxa"/>
            <w:left w:w="108" w:type="dxa"/>
            <w:bottom w:w="0" w:type="dxa"/>
            <w:right w:w="108" w:type="dxa"/>
          </w:tblCellMar>
        </w:tblPrEx>
        <w:trPr>
          <w:trHeight w:val="384" w:hRule="atLeast"/>
          <w:jc w:val="center"/>
        </w:trPr>
        <w:tc>
          <w:tcPr>
            <w:tcW w:w="29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第四部分</w:t>
            </w:r>
            <w:r>
              <w:rPr>
                <w:rFonts w:hint="eastAsia" w:ascii="方正仿宋_GBK" w:eastAsia="方正仿宋_GBK"/>
                <w:kern w:val="0"/>
                <w:sz w:val="21"/>
                <w:szCs w:val="21"/>
              </w:rPr>
              <w:t xml:space="preserve">   </w:t>
            </w:r>
            <w:r>
              <w:rPr>
                <w:rFonts w:hint="eastAsia" w:ascii="方正仿宋_GBK" w:hAnsi="宋体" w:eastAsia="方正仿宋_GBK" w:cs="宋体"/>
                <w:kern w:val="0"/>
                <w:sz w:val="21"/>
                <w:szCs w:val="21"/>
              </w:rPr>
              <w:t>施工临时措施</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28.90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28.90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28.90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28.90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r>
      <w:tr>
        <w:tblPrEx>
          <w:tblCellMar>
            <w:top w:w="0" w:type="dxa"/>
            <w:left w:w="108" w:type="dxa"/>
            <w:bottom w:w="0" w:type="dxa"/>
            <w:right w:w="108" w:type="dxa"/>
          </w:tblCellMar>
        </w:tblPrEx>
        <w:trPr>
          <w:trHeight w:val="384"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一</w:t>
            </w:r>
          </w:p>
        </w:tc>
        <w:tc>
          <w:tcPr>
            <w:tcW w:w="240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路基工程防治区</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4.99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4.99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4.99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4.99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r>
      <w:tr>
        <w:tblPrEx>
          <w:tblCellMar>
            <w:top w:w="0" w:type="dxa"/>
            <w:left w:w="108" w:type="dxa"/>
            <w:bottom w:w="0" w:type="dxa"/>
            <w:right w:w="108" w:type="dxa"/>
          </w:tblCellMar>
        </w:tblPrEx>
        <w:trPr>
          <w:trHeight w:val="384"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二</w:t>
            </w:r>
          </w:p>
        </w:tc>
        <w:tc>
          <w:tcPr>
            <w:tcW w:w="240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施工场地防治区</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1.73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1.73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1.73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1.73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r>
      <w:tr>
        <w:tblPrEx>
          <w:tblCellMar>
            <w:top w:w="0" w:type="dxa"/>
            <w:left w:w="108" w:type="dxa"/>
            <w:bottom w:w="0" w:type="dxa"/>
            <w:right w:w="108" w:type="dxa"/>
          </w:tblCellMar>
        </w:tblPrEx>
        <w:trPr>
          <w:trHeight w:val="384"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三</w:t>
            </w:r>
          </w:p>
        </w:tc>
        <w:tc>
          <w:tcPr>
            <w:tcW w:w="240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表土堆场防治区</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22.18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22.18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22.18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22.18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r>
      <w:tr>
        <w:tblPrEx>
          <w:tblCellMar>
            <w:top w:w="0" w:type="dxa"/>
            <w:left w:w="108" w:type="dxa"/>
            <w:bottom w:w="0" w:type="dxa"/>
            <w:right w:w="108" w:type="dxa"/>
          </w:tblCellMar>
        </w:tblPrEx>
        <w:trPr>
          <w:trHeight w:val="384"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240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第五部分</w:t>
            </w:r>
            <w:r>
              <w:rPr>
                <w:rFonts w:hint="eastAsia" w:ascii="方正仿宋_GBK" w:eastAsia="方正仿宋_GBK"/>
                <w:kern w:val="0"/>
                <w:sz w:val="21"/>
                <w:szCs w:val="21"/>
              </w:rPr>
              <w:t xml:space="preserve">   </w:t>
            </w:r>
            <w:r>
              <w:rPr>
                <w:rFonts w:hint="eastAsia" w:ascii="方正仿宋_GBK" w:hAnsi="宋体" w:eastAsia="方正仿宋_GBK" w:cs="宋体"/>
                <w:kern w:val="0"/>
                <w:sz w:val="21"/>
                <w:szCs w:val="21"/>
              </w:rPr>
              <w:t>独立费用</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27.02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27.02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26.98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26.98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-0.04 </w:t>
            </w:r>
          </w:p>
        </w:tc>
      </w:tr>
      <w:tr>
        <w:tblPrEx>
          <w:tblCellMar>
            <w:top w:w="0" w:type="dxa"/>
            <w:left w:w="108" w:type="dxa"/>
            <w:bottom w:w="0" w:type="dxa"/>
            <w:right w:w="108" w:type="dxa"/>
          </w:tblCellMar>
        </w:tblPrEx>
        <w:trPr>
          <w:trHeight w:val="384"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（一）</w:t>
            </w:r>
          </w:p>
        </w:tc>
        <w:tc>
          <w:tcPr>
            <w:tcW w:w="240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水土保持方案编制费</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11.31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11.31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11.31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11.31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r>
      <w:tr>
        <w:tblPrEx>
          <w:tblCellMar>
            <w:top w:w="0" w:type="dxa"/>
            <w:left w:w="108" w:type="dxa"/>
            <w:bottom w:w="0" w:type="dxa"/>
            <w:right w:w="108" w:type="dxa"/>
          </w:tblCellMar>
        </w:tblPrEx>
        <w:trPr>
          <w:trHeight w:val="384"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（二）</w:t>
            </w:r>
          </w:p>
        </w:tc>
        <w:tc>
          <w:tcPr>
            <w:tcW w:w="240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科研勘测设计费</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2.93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2.93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2.91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2.91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-0.02 </w:t>
            </w:r>
          </w:p>
        </w:tc>
      </w:tr>
      <w:tr>
        <w:tblPrEx>
          <w:tblCellMar>
            <w:top w:w="0" w:type="dxa"/>
            <w:left w:w="108" w:type="dxa"/>
            <w:bottom w:w="0" w:type="dxa"/>
            <w:right w:w="108" w:type="dxa"/>
          </w:tblCellMar>
        </w:tblPrEx>
        <w:trPr>
          <w:trHeight w:val="384"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（三）</w:t>
            </w:r>
          </w:p>
        </w:tc>
        <w:tc>
          <w:tcPr>
            <w:tcW w:w="240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水土保持竣工验收报告编制费</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8.59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8.59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8.60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8.60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0.01 </w:t>
            </w:r>
          </w:p>
        </w:tc>
      </w:tr>
      <w:tr>
        <w:tblPrEx>
          <w:tblCellMar>
            <w:top w:w="0" w:type="dxa"/>
            <w:left w:w="108" w:type="dxa"/>
            <w:bottom w:w="0" w:type="dxa"/>
            <w:right w:w="108" w:type="dxa"/>
          </w:tblCellMar>
        </w:tblPrEx>
        <w:trPr>
          <w:trHeight w:val="384"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（四）</w:t>
            </w:r>
          </w:p>
        </w:tc>
        <w:tc>
          <w:tcPr>
            <w:tcW w:w="240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建设管理费</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1.30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1.30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1.29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1.29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-0.01 </w:t>
            </w:r>
          </w:p>
        </w:tc>
      </w:tr>
      <w:tr>
        <w:tblPrEx>
          <w:tblCellMar>
            <w:top w:w="0" w:type="dxa"/>
            <w:left w:w="108" w:type="dxa"/>
            <w:bottom w:w="0" w:type="dxa"/>
            <w:right w:w="108" w:type="dxa"/>
          </w:tblCellMar>
        </w:tblPrEx>
        <w:trPr>
          <w:trHeight w:val="384"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（五）</w:t>
            </w:r>
          </w:p>
        </w:tc>
        <w:tc>
          <w:tcPr>
            <w:tcW w:w="240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工程建设监理费</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2.15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2.15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2.14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2.14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-0.01 </w:t>
            </w:r>
          </w:p>
        </w:tc>
      </w:tr>
      <w:tr>
        <w:tblPrEx>
          <w:tblCellMar>
            <w:top w:w="0" w:type="dxa"/>
            <w:left w:w="108" w:type="dxa"/>
            <w:bottom w:w="0" w:type="dxa"/>
            <w:right w:w="108" w:type="dxa"/>
          </w:tblCellMar>
        </w:tblPrEx>
        <w:trPr>
          <w:trHeight w:val="424" w:hRule="atLeast"/>
          <w:jc w:val="center"/>
        </w:trPr>
        <w:tc>
          <w:tcPr>
            <w:tcW w:w="56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（六）</w:t>
            </w:r>
          </w:p>
        </w:tc>
        <w:tc>
          <w:tcPr>
            <w:tcW w:w="240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招标代理服务费</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0.74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0.74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0.73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0.73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-0.01 </w:t>
            </w:r>
          </w:p>
        </w:tc>
      </w:tr>
      <w:tr>
        <w:tblPrEx>
          <w:tblCellMar>
            <w:top w:w="0" w:type="dxa"/>
            <w:left w:w="108" w:type="dxa"/>
            <w:bottom w:w="0" w:type="dxa"/>
            <w:right w:w="108" w:type="dxa"/>
          </w:tblCellMar>
        </w:tblPrEx>
        <w:trPr>
          <w:trHeight w:val="424" w:hRule="atLeast"/>
          <w:jc w:val="center"/>
        </w:trPr>
        <w:tc>
          <w:tcPr>
            <w:tcW w:w="29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第一部分至第五部分合计</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100.71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91.33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192.04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100.37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91.33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191.70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-0.34 </w:t>
            </w:r>
          </w:p>
        </w:tc>
      </w:tr>
      <w:tr>
        <w:tblPrEx>
          <w:tblCellMar>
            <w:top w:w="0" w:type="dxa"/>
            <w:left w:w="108" w:type="dxa"/>
            <w:bottom w:w="0" w:type="dxa"/>
            <w:right w:w="108" w:type="dxa"/>
          </w:tblCellMar>
        </w:tblPrEx>
        <w:trPr>
          <w:trHeight w:val="424" w:hRule="atLeast"/>
          <w:jc w:val="center"/>
        </w:trPr>
        <w:tc>
          <w:tcPr>
            <w:tcW w:w="29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基本预备费</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6.04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6.04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6.02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6.02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-0.02 </w:t>
            </w:r>
          </w:p>
        </w:tc>
      </w:tr>
      <w:tr>
        <w:tblPrEx>
          <w:tblCellMar>
            <w:top w:w="0" w:type="dxa"/>
            <w:left w:w="108" w:type="dxa"/>
            <w:bottom w:w="0" w:type="dxa"/>
            <w:right w:w="108" w:type="dxa"/>
          </w:tblCellMar>
        </w:tblPrEx>
        <w:trPr>
          <w:trHeight w:val="424" w:hRule="atLeast"/>
          <w:jc w:val="center"/>
        </w:trPr>
        <w:tc>
          <w:tcPr>
            <w:tcW w:w="29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水土保持补偿费</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10.37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10.37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10.37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10.37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w:t>
            </w:r>
          </w:p>
        </w:tc>
      </w:tr>
      <w:tr>
        <w:tblPrEx>
          <w:tblCellMar>
            <w:top w:w="0" w:type="dxa"/>
            <w:left w:w="108" w:type="dxa"/>
            <w:bottom w:w="0" w:type="dxa"/>
            <w:right w:w="108" w:type="dxa"/>
          </w:tblCellMar>
        </w:tblPrEx>
        <w:trPr>
          <w:trHeight w:val="384" w:hRule="atLeast"/>
          <w:jc w:val="center"/>
        </w:trPr>
        <w:tc>
          <w:tcPr>
            <w:tcW w:w="29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静态总投资</w:t>
            </w:r>
          </w:p>
        </w:tc>
        <w:tc>
          <w:tcPr>
            <w:tcW w:w="130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117.12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91.33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208.45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116.76 </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91.33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208.09 </w:t>
            </w:r>
          </w:p>
        </w:tc>
        <w:tc>
          <w:tcPr>
            <w:tcW w:w="1187"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eastAsia="方正仿宋_GBK"/>
                <w:kern w:val="0"/>
                <w:sz w:val="21"/>
                <w:szCs w:val="21"/>
              </w:rPr>
            </w:pPr>
            <w:r>
              <w:rPr>
                <w:rFonts w:hint="eastAsia" w:ascii="方正仿宋_GBK" w:eastAsia="方正仿宋_GBK"/>
                <w:kern w:val="0"/>
                <w:sz w:val="21"/>
                <w:szCs w:val="21"/>
              </w:rPr>
              <w:t xml:space="preserve">-0.36 </w:t>
            </w:r>
          </w:p>
        </w:tc>
      </w:tr>
    </w:tbl>
    <w:p/>
    <w:sectPr>
      <w:pgSz w:w="11906" w:h="16838"/>
      <w:pgMar w:top="1383" w:right="1746" w:bottom="132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TcwZjhiYmUxZmFjNTgzYzFmZWRjZjg0MTc2NjkifQ=="/>
  </w:docVars>
  <w:rsids>
    <w:rsidRoot w:val="00000000"/>
    <w:rsid w:val="33682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报告正文"/>
    <w:basedOn w:val="1"/>
    <w:uiPriority w:val="0"/>
    <w:pPr>
      <w:spacing w:line="360" w:lineRule="auto"/>
      <w:ind w:firstLine="503" w:firstLineChars="200"/>
    </w:pPr>
    <w:rPr>
      <w:rFonts w:ascii="宋体"/>
      <w:b/>
      <w:sz w:val="24"/>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2023-06-21T02:55:46Z</dcterms:created>
  <dc:creator>Administrator</dc:creator>
  <cp:lastModifiedBy>Faith</cp:lastModifiedBy>
  <dcterms:modified xsi:type="dcterms:W3CDTF">2023-06-21T02:57:23Z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5D0D91377901431A9A3FDDDC2F7C4230_12</vt:lpwstr>
  </property>
</Properties>
</file>