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</w:pPr>
      <w:r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  <w:t>附件1</w:t>
      </w:r>
    </w:p>
    <w:p>
      <w:pPr>
        <w:snapToGrid w:val="0"/>
        <w:spacing w:after="114" w:afterLines="30" w:line="560" w:lineRule="exact"/>
        <w:jc w:val="center"/>
        <w:rPr>
          <w:rFonts w:ascii="方正小标宋_GBK" w:eastAsia="方正小标宋_GBK"/>
          <w:bCs/>
          <w:spacing w:val="-20"/>
          <w:sz w:val="32"/>
          <w:szCs w:val="32"/>
        </w:rPr>
      </w:pPr>
      <w:r>
        <w:rPr>
          <w:rFonts w:hint="eastAsia" w:ascii="方正小标宋_GBK" w:eastAsia="方正小标宋_GBK"/>
          <w:spacing w:val="-20"/>
          <w:sz w:val="32"/>
          <w:szCs w:val="32"/>
        </w:rPr>
        <w:t>酉永高速生基连接道搬迁工程配套基础设施项目</w:t>
      </w:r>
      <w:r>
        <w:rPr>
          <w:rFonts w:hint="eastAsia" w:ascii="方正小标宋_GBK" w:eastAsia="方正小标宋_GBK"/>
          <w:bCs/>
          <w:spacing w:val="-20"/>
          <w:sz w:val="32"/>
          <w:szCs w:val="32"/>
        </w:rPr>
        <w:t>水土保持方案特性表</w:t>
      </w:r>
    </w:p>
    <w:tbl>
      <w:tblPr>
        <w:tblStyle w:val="4"/>
        <w:tblW w:w="957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09"/>
        <w:gridCol w:w="721"/>
        <w:gridCol w:w="569"/>
        <w:gridCol w:w="535"/>
        <w:gridCol w:w="116"/>
        <w:gridCol w:w="557"/>
        <w:gridCol w:w="478"/>
        <w:gridCol w:w="514"/>
        <w:gridCol w:w="213"/>
        <w:gridCol w:w="549"/>
        <w:gridCol w:w="627"/>
        <w:gridCol w:w="365"/>
        <w:gridCol w:w="496"/>
        <w:gridCol w:w="415"/>
        <w:gridCol w:w="170"/>
        <w:gridCol w:w="397"/>
        <w:gridCol w:w="129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244" w:type="dxa"/>
            <w:gridSpan w:val="11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酉永高速生基连接道搬迁工程配套基础设施项目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流域管理机构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长江水利委员会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涉及省区</w:t>
            </w:r>
          </w:p>
        </w:tc>
        <w:tc>
          <w:tcPr>
            <w:tcW w:w="2498" w:type="dxa"/>
            <w:gridSpan w:val="5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重庆</w:t>
            </w:r>
          </w:p>
        </w:tc>
        <w:tc>
          <w:tcPr>
            <w:tcW w:w="17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涉及地市或个数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/</w:t>
            </w:r>
          </w:p>
        </w:tc>
        <w:tc>
          <w:tcPr>
            <w:tcW w:w="14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涉及区/县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酉阳县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项目规模</w:t>
            </w:r>
          </w:p>
        </w:tc>
        <w:tc>
          <w:tcPr>
            <w:tcW w:w="297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both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工程占地面积15.14hm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，建设内容包括建筑景观工程、道路工程、桥涵工程、景观绿化工程、给排水工程等。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总投资（万元）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17536.3</w:t>
            </w:r>
          </w:p>
        </w:tc>
        <w:tc>
          <w:tcPr>
            <w:tcW w:w="14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土建投资（万元）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14785.28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动工时间</w:t>
            </w:r>
          </w:p>
        </w:tc>
        <w:tc>
          <w:tcPr>
            <w:tcW w:w="2498" w:type="dxa"/>
            <w:gridSpan w:val="5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2022年8月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完工时间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2023年7月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设计水平年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工程占地（hm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）</w:t>
            </w:r>
          </w:p>
        </w:tc>
        <w:tc>
          <w:tcPr>
            <w:tcW w:w="19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15.14</w:t>
            </w:r>
          </w:p>
        </w:tc>
        <w:tc>
          <w:tcPr>
            <w:tcW w:w="17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永久占地（hm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）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7.17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临时占地（hm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7.97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5" w:type="dxa"/>
            <w:gridSpan w:val="7"/>
            <w:vMerge w:val="restart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土石方量（万m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挖方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填方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借方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弃方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5" w:type="dxa"/>
            <w:gridSpan w:val="7"/>
            <w:vMerge w:val="continue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89.01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2.95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/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86.06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重点防治区名称</w:t>
            </w:r>
          </w:p>
        </w:tc>
        <w:tc>
          <w:tcPr>
            <w:tcW w:w="672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武陵山国家级水土流失重点预防区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地貌类型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低山区地貌</w:t>
            </w:r>
          </w:p>
        </w:tc>
        <w:tc>
          <w:tcPr>
            <w:tcW w:w="245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水土保持区划</w:t>
            </w:r>
          </w:p>
        </w:tc>
        <w:tc>
          <w:tcPr>
            <w:tcW w:w="1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西南紫色土区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土壤侵蚀类型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水力侵蚀</w:t>
            </w:r>
          </w:p>
        </w:tc>
        <w:tc>
          <w:tcPr>
            <w:tcW w:w="245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土壤侵蚀强度</w:t>
            </w:r>
          </w:p>
        </w:tc>
        <w:tc>
          <w:tcPr>
            <w:tcW w:w="1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轻度侵蚀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防治责任范围（hm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）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15.14</w:t>
            </w:r>
          </w:p>
        </w:tc>
        <w:tc>
          <w:tcPr>
            <w:tcW w:w="245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容许土壤流失量［t/(km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.a)］</w:t>
            </w:r>
          </w:p>
        </w:tc>
        <w:tc>
          <w:tcPr>
            <w:tcW w:w="1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建设期土壤流失预测总量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1109t</w:t>
            </w:r>
          </w:p>
        </w:tc>
        <w:tc>
          <w:tcPr>
            <w:tcW w:w="245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新增水土流失量</w:t>
            </w:r>
          </w:p>
        </w:tc>
        <w:tc>
          <w:tcPr>
            <w:tcW w:w="1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877t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水土流失防治标准执行等级</w:t>
            </w:r>
          </w:p>
        </w:tc>
        <w:tc>
          <w:tcPr>
            <w:tcW w:w="6728" w:type="dxa"/>
            <w:gridSpan w:val="1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建设项目水土流失防治一级标准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防治指标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水土流失治理度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97%</w:t>
            </w:r>
          </w:p>
        </w:tc>
        <w:tc>
          <w:tcPr>
            <w:tcW w:w="266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土壤流失控制比</w:t>
            </w:r>
          </w:p>
        </w:tc>
        <w:tc>
          <w:tcPr>
            <w:tcW w:w="1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渣土防护率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92%</w:t>
            </w:r>
          </w:p>
        </w:tc>
        <w:tc>
          <w:tcPr>
            <w:tcW w:w="266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表土保护率</w:t>
            </w:r>
          </w:p>
        </w:tc>
        <w:tc>
          <w:tcPr>
            <w:tcW w:w="1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不计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林草植被恢复率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97%</w:t>
            </w:r>
          </w:p>
        </w:tc>
        <w:tc>
          <w:tcPr>
            <w:tcW w:w="266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林草覆盖率</w:t>
            </w:r>
          </w:p>
        </w:tc>
        <w:tc>
          <w:tcPr>
            <w:tcW w:w="1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防治措施</w:t>
            </w:r>
          </w:p>
        </w:tc>
        <w:tc>
          <w:tcPr>
            <w:tcW w:w="1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防治分区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工程措施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植物措施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临时措施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24"/>
                <w:szCs w:val="24"/>
              </w:rPr>
              <w:t>建筑景观工程防治区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主体设计：雨水管网1222m。</w:t>
            </w:r>
          </w:p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主体设计：实体绿化17505m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，种植乔灌木（慈竹833窝，杨树167株，云杉167株，黄花决明833株）。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方案新增：临时排水沟1610m，临时沉砂池5口，临时遮盖860m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24"/>
                <w:szCs w:val="24"/>
              </w:rPr>
              <w:t>道路工程防治区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主体设计：截排水沟790m（排水沟320m，截水沟470m），雨水管网862m。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主体设计：锚索框架植草15705m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。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方案新增：车辆冲洗站2座，临时遮盖7425m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，临时沉砂池3口。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施工便道工程防治区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/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方案新增：全面整地11200m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，撒播草籽绿化11200m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。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主体设计：临时排水沟867m；</w:t>
            </w:r>
          </w:p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方案新增：临时遮盖8580m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，临时沉砂池8口，车辆冲洗站1口。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弃渣场防治区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主体设计：拦渣坝11795m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，排水盲沟507m，沉砂池6口，排水沟1488m。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主体设计：植草绿化54289m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，种植乔灌木（红花檵木2890窝，桂花578株，银杏578株，黄花决明2890株）。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方案新增：临时遮盖57765m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，临时沉砂池1口。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投资（万元）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主体设计：73.46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主体设计：697.64</w:t>
            </w:r>
          </w:p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方案新增：0.93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主体设计：28.89</w:t>
            </w:r>
          </w:p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方案新增：48.46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水土保持总投资（万元）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944.16（新增144.17）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独立费用（万元）</w:t>
            </w:r>
          </w:p>
        </w:tc>
        <w:tc>
          <w:tcPr>
            <w:tcW w:w="22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59.73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监理费（万元）</w:t>
            </w: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16.95</w:t>
            </w:r>
          </w:p>
        </w:tc>
        <w:tc>
          <w:tcPr>
            <w:tcW w:w="16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监测费（万元）</w:t>
            </w:r>
          </w:p>
        </w:tc>
        <w:tc>
          <w:tcPr>
            <w:tcW w:w="13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6.89</w:t>
            </w:r>
          </w:p>
        </w:tc>
        <w:tc>
          <w:tcPr>
            <w:tcW w:w="1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补偿费（万元）</w:t>
            </w:r>
          </w:p>
        </w:tc>
        <w:tc>
          <w:tcPr>
            <w:tcW w:w="1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21.2005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8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方案编制单位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重庆龙翰环保工程有限公司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22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酉阳县桃花源新城建设开发有限责任公司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法定代表人及电话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王翼/18908145222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法定代表人及电话</w:t>
            </w:r>
          </w:p>
        </w:tc>
        <w:tc>
          <w:tcPr>
            <w:tcW w:w="22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2"/>
              <w:rPr>
                <w:rFonts w:hint="eastAsia" w:ascii="方正仿宋_GBK" w:eastAsia="方正仿宋_GBK"/>
                <w:sz w:val="24"/>
                <w:szCs w:val="24"/>
              </w:rPr>
            </w:pPr>
            <w:bookmarkStart w:id="0" w:name="_Toc110359934"/>
            <w:bookmarkStart w:id="1" w:name="_Toc114587971"/>
            <w:bookmarkStart w:id="2" w:name="_Toc132121382"/>
            <w:bookmarkStart w:id="3" w:name="_Toc30235"/>
            <w:r>
              <w:rPr>
                <w:rFonts w:hint="eastAsia" w:ascii="方正仿宋_GBK" w:eastAsia="方正仿宋_GBK"/>
                <w:sz w:val="24"/>
                <w:szCs w:val="24"/>
              </w:rPr>
              <w:t>刘红辰</w:t>
            </w:r>
            <w:bookmarkEnd w:id="0"/>
            <w:bookmarkEnd w:id="1"/>
            <w:bookmarkEnd w:id="2"/>
            <w:bookmarkEnd w:id="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重庆市渝北区扬子江商务中心23-2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2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酉阳县桃花源街道龙泉大道桃花源路232号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401120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2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2"/>
              <w:rPr>
                <w:rFonts w:hint="eastAsia" w:ascii="方正仿宋_GBK" w:eastAsia="方正仿宋_GBK"/>
                <w:sz w:val="24"/>
                <w:szCs w:val="24"/>
              </w:rPr>
            </w:pPr>
            <w:bookmarkStart w:id="4" w:name="_Toc110359935"/>
            <w:bookmarkStart w:id="5" w:name="_Toc114587972"/>
            <w:bookmarkStart w:id="6" w:name="_Toc132121383"/>
            <w:bookmarkStart w:id="7" w:name="_Toc31651"/>
            <w:r>
              <w:rPr>
                <w:rFonts w:hint="eastAsia" w:ascii="方正仿宋_GBK" w:eastAsia="方正仿宋_GBK"/>
                <w:sz w:val="24"/>
                <w:szCs w:val="24"/>
              </w:rPr>
              <w:t>409800</w:t>
            </w:r>
            <w:bookmarkEnd w:id="4"/>
            <w:bookmarkEnd w:id="5"/>
            <w:bookmarkEnd w:id="6"/>
            <w:bookmarkEnd w:id="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成剑锋/17623620608</w:t>
            </w:r>
          </w:p>
        </w:tc>
        <w:tc>
          <w:tcPr>
            <w:tcW w:w="22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22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冉工/13896366124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847" w:type="dxa"/>
            <w:gridSpan w:val="4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1432297976@qq.com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pStyle w:val="6"/>
              <w:spacing w:line="320" w:lineRule="exact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314890357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@qq.com</w:t>
            </w:r>
          </w:p>
        </w:tc>
      </w:tr>
    </w:tbl>
    <w:p>
      <w:pPr>
        <w:snapToGrid w:val="0"/>
        <w:spacing w:line="560" w:lineRule="exact"/>
        <w:jc w:val="left"/>
        <w:rPr>
          <w:snapToGrid w:val="0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TcwZjhiYmUxZmFjNTgzYzFmZWRjZjg0MTc2NjkifQ=="/>
  </w:docVars>
  <w:rsids>
    <w:rsidRoot w:val="00000000"/>
    <w:rsid w:val="291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0"/>
    <w:pPr>
      <w:widowControl/>
      <w:jc w:val="left"/>
    </w:pPr>
    <w:rPr>
      <w:kern w:val="0"/>
      <w:sz w:val="22"/>
      <w:szCs w:val="22"/>
      <w:lang w:eastAsia="en-US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表格内容格式"/>
    <w:basedOn w:val="1"/>
    <w:qFormat/>
    <w:uiPriority w:val="0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2023-05-30T06:49:26Z</dcterms:created>
  <dc:creator>Administrator</dc:creator>
  <cp:lastModifiedBy>Administrator</cp:lastModifiedBy>
  <dcterms:modified xsi:type="dcterms:W3CDTF">2023-05-30T06:49:36Z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A6C27D5C1C3549F390C76E9A1F6EA1AE_12</vt:lpwstr>
  </property>
</Properties>
</file>