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7C" w:rsidRDefault="005D6A7C" w:rsidP="005D6A7C">
      <w:pPr>
        <w:snapToGrid w:val="0"/>
        <w:spacing w:line="560" w:lineRule="exact"/>
        <w:jc w:val="left"/>
        <w:rPr>
          <w:rFonts w:ascii="黑体" w:eastAsia="黑体" w:hAnsi="黑体"/>
          <w:bCs/>
          <w:spacing w:val="-20"/>
          <w:sz w:val="32"/>
          <w:szCs w:val="32"/>
        </w:rPr>
      </w:pPr>
      <w:r>
        <w:rPr>
          <w:rFonts w:ascii="黑体" w:eastAsia="黑体" w:hAnsi="黑体" w:hint="eastAsia"/>
          <w:bCs/>
          <w:spacing w:val="-20"/>
          <w:sz w:val="32"/>
          <w:szCs w:val="32"/>
        </w:rPr>
        <w:t>附件1：</w:t>
      </w:r>
    </w:p>
    <w:p w:rsidR="005D6A7C" w:rsidRDefault="005D6A7C" w:rsidP="005D6A7C">
      <w:pPr>
        <w:snapToGrid w:val="0"/>
        <w:spacing w:afterLines="30" w:after="93" w:line="560" w:lineRule="exact"/>
        <w:jc w:val="center"/>
        <w:rPr>
          <w:rFonts w:ascii="方正小标宋_GBK" w:eastAsia="方正小标宋_GBK"/>
          <w:bCs/>
          <w:spacing w:val="-20"/>
          <w:sz w:val="32"/>
          <w:szCs w:val="32"/>
        </w:rPr>
      </w:pPr>
      <w:bookmarkStart w:id="0" w:name="_GoBack"/>
      <w:r>
        <w:rPr>
          <w:rFonts w:ascii="方正小标宋_GBK" w:eastAsia="方正小标宋_GBK" w:hint="eastAsia"/>
          <w:spacing w:val="-20"/>
          <w:sz w:val="32"/>
          <w:szCs w:val="32"/>
        </w:rPr>
        <w:t>酉阳县钟多街道观音阁至龙洞连接线工程</w:t>
      </w:r>
      <w:r>
        <w:rPr>
          <w:rFonts w:ascii="方正小标宋_GBK" w:eastAsia="方正小标宋_GBK" w:hint="eastAsia"/>
          <w:bCs/>
          <w:spacing w:val="-20"/>
          <w:sz w:val="32"/>
          <w:szCs w:val="32"/>
        </w:rPr>
        <w:t>水土保持方案特性表</w:t>
      </w:r>
      <w:bookmarkEnd w:id="0"/>
    </w:p>
    <w:tbl>
      <w:tblPr>
        <w:tblW w:w="58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007"/>
        <w:gridCol w:w="315"/>
        <w:gridCol w:w="1251"/>
        <w:gridCol w:w="178"/>
        <w:gridCol w:w="1580"/>
        <w:gridCol w:w="1449"/>
        <w:gridCol w:w="555"/>
        <w:gridCol w:w="60"/>
        <w:gridCol w:w="1030"/>
        <w:gridCol w:w="591"/>
        <w:gridCol w:w="1031"/>
      </w:tblGrid>
      <w:tr w:rsidR="005D6A7C" w:rsidTr="0044792D">
        <w:trPr>
          <w:trHeight w:val="18"/>
          <w:jc w:val="center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项目名称</w:t>
            </w:r>
          </w:p>
        </w:tc>
        <w:tc>
          <w:tcPr>
            <w:tcW w:w="24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酉阳县钟多街道观音阁至龙洞连接线工程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流域管理机构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长江水利委员会</w:t>
            </w:r>
          </w:p>
        </w:tc>
      </w:tr>
      <w:tr w:rsidR="005D6A7C" w:rsidTr="0044792D">
        <w:trPr>
          <w:trHeight w:val="18"/>
          <w:jc w:val="center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涉及省（市、区）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重庆市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涉及地市或个数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—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涉及县或个数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酉阳县</w:t>
            </w:r>
          </w:p>
        </w:tc>
      </w:tr>
      <w:tr w:rsidR="005D6A7C" w:rsidTr="0044792D">
        <w:trPr>
          <w:trHeight w:val="18"/>
          <w:jc w:val="center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项目规模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主线长1273m，被交路全长705m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总投资（万元）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3384.25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土建投资（万元）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2202.79</w:t>
            </w:r>
          </w:p>
        </w:tc>
      </w:tr>
      <w:tr w:rsidR="005D6A7C" w:rsidTr="0044792D">
        <w:trPr>
          <w:trHeight w:val="18"/>
          <w:jc w:val="center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动工时间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2023年4月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完工时间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2024年1月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设计水平年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2024年</w:t>
            </w:r>
          </w:p>
        </w:tc>
      </w:tr>
      <w:tr w:rsidR="005D6A7C" w:rsidTr="0044792D">
        <w:trPr>
          <w:trHeight w:val="18"/>
          <w:jc w:val="center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工程占地（hm</w:t>
            </w:r>
            <w:r>
              <w:rPr>
                <w:rFonts w:ascii="方正仿宋_GBK" w:eastAsia="方正仿宋_GBK" w:hint="eastAsia"/>
                <w:color w:val="auto"/>
                <w:vertAlign w:val="superscript"/>
              </w:rPr>
              <w:t>2</w:t>
            </w:r>
            <w:r>
              <w:rPr>
                <w:rFonts w:ascii="方正仿宋_GBK" w:eastAsia="方正仿宋_GBK" w:hint="eastAsia"/>
                <w:color w:val="auto"/>
              </w:rPr>
              <w:t>）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4.34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永久占地（hm</w:t>
            </w:r>
            <w:r>
              <w:rPr>
                <w:rFonts w:ascii="方正仿宋_GBK" w:eastAsia="方正仿宋_GBK" w:hint="eastAsia"/>
                <w:color w:val="auto"/>
                <w:vertAlign w:val="superscript"/>
              </w:rPr>
              <w:t>2</w:t>
            </w:r>
            <w:r>
              <w:rPr>
                <w:rFonts w:ascii="方正仿宋_GBK" w:eastAsia="方正仿宋_GBK" w:hint="eastAsia"/>
                <w:color w:val="auto"/>
              </w:rPr>
              <w:t>）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3.96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临时占地（hm</w:t>
            </w:r>
            <w:r>
              <w:rPr>
                <w:rFonts w:ascii="方正仿宋_GBK" w:eastAsia="方正仿宋_GBK" w:hint="eastAsia"/>
                <w:color w:val="auto"/>
                <w:vertAlign w:val="superscript"/>
              </w:rPr>
              <w:t>2</w:t>
            </w:r>
            <w:r>
              <w:rPr>
                <w:rFonts w:ascii="方正仿宋_GBK" w:eastAsia="方正仿宋_GBK" w:hint="eastAsia"/>
                <w:color w:val="auto"/>
              </w:rPr>
              <w:t>）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0.38</w:t>
            </w:r>
          </w:p>
        </w:tc>
      </w:tr>
      <w:tr w:rsidR="005D6A7C" w:rsidTr="0044792D">
        <w:trPr>
          <w:trHeight w:val="159"/>
          <w:jc w:val="center"/>
        </w:trPr>
        <w:tc>
          <w:tcPr>
            <w:tcW w:w="167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一般土石方量（万m</w:t>
            </w:r>
            <w:r>
              <w:rPr>
                <w:rFonts w:ascii="方正仿宋_GBK" w:eastAsia="方正仿宋_GBK" w:hint="eastAsia"/>
                <w:color w:val="auto"/>
                <w:vertAlign w:val="superscript"/>
              </w:rPr>
              <w:t>3</w:t>
            </w:r>
            <w:r>
              <w:rPr>
                <w:rFonts w:ascii="方正仿宋_GBK" w:eastAsia="方正仿宋_GBK" w:hint="eastAsia"/>
                <w:color w:val="auto"/>
              </w:rPr>
              <w:t>）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一般挖方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一般填方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借方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余（弃）方</w:t>
            </w:r>
          </w:p>
        </w:tc>
      </w:tr>
      <w:tr w:rsidR="005D6A7C" w:rsidTr="0044792D">
        <w:trPr>
          <w:trHeight w:val="18"/>
          <w:jc w:val="center"/>
        </w:trPr>
        <w:tc>
          <w:tcPr>
            <w:tcW w:w="167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widowControl/>
              <w:spacing w:line="280" w:lineRule="exact"/>
              <w:jc w:val="left"/>
              <w:rPr>
                <w:rFonts w:ascii="方正仿宋_GBK" w:eastAsia="方正仿宋_GBK" w:cs="宋体"/>
                <w:sz w:val="21"/>
                <w:szCs w:val="21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widowControl/>
              <w:spacing w:line="280" w:lineRule="exact"/>
              <w:jc w:val="center"/>
              <w:rPr>
                <w:rFonts w:ascii="方正仿宋_GBK" w:eastAsia="方正仿宋_GBK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7.94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spacing w:line="28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2.12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/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5.82</w:t>
            </w:r>
          </w:p>
        </w:tc>
      </w:tr>
      <w:tr w:rsidR="005D6A7C" w:rsidTr="0044792D">
        <w:trPr>
          <w:trHeight w:val="18"/>
          <w:jc w:val="center"/>
        </w:trPr>
        <w:tc>
          <w:tcPr>
            <w:tcW w:w="16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重点防治区名称</w:t>
            </w:r>
          </w:p>
        </w:tc>
        <w:tc>
          <w:tcPr>
            <w:tcW w:w="33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武陵山国家级水土流失重点预防区</w:t>
            </w:r>
          </w:p>
        </w:tc>
      </w:tr>
      <w:tr w:rsidR="005D6A7C" w:rsidTr="0044792D">
        <w:trPr>
          <w:trHeight w:val="18"/>
          <w:jc w:val="center"/>
        </w:trPr>
        <w:tc>
          <w:tcPr>
            <w:tcW w:w="16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地貌类型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中低山地貌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水土保持区划</w:t>
            </w:r>
          </w:p>
        </w:tc>
        <w:tc>
          <w:tcPr>
            <w:tcW w:w="1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西南紫色土区</w:t>
            </w:r>
          </w:p>
        </w:tc>
      </w:tr>
      <w:tr w:rsidR="005D6A7C" w:rsidTr="0044792D">
        <w:trPr>
          <w:trHeight w:val="18"/>
          <w:jc w:val="center"/>
        </w:trPr>
        <w:tc>
          <w:tcPr>
            <w:tcW w:w="16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土壤侵蚀类型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水力侵蚀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土壤侵蚀强度</w:t>
            </w:r>
          </w:p>
        </w:tc>
        <w:tc>
          <w:tcPr>
            <w:tcW w:w="1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轻度</w:t>
            </w:r>
          </w:p>
        </w:tc>
      </w:tr>
      <w:tr w:rsidR="005D6A7C" w:rsidTr="0044792D">
        <w:trPr>
          <w:trHeight w:val="18"/>
          <w:jc w:val="center"/>
        </w:trPr>
        <w:tc>
          <w:tcPr>
            <w:tcW w:w="16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防治责任范围面积（hm</w:t>
            </w:r>
            <w:r>
              <w:rPr>
                <w:rFonts w:ascii="方正仿宋_GBK" w:eastAsia="方正仿宋_GBK" w:hint="eastAsia"/>
                <w:color w:val="auto"/>
                <w:vertAlign w:val="superscript"/>
              </w:rPr>
              <w:t>2</w:t>
            </w:r>
            <w:r>
              <w:rPr>
                <w:rFonts w:ascii="方正仿宋_GBK" w:eastAsia="方正仿宋_GBK" w:hint="eastAsia"/>
                <w:color w:val="auto"/>
              </w:rPr>
              <w:t>）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4.34</w:t>
            </w:r>
          </w:p>
        </w:tc>
        <w:tc>
          <w:tcPr>
            <w:tcW w:w="18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容许土壤流失量[t/（km</w:t>
            </w:r>
            <w:r>
              <w:rPr>
                <w:rFonts w:ascii="方正仿宋_GBK" w:eastAsia="方正仿宋_GBK" w:hint="eastAsia"/>
                <w:color w:val="auto"/>
                <w:vertAlign w:val="superscript"/>
              </w:rPr>
              <w:t>2</w:t>
            </w:r>
            <w:r>
              <w:rPr>
                <w:rFonts w:ascii="方正仿宋_GBK" w:eastAsia="方正仿宋_GBK" w:hint="eastAsia"/>
                <w:color w:val="auto"/>
              </w:rPr>
              <w:t>·a）]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500</w:t>
            </w:r>
          </w:p>
        </w:tc>
      </w:tr>
      <w:tr w:rsidR="005D6A7C" w:rsidTr="0044792D">
        <w:trPr>
          <w:trHeight w:val="18"/>
          <w:jc w:val="center"/>
        </w:trPr>
        <w:tc>
          <w:tcPr>
            <w:tcW w:w="16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土壤流失预测总量（t）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313</w:t>
            </w:r>
          </w:p>
        </w:tc>
        <w:tc>
          <w:tcPr>
            <w:tcW w:w="18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新增土壤流失量（t）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255</w:t>
            </w:r>
          </w:p>
        </w:tc>
      </w:tr>
      <w:tr w:rsidR="005D6A7C" w:rsidTr="0044792D">
        <w:trPr>
          <w:trHeight w:val="18"/>
          <w:jc w:val="center"/>
        </w:trPr>
        <w:tc>
          <w:tcPr>
            <w:tcW w:w="16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水土流失防治标准执行等级</w:t>
            </w:r>
          </w:p>
        </w:tc>
        <w:tc>
          <w:tcPr>
            <w:tcW w:w="33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西南紫色土区建设类项目水土流失防治一级标准</w:t>
            </w:r>
          </w:p>
        </w:tc>
      </w:tr>
      <w:tr w:rsidR="005D6A7C" w:rsidTr="0044792D">
        <w:trPr>
          <w:trHeight w:val="18"/>
          <w:jc w:val="center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防治指标</w:t>
            </w:r>
          </w:p>
        </w:tc>
        <w:tc>
          <w:tcPr>
            <w:tcW w:w="1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水土流失治理度（%）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97</w:t>
            </w:r>
          </w:p>
        </w:tc>
        <w:tc>
          <w:tcPr>
            <w:tcW w:w="18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土壤流失控制比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1.0</w:t>
            </w:r>
          </w:p>
        </w:tc>
      </w:tr>
      <w:tr w:rsidR="005D6A7C" w:rsidTr="0044792D">
        <w:trPr>
          <w:trHeight w:val="18"/>
          <w:jc w:val="center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widowControl/>
              <w:spacing w:line="280" w:lineRule="exact"/>
              <w:jc w:val="left"/>
              <w:rPr>
                <w:rFonts w:ascii="方正仿宋_GBK" w:eastAsia="方正仿宋_GBK" w:cs="宋体"/>
                <w:sz w:val="21"/>
                <w:szCs w:val="21"/>
              </w:rPr>
            </w:pPr>
          </w:p>
        </w:tc>
        <w:tc>
          <w:tcPr>
            <w:tcW w:w="1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渣土防护率（%）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94</w:t>
            </w:r>
          </w:p>
        </w:tc>
        <w:tc>
          <w:tcPr>
            <w:tcW w:w="18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表土保护率（%）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92</w:t>
            </w:r>
          </w:p>
        </w:tc>
      </w:tr>
      <w:tr w:rsidR="005D6A7C" w:rsidTr="0044792D">
        <w:trPr>
          <w:trHeight w:val="18"/>
          <w:jc w:val="center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widowControl/>
              <w:spacing w:line="280" w:lineRule="exact"/>
              <w:jc w:val="left"/>
              <w:rPr>
                <w:rFonts w:ascii="方正仿宋_GBK" w:eastAsia="方正仿宋_GBK" w:cs="宋体"/>
                <w:sz w:val="21"/>
                <w:szCs w:val="21"/>
              </w:rPr>
            </w:pPr>
          </w:p>
        </w:tc>
        <w:tc>
          <w:tcPr>
            <w:tcW w:w="1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林草植被恢复率（%）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97</w:t>
            </w:r>
          </w:p>
        </w:tc>
        <w:tc>
          <w:tcPr>
            <w:tcW w:w="1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林草覆盖率（%）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19</w:t>
            </w:r>
          </w:p>
        </w:tc>
      </w:tr>
      <w:tr w:rsidR="005D6A7C" w:rsidTr="0044792D">
        <w:trPr>
          <w:trHeight w:val="18"/>
          <w:jc w:val="center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防治措施及工程量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分区</w:t>
            </w:r>
          </w:p>
        </w:tc>
        <w:tc>
          <w:tcPr>
            <w:tcW w:w="15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工程措施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植物措施</w:t>
            </w:r>
          </w:p>
        </w:tc>
        <w:tc>
          <w:tcPr>
            <w:tcW w:w="1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临时措施</w:t>
            </w:r>
          </w:p>
        </w:tc>
      </w:tr>
      <w:tr w:rsidR="005D6A7C" w:rsidTr="0044792D">
        <w:trPr>
          <w:trHeight w:val="997"/>
          <w:jc w:val="center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widowControl/>
              <w:spacing w:line="280" w:lineRule="exact"/>
              <w:jc w:val="left"/>
              <w:rPr>
                <w:rFonts w:ascii="方正仿宋_GBK" w:eastAsia="方正仿宋_GBK" w:cs="宋体"/>
                <w:sz w:val="21"/>
                <w:szCs w:val="21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道路工程</w:t>
            </w:r>
          </w:p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防治区</w:t>
            </w:r>
          </w:p>
        </w:tc>
        <w:tc>
          <w:tcPr>
            <w:tcW w:w="156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jc w:val="lef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主体已列：边沟2272m，排水沟170m，</w:t>
            </w:r>
          </w:p>
          <w:p w:rsidR="005D6A7C" w:rsidRDefault="005D6A7C" w:rsidP="0044792D">
            <w:pPr>
              <w:pStyle w:val="a3"/>
              <w:spacing w:line="280" w:lineRule="exact"/>
              <w:jc w:val="lef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方案新增：表土剥离0.59万m</w:t>
            </w:r>
            <w:r>
              <w:rPr>
                <w:rFonts w:ascii="方正仿宋_GBK" w:eastAsia="方正仿宋_GBK" w:hint="eastAsia"/>
                <w:color w:val="auto"/>
                <w:vertAlign w:val="superscript"/>
              </w:rPr>
              <w:t>3</w:t>
            </w:r>
            <w:r>
              <w:rPr>
                <w:rFonts w:ascii="方正仿宋_GBK" w:eastAsia="方正仿宋_GBK" w:hint="eastAsia"/>
                <w:color w:val="auto"/>
              </w:rPr>
              <w:t>，表土回填009万m</w:t>
            </w:r>
            <w:r>
              <w:rPr>
                <w:rFonts w:ascii="方正仿宋_GBK" w:eastAsia="方正仿宋_GBK" w:hint="eastAsia"/>
                <w:color w:val="auto"/>
                <w:vertAlign w:val="superscript"/>
              </w:rPr>
              <w:t>3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jc w:val="lef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主体已列：景观绿化6239株，喷播植草16m</w:t>
            </w:r>
            <w:r>
              <w:rPr>
                <w:rFonts w:ascii="方正仿宋_GBK" w:eastAsia="方正仿宋_GBK" w:hint="eastAsia"/>
                <w:color w:val="auto"/>
                <w:vertAlign w:val="superscript"/>
              </w:rPr>
              <w:t>2</w:t>
            </w:r>
          </w:p>
        </w:tc>
        <w:tc>
          <w:tcPr>
            <w:tcW w:w="142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jc w:val="lef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方案新增：临时覆盖7733m</w:t>
            </w:r>
            <w:r>
              <w:rPr>
                <w:rFonts w:ascii="方正仿宋_GBK" w:eastAsia="方正仿宋_GBK" w:hint="eastAsia"/>
                <w:color w:val="auto"/>
                <w:vertAlign w:val="superscript"/>
              </w:rPr>
              <w:t>2</w:t>
            </w:r>
            <w:r>
              <w:rPr>
                <w:rFonts w:ascii="方正仿宋_GBK" w:eastAsia="方正仿宋_GBK" w:hint="eastAsia"/>
                <w:color w:val="auto"/>
              </w:rPr>
              <w:t>，临时拦挡68m，临时截水沟286m</w:t>
            </w:r>
          </w:p>
        </w:tc>
      </w:tr>
      <w:tr w:rsidR="005D6A7C" w:rsidTr="0044792D">
        <w:trPr>
          <w:trHeight w:val="18"/>
          <w:jc w:val="center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widowControl/>
              <w:spacing w:line="280" w:lineRule="exact"/>
              <w:jc w:val="left"/>
              <w:rPr>
                <w:rFonts w:ascii="方正仿宋_GBK" w:eastAsia="方正仿宋_GBK" w:cs="宋体"/>
                <w:sz w:val="21"/>
                <w:szCs w:val="21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表土堆放场</w:t>
            </w:r>
          </w:p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防治区</w:t>
            </w:r>
          </w:p>
        </w:tc>
        <w:tc>
          <w:tcPr>
            <w:tcW w:w="1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jc w:val="lef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方案新增：复耕0.23hm</w:t>
            </w:r>
            <w:r>
              <w:rPr>
                <w:rFonts w:ascii="方正仿宋_GBK" w:eastAsia="方正仿宋_GBK" w:hint="eastAsia"/>
                <w:color w:val="auto"/>
                <w:vertAlign w:val="superscript"/>
              </w:rPr>
              <w:t>2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jc w:val="left"/>
              <w:rPr>
                <w:rFonts w:ascii="方正仿宋_GBK" w:eastAsia="方正仿宋_GBK"/>
                <w:color w:val="auto"/>
              </w:rPr>
            </w:pPr>
          </w:p>
        </w:tc>
        <w:tc>
          <w:tcPr>
            <w:tcW w:w="1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jc w:val="lef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方案新增：临时排水沟125m，临时沉砂池1座，临时拦挡124m，临时覆盖2110m</w:t>
            </w:r>
            <w:r>
              <w:rPr>
                <w:rFonts w:ascii="方正仿宋_GBK" w:eastAsia="方正仿宋_GBK" w:hint="eastAsia"/>
                <w:color w:val="auto"/>
                <w:vertAlign w:val="superscript"/>
              </w:rPr>
              <w:t>2</w:t>
            </w:r>
          </w:p>
        </w:tc>
      </w:tr>
      <w:tr w:rsidR="005D6A7C" w:rsidTr="0044792D">
        <w:trPr>
          <w:trHeight w:val="18"/>
          <w:jc w:val="center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widowControl/>
              <w:spacing w:line="280" w:lineRule="exact"/>
              <w:jc w:val="left"/>
              <w:rPr>
                <w:rFonts w:ascii="方正仿宋_GBK" w:eastAsia="方正仿宋_GBK" w:cs="宋体"/>
                <w:sz w:val="21"/>
                <w:szCs w:val="21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施工营地</w:t>
            </w:r>
          </w:p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防治区</w:t>
            </w:r>
          </w:p>
        </w:tc>
        <w:tc>
          <w:tcPr>
            <w:tcW w:w="1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jc w:val="lef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方案新增：复耕0.15hm</w:t>
            </w:r>
            <w:r>
              <w:rPr>
                <w:rFonts w:ascii="方正仿宋_GBK" w:eastAsia="方正仿宋_GBK" w:hint="eastAsia"/>
                <w:color w:val="auto"/>
                <w:vertAlign w:val="superscript"/>
              </w:rPr>
              <w:t>2</w:t>
            </w:r>
            <w:r>
              <w:rPr>
                <w:rFonts w:ascii="方正仿宋_GBK" w:eastAsia="方正仿宋_GBK" w:hint="eastAsia"/>
                <w:color w:val="auto"/>
              </w:rPr>
              <w:t>；表土剥离0.05万m</w:t>
            </w:r>
            <w:r>
              <w:rPr>
                <w:rFonts w:ascii="方正仿宋_GBK" w:eastAsia="方正仿宋_GBK" w:hint="eastAsia"/>
                <w:color w:val="auto"/>
                <w:vertAlign w:val="superscript"/>
              </w:rPr>
              <w:t>3</w:t>
            </w:r>
            <w:r>
              <w:rPr>
                <w:rFonts w:ascii="方正仿宋_GBK" w:eastAsia="方正仿宋_GBK" w:hint="eastAsia"/>
                <w:color w:val="auto"/>
              </w:rPr>
              <w:t>，表土回填0.08万m</w:t>
            </w:r>
            <w:r>
              <w:rPr>
                <w:rFonts w:ascii="方正仿宋_GBK" w:eastAsia="方正仿宋_GBK" w:hint="eastAsia"/>
                <w:color w:val="auto"/>
                <w:vertAlign w:val="superscript"/>
              </w:rPr>
              <w:t>3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jc w:val="left"/>
              <w:rPr>
                <w:rFonts w:ascii="方正仿宋_GBK" w:eastAsia="方正仿宋_GBK"/>
                <w:color w:val="auto"/>
              </w:rPr>
            </w:pPr>
          </w:p>
        </w:tc>
        <w:tc>
          <w:tcPr>
            <w:tcW w:w="1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jc w:val="lef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方案新增：临时排水沟140m，临时沉砂池1座，临时覆盖305m</w:t>
            </w:r>
            <w:r>
              <w:rPr>
                <w:rFonts w:ascii="方正仿宋_GBK" w:eastAsia="方正仿宋_GBK" w:hint="eastAsia"/>
                <w:color w:val="auto"/>
                <w:vertAlign w:val="superscript"/>
              </w:rPr>
              <w:t>2</w:t>
            </w:r>
            <w:r>
              <w:rPr>
                <w:rFonts w:ascii="方正仿宋_GBK" w:eastAsia="方正仿宋_GBK" w:hint="eastAsia"/>
                <w:color w:val="auto"/>
              </w:rPr>
              <w:t>；</w:t>
            </w:r>
          </w:p>
        </w:tc>
      </w:tr>
      <w:tr w:rsidR="005D6A7C" w:rsidTr="0044792D">
        <w:trPr>
          <w:trHeight w:val="18"/>
          <w:jc w:val="center"/>
        </w:trPr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投资（万元）</w:t>
            </w:r>
          </w:p>
        </w:tc>
        <w:tc>
          <w:tcPr>
            <w:tcW w:w="1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jc w:val="lef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主体已列：191.55</w:t>
            </w:r>
          </w:p>
          <w:p w:rsidR="005D6A7C" w:rsidRDefault="005D6A7C" w:rsidP="0044792D">
            <w:pPr>
              <w:pStyle w:val="a3"/>
              <w:spacing w:line="280" w:lineRule="exact"/>
              <w:jc w:val="lef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方案新增：10.92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jc w:val="lef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主体已列：10.88</w:t>
            </w:r>
          </w:p>
          <w:p w:rsidR="005D6A7C" w:rsidRDefault="005D6A7C" w:rsidP="0044792D">
            <w:pPr>
              <w:pStyle w:val="a3"/>
              <w:spacing w:line="280" w:lineRule="exact"/>
              <w:jc w:val="lef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方案新增：0.00</w:t>
            </w:r>
          </w:p>
        </w:tc>
        <w:tc>
          <w:tcPr>
            <w:tcW w:w="1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jc w:val="lef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主体已列：0.00</w:t>
            </w:r>
          </w:p>
          <w:p w:rsidR="005D6A7C" w:rsidRDefault="005D6A7C" w:rsidP="0044792D">
            <w:pPr>
              <w:pStyle w:val="a3"/>
              <w:spacing w:line="280" w:lineRule="exact"/>
              <w:jc w:val="lef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方案新增：19.30</w:t>
            </w:r>
          </w:p>
        </w:tc>
      </w:tr>
      <w:tr w:rsidR="005D6A7C" w:rsidTr="0044792D">
        <w:trPr>
          <w:trHeight w:val="18"/>
          <w:jc w:val="center"/>
        </w:trPr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  <w:spacing w:val="-20"/>
              </w:rPr>
            </w:pPr>
            <w:r>
              <w:rPr>
                <w:rFonts w:ascii="方正仿宋_GBK" w:eastAsia="方正仿宋_GBK" w:hint="eastAsia"/>
                <w:color w:val="auto"/>
                <w:spacing w:val="-20"/>
              </w:rPr>
              <w:t>水土保持总投资（万元）</w:t>
            </w:r>
          </w:p>
        </w:tc>
        <w:tc>
          <w:tcPr>
            <w:tcW w:w="1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273.15（新增70.72）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独立费用（万元）</w:t>
            </w:r>
          </w:p>
        </w:tc>
        <w:tc>
          <w:tcPr>
            <w:tcW w:w="1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16.03</w:t>
            </w:r>
          </w:p>
        </w:tc>
      </w:tr>
      <w:tr w:rsidR="005D6A7C" w:rsidTr="0044792D">
        <w:trPr>
          <w:trHeight w:val="18"/>
          <w:jc w:val="center"/>
        </w:trPr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监理费（万元）</w:t>
            </w:r>
          </w:p>
        </w:tc>
        <w:tc>
          <w:tcPr>
            <w:tcW w:w="15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0.90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监测费（万元）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14.73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补偿费（万元）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6.08</w:t>
            </w:r>
          </w:p>
        </w:tc>
      </w:tr>
      <w:tr w:rsidR="005D6A7C" w:rsidTr="0044792D">
        <w:trPr>
          <w:trHeight w:val="18"/>
          <w:jc w:val="center"/>
        </w:trPr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分省措施费（万元）</w:t>
            </w:r>
          </w:p>
        </w:tc>
        <w:tc>
          <w:tcPr>
            <w:tcW w:w="15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——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分省补偿费（万元）</w:t>
            </w:r>
          </w:p>
        </w:tc>
        <w:tc>
          <w:tcPr>
            <w:tcW w:w="1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——</w:t>
            </w:r>
          </w:p>
        </w:tc>
      </w:tr>
      <w:tr w:rsidR="005D6A7C" w:rsidTr="0044792D">
        <w:trPr>
          <w:trHeight w:val="21"/>
          <w:jc w:val="center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spacing w:line="28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编制单位</w:t>
            </w:r>
          </w:p>
        </w:tc>
        <w:tc>
          <w:tcPr>
            <w:tcW w:w="1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spacing w:line="28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重庆一可环保工程有限公司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spacing w:line="28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建设单位</w:t>
            </w:r>
          </w:p>
        </w:tc>
        <w:tc>
          <w:tcPr>
            <w:tcW w:w="16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spacing w:line="28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酉阳土家族苗族自治县公路事务中心</w:t>
            </w:r>
          </w:p>
        </w:tc>
      </w:tr>
      <w:tr w:rsidR="005D6A7C" w:rsidTr="0044792D">
        <w:trPr>
          <w:trHeight w:val="21"/>
          <w:jc w:val="center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spacing w:line="28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法定代表人</w:t>
            </w:r>
          </w:p>
        </w:tc>
        <w:tc>
          <w:tcPr>
            <w:tcW w:w="17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spacing w:line="28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袁巍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spacing w:line="28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法定代表人</w:t>
            </w:r>
          </w:p>
        </w:tc>
        <w:tc>
          <w:tcPr>
            <w:tcW w:w="16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spacing w:line="28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马小虎</w:t>
            </w:r>
          </w:p>
        </w:tc>
      </w:tr>
      <w:tr w:rsidR="005D6A7C" w:rsidTr="0044792D">
        <w:trPr>
          <w:trHeight w:val="21"/>
          <w:jc w:val="center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spacing w:line="28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地    址</w:t>
            </w:r>
          </w:p>
        </w:tc>
        <w:tc>
          <w:tcPr>
            <w:tcW w:w="1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spacing w:line="28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重庆市九龙坡区渝州路街道科园二路137号19层2号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spacing w:line="28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地    址</w:t>
            </w:r>
          </w:p>
        </w:tc>
        <w:tc>
          <w:tcPr>
            <w:tcW w:w="1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spacing w:line="28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酉阳县桃花源街道源泉新路9号交通综合大楼</w:t>
            </w:r>
          </w:p>
        </w:tc>
      </w:tr>
      <w:tr w:rsidR="005D6A7C" w:rsidTr="0044792D">
        <w:trPr>
          <w:trHeight w:val="21"/>
          <w:jc w:val="center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spacing w:line="28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邮    编</w:t>
            </w:r>
          </w:p>
        </w:tc>
        <w:tc>
          <w:tcPr>
            <w:tcW w:w="1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400041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spacing w:line="28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邮    编</w:t>
            </w:r>
          </w:p>
        </w:tc>
        <w:tc>
          <w:tcPr>
            <w:tcW w:w="1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spacing w:line="28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409800</w:t>
            </w:r>
          </w:p>
        </w:tc>
      </w:tr>
      <w:tr w:rsidR="005D6A7C" w:rsidTr="0044792D">
        <w:trPr>
          <w:trHeight w:val="21"/>
          <w:jc w:val="center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spacing w:line="28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联系人及电话</w:t>
            </w:r>
          </w:p>
        </w:tc>
        <w:tc>
          <w:tcPr>
            <w:tcW w:w="1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张宁/139 9673 9497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spacing w:line="28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联系人及电话</w:t>
            </w:r>
          </w:p>
        </w:tc>
        <w:tc>
          <w:tcPr>
            <w:tcW w:w="1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spacing w:line="28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冯凯/136 0948 0868</w:t>
            </w:r>
          </w:p>
        </w:tc>
      </w:tr>
      <w:tr w:rsidR="005D6A7C" w:rsidTr="0044792D">
        <w:trPr>
          <w:trHeight w:val="21"/>
          <w:jc w:val="center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spacing w:line="28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lastRenderedPageBreak/>
              <w:t>传    真</w:t>
            </w:r>
          </w:p>
        </w:tc>
        <w:tc>
          <w:tcPr>
            <w:tcW w:w="1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/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spacing w:line="28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传真</w:t>
            </w:r>
          </w:p>
        </w:tc>
        <w:tc>
          <w:tcPr>
            <w:tcW w:w="1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spacing w:line="28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/</w:t>
            </w:r>
          </w:p>
        </w:tc>
      </w:tr>
      <w:tr w:rsidR="005D6A7C" w:rsidTr="0044792D">
        <w:trPr>
          <w:trHeight w:val="21"/>
          <w:jc w:val="center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spacing w:line="28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电子信箱</w:t>
            </w:r>
          </w:p>
        </w:tc>
        <w:tc>
          <w:tcPr>
            <w:tcW w:w="1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22365520 @qq.com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spacing w:line="28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电子信箱</w:t>
            </w:r>
          </w:p>
        </w:tc>
        <w:tc>
          <w:tcPr>
            <w:tcW w:w="1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spacing w:line="28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/</w:t>
            </w:r>
          </w:p>
        </w:tc>
      </w:tr>
      <w:tr w:rsidR="005D6A7C" w:rsidTr="0044792D">
        <w:trPr>
          <w:trHeight w:val="21"/>
          <w:jc w:val="center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spacing w:line="28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统一社会信用代码</w:t>
            </w:r>
          </w:p>
        </w:tc>
        <w:tc>
          <w:tcPr>
            <w:tcW w:w="1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pStyle w:val="a3"/>
              <w:spacing w:line="280" w:lineRule="exact"/>
              <w:rPr>
                <w:rFonts w:ascii="方正仿宋_GBK" w:eastAsia="方正仿宋_GBK"/>
                <w:color w:val="auto"/>
              </w:rPr>
            </w:pPr>
            <w:r>
              <w:rPr>
                <w:rFonts w:ascii="方正仿宋_GBK" w:eastAsia="方正仿宋_GBK" w:hint="eastAsia"/>
                <w:color w:val="auto"/>
              </w:rPr>
              <w:t>915001073049880460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spacing w:line="28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统一社会信用代码</w:t>
            </w:r>
          </w:p>
        </w:tc>
        <w:tc>
          <w:tcPr>
            <w:tcW w:w="1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7C" w:rsidRDefault="005D6A7C" w:rsidP="0044792D">
            <w:pPr>
              <w:spacing w:line="28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12500242MB1H16130J</w:t>
            </w:r>
          </w:p>
        </w:tc>
      </w:tr>
    </w:tbl>
    <w:p w:rsidR="00B7265C" w:rsidRDefault="00B7265C"/>
    <w:sectPr w:rsidR="00B72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7C"/>
    <w:rsid w:val="005D6A7C"/>
    <w:rsid w:val="00B7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6FA01-7826-4F7B-BDE3-6F951E51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5D6A7C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本"/>
    <w:basedOn w:val="a"/>
    <w:next w:val="a"/>
    <w:link w:val="Char"/>
    <w:qFormat/>
    <w:rsid w:val="005D6A7C"/>
    <w:pPr>
      <w:adjustRightInd w:val="0"/>
      <w:snapToGrid w:val="0"/>
      <w:jc w:val="center"/>
    </w:pPr>
    <w:rPr>
      <w:rFonts w:eastAsia="仿宋_GB2312"/>
      <w:color w:val="000000"/>
      <w:sz w:val="21"/>
      <w:szCs w:val="21"/>
    </w:rPr>
  </w:style>
  <w:style w:type="character" w:customStyle="1" w:styleId="Char">
    <w:name w:val="表格文本 Char"/>
    <w:link w:val="a3"/>
    <w:qFormat/>
    <w:rsid w:val="005D6A7C"/>
    <w:rPr>
      <w:rFonts w:ascii="Times New Roman" w:eastAsia="仿宋_GB2312" w:hAnsi="Times New Roman" w:cs="Times New Roman"/>
      <w:color w:val="000000"/>
      <w:szCs w:val="21"/>
    </w:rPr>
  </w:style>
  <w:style w:type="paragraph" w:styleId="a4">
    <w:name w:val="Body Text Indent"/>
    <w:basedOn w:val="a"/>
    <w:link w:val="a5"/>
    <w:uiPriority w:val="99"/>
    <w:semiHidden/>
    <w:unhideWhenUsed/>
    <w:rsid w:val="005D6A7C"/>
    <w:pPr>
      <w:spacing w:after="120"/>
      <w:ind w:leftChars="200" w:left="420"/>
    </w:pPr>
  </w:style>
  <w:style w:type="character" w:customStyle="1" w:styleId="a5">
    <w:name w:val="正文文本缩进 字符"/>
    <w:basedOn w:val="a0"/>
    <w:link w:val="a4"/>
    <w:uiPriority w:val="99"/>
    <w:semiHidden/>
    <w:rsid w:val="005D6A7C"/>
    <w:rPr>
      <w:rFonts w:ascii="Times New Roman" w:eastAsia="宋体" w:hAnsi="Times New Roman" w:cs="Times New Roman"/>
      <w:sz w:val="28"/>
      <w:szCs w:val="20"/>
    </w:rPr>
  </w:style>
  <w:style w:type="paragraph" w:styleId="2">
    <w:name w:val="Body Text First Indent 2"/>
    <w:basedOn w:val="a4"/>
    <w:link w:val="20"/>
    <w:uiPriority w:val="99"/>
    <w:semiHidden/>
    <w:unhideWhenUsed/>
    <w:rsid w:val="005D6A7C"/>
    <w:pPr>
      <w:ind w:firstLineChars="200" w:firstLine="420"/>
    </w:pPr>
  </w:style>
  <w:style w:type="character" w:customStyle="1" w:styleId="20">
    <w:name w:val="正文首行缩进 2 字符"/>
    <w:basedOn w:val="a5"/>
    <w:link w:val="2"/>
    <w:uiPriority w:val="99"/>
    <w:semiHidden/>
    <w:rsid w:val="005D6A7C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2023-05-11T03:21:00Z</dcterms:created>
  <dcterms:modified xsi:type="dcterms:W3CDTF">2023-05-11T03:21:00Z</dcterms:modified>
</cp:coreProperties>
</file>