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Lines="50" w:afterLines="50" w:line="594" w:lineRule="exact"/>
        <w:jc w:val="center"/>
        <w:rPr>
          <w:rFonts w:ascii="Times New Roman" w:hAnsi="Times New Roman" w:eastAsia="方正小标宋_GBK" w:cs="方正小标宋_GBK"/>
          <w:color w:val="000000" w:themeColor="text1"/>
          <w:sz w:val="36"/>
          <w:szCs w:val="36"/>
          <w:lang w:eastAsia="zh-CN"/>
          <w14:textFill>
            <w14:solidFill>
              <w14:schemeClr w14:val="tx1"/>
            </w14:solidFill>
          </w14:textFill>
        </w:rPr>
      </w:pPr>
      <w:r>
        <w:rPr>
          <w:rFonts w:hint="eastAsia" w:ascii="Times New Roman" w:hAnsi="Times New Roman" w:eastAsia="方正小标宋_GBK" w:cs="方正小标宋_GBK"/>
          <w:color w:val="000000" w:themeColor="text1"/>
          <w:sz w:val="36"/>
          <w:szCs w:val="36"/>
          <w:lang w:eastAsia="zh-CN"/>
          <w14:textFill>
            <w14:solidFill>
              <w14:schemeClr w14:val="tx1"/>
            </w14:solidFill>
          </w14:textFill>
        </w:rPr>
        <w:t>酉阳县公共法律服务领域政务公开标准目录（202</w:t>
      </w:r>
      <w:r>
        <w:rPr>
          <w:rFonts w:hint="eastAsia" w:ascii="Times New Roman" w:hAnsi="Times New Roman" w:eastAsia="方正小标宋_GBK" w:cs="方正小标宋_GBK"/>
          <w:color w:val="000000" w:themeColor="text1"/>
          <w:sz w:val="36"/>
          <w:szCs w:val="36"/>
          <w:lang w:val="en-US" w:eastAsia="zh-CN"/>
          <w14:textFill>
            <w14:solidFill>
              <w14:schemeClr w14:val="tx1"/>
            </w14:solidFill>
          </w14:textFill>
        </w:rPr>
        <w:t>6</w:t>
      </w:r>
      <w:r>
        <w:rPr>
          <w:rFonts w:hint="eastAsia" w:ascii="Times New Roman" w:hAnsi="Times New Roman" w:eastAsia="方正小标宋_GBK" w:cs="方正小标宋_GBK"/>
          <w:color w:val="000000" w:themeColor="text1"/>
          <w:sz w:val="36"/>
          <w:szCs w:val="36"/>
          <w:lang w:eastAsia="zh-CN"/>
          <w14:textFill>
            <w14:solidFill>
              <w14:schemeClr w14:val="tx1"/>
            </w14:solidFill>
          </w14:textFill>
        </w:rPr>
        <w:t>年版）</w:t>
      </w:r>
    </w:p>
    <w:tbl>
      <w:tblPr>
        <w:tblStyle w:val="4"/>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79"/>
        <w:gridCol w:w="947"/>
        <w:gridCol w:w="2091"/>
        <w:gridCol w:w="3726"/>
        <w:gridCol w:w="1322"/>
        <w:gridCol w:w="780"/>
        <w:gridCol w:w="1339"/>
        <w:gridCol w:w="443"/>
        <w:gridCol w:w="446"/>
        <w:gridCol w:w="443"/>
        <w:gridCol w:w="454"/>
        <w:gridCol w:w="426"/>
        <w:gridCol w:w="426"/>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426" w:type="dxa"/>
            <w:vMerge w:val="restart"/>
            <w:noWrap w:val="0"/>
            <w:vAlign w:val="center"/>
          </w:tcPr>
          <w:p>
            <w:pPr>
              <w:pStyle w:val="2"/>
              <w:spacing w:line="240" w:lineRule="exact"/>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序</w:t>
            </w:r>
          </w:p>
          <w:p>
            <w:pPr>
              <w:pStyle w:val="2"/>
              <w:spacing w:line="240" w:lineRule="exact"/>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号</w:t>
            </w:r>
          </w:p>
        </w:tc>
        <w:tc>
          <w:tcPr>
            <w:tcW w:w="1426" w:type="dxa"/>
            <w:gridSpan w:val="2"/>
            <w:noWrap w:val="0"/>
            <w:vAlign w:val="center"/>
          </w:tcPr>
          <w:p>
            <w:pPr>
              <w:pStyle w:val="2"/>
              <w:spacing w:line="240" w:lineRule="exact"/>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公开事项</w:t>
            </w:r>
          </w:p>
        </w:tc>
        <w:tc>
          <w:tcPr>
            <w:tcW w:w="2091" w:type="dxa"/>
            <w:vMerge w:val="restart"/>
            <w:noWrap w:val="0"/>
            <w:vAlign w:val="center"/>
          </w:tcPr>
          <w:p>
            <w:pPr>
              <w:pStyle w:val="2"/>
              <w:spacing w:line="240" w:lineRule="exact"/>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公开内容</w:t>
            </w:r>
          </w:p>
          <w:p>
            <w:pPr>
              <w:pStyle w:val="2"/>
              <w:spacing w:line="240" w:lineRule="exact"/>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（要素）</w:t>
            </w:r>
          </w:p>
        </w:tc>
        <w:tc>
          <w:tcPr>
            <w:tcW w:w="3726" w:type="dxa"/>
            <w:vMerge w:val="restart"/>
            <w:noWrap w:val="0"/>
            <w:vAlign w:val="center"/>
          </w:tcPr>
          <w:p>
            <w:pPr>
              <w:pStyle w:val="2"/>
              <w:spacing w:line="240" w:lineRule="exact"/>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公开依据</w:t>
            </w:r>
          </w:p>
        </w:tc>
        <w:tc>
          <w:tcPr>
            <w:tcW w:w="1322" w:type="dxa"/>
            <w:vMerge w:val="restart"/>
            <w:noWrap w:val="0"/>
            <w:vAlign w:val="center"/>
          </w:tcPr>
          <w:p>
            <w:pPr>
              <w:pStyle w:val="2"/>
              <w:spacing w:line="240" w:lineRule="exact"/>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公开</w:t>
            </w:r>
          </w:p>
          <w:p>
            <w:pPr>
              <w:pStyle w:val="2"/>
              <w:spacing w:line="240" w:lineRule="exact"/>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时限</w:t>
            </w:r>
          </w:p>
        </w:tc>
        <w:tc>
          <w:tcPr>
            <w:tcW w:w="780" w:type="dxa"/>
            <w:vMerge w:val="restart"/>
            <w:noWrap w:val="0"/>
            <w:vAlign w:val="center"/>
          </w:tcPr>
          <w:p>
            <w:pPr>
              <w:pStyle w:val="2"/>
              <w:spacing w:line="240" w:lineRule="exact"/>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公开</w:t>
            </w:r>
          </w:p>
          <w:p>
            <w:pPr>
              <w:pStyle w:val="2"/>
              <w:spacing w:line="240" w:lineRule="exact"/>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主体</w:t>
            </w:r>
          </w:p>
        </w:tc>
        <w:tc>
          <w:tcPr>
            <w:tcW w:w="1339" w:type="dxa"/>
            <w:vMerge w:val="restart"/>
            <w:noWrap w:val="0"/>
            <w:vAlign w:val="center"/>
          </w:tcPr>
          <w:p>
            <w:pPr>
              <w:pStyle w:val="2"/>
              <w:spacing w:line="240" w:lineRule="exact"/>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公开渠道</w:t>
            </w:r>
          </w:p>
          <w:p>
            <w:pPr>
              <w:pStyle w:val="2"/>
              <w:spacing w:line="240" w:lineRule="exact"/>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和载体</w:t>
            </w:r>
          </w:p>
        </w:tc>
        <w:tc>
          <w:tcPr>
            <w:tcW w:w="889" w:type="dxa"/>
            <w:gridSpan w:val="2"/>
            <w:noWrap w:val="0"/>
            <w:vAlign w:val="center"/>
          </w:tcPr>
          <w:p>
            <w:pPr>
              <w:pStyle w:val="2"/>
              <w:spacing w:line="240" w:lineRule="exact"/>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公开对象</w:t>
            </w:r>
          </w:p>
        </w:tc>
        <w:tc>
          <w:tcPr>
            <w:tcW w:w="897" w:type="dxa"/>
            <w:gridSpan w:val="2"/>
            <w:noWrap w:val="0"/>
            <w:vAlign w:val="center"/>
          </w:tcPr>
          <w:p>
            <w:pPr>
              <w:pStyle w:val="2"/>
              <w:spacing w:line="240" w:lineRule="exact"/>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公开方式</w:t>
            </w:r>
          </w:p>
        </w:tc>
        <w:tc>
          <w:tcPr>
            <w:tcW w:w="1278" w:type="dxa"/>
            <w:gridSpan w:val="3"/>
            <w:noWrap w:val="0"/>
            <w:vAlign w:val="center"/>
          </w:tcPr>
          <w:p>
            <w:pPr>
              <w:pStyle w:val="2"/>
              <w:spacing w:line="240" w:lineRule="exact"/>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426" w:type="dxa"/>
            <w:vMerge w:val="continue"/>
            <w:noWrap w:val="0"/>
            <w:vAlign w:val="center"/>
          </w:tcPr>
          <w:p>
            <w:pPr>
              <w:pStyle w:val="2"/>
              <w:spacing w:line="240" w:lineRule="exact"/>
              <w:jc w:val="center"/>
              <w:rPr>
                <w:rFonts w:ascii="Times New Roman" w:hAnsi="Times New Roman" w:eastAsia="方正仿宋_GBK" w:cs="方正仿宋_GBK"/>
                <w:color w:val="000000" w:themeColor="text1"/>
                <w:sz w:val="21"/>
                <w:szCs w:val="21"/>
                <w14:textFill>
                  <w14:solidFill>
                    <w14:schemeClr w14:val="tx1"/>
                  </w14:solidFill>
                </w14:textFill>
              </w:rPr>
            </w:pPr>
          </w:p>
        </w:tc>
        <w:tc>
          <w:tcPr>
            <w:tcW w:w="479" w:type="dxa"/>
            <w:noWrap w:val="0"/>
            <w:vAlign w:val="center"/>
          </w:tcPr>
          <w:p>
            <w:pPr>
              <w:pStyle w:val="2"/>
              <w:spacing w:line="240" w:lineRule="exact"/>
              <w:jc w:val="center"/>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一级</w:t>
            </w:r>
          </w:p>
          <w:p>
            <w:pPr>
              <w:pStyle w:val="2"/>
              <w:spacing w:line="240" w:lineRule="exact"/>
              <w:jc w:val="center"/>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事项</w:t>
            </w:r>
          </w:p>
        </w:tc>
        <w:tc>
          <w:tcPr>
            <w:tcW w:w="947" w:type="dxa"/>
            <w:noWrap w:val="0"/>
            <w:vAlign w:val="center"/>
          </w:tcPr>
          <w:p>
            <w:pPr>
              <w:pStyle w:val="2"/>
              <w:spacing w:line="240" w:lineRule="exact"/>
              <w:jc w:val="center"/>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二级</w:t>
            </w:r>
          </w:p>
          <w:p>
            <w:pPr>
              <w:pStyle w:val="2"/>
              <w:spacing w:line="240" w:lineRule="exact"/>
              <w:jc w:val="center"/>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事项</w:t>
            </w:r>
          </w:p>
        </w:tc>
        <w:tc>
          <w:tcPr>
            <w:tcW w:w="2091" w:type="dxa"/>
            <w:vMerge w:val="continue"/>
            <w:noWrap w:val="0"/>
            <w:vAlign w:val="center"/>
          </w:tcPr>
          <w:p>
            <w:pPr>
              <w:pStyle w:val="2"/>
              <w:spacing w:line="240" w:lineRule="exact"/>
              <w:jc w:val="center"/>
              <w:rPr>
                <w:rFonts w:ascii="Times New Roman" w:hAnsi="Times New Roman" w:eastAsia="方正仿宋_GBK" w:cs="方正仿宋_GBK"/>
                <w:color w:val="000000" w:themeColor="text1"/>
                <w:sz w:val="21"/>
                <w:szCs w:val="21"/>
                <w14:textFill>
                  <w14:solidFill>
                    <w14:schemeClr w14:val="tx1"/>
                  </w14:solidFill>
                </w14:textFill>
              </w:rPr>
            </w:pPr>
          </w:p>
        </w:tc>
        <w:tc>
          <w:tcPr>
            <w:tcW w:w="3726" w:type="dxa"/>
            <w:vMerge w:val="continue"/>
            <w:noWrap w:val="0"/>
            <w:vAlign w:val="center"/>
          </w:tcPr>
          <w:p>
            <w:pPr>
              <w:pStyle w:val="2"/>
              <w:spacing w:line="240" w:lineRule="exact"/>
              <w:jc w:val="both"/>
              <w:rPr>
                <w:rFonts w:ascii="Times New Roman" w:hAnsi="Times New Roman" w:eastAsia="方正仿宋_GBK" w:cs="方正仿宋_GBK"/>
                <w:color w:val="000000" w:themeColor="text1"/>
                <w:sz w:val="21"/>
                <w:szCs w:val="21"/>
                <w14:textFill>
                  <w14:solidFill>
                    <w14:schemeClr w14:val="tx1"/>
                  </w14:solidFill>
                </w14:textFill>
              </w:rPr>
            </w:pPr>
          </w:p>
        </w:tc>
        <w:tc>
          <w:tcPr>
            <w:tcW w:w="1322" w:type="dxa"/>
            <w:vMerge w:val="continue"/>
            <w:noWrap w:val="0"/>
            <w:vAlign w:val="center"/>
          </w:tcPr>
          <w:p>
            <w:pPr>
              <w:pStyle w:val="2"/>
              <w:spacing w:line="240" w:lineRule="exact"/>
              <w:jc w:val="both"/>
              <w:rPr>
                <w:rFonts w:ascii="Times New Roman" w:hAnsi="Times New Roman" w:eastAsia="方正仿宋_GBK" w:cs="方正仿宋_GBK"/>
                <w:color w:val="000000" w:themeColor="text1"/>
                <w:sz w:val="21"/>
                <w:szCs w:val="21"/>
                <w14:textFill>
                  <w14:solidFill>
                    <w14:schemeClr w14:val="tx1"/>
                  </w14:solidFill>
                </w14:textFill>
              </w:rPr>
            </w:pPr>
          </w:p>
        </w:tc>
        <w:tc>
          <w:tcPr>
            <w:tcW w:w="780" w:type="dxa"/>
            <w:vMerge w:val="continue"/>
            <w:noWrap w:val="0"/>
            <w:vAlign w:val="center"/>
          </w:tcPr>
          <w:p>
            <w:pPr>
              <w:pStyle w:val="2"/>
              <w:spacing w:line="240" w:lineRule="exact"/>
              <w:jc w:val="center"/>
              <w:rPr>
                <w:rFonts w:ascii="Times New Roman" w:hAnsi="Times New Roman" w:eastAsia="方正仿宋_GBK" w:cs="方正仿宋_GBK"/>
                <w:color w:val="000000" w:themeColor="text1"/>
                <w:sz w:val="21"/>
                <w:szCs w:val="21"/>
                <w14:textFill>
                  <w14:solidFill>
                    <w14:schemeClr w14:val="tx1"/>
                  </w14:solidFill>
                </w14:textFill>
              </w:rPr>
            </w:pPr>
          </w:p>
        </w:tc>
        <w:tc>
          <w:tcPr>
            <w:tcW w:w="1339" w:type="dxa"/>
            <w:vMerge w:val="continue"/>
            <w:noWrap w:val="0"/>
            <w:vAlign w:val="center"/>
          </w:tcPr>
          <w:p>
            <w:pPr>
              <w:pStyle w:val="2"/>
              <w:spacing w:line="240" w:lineRule="exact"/>
              <w:jc w:val="center"/>
              <w:rPr>
                <w:rFonts w:ascii="Times New Roman" w:hAnsi="Times New Roman" w:eastAsia="方正仿宋_GBK" w:cs="方正仿宋_GBK"/>
                <w:color w:val="000000" w:themeColor="text1"/>
                <w:sz w:val="21"/>
                <w:szCs w:val="21"/>
                <w14:textFill>
                  <w14:solidFill>
                    <w14:schemeClr w14:val="tx1"/>
                  </w14:solidFill>
                </w14:textFill>
              </w:rPr>
            </w:pPr>
          </w:p>
        </w:tc>
        <w:tc>
          <w:tcPr>
            <w:tcW w:w="443" w:type="dxa"/>
            <w:noWrap w:val="0"/>
            <w:vAlign w:val="center"/>
          </w:tcPr>
          <w:p>
            <w:pPr>
              <w:pStyle w:val="2"/>
              <w:spacing w:line="240" w:lineRule="exact"/>
              <w:jc w:val="center"/>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全</w:t>
            </w:r>
          </w:p>
          <w:p>
            <w:pPr>
              <w:pStyle w:val="2"/>
              <w:spacing w:line="240" w:lineRule="exact"/>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社会</w:t>
            </w:r>
          </w:p>
        </w:tc>
        <w:tc>
          <w:tcPr>
            <w:tcW w:w="446" w:type="dxa"/>
            <w:noWrap w:val="0"/>
            <w:vAlign w:val="center"/>
          </w:tcPr>
          <w:p>
            <w:pPr>
              <w:pStyle w:val="2"/>
              <w:spacing w:line="240" w:lineRule="exact"/>
              <w:jc w:val="center"/>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特定</w:t>
            </w:r>
          </w:p>
          <w:p>
            <w:pPr>
              <w:pStyle w:val="2"/>
              <w:spacing w:line="240" w:lineRule="exact"/>
              <w:jc w:val="center"/>
              <w:rPr>
                <w:rFonts w:ascii="Times New Roman" w:hAnsi="Times New Roman" w:eastAsia="方正仿宋_GBK" w:cs="方正仿宋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群体</w:t>
            </w:r>
          </w:p>
        </w:tc>
        <w:tc>
          <w:tcPr>
            <w:tcW w:w="443" w:type="dxa"/>
            <w:noWrap w:val="0"/>
            <w:vAlign w:val="center"/>
          </w:tcPr>
          <w:p>
            <w:pPr>
              <w:pStyle w:val="2"/>
              <w:spacing w:line="240" w:lineRule="exact"/>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主动</w:t>
            </w:r>
          </w:p>
          <w:p>
            <w:pPr>
              <w:pStyle w:val="2"/>
              <w:spacing w:line="240" w:lineRule="exact"/>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公开</w:t>
            </w:r>
          </w:p>
        </w:tc>
        <w:tc>
          <w:tcPr>
            <w:tcW w:w="454" w:type="dxa"/>
            <w:noWrap w:val="0"/>
            <w:vAlign w:val="center"/>
          </w:tcPr>
          <w:p>
            <w:pPr>
              <w:pStyle w:val="2"/>
              <w:spacing w:line="240" w:lineRule="exact"/>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依申</w:t>
            </w:r>
          </w:p>
          <w:p>
            <w:pPr>
              <w:pStyle w:val="2"/>
              <w:spacing w:line="240" w:lineRule="exact"/>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w w:val="80"/>
                <w:sz w:val="21"/>
                <w:szCs w:val="21"/>
                <w14:textFill>
                  <w14:solidFill>
                    <w14:schemeClr w14:val="tx1"/>
                  </w14:solidFill>
                </w14:textFill>
              </w:rPr>
              <w:t>请公开</w:t>
            </w:r>
          </w:p>
        </w:tc>
        <w:tc>
          <w:tcPr>
            <w:tcW w:w="426" w:type="dxa"/>
            <w:noWrap w:val="0"/>
            <w:vAlign w:val="center"/>
          </w:tcPr>
          <w:p>
            <w:pPr>
              <w:pStyle w:val="2"/>
              <w:spacing w:line="240" w:lineRule="exact"/>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市</w:t>
            </w:r>
          </w:p>
          <w:p>
            <w:pPr>
              <w:pStyle w:val="2"/>
              <w:spacing w:line="240" w:lineRule="exact"/>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级</w:t>
            </w:r>
          </w:p>
        </w:tc>
        <w:tc>
          <w:tcPr>
            <w:tcW w:w="426" w:type="dxa"/>
            <w:noWrap w:val="0"/>
            <w:vAlign w:val="center"/>
          </w:tcPr>
          <w:p>
            <w:pPr>
              <w:pStyle w:val="2"/>
              <w:spacing w:line="240" w:lineRule="exact"/>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县</w:t>
            </w:r>
          </w:p>
          <w:p>
            <w:pPr>
              <w:pStyle w:val="2"/>
              <w:spacing w:line="240" w:lineRule="exact"/>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级</w:t>
            </w:r>
          </w:p>
        </w:tc>
        <w:tc>
          <w:tcPr>
            <w:tcW w:w="426" w:type="dxa"/>
            <w:noWrap w:val="0"/>
            <w:vAlign w:val="center"/>
          </w:tcPr>
          <w:p>
            <w:pPr>
              <w:pStyle w:val="2"/>
              <w:spacing w:line="240" w:lineRule="exact"/>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乡</w:t>
            </w:r>
          </w:p>
          <w:p>
            <w:pPr>
              <w:pStyle w:val="2"/>
              <w:spacing w:line="240" w:lineRule="exact"/>
              <w:jc w:val="center"/>
              <w:textAlignment w:val="baseline"/>
              <w:rPr>
                <w:rFonts w:ascii="Times New Roman" w:hAnsi="Times New Roman" w:eastAsia="方正黑体_GBK" w:cs="方正黑体_GBK"/>
                <w:color w:val="000000" w:themeColor="text1"/>
                <w:sz w:val="21"/>
                <w:szCs w:val="21"/>
                <w14:textFill>
                  <w14:solidFill>
                    <w14:schemeClr w14:val="tx1"/>
                  </w14:solidFill>
                </w14:textFill>
              </w:rPr>
            </w:pPr>
            <w:r>
              <w:rPr>
                <w:rFonts w:hint="eastAsia" w:ascii="Times New Roman" w:hAnsi="Times New Roman" w:eastAsia="方正黑体_GBK" w:cs="方正黑体_GBK"/>
                <w:color w:val="000000" w:themeColor="text1"/>
                <w:sz w:val="21"/>
                <w:szCs w:val="21"/>
                <w14:textFill>
                  <w14:solidFill>
                    <w14:schemeClr w14:val="tx1"/>
                  </w14:solidFill>
                </w14:textFill>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426" w:type="dxa"/>
            <w:noWrap w:val="0"/>
            <w:vAlign w:val="center"/>
          </w:tcPr>
          <w:p>
            <w:pPr>
              <w:spacing w:line="260" w:lineRule="exact"/>
              <w:jc w:val="center"/>
              <w:rPr>
                <w:rFonts w:hint="eastAsia"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val="en-US" w:eastAsia="zh-CN"/>
                <w14:textFill>
                  <w14:solidFill>
                    <w14:schemeClr w14:val="tx1"/>
                  </w14:solidFill>
                </w14:textFill>
              </w:rPr>
              <w:t>1</w:t>
            </w:r>
          </w:p>
        </w:tc>
        <w:tc>
          <w:tcPr>
            <w:tcW w:w="479" w:type="dxa"/>
            <w:noWrap w:val="0"/>
            <w:vAlign w:val="center"/>
          </w:tcPr>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行政许可</w:t>
            </w:r>
          </w:p>
        </w:tc>
        <w:tc>
          <w:tcPr>
            <w:tcW w:w="947" w:type="dxa"/>
            <w:noWrap w:val="0"/>
            <w:vAlign w:val="center"/>
          </w:tcPr>
          <w:p>
            <w:pPr>
              <w:spacing w:line="260" w:lineRule="exact"/>
              <w:jc w:val="center"/>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基层法律服务工作者执业、变更、注销许可</w:t>
            </w:r>
          </w:p>
        </w:tc>
        <w:tc>
          <w:tcPr>
            <w:tcW w:w="2091" w:type="dxa"/>
            <w:noWrap w:val="0"/>
            <w:vAlign w:val="center"/>
          </w:tcPr>
          <w:p>
            <w:pPr>
              <w:spacing w:line="260" w:lineRule="exact"/>
              <w:jc w:val="center"/>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办事指南（依据、条件、程序）、准予行政许可决定</w:t>
            </w:r>
          </w:p>
        </w:tc>
        <w:tc>
          <w:tcPr>
            <w:tcW w:w="3726" w:type="dxa"/>
            <w:noWrap w:val="0"/>
            <w:vAlign w:val="center"/>
          </w:tcPr>
          <w:p>
            <w:pPr>
              <w:spacing w:line="260" w:lineRule="exact"/>
              <w:jc w:val="both"/>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基层法律服务工作者管理办法》（司法部令2017年第138号）《国务院对确需保留的行政审批项目设定行政许可的决定》（国务院令2016年第617号）《国务院关于第六批取消和调整行政审批项目的决定》（国发〔2012〕52号）《中华人民共和国行政许可法》《中华人民共和国政府信息公开条例》《国务院办公厅关于全面推行行政执法公示制度执法全过程记录制度重大执法决定法制审核制度的指导意见》（国办发〔2018〕118号）</w:t>
            </w:r>
          </w:p>
        </w:tc>
        <w:tc>
          <w:tcPr>
            <w:tcW w:w="1322" w:type="dxa"/>
            <w:noWrap w:val="0"/>
            <w:vAlign w:val="center"/>
          </w:tcPr>
          <w:p>
            <w:pPr>
              <w:spacing w:line="260" w:lineRule="exact"/>
              <w:jc w:val="both"/>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制作或获取信息之日起7个工作日内</w:t>
            </w:r>
          </w:p>
        </w:tc>
        <w:tc>
          <w:tcPr>
            <w:tcW w:w="780" w:type="dxa"/>
            <w:noWrap w:val="0"/>
            <w:vAlign w:val="center"/>
          </w:tcPr>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区县</w:t>
            </w:r>
          </w:p>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司法局</w:t>
            </w:r>
          </w:p>
        </w:tc>
        <w:tc>
          <w:tcPr>
            <w:tcW w:w="1339" w:type="dxa"/>
            <w:noWrap w:val="0"/>
            <w:vAlign w:val="center"/>
          </w:tcPr>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重庆市网上办事大厅（渝快办）、</w:t>
            </w:r>
            <w:r>
              <w:rPr>
                <w:rFonts w:hint="eastAsia" w:ascii="Times New Roman" w:hAnsi="Times New Roman" w:eastAsia="方正仿宋_GBK"/>
                <w:color w:val="000000" w:themeColor="text1"/>
                <w:sz w:val="21"/>
                <w:szCs w:val="21"/>
                <w14:textFill>
                  <w14:solidFill>
                    <w14:schemeClr w14:val="tx1"/>
                  </w14:solidFill>
                </w14:textFill>
              </w:rPr>
              <w:t>区县政府门户网站</w:t>
            </w:r>
          </w:p>
        </w:tc>
        <w:tc>
          <w:tcPr>
            <w:tcW w:w="443" w:type="dxa"/>
            <w:noWrap w:val="0"/>
            <w:vAlign w:val="center"/>
          </w:tcPr>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w:t>
            </w:r>
          </w:p>
        </w:tc>
        <w:tc>
          <w:tcPr>
            <w:tcW w:w="446" w:type="dxa"/>
            <w:noWrap w:val="0"/>
            <w:vAlign w:val="center"/>
          </w:tcPr>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p>
        </w:tc>
        <w:tc>
          <w:tcPr>
            <w:tcW w:w="443" w:type="dxa"/>
            <w:noWrap w:val="0"/>
            <w:vAlign w:val="center"/>
          </w:tcPr>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w:t>
            </w:r>
          </w:p>
        </w:tc>
        <w:tc>
          <w:tcPr>
            <w:tcW w:w="454" w:type="dxa"/>
            <w:noWrap w:val="0"/>
            <w:vAlign w:val="center"/>
          </w:tcPr>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p>
        </w:tc>
        <w:tc>
          <w:tcPr>
            <w:tcW w:w="426" w:type="dxa"/>
            <w:noWrap w:val="0"/>
            <w:vAlign w:val="center"/>
          </w:tcPr>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p>
        </w:tc>
        <w:tc>
          <w:tcPr>
            <w:tcW w:w="426" w:type="dxa"/>
            <w:noWrap w:val="0"/>
            <w:vAlign w:val="center"/>
          </w:tcPr>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w:t>
            </w:r>
          </w:p>
        </w:tc>
        <w:tc>
          <w:tcPr>
            <w:tcW w:w="426" w:type="dxa"/>
            <w:noWrap w:val="0"/>
            <w:vAlign w:val="center"/>
          </w:tcPr>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426" w:type="dxa"/>
            <w:noWrap w:val="0"/>
            <w:vAlign w:val="center"/>
          </w:tcPr>
          <w:p>
            <w:pPr>
              <w:spacing w:line="260" w:lineRule="exact"/>
              <w:jc w:val="center"/>
              <w:rPr>
                <w:rFonts w:hint="eastAsia"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val="en-US" w:eastAsia="zh-CN"/>
                <w14:textFill>
                  <w14:solidFill>
                    <w14:schemeClr w14:val="tx1"/>
                  </w14:solidFill>
                </w14:textFill>
              </w:rPr>
              <w:t>2</w:t>
            </w:r>
          </w:p>
        </w:tc>
        <w:tc>
          <w:tcPr>
            <w:tcW w:w="479" w:type="dxa"/>
            <w:noWrap w:val="0"/>
            <w:vAlign w:val="center"/>
          </w:tcPr>
          <w:p>
            <w:pPr>
              <w:spacing w:line="260" w:lineRule="exact"/>
              <w:jc w:val="center"/>
              <w:rPr>
                <w:rFonts w:hint="eastAsia"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行政给付</w:t>
            </w:r>
          </w:p>
        </w:tc>
        <w:tc>
          <w:tcPr>
            <w:tcW w:w="947" w:type="dxa"/>
            <w:noWrap w:val="0"/>
            <w:vAlign w:val="center"/>
          </w:tcPr>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提供法律援助</w:t>
            </w:r>
          </w:p>
        </w:tc>
        <w:tc>
          <w:tcPr>
            <w:tcW w:w="2091" w:type="dxa"/>
            <w:noWrap w:val="0"/>
            <w:vAlign w:val="center"/>
          </w:tcPr>
          <w:p>
            <w:pPr>
              <w:spacing w:line="260" w:lineRule="exact"/>
              <w:jc w:val="center"/>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办事指南（依据、条件、程序）以及资金使用、案件办理、质量考核结果等情况</w:t>
            </w:r>
          </w:p>
        </w:tc>
        <w:tc>
          <w:tcPr>
            <w:tcW w:w="3726" w:type="dxa"/>
            <w:noWrap w:val="0"/>
            <w:vAlign w:val="center"/>
          </w:tcPr>
          <w:p>
            <w:pPr>
              <w:spacing w:line="260" w:lineRule="exact"/>
              <w:jc w:val="both"/>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中华人民共和国法律援助法》《中华人民共和国刑事诉讼法》《法律援助条例》《重庆市法律援助条例》《中共重庆市委办公厅重庆市人民政府办公厅印发〈关于完善法律援助制度的实施意见〉的通知》（渝委办发〔2016〕10号）《中华人民共和国政府信息公开条例》</w:t>
            </w:r>
          </w:p>
        </w:tc>
        <w:tc>
          <w:tcPr>
            <w:tcW w:w="1322" w:type="dxa"/>
            <w:noWrap w:val="0"/>
            <w:vAlign w:val="center"/>
          </w:tcPr>
          <w:p>
            <w:pPr>
              <w:spacing w:line="260" w:lineRule="exact"/>
              <w:jc w:val="both"/>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制作或获取信息之日起20个工作日内（资金使用、案件办理、质量考核结果按季度公开）</w:t>
            </w:r>
          </w:p>
        </w:tc>
        <w:tc>
          <w:tcPr>
            <w:tcW w:w="780" w:type="dxa"/>
            <w:noWrap w:val="0"/>
            <w:vAlign w:val="center"/>
          </w:tcPr>
          <w:p>
            <w:pPr>
              <w:spacing w:line="260" w:lineRule="exact"/>
              <w:jc w:val="center"/>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市司法局、区县司法局</w:t>
            </w:r>
          </w:p>
        </w:tc>
        <w:tc>
          <w:tcPr>
            <w:tcW w:w="1339" w:type="dxa"/>
            <w:noWrap w:val="0"/>
            <w:vAlign w:val="center"/>
          </w:tcPr>
          <w:p>
            <w:pPr>
              <w:spacing w:line="260" w:lineRule="exact"/>
              <w:jc w:val="center"/>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重庆市网上办事大厅（渝快办）、市司法局网站、区县政府门户网站</w:t>
            </w:r>
          </w:p>
        </w:tc>
        <w:tc>
          <w:tcPr>
            <w:tcW w:w="443" w:type="dxa"/>
            <w:noWrap w:val="0"/>
            <w:vAlign w:val="center"/>
          </w:tcPr>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w:t>
            </w:r>
          </w:p>
        </w:tc>
        <w:tc>
          <w:tcPr>
            <w:tcW w:w="446" w:type="dxa"/>
            <w:noWrap w:val="0"/>
            <w:vAlign w:val="center"/>
          </w:tcPr>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p>
        </w:tc>
        <w:tc>
          <w:tcPr>
            <w:tcW w:w="443" w:type="dxa"/>
            <w:noWrap w:val="0"/>
            <w:vAlign w:val="center"/>
          </w:tcPr>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w:t>
            </w:r>
          </w:p>
        </w:tc>
        <w:tc>
          <w:tcPr>
            <w:tcW w:w="454" w:type="dxa"/>
            <w:noWrap w:val="0"/>
            <w:vAlign w:val="center"/>
          </w:tcPr>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p>
        </w:tc>
        <w:tc>
          <w:tcPr>
            <w:tcW w:w="426" w:type="dxa"/>
            <w:noWrap w:val="0"/>
            <w:vAlign w:val="center"/>
          </w:tcPr>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w:t>
            </w:r>
          </w:p>
        </w:tc>
        <w:tc>
          <w:tcPr>
            <w:tcW w:w="426" w:type="dxa"/>
            <w:noWrap w:val="0"/>
            <w:vAlign w:val="center"/>
          </w:tcPr>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w:t>
            </w:r>
          </w:p>
        </w:tc>
        <w:tc>
          <w:tcPr>
            <w:tcW w:w="426" w:type="dxa"/>
            <w:noWrap w:val="0"/>
            <w:vAlign w:val="center"/>
          </w:tcPr>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426" w:type="dxa"/>
            <w:noWrap w:val="0"/>
            <w:vAlign w:val="center"/>
          </w:tcPr>
          <w:p>
            <w:pPr>
              <w:spacing w:line="260" w:lineRule="exact"/>
              <w:jc w:val="center"/>
              <w:rPr>
                <w:rFonts w:hint="default" w:ascii="Times New Roman" w:hAnsi="Times New Roman" w:eastAsia="方正仿宋_GBK"/>
                <w:color w:val="000000" w:themeColor="text1"/>
                <w:sz w:val="21"/>
                <w:szCs w:val="21"/>
                <w:lang w:val="en-US" w:eastAsia="zh-CN"/>
                <w14:textFill>
                  <w14:solidFill>
                    <w14:schemeClr w14:val="tx1"/>
                  </w14:solidFill>
                </w14:textFill>
              </w:rPr>
            </w:pPr>
            <w:r>
              <w:rPr>
                <w:rFonts w:hint="eastAsia" w:ascii="Times New Roman" w:hAnsi="Times New Roman" w:eastAsia="方正仿宋_GBK"/>
                <w:color w:val="000000" w:themeColor="text1"/>
                <w:sz w:val="21"/>
                <w:szCs w:val="21"/>
                <w:lang w:val="en-US" w:eastAsia="zh-CN"/>
                <w14:textFill>
                  <w14:solidFill>
                    <w14:schemeClr w14:val="tx1"/>
                  </w14:solidFill>
                </w14:textFill>
              </w:rPr>
              <w:t>3</w:t>
            </w:r>
          </w:p>
        </w:tc>
        <w:tc>
          <w:tcPr>
            <w:tcW w:w="479" w:type="dxa"/>
            <w:noWrap w:val="0"/>
            <w:vAlign w:val="center"/>
          </w:tcPr>
          <w:p>
            <w:pPr>
              <w:spacing w:line="260" w:lineRule="exact"/>
              <w:jc w:val="center"/>
              <w:rPr>
                <w:rFonts w:hint="eastAsia"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行政检查</w:t>
            </w:r>
          </w:p>
        </w:tc>
        <w:tc>
          <w:tcPr>
            <w:tcW w:w="947" w:type="dxa"/>
            <w:noWrap w:val="0"/>
            <w:vAlign w:val="center"/>
          </w:tcPr>
          <w:p>
            <w:pPr>
              <w:spacing w:line="260" w:lineRule="exact"/>
              <w:jc w:val="center"/>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法律服务行业行政检查</w:t>
            </w:r>
          </w:p>
        </w:tc>
        <w:tc>
          <w:tcPr>
            <w:tcW w:w="2091" w:type="dxa"/>
            <w:noWrap w:val="0"/>
            <w:vAlign w:val="center"/>
          </w:tcPr>
          <w:p>
            <w:pPr>
              <w:spacing w:line="260" w:lineRule="exact"/>
              <w:jc w:val="center"/>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随机（或专项）检查计划及检查结果</w:t>
            </w:r>
          </w:p>
        </w:tc>
        <w:tc>
          <w:tcPr>
            <w:tcW w:w="3726" w:type="dxa"/>
            <w:noWrap w:val="0"/>
            <w:vAlign w:val="center"/>
          </w:tcPr>
          <w:p>
            <w:pPr>
              <w:spacing w:line="260" w:lineRule="exact"/>
              <w:jc w:val="both"/>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《国务院办公厅关于全面推行行政执法公示制度执法全过程记录制度重大执法决定法制审核制度的指导意见》（国办发〔2018〕118号）《中华人民共和国政府信息公开条例》《重庆市公共法律服务领域“</w:t>
            </w:r>
            <w:bookmarkStart w:id="0" w:name="_GoBack"/>
            <w:bookmarkEnd w:id="0"/>
            <w:r>
              <w:rPr>
                <w:rFonts w:hint="eastAsia" w:ascii="Times New Roman" w:hAnsi="Times New Roman" w:eastAsia="方正仿宋_GBK"/>
                <w:color w:val="000000" w:themeColor="text1"/>
                <w:sz w:val="21"/>
                <w:szCs w:val="21"/>
                <w:lang w:eastAsia="zh-CN"/>
                <w14:textFill>
                  <w14:solidFill>
                    <w14:schemeClr w14:val="tx1"/>
                  </w14:solidFill>
                </w14:textFill>
              </w:rPr>
              <w:t>双随机、一公开”监管实施方案》（渝司发〔2020〕56号）</w:t>
            </w:r>
          </w:p>
        </w:tc>
        <w:tc>
          <w:tcPr>
            <w:tcW w:w="1322" w:type="dxa"/>
            <w:noWrap w:val="0"/>
            <w:vAlign w:val="center"/>
          </w:tcPr>
          <w:p>
            <w:pPr>
              <w:spacing w:line="260" w:lineRule="exact"/>
              <w:jc w:val="both"/>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制作或获取信息之日起20个工作日内</w:t>
            </w:r>
          </w:p>
        </w:tc>
        <w:tc>
          <w:tcPr>
            <w:tcW w:w="780" w:type="dxa"/>
            <w:noWrap w:val="0"/>
            <w:vAlign w:val="center"/>
          </w:tcPr>
          <w:p>
            <w:pPr>
              <w:spacing w:line="260" w:lineRule="exact"/>
              <w:jc w:val="center"/>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市司法局、区县司法局</w:t>
            </w:r>
          </w:p>
        </w:tc>
        <w:tc>
          <w:tcPr>
            <w:tcW w:w="1339" w:type="dxa"/>
            <w:noWrap w:val="0"/>
            <w:vAlign w:val="center"/>
          </w:tcPr>
          <w:p>
            <w:pPr>
              <w:spacing w:line="260" w:lineRule="exact"/>
              <w:jc w:val="center"/>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市司法局网站、区县政府门户网站</w:t>
            </w:r>
          </w:p>
        </w:tc>
        <w:tc>
          <w:tcPr>
            <w:tcW w:w="443" w:type="dxa"/>
            <w:noWrap w:val="0"/>
            <w:vAlign w:val="center"/>
          </w:tcPr>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w:t>
            </w:r>
          </w:p>
        </w:tc>
        <w:tc>
          <w:tcPr>
            <w:tcW w:w="446" w:type="dxa"/>
            <w:noWrap w:val="0"/>
            <w:vAlign w:val="center"/>
          </w:tcPr>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p>
        </w:tc>
        <w:tc>
          <w:tcPr>
            <w:tcW w:w="443" w:type="dxa"/>
            <w:noWrap w:val="0"/>
            <w:vAlign w:val="center"/>
          </w:tcPr>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w:t>
            </w:r>
          </w:p>
        </w:tc>
        <w:tc>
          <w:tcPr>
            <w:tcW w:w="454" w:type="dxa"/>
            <w:noWrap w:val="0"/>
            <w:vAlign w:val="center"/>
          </w:tcPr>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p>
        </w:tc>
        <w:tc>
          <w:tcPr>
            <w:tcW w:w="426" w:type="dxa"/>
            <w:noWrap w:val="0"/>
            <w:vAlign w:val="center"/>
          </w:tcPr>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w:t>
            </w:r>
          </w:p>
        </w:tc>
        <w:tc>
          <w:tcPr>
            <w:tcW w:w="426" w:type="dxa"/>
            <w:noWrap w:val="0"/>
            <w:vAlign w:val="center"/>
          </w:tcPr>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w:t>
            </w:r>
          </w:p>
        </w:tc>
        <w:tc>
          <w:tcPr>
            <w:tcW w:w="426" w:type="dxa"/>
            <w:noWrap w:val="0"/>
            <w:vAlign w:val="center"/>
          </w:tcPr>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426" w:type="dxa"/>
            <w:noWrap w:val="0"/>
            <w:vAlign w:val="center"/>
          </w:tcPr>
          <w:p>
            <w:pPr>
              <w:spacing w:line="260" w:lineRule="exact"/>
              <w:jc w:val="center"/>
              <w:rPr>
                <w:rFonts w:hint="default" w:ascii="Times New Roman" w:hAnsi="Times New Roman" w:eastAsia="方正仿宋_GBK"/>
                <w:color w:val="000000" w:themeColor="text1"/>
                <w:sz w:val="21"/>
                <w:szCs w:val="21"/>
                <w:lang w:val="en-US" w:eastAsia="zh-CN"/>
                <w14:textFill>
                  <w14:solidFill>
                    <w14:schemeClr w14:val="tx1"/>
                  </w14:solidFill>
                </w14:textFill>
              </w:rPr>
            </w:pPr>
            <w:r>
              <w:rPr>
                <w:rFonts w:hint="eastAsia" w:ascii="Times New Roman" w:hAnsi="Times New Roman" w:eastAsia="方正仿宋_GBK"/>
                <w:color w:val="000000" w:themeColor="text1"/>
                <w:sz w:val="21"/>
                <w:szCs w:val="21"/>
                <w:lang w:val="en-US" w:eastAsia="zh-CN"/>
                <w14:textFill>
                  <w14:solidFill>
                    <w14:schemeClr w14:val="tx1"/>
                  </w14:solidFill>
                </w14:textFill>
              </w:rPr>
              <w:t>4</w:t>
            </w:r>
          </w:p>
        </w:tc>
        <w:tc>
          <w:tcPr>
            <w:tcW w:w="479" w:type="dxa"/>
            <w:noWrap w:val="0"/>
            <w:vAlign w:val="center"/>
          </w:tcPr>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行政奖励</w:t>
            </w:r>
          </w:p>
        </w:tc>
        <w:tc>
          <w:tcPr>
            <w:tcW w:w="947" w:type="dxa"/>
            <w:noWrap w:val="0"/>
            <w:vAlign w:val="center"/>
          </w:tcPr>
          <w:p>
            <w:pPr>
              <w:spacing w:line="260" w:lineRule="exact"/>
              <w:jc w:val="center"/>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法律服务行业表彰奖励</w:t>
            </w:r>
          </w:p>
        </w:tc>
        <w:tc>
          <w:tcPr>
            <w:tcW w:w="2091" w:type="dxa"/>
            <w:noWrap w:val="0"/>
            <w:vAlign w:val="center"/>
          </w:tcPr>
          <w:p>
            <w:pPr>
              <w:spacing w:line="260" w:lineRule="exact"/>
              <w:jc w:val="center"/>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公示以及奖励决定</w:t>
            </w:r>
          </w:p>
        </w:tc>
        <w:tc>
          <w:tcPr>
            <w:tcW w:w="3726" w:type="dxa"/>
            <w:noWrap w:val="0"/>
            <w:vAlign w:val="center"/>
          </w:tcPr>
          <w:p>
            <w:pPr>
              <w:spacing w:line="246" w:lineRule="exact"/>
              <w:jc w:val="both"/>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中华人民共和国人民调解法》《中华人民共和国法律援助法》《法律援助条例》《人民调解委员会及调解员奖励办法》（司法部令1991年第15号）《基层法律服务所管理办法》（司法部令2017年第137号）《基层法律服务工作者管理办法》（司法部令2017年第138号）《律师事务所管理办法》（司法部令2018年142号）《律师执业管理办法》（司法部令2016年第134号）《重庆市人民调解条例》《重庆市法律援助条例》《中华人民共和国政府信息公开条例》</w:t>
            </w:r>
          </w:p>
        </w:tc>
        <w:tc>
          <w:tcPr>
            <w:tcW w:w="1322" w:type="dxa"/>
            <w:noWrap w:val="0"/>
            <w:vAlign w:val="center"/>
          </w:tcPr>
          <w:p>
            <w:pPr>
              <w:spacing w:line="260" w:lineRule="exact"/>
              <w:jc w:val="both"/>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制作或获取信息之日起20个工作日内</w:t>
            </w:r>
          </w:p>
        </w:tc>
        <w:tc>
          <w:tcPr>
            <w:tcW w:w="780" w:type="dxa"/>
            <w:noWrap w:val="0"/>
            <w:vAlign w:val="center"/>
          </w:tcPr>
          <w:p>
            <w:pPr>
              <w:spacing w:line="260" w:lineRule="exact"/>
              <w:jc w:val="center"/>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市司法局、区县司法局</w:t>
            </w:r>
          </w:p>
        </w:tc>
        <w:tc>
          <w:tcPr>
            <w:tcW w:w="1339" w:type="dxa"/>
            <w:noWrap w:val="0"/>
            <w:vAlign w:val="center"/>
          </w:tcPr>
          <w:p>
            <w:pPr>
              <w:spacing w:line="260" w:lineRule="exact"/>
              <w:jc w:val="center"/>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市司法局网站、区县政府门户网站</w:t>
            </w:r>
          </w:p>
        </w:tc>
        <w:tc>
          <w:tcPr>
            <w:tcW w:w="443" w:type="dxa"/>
            <w:noWrap w:val="0"/>
            <w:vAlign w:val="center"/>
          </w:tcPr>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w:t>
            </w:r>
          </w:p>
        </w:tc>
        <w:tc>
          <w:tcPr>
            <w:tcW w:w="446" w:type="dxa"/>
            <w:noWrap w:val="0"/>
            <w:vAlign w:val="center"/>
          </w:tcPr>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p>
        </w:tc>
        <w:tc>
          <w:tcPr>
            <w:tcW w:w="443" w:type="dxa"/>
            <w:noWrap w:val="0"/>
            <w:vAlign w:val="center"/>
          </w:tcPr>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w:t>
            </w:r>
          </w:p>
        </w:tc>
        <w:tc>
          <w:tcPr>
            <w:tcW w:w="454" w:type="dxa"/>
            <w:noWrap w:val="0"/>
            <w:vAlign w:val="center"/>
          </w:tcPr>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p>
        </w:tc>
        <w:tc>
          <w:tcPr>
            <w:tcW w:w="426" w:type="dxa"/>
            <w:noWrap w:val="0"/>
            <w:vAlign w:val="center"/>
          </w:tcPr>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w:t>
            </w:r>
          </w:p>
        </w:tc>
        <w:tc>
          <w:tcPr>
            <w:tcW w:w="426" w:type="dxa"/>
            <w:noWrap w:val="0"/>
            <w:vAlign w:val="center"/>
          </w:tcPr>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w:t>
            </w:r>
          </w:p>
        </w:tc>
        <w:tc>
          <w:tcPr>
            <w:tcW w:w="426" w:type="dxa"/>
            <w:noWrap w:val="0"/>
            <w:vAlign w:val="center"/>
          </w:tcPr>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426" w:type="dxa"/>
            <w:noWrap w:val="0"/>
            <w:vAlign w:val="center"/>
          </w:tcPr>
          <w:p>
            <w:pPr>
              <w:spacing w:line="260" w:lineRule="exact"/>
              <w:jc w:val="center"/>
              <w:rPr>
                <w:rFonts w:hint="default" w:ascii="Times New Roman" w:hAnsi="Times New Roman" w:eastAsia="方正仿宋_GBK"/>
                <w:color w:val="000000" w:themeColor="text1"/>
                <w:sz w:val="21"/>
                <w:szCs w:val="21"/>
                <w:lang w:val="en-US" w:eastAsia="zh-CN"/>
                <w14:textFill>
                  <w14:solidFill>
                    <w14:schemeClr w14:val="tx1"/>
                  </w14:solidFill>
                </w14:textFill>
              </w:rPr>
            </w:pPr>
            <w:r>
              <w:rPr>
                <w:rFonts w:hint="eastAsia" w:ascii="Times New Roman" w:hAnsi="Times New Roman" w:eastAsia="方正仿宋_GBK"/>
                <w:color w:val="000000" w:themeColor="text1"/>
                <w:sz w:val="21"/>
                <w:szCs w:val="21"/>
                <w:lang w:val="en-US" w:eastAsia="zh-CN"/>
                <w14:textFill>
                  <w14:solidFill>
                    <w14:schemeClr w14:val="tx1"/>
                  </w14:solidFill>
                </w14:textFill>
              </w:rPr>
              <w:t>5</w:t>
            </w:r>
          </w:p>
        </w:tc>
        <w:tc>
          <w:tcPr>
            <w:tcW w:w="479" w:type="dxa"/>
            <w:noWrap w:val="0"/>
            <w:vAlign w:val="center"/>
          </w:tcPr>
          <w:p>
            <w:pPr>
              <w:spacing w:line="260" w:lineRule="exact"/>
              <w:jc w:val="center"/>
              <w:rPr>
                <w:rFonts w:hint="eastAsia"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公共服务</w:t>
            </w:r>
          </w:p>
        </w:tc>
        <w:tc>
          <w:tcPr>
            <w:tcW w:w="947" w:type="dxa"/>
            <w:noWrap w:val="0"/>
            <w:vAlign w:val="center"/>
          </w:tcPr>
          <w:p>
            <w:pPr>
              <w:spacing w:line="260" w:lineRule="exact"/>
              <w:jc w:val="center"/>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法律法规、行政规范性文件和案例检索服务</w:t>
            </w:r>
          </w:p>
        </w:tc>
        <w:tc>
          <w:tcPr>
            <w:tcW w:w="2091" w:type="dxa"/>
            <w:noWrap w:val="0"/>
            <w:vAlign w:val="center"/>
          </w:tcPr>
          <w:p>
            <w:pPr>
              <w:spacing w:line="260" w:lineRule="exact"/>
              <w:jc w:val="center"/>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国家法律数据库、司法行政（法律服务）案例库、重庆市行政规范性文件数据库（可以采取提供查询网址方式公开）</w:t>
            </w:r>
          </w:p>
        </w:tc>
        <w:tc>
          <w:tcPr>
            <w:tcW w:w="3726" w:type="dxa"/>
            <w:noWrap w:val="0"/>
            <w:vAlign w:val="center"/>
          </w:tcPr>
          <w:p>
            <w:pPr>
              <w:spacing w:line="260" w:lineRule="exact"/>
              <w:jc w:val="both"/>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《司法部办公厅关于印发公共法律服务领域基层政务公开标准指引的通知》（司办通〔2019〕57号）《中华人民共和国政府信息公开条例》</w:t>
            </w:r>
          </w:p>
        </w:tc>
        <w:tc>
          <w:tcPr>
            <w:tcW w:w="1322" w:type="dxa"/>
            <w:noWrap w:val="0"/>
            <w:vAlign w:val="center"/>
          </w:tcPr>
          <w:p>
            <w:pPr>
              <w:spacing w:line="260" w:lineRule="exact"/>
              <w:jc w:val="both"/>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动态更新或重新发布（间隔不超过1年）</w:t>
            </w:r>
          </w:p>
        </w:tc>
        <w:tc>
          <w:tcPr>
            <w:tcW w:w="780" w:type="dxa"/>
            <w:noWrap w:val="0"/>
            <w:vAlign w:val="center"/>
          </w:tcPr>
          <w:p>
            <w:pPr>
              <w:spacing w:line="260" w:lineRule="exact"/>
              <w:jc w:val="center"/>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市司法局、区县司法局</w:t>
            </w:r>
          </w:p>
        </w:tc>
        <w:tc>
          <w:tcPr>
            <w:tcW w:w="1339" w:type="dxa"/>
            <w:noWrap w:val="0"/>
            <w:vAlign w:val="center"/>
          </w:tcPr>
          <w:p>
            <w:pPr>
              <w:spacing w:line="260" w:lineRule="exact"/>
              <w:jc w:val="center"/>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市司法局网站、区县政府门户网站</w:t>
            </w:r>
          </w:p>
        </w:tc>
        <w:tc>
          <w:tcPr>
            <w:tcW w:w="443" w:type="dxa"/>
            <w:noWrap w:val="0"/>
            <w:vAlign w:val="center"/>
          </w:tcPr>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w:t>
            </w:r>
          </w:p>
        </w:tc>
        <w:tc>
          <w:tcPr>
            <w:tcW w:w="446" w:type="dxa"/>
            <w:noWrap w:val="0"/>
            <w:vAlign w:val="center"/>
          </w:tcPr>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p>
        </w:tc>
        <w:tc>
          <w:tcPr>
            <w:tcW w:w="443" w:type="dxa"/>
            <w:noWrap w:val="0"/>
            <w:vAlign w:val="center"/>
          </w:tcPr>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w:t>
            </w:r>
          </w:p>
        </w:tc>
        <w:tc>
          <w:tcPr>
            <w:tcW w:w="454" w:type="dxa"/>
            <w:noWrap w:val="0"/>
            <w:vAlign w:val="center"/>
          </w:tcPr>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p>
        </w:tc>
        <w:tc>
          <w:tcPr>
            <w:tcW w:w="426" w:type="dxa"/>
            <w:noWrap w:val="0"/>
            <w:vAlign w:val="center"/>
          </w:tcPr>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w:t>
            </w:r>
          </w:p>
        </w:tc>
        <w:tc>
          <w:tcPr>
            <w:tcW w:w="426" w:type="dxa"/>
            <w:noWrap w:val="0"/>
            <w:vAlign w:val="center"/>
          </w:tcPr>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w:t>
            </w:r>
          </w:p>
        </w:tc>
        <w:tc>
          <w:tcPr>
            <w:tcW w:w="426" w:type="dxa"/>
            <w:noWrap w:val="0"/>
            <w:vAlign w:val="center"/>
          </w:tcPr>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 w:hRule="atLeast"/>
          <w:jc w:val="center"/>
        </w:trPr>
        <w:tc>
          <w:tcPr>
            <w:tcW w:w="426" w:type="dxa"/>
            <w:noWrap w:val="0"/>
            <w:vAlign w:val="center"/>
          </w:tcPr>
          <w:p>
            <w:pPr>
              <w:spacing w:line="260" w:lineRule="exact"/>
              <w:jc w:val="center"/>
              <w:rPr>
                <w:rFonts w:hint="default" w:ascii="Times New Roman" w:hAnsi="Times New Roman" w:eastAsia="方正仿宋_GBK"/>
                <w:color w:val="000000" w:themeColor="text1"/>
                <w:sz w:val="21"/>
                <w:szCs w:val="21"/>
                <w:lang w:val="en-US" w:eastAsia="zh-CN"/>
                <w14:textFill>
                  <w14:solidFill>
                    <w14:schemeClr w14:val="tx1"/>
                  </w14:solidFill>
                </w14:textFill>
              </w:rPr>
            </w:pPr>
            <w:r>
              <w:rPr>
                <w:rFonts w:hint="eastAsia" w:ascii="Times New Roman" w:hAnsi="Times New Roman" w:eastAsia="方正仿宋_GBK"/>
                <w:color w:val="000000" w:themeColor="text1"/>
                <w:sz w:val="21"/>
                <w:szCs w:val="21"/>
                <w:lang w:val="en-US" w:eastAsia="zh-CN"/>
                <w14:textFill>
                  <w14:solidFill>
                    <w14:schemeClr w14:val="tx1"/>
                  </w14:solidFill>
                </w14:textFill>
              </w:rPr>
              <w:t>6</w:t>
            </w:r>
          </w:p>
        </w:tc>
        <w:tc>
          <w:tcPr>
            <w:tcW w:w="479" w:type="dxa"/>
            <w:noWrap w:val="0"/>
            <w:vAlign w:val="center"/>
          </w:tcPr>
          <w:p>
            <w:pPr>
              <w:spacing w:line="260" w:lineRule="exact"/>
              <w:jc w:val="center"/>
              <w:rPr>
                <w:rFonts w:hint="eastAsia"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公共服务</w:t>
            </w:r>
          </w:p>
        </w:tc>
        <w:tc>
          <w:tcPr>
            <w:tcW w:w="947" w:type="dxa"/>
            <w:noWrap w:val="0"/>
            <w:vAlign w:val="center"/>
          </w:tcPr>
          <w:p>
            <w:pPr>
              <w:spacing w:line="260" w:lineRule="exact"/>
              <w:jc w:val="center"/>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法律服务机构、人员信息查询服务</w:t>
            </w:r>
          </w:p>
        </w:tc>
        <w:tc>
          <w:tcPr>
            <w:tcW w:w="2091" w:type="dxa"/>
            <w:noWrap w:val="0"/>
            <w:vAlign w:val="center"/>
          </w:tcPr>
          <w:p>
            <w:pPr>
              <w:spacing w:line="260" w:lineRule="exact"/>
              <w:jc w:val="center"/>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辖区内的律师、公证、基层法律服务、司法鉴定、仲裁、人民调解等法律服务机构和人员有关基本信息、从业信息和信用信息（可以采取提供查询网址方式公开）</w:t>
            </w:r>
          </w:p>
        </w:tc>
        <w:tc>
          <w:tcPr>
            <w:tcW w:w="3726" w:type="dxa"/>
            <w:noWrap w:val="0"/>
            <w:vAlign w:val="center"/>
          </w:tcPr>
          <w:p>
            <w:pPr>
              <w:spacing w:line="260" w:lineRule="exact"/>
              <w:jc w:val="both"/>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《司法部办公厅关于印发公共法律服务领域基层政务公开标准指引的通知》（司办通〔2019〕57号）《中华人民共和国政府信息公开条例》</w:t>
            </w:r>
          </w:p>
        </w:tc>
        <w:tc>
          <w:tcPr>
            <w:tcW w:w="1322" w:type="dxa"/>
            <w:noWrap w:val="0"/>
            <w:vAlign w:val="center"/>
          </w:tcPr>
          <w:p>
            <w:pPr>
              <w:spacing w:line="260" w:lineRule="exact"/>
              <w:jc w:val="both"/>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动态更新或重新发布（间隔不超过1年）</w:t>
            </w:r>
          </w:p>
        </w:tc>
        <w:tc>
          <w:tcPr>
            <w:tcW w:w="780" w:type="dxa"/>
            <w:noWrap w:val="0"/>
            <w:vAlign w:val="center"/>
          </w:tcPr>
          <w:p>
            <w:pPr>
              <w:spacing w:line="260" w:lineRule="exact"/>
              <w:jc w:val="center"/>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市司法局、区县司法局</w:t>
            </w:r>
          </w:p>
        </w:tc>
        <w:tc>
          <w:tcPr>
            <w:tcW w:w="1339" w:type="dxa"/>
            <w:noWrap w:val="0"/>
            <w:vAlign w:val="center"/>
          </w:tcPr>
          <w:p>
            <w:pPr>
              <w:spacing w:line="260" w:lineRule="exact"/>
              <w:jc w:val="center"/>
              <w:rPr>
                <w:rFonts w:ascii="Times New Roman" w:hAnsi="Times New Roman" w:eastAsia="方正仿宋_GBK"/>
                <w:color w:val="000000" w:themeColor="text1"/>
                <w:sz w:val="21"/>
                <w:szCs w:val="21"/>
                <w:lang w:eastAsia="zh-CN"/>
                <w14:textFill>
                  <w14:solidFill>
                    <w14:schemeClr w14:val="tx1"/>
                  </w14:solidFill>
                </w14:textFill>
              </w:rPr>
            </w:pPr>
            <w:r>
              <w:rPr>
                <w:rFonts w:hint="eastAsia" w:ascii="Times New Roman" w:hAnsi="Times New Roman" w:eastAsia="方正仿宋_GBK"/>
                <w:color w:val="000000" w:themeColor="text1"/>
                <w:sz w:val="21"/>
                <w:szCs w:val="21"/>
                <w:lang w:eastAsia="zh-CN"/>
                <w14:textFill>
                  <w14:solidFill>
                    <w14:schemeClr w14:val="tx1"/>
                  </w14:solidFill>
                </w14:textFill>
              </w:rPr>
              <w:t>市司法局网站、区县政府门户网站</w:t>
            </w:r>
          </w:p>
        </w:tc>
        <w:tc>
          <w:tcPr>
            <w:tcW w:w="443" w:type="dxa"/>
            <w:noWrap w:val="0"/>
            <w:vAlign w:val="center"/>
          </w:tcPr>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w:t>
            </w:r>
          </w:p>
        </w:tc>
        <w:tc>
          <w:tcPr>
            <w:tcW w:w="446" w:type="dxa"/>
            <w:noWrap w:val="0"/>
            <w:vAlign w:val="center"/>
          </w:tcPr>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p>
        </w:tc>
        <w:tc>
          <w:tcPr>
            <w:tcW w:w="443" w:type="dxa"/>
            <w:noWrap w:val="0"/>
            <w:vAlign w:val="center"/>
          </w:tcPr>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w:t>
            </w:r>
          </w:p>
        </w:tc>
        <w:tc>
          <w:tcPr>
            <w:tcW w:w="454" w:type="dxa"/>
            <w:noWrap w:val="0"/>
            <w:vAlign w:val="center"/>
          </w:tcPr>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p>
        </w:tc>
        <w:tc>
          <w:tcPr>
            <w:tcW w:w="426" w:type="dxa"/>
            <w:noWrap w:val="0"/>
            <w:vAlign w:val="center"/>
          </w:tcPr>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w:t>
            </w:r>
          </w:p>
        </w:tc>
        <w:tc>
          <w:tcPr>
            <w:tcW w:w="426" w:type="dxa"/>
            <w:noWrap w:val="0"/>
            <w:vAlign w:val="center"/>
          </w:tcPr>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r>
              <w:rPr>
                <w:rFonts w:hint="eastAsia" w:ascii="Times New Roman" w:hAnsi="Times New Roman" w:eastAsia="方正仿宋_GBK"/>
                <w:color w:val="000000" w:themeColor="text1"/>
                <w:sz w:val="21"/>
                <w:szCs w:val="21"/>
                <w14:textFill>
                  <w14:solidFill>
                    <w14:schemeClr w14:val="tx1"/>
                  </w14:solidFill>
                </w14:textFill>
              </w:rPr>
              <w:t>√</w:t>
            </w:r>
          </w:p>
        </w:tc>
        <w:tc>
          <w:tcPr>
            <w:tcW w:w="426" w:type="dxa"/>
            <w:noWrap w:val="0"/>
            <w:vAlign w:val="center"/>
          </w:tcPr>
          <w:p>
            <w:pPr>
              <w:spacing w:line="260" w:lineRule="exact"/>
              <w:jc w:val="center"/>
              <w:rPr>
                <w:rFonts w:ascii="Times New Roman" w:hAnsi="Times New Roman" w:eastAsia="方正仿宋_GBK"/>
                <w:color w:val="000000" w:themeColor="text1"/>
                <w:sz w:val="21"/>
                <w:szCs w:val="21"/>
                <w14:textFill>
                  <w14:solidFill>
                    <w14:schemeClr w14:val="tx1"/>
                  </w14:solidFill>
                </w14:textFill>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yMDI2M2IxYjA1YThhZDNhMjZmZTQ1NTlhODM5NzIifQ=="/>
  </w:docVars>
  <w:rsids>
    <w:rsidRoot w:val="6CAA2615"/>
    <w:rsid w:val="0081756A"/>
    <w:rsid w:val="099E2C0A"/>
    <w:rsid w:val="09EF622A"/>
    <w:rsid w:val="0C5A7CD5"/>
    <w:rsid w:val="110342E2"/>
    <w:rsid w:val="12AB58C6"/>
    <w:rsid w:val="13526A57"/>
    <w:rsid w:val="17F91C8E"/>
    <w:rsid w:val="1BB955F7"/>
    <w:rsid w:val="1F6A5161"/>
    <w:rsid w:val="2900477D"/>
    <w:rsid w:val="2AC50999"/>
    <w:rsid w:val="2B9D29E5"/>
    <w:rsid w:val="2E7A4D38"/>
    <w:rsid w:val="2F7D44CC"/>
    <w:rsid w:val="32035E78"/>
    <w:rsid w:val="32650111"/>
    <w:rsid w:val="328A2575"/>
    <w:rsid w:val="339C59A4"/>
    <w:rsid w:val="33C70ACF"/>
    <w:rsid w:val="348A6BA4"/>
    <w:rsid w:val="35335D8D"/>
    <w:rsid w:val="37B95AD2"/>
    <w:rsid w:val="381B7EB1"/>
    <w:rsid w:val="3A0D1545"/>
    <w:rsid w:val="3A563CE2"/>
    <w:rsid w:val="3C8D114D"/>
    <w:rsid w:val="3CFB66EF"/>
    <w:rsid w:val="3D6E0A01"/>
    <w:rsid w:val="3FB1288C"/>
    <w:rsid w:val="42D9379A"/>
    <w:rsid w:val="4A1B1792"/>
    <w:rsid w:val="4A9A0AB3"/>
    <w:rsid w:val="4F1A390D"/>
    <w:rsid w:val="50596FEB"/>
    <w:rsid w:val="51F53582"/>
    <w:rsid w:val="565B74D0"/>
    <w:rsid w:val="5A0E5C5D"/>
    <w:rsid w:val="5B1C630A"/>
    <w:rsid w:val="5B2B0B91"/>
    <w:rsid w:val="609173E0"/>
    <w:rsid w:val="67BC45F6"/>
    <w:rsid w:val="6824397C"/>
    <w:rsid w:val="693D5D0B"/>
    <w:rsid w:val="6B923EF9"/>
    <w:rsid w:val="6CAA2615"/>
    <w:rsid w:val="6DED6F14"/>
    <w:rsid w:val="71F80E46"/>
    <w:rsid w:val="77185694"/>
    <w:rsid w:val="771D1321"/>
    <w:rsid w:val="78523112"/>
    <w:rsid w:val="7C7904F7"/>
    <w:rsid w:val="7E777E8C"/>
    <w:rsid w:val="7E797CFD"/>
    <w:rsid w:val="7E8B2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240" w:lineRule="auto"/>
      <w:ind w:left="0" w:right="0" w:firstLine="0"/>
      <w:jc w:val="both"/>
    </w:pPr>
    <w:rPr>
      <w:rFonts w:hint="default" w:ascii="Calibri" w:hAnsi="Calibri" w:eastAsia="Calibri" w:cs="Calibri"/>
      <w:color w:val="auto"/>
      <w:spacing w:val="0"/>
      <w:position w:val="0"/>
      <w:sz w:val="21"/>
      <w:szCs w:val="2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unhideWhenUsed/>
    <w:qFormat/>
    <w:uiPriority w:val="99"/>
    <w:pPr>
      <w:widowControl w:val="0"/>
      <w:spacing w:line="560" w:lineRule="exact"/>
    </w:pPr>
    <w:rPr>
      <w:rFonts w:ascii="黑体" w:hAnsi="黑体" w:eastAsia="黑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1456</Words>
  <Characters>1526</Characters>
  <Lines>0</Lines>
  <Paragraphs>0</Paragraphs>
  <TotalTime>14</TotalTime>
  <ScaleCrop>false</ScaleCrop>
  <LinksUpToDate>false</LinksUpToDate>
  <CharactersWithSpaces>1526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2024-01-29T01:22:00Z</dcterms:created>
  <dc:creator>朱翊</dc:creator>
  <cp:lastModifiedBy>zx</cp:lastModifiedBy>
  <cp:lastPrinted>2024-01-29T01:54:00Z</cp:lastPrinted>
  <dcterms:modified xsi:type="dcterms:W3CDTF">2026-01-21T01:54:45Z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E64DE6C298614ACB8370ED3EA91D3840_13</vt:lpwstr>
  </property>
</Properties>
</file>