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6D067">
      <w:pPr>
        <w:pStyle w:val="2"/>
        <w:spacing w:beforeLines="50" w:afterLines="50" w:line="594" w:lineRule="exact"/>
        <w:jc w:val="center"/>
        <w:rPr>
          <w:rFonts w:ascii="Times New Roman" w:hAnsi="Times New Roman" w:eastAsia="方正小标宋_GBK" w:cs="方正小标宋_GBK"/>
          <w:color w:val="000000" w:themeColor="text1"/>
          <w:sz w:val="36"/>
          <w:szCs w:val="36"/>
          <w:lang w:eastAsia="zh-CN"/>
          <w14:textFill>
            <w14:solidFill>
              <w14:schemeClr w14:val="tx1"/>
            </w14:solidFill>
          </w14:textFill>
        </w:rPr>
      </w:pPr>
      <w:r>
        <w:rPr>
          <w:rFonts w:hint="eastAsia" w:ascii="Times New Roman" w:hAnsi="Times New Roman" w:eastAsia="方正小标宋_GBK" w:cs="方正小标宋_GBK"/>
          <w:color w:val="000000" w:themeColor="text1"/>
          <w:sz w:val="36"/>
          <w:szCs w:val="36"/>
          <w:lang w:eastAsia="zh-CN"/>
          <w14:textFill>
            <w14:solidFill>
              <w14:schemeClr w14:val="tx1"/>
            </w14:solidFill>
          </w14:textFill>
        </w:rPr>
        <w:t>酉阳县公共法律服务领域政务公开标准目录（202</w:t>
      </w:r>
      <w:r>
        <w:rPr>
          <w:rFonts w:hint="eastAsia" w:ascii="Times New Roman" w:hAnsi="Times New Roman" w:eastAsia="方正小标宋_GBK" w:cs="方正小标宋_GBK"/>
          <w:color w:val="000000" w:themeColor="text1"/>
          <w:sz w:val="36"/>
          <w:szCs w:val="36"/>
          <w:lang w:val="en-US" w:eastAsia="zh-CN"/>
          <w14:textFill>
            <w14:solidFill>
              <w14:schemeClr w14:val="tx1"/>
            </w14:solidFill>
          </w14:textFill>
        </w:rPr>
        <w:t>5</w:t>
      </w:r>
      <w:bookmarkStart w:id="0" w:name="_GoBack"/>
      <w:bookmarkEnd w:id="0"/>
      <w:r>
        <w:rPr>
          <w:rFonts w:hint="eastAsia" w:ascii="Times New Roman" w:hAnsi="Times New Roman" w:eastAsia="方正小标宋_GBK" w:cs="方正小标宋_GBK"/>
          <w:color w:val="000000" w:themeColor="text1"/>
          <w:sz w:val="36"/>
          <w:szCs w:val="36"/>
          <w:lang w:eastAsia="zh-CN"/>
          <w14:textFill>
            <w14:solidFill>
              <w14:schemeClr w14:val="tx1"/>
            </w14:solidFill>
          </w14:textFill>
        </w:rPr>
        <w:t>年版）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79"/>
        <w:gridCol w:w="947"/>
        <w:gridCol w:w="2091"/>
        <w:gridCol w:w="3726"/>
        <w:gridCol w:w="1322"/>
        <w:gridCol w:w="780"/>
        <w:gridCol w:w="1339"/>
        <w:gridCol w:w="443"/>
        <w:gridCol w:w="446"/>
        <w:gridCol w:w="443"/>
        <w:gridCol w:w="454"/>
        <w:gridCol w:w="426"/>
        <w:gridCol w:w="426"/>
        <w:gridCol w:w="426"/>
      </w:tblGrid>
      <w:tr w14:paraId="6061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vMerge w:val="restart"/>
            <w:noWrap w:val="0"/>
            <w:vAlign w:val="center"/>
          </w:tcPr>
          <w:p w14:paraId="1110CCF9">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序</w:t>
            </w:r>
          </w:p>
          <w:p w14:paraId="38A1986E">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号</w:t>
            </w:r>
          </w:p>
        </w:tc>
        <w:tc>
          <w:tcPr>
            <w:tcW w:w="503" w:type="pct"/>
            <w:gridSpan w:val="2"/>
            <w:noWrap w:val="0"/>
            <w:vAlign w:val="center"/>
          </w:tcPr>
          <w:p w14:paraId="07CB64E1">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公开事项</w:t>
            </w:r>
          </w:p>
        </w:tc>
        <w:tc>
          <w:tcPr>
            <w:tcW w:w="737" w:type="pct"/>
            <w:vMerge w:val="restart"/>
            <w:noWrap w:val="0"/>
            <w:vAlign w:val="center"/>
          </w:tcPr>
          <w:p w14:paraId="4EA57095">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公开内容</w:t>
            </w:r>
          </w:p>
          <w:p w14:paraId="1078F663">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（要素）</w:t>
            </w:r>
          </w:p>
        </w:tc>
        <w:tc>
          <w:tcPr>
            <w:tcW w:w="1313" w:type="pct"/>
            <w:vMerge w:val="restart"/>
            <w:noWrap w:val="0"/>
            <w:vAlign w:val="center"/>
          </w:tcPr>
          <w:p w14:paraId="7810B068">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公开依据</w:t>
            </w:r>
          </w:p>
        </w:tc>
        <w:tc>
          <w:tcPr>
            <w:tcW w:w="466" w:type="pct"/>
            <w:vMerge w:val="restart"/>
            <w:noWrap w:val="0"/>
            <w:vAlign w:val="center"/>
          </w:tcPr>
          <w:p w14:paraId="1B6751C4">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w:t>
            </w:r>
          </w:p>
          <w:p w14:paraId="1E0BECA7">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时限</w:t>
            </w:r>
          </w:p>
        </w:tc>
        <w:tc>
          <w:tcPr>
            <w:tcW w:w="275" w:type="pct"/>
            <w:vMerge w:val="restart"/>
            <w:noWrap w:val="0"/>
            <w:vAlign w:val="center"/>
          </w:tcPr>
          <w:p w14:paraId="70EBA43B">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w:t>
            </w:r>
          </w:p>
          <w:p w14:paraId="60E1D638">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主体</w:t>
            </w:r>
          </w:p>
        </w:tc>
        <w:tc>
          <w:tcPr>
            <w:tcW w:w="472" w:type="pct"/>
            <w:vMerge w:val="restart"/>
            <w:noWrap w:val="0"/>
            <w:vAlign w:val="center"/>
          </w:tcPr>
          <w:p w14:paraId="2E9739FF">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公开渠道</w:t>
            </w:r>
          </w:p>
          <w:p w14:paraId="505A0309">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和载体</w:t>
            </w:r>
          </w:p>
        </w:tc>
        <w:tc>
          <w:tcPr>
            <w:tcW w:w="313" w:type="pct"/>
            <w:gridSpan w:val="2"/>
            <w:noWrap w:val="0"/>
            <w:vAlign w:val="center"/>
          </w:tcPr>
          <w:p w14:paraId="718E733B">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公开对象</w:t>
            </w:r>
          </w:p>
        </w:tc>
        <w:tc>
          <w:tcPr>
            <w:tcW w:w="316" w:type="pct"/>
            <w:gridSpan w:val="2"/>
            <w:noWrap w:val="0"/>
            <w:vAlign w:val="center"/>
          </w:tcPr>
          <w:p w14:paraId="19D4F854">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公开方式</w:t>
            </w:r>
          </w:p>
        </w:tc>
        <w:tc>
          <w:tcPr>
            <w:tcW w:w="450" w:type="pct"/>
            <w:gridSpan w:val="3"/>
            <w:noWrap w:val="0"/>
            <w:vAlign w:val="center"/>
          </w:tcPr>
          <w:p w14:paraId="3E4E3E04">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公开层级</w:t>
            </w:r>
          </w:p>
        </w:tc>
      </w:tr>
      <w:tr w14:paraId="76F1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vMerge w:val="continue"/>
            <w:noWrap w:val="0"/>
            <w:vAlign w:val="center"/>
          </w:tcPr>
          <w:p w14:paraId="19EA70AD">
            <w:pPr>
              <w:pStyle w:val="2"/>
              <w:spacing w:line="240" w:lineRule="exact"/>
              <w:jc w:val="center"/>
              <w:rPr>
                <w:rFonts w:ascii="Times New Roman" w:hAnsi="Times New Roman" w:eastAsia="方正仿宋_GBK" w:cs="方正仿宋_GBK"/>
                <w:color w:val="000000" w:themeColor="text1"/>
                <w:sz w:val="21"/>
                <w:szCs w:val="21"/>
                <w14:textFill>
                  <w14:solidFill>
                    <w14:schemeClr w14:val="tx1"/>
                  </w14:solidFill>
                </w14:textFill>
              </w:rPr>
            </w:pPr>
          </w:p>
        </w:tc>
        <w:tc>
          <w:tcPr>
            <w:tcW w:w="169" w:type="pct"/>
            <w:noWrap w:val="0"/>
            <w:vAlign w:val="center"/>
          </w:tcPr>
          <w:p w14:paraId="4185EC45">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一级</w:t>
            </w:r>
          </w:p>
          <w:p w14:paraId="3242B99C">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事项</w:t>
            </w:r>
          </w:p>
        </w:tc>
        <w:tc>
          <w:tcPr>
            <w:tcW w:w="334" w:type="pct"/>
            <w:noWrap w:val="0"/>
            <w:vAlign w:val="center"/>
          </w:tcPr>
          <w:p w14:paraId="775B7C15">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二级</w:t>
            </w:r>
          </w:p>
          <w:p w14:paraId="16E2C329">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事项</w:t>
            </w:r>
          </w:p>
        </w:tc>
        <w:tc>
          <w:tcPr>
            <w:tcW w:w="737" w:type="pct"/>
            <w:vMerge w:val="continue"/>
            <w:noWrap w:val="0"/>
            <w:vAlign w:val="center"/>
          </w:tcPr>
          <w:p w14:paraId="52D8F083">
            <w:pPr>
              <w:pStyle w:val="2"/>
              <w:spacing w:line="240" w:lineRule="exact"/>
              <w:jc w:val="center"/>
              <w:rPr>
                <w:rFonts w:ascii="Times New Roman" w:hAnsi="Times New Roman" w:eastAsia="方正仿宋_GBK" w:cs="方正仿宋_GBK"/>
                <w:color w:val="000000" w:themeColor="text1"/>
                <w:sz w:val="21"/>
                <w:szCs w:val="21"/>
                <w14:textFill>
                  <w14:solidFill>
                    <w14:schemeClr w14:val="tx1"/>
                  </w14:solidFill>
                </w14:textFill>
              </w:rPr>
            </w:pPr>
          </w:p>
        </w:tc>
        <w:tc>
          <w:tcPr>
            <w:tcW w:w="1313" w:type="pct"/>
            <w:vMerge w:val="continue"/>
            <w:noWrap w:val="0"/>
            <w:vAlign w:val="center"/>
          </w:tcPr>
          <w:p w14:paraId="7E39F60E">
            <w:pPr>
              <w:pStyle w:val="2"/>
              <w:spacing w:line="240" w:lineRule="exact"/>
              <w:jc w:val="both"/>
              <w:rPr>
                <w:rFonts w:ascii="Times New Roman" w:hAnsi="Times New Roman" w:eastAsia="方正仿宋_GBK" w:cs="方正仿宋_GBK"/>
                <w:color w:val="000000" w:themeColor="text1"/>
                <w:sz w:val="21"/>
                <w:szCs w:val="21"/>
                <w14:textFill>
                  <w14:solidFill>
                    <w14:schemeClr w14:val="tx1"/>
                  </w14:solidFill>
                </w14:textFill>
              </w:rPr>
            </w:pPr>
          </w:p>
        </w:tc>
        <w:tc>
          <w:tcPr>
            <w:tcW w:w="466" w:type="pct"/>
            <w:vMerge w:val="continue"/>
            <w:noWrap w:val="0"/>
            <w:vAlign w:val="center"/>
          </w:tcPr>
          <w:p w14:paraId="36EC49AA">
            <w:pPr>
              <w:pStyle w:val="2"/>
              <w:spacing w:line="240" w:lineRule="exact"/>
              <w:jc w:val="both"/>
              <w:rPr>
                <w:rFonts w:ascii="Times New Roman" w:hAnsi="Times New Roman" w:eastAsia="方正仿宋_GBK" w:cs="方正仿宋_GBK"/>
                <w:color w:val="000000" w:themeColor="text1"/>
                <w:sz w:val="21"/>
                <w:szCs w:val="21"/>
                <w14:textFill>
                  <w14:solidFill>
                    <w14:schemeClr w14:val="tx1"/>
                  </w14:solidFill>
                </w14:textFill>
              </w:rPr>
            </w:pPr>
          </w:p>
        </w:tc>
        <w:tc>
          <w:tcPr>
            <w:tcW w:w="275" w:type="pct"/>
            <w:vMerge w:val="continue"/>
            <w:noWrap w:val="0"/>
            <w:vAlign w:val="center"/>
          </w:tcPr>
          <w:p w14:paraId="0D29288B">
            <w:pPr>
              <w:pStyle w:val="2"/>
              <w:spacing w:line="240" w:lineRule="exact"/>
              <w:jc w:val="center"/>
              <w:rPr>
                <w:rFonts w:ascii="Times New Roman" w:hAnsi="Times New Roman" w:eastAsia="方正仿宋_GBK" w:cs="方正仿宋_GBK"/>
                <w:color w:val="000000" w:themeColor="text1"/>
                <w:sz w:val="21"/>
                <w:szCs w:val="21"/>
                <w14:textFill>
                  <w14:solidFill>
                    <w14:schemeClr w14:val="tx1"/>
                  </w14:solidFill>
                </w14:textFill>
              </w:rPr>
            </w:pPr>
          </w:p>
        </w:tc>
        <w:tc>
          <w:tcPr>
            <w:tcW w:w="472" w:type="pct"/>
            <w:vMerge w:val="continue"/>
            <w:noWrap w:val="0"/>
            <w:vAlign w:val="center"/>
          </w:tcPr>
          <w:p w14:paraId="4056ADD4">
            <w:pPr>
              <w:pStyle w:val="2"/>
              <w:spacing w:line="240" w:lineRule="exact"/>
              <w:jc w:val="center"/>
              <w:rPr>
                <w:rFonts w:ascii="Times New Roman" w:hAnsi="Times New Roman" w:eastAsia="方正仿宋_GBK" w:cs="方正仿宋_GBK"/>
                <w:color w:val="000000" w:themeColor="text1"/>
                <w:sz w:val="21"/>
                <w:szCs w:val="21"/>
                <w14:textFill>
                  <w14:solidFill>
                    <w14:schemeClr w14:val="tx1"/>
                  </w14:solidFill>
                </w14:textFill>
              </w:rPr>
            </w:pPr>
          </w:p>
        </w:tc>
        <w:tc>
          <w:tcPr>
            <w:tcW w:w="156" w:type="pct"/>
            <w:noWrap w:val="0"/>
            <w:vAlign w:val="center"/>
          </w:tcPr>
          <w:p w14:paraId="39766991">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全</w:t>
            </w:r>
          </w:p>
          <w:p w14:paraId="642BE79C">
            <w:pPr>
              <w:pStyle w:val="2"/>
              <w:spacing w:line="24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社会</w:t>
            </w:r>
          </w:p>
        </w:tc>
        <w:tc>
          <w:tcPr>
            <w:tcW w:w="156" w:type="pct"/>
            <w:noWrap w:val="0"/>
            <w:vAlign w:val="center"/>
          </w:tcPr>
          <w:p w14:paraId="0A5A5F7E">
            <w:pPr>
              <w:pStyle w:val="2"/>
              <w:spacing w:line="240" w:lineRule="exact"/>
              <w:jc w:val="center"/>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特定</w:t>
            </w:r>
          </w:p>
          <w:p w14:paraId="7B5298C2">
            <w:pPr>
              <w:pStyle w:val="2"/>
              <w:spacing w:line="240" w:lineRule="exact"/>
              <w:jc w:val="center"/>
              <w:rPr>
                <w:rFonts w:ascii="Times New Roman" w:hAnsi="Times New Roman" w:eastAsia="方正仿宋_GBK" w:cs="方正仿宋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群体</w:t>
            </w:r>
          </w:p>
        </w:tc>
        <w:tc>
          <w:tcPr>
            <w:tcW w:w="156" w:type="pct"/>
            <w:noWrap w:val="0"/>
            <w:vAlign w:val="center"/>
          </w:tcPr>
          <w:p w14:paraId="4817E964">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主动</w:t>
            </w:r>
          </w:p>
          <w:p w14:paraId="26FF22FE">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公开</w:t>
            </w:r>
          </w:p>
        </w:tc>
        <w:tc>
          <w:tcPr>
            <w:tcW w:w="159" w:type="pct"/>
            <w:noWrap w:val="0"/>
            <w:vAlign w:val="center"/>
          </w:tcPr>
          <w:p w14:paraId="2932B939">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依申</w:t>
            </w:r>
          </w:p>
          <w:p w14:paraId="7FF153CA">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w w:val="80"/>
                <w:sz w:val="21"/>
                <w:szCs w:val="21"/>
                <w14:textFill>
                  <w14:solidFill>
                    <w14:schemeClr w14:val="tx1"/>
                  </w14:solidFill>
                </w14:textFill>
              </w:rPr>
              <w:t>请公开</w:t>
            </w:r>
          </w:p>
        </w:tc>
        <w:tc>
          <w:tcPr>
            <w:tcW w:w="150" w:type="pct"/>
            <w:noWrap w:val="0"/>
            <w:vAlign w:val="center"/>
          </w:tcPr>
          <w:p w14:paraId="27080CD4">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市</w:t>
            </w:r>
          </w:p>
          <w:p w14:paraId="54D5F572">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级</w:t>
            </w:r>
          </w:p>
        </w:tc>
        <w:tc>
          <w:tcPr>
            <w:tcW w:w="150" w:type="pct"/>
            <w:noWrap w:val="0"/>
            <w:vAlign w:val="center"/>
          </w:tcPr>
          <w:p w14:paraId="64CF9A7B">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县</w:t>
            </w:r>
          </w:p>
          <w:p w14:paraId="71C03740">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级</w:t>
            </w:r>
          </w:p>
        </w:tc>
        <w:tc>
          <w:tcPr>
            <w:tcW w:w="150" w:type="pct"/>
            <w:noWrap w:val="0"/>
            <w:vAlign w:val="center"/>
          </w:tcPr>
          <w:p w14:paraId="3A421890">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乡</w:t>
            </w:r>
          </w:p>
          <w:p w14:paraId="268AF8DC">
            <w:pPr>
              <w:pStyle w:val="2"/>
              <w:spacing w:line="240" w:lineRule="exact"/>
              <w:jc w:val="center"/>
              <w:textAlignment w:val="baseline"/>
              <w:rPr>
                <w:rFonts w:ascii="Times New Roman" w:hAnsi="Times New Roman" w:eastAsia="方正黑体_GBK" w:cs="方正黑体_GBK"/>
                <w:color w:val="000000" w:themeColor="text1"/>
                <w:sz w:val="21"/>
                <w:szCs w:val="21"/>
                <w14:textFill>
                  <w14:solidFill>
                    <w14:schemeClr w14:val="tx1"/>
                  </w14:solidFill>
                </w14:textFill>
              </w:rPr>
            </w:pPr>
            <w:r>
              <w:rPr>
                <w:rFonts w:hint="eastAsia" w:ascii="Times New Roman" w:hAnsi="Times New Roman" w:eastAsia="方正黑体_GBK" w:cs="方正黑体_GBK"/>
                <w:color w:val="000000" w:themeColor="text1"/>
                <w:sz w:val="21"/>
                <w:szCs w:val="21"/>
                <w14:textFill>
                  <w14:solidFill>
                    <w14:schemeClr w14:val="tx1"/>
                  </w14:solidFill>
                </w14:textFill>
              </w:rPr>
              <w:t>级</w:t>
            </w:r>
          </w:p>
        </w:tc>
      </w:tr>
      <w:tr w14:paraId="413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7EB5C2CF">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1</w:t>
            </w:r>
          </w:p>
        </w:tc>
        <w:tc>
          <w:tcPr>
            <w:tcW w:w="169" w:type="pct"/>
            <w:noWrap w:val="0"/>
            <w:vAlign w:val="center"/>
          </w:tcPr>
          <w:p w14:paraId="380F1C03">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行政许可</w:t>
            </w:r>
          </w:p>
        </w:tc>
        <w:tc>
          <w:tcPr>
            <w:tcW w:w="334" w:type="pct"/>
            <w:noWrap w:val="0"/>
            <w:vAlign w:val="center"/>
          </w:tcPr>
          <w:p w14:paraId="31BE8465">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基层法律服务工作者执业、变更、注销许可</w:t>
            </w:r>
          </w:p>
        </w:tc>
        <w:tc>
          <w:tcPr>
            <w:tcW w:w="737" w:type="pct"/>
            <w:noWrap w:val="0"/>
            <w:vAlign w:val="center"/>
          </w:tcPr>
          <w:p w14:paraId="0A1BEDE7">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办事指南（依据、条件、程序）、准予行政许可决定</w:t>
            </w:r>
          </w:p>
        </w:tc>
        <w:tc>
          <w:tcPr>
            <w:tcW w:w="1313" w:type="pct"/>
            <w:noWrap w:val="0"/>
            <w:vAlign w:val="center"/>
          </w:tcPr>
          <w:p w14:paraId="00A818E4">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国务院办公厅关于全面推行行政执法公示制度执法全过程记录制度重大执法决定法制审核制度的指导意见》（国办发〔2018〕118号）</w:t>
            </w:r>
          </w:p>
        </w:tc>
        <w:tc>
          <w:tcPr>
            <w:tcW w:w="466" w:type="pct"/>
            <w:noWrap w:val="0"/>
            <w:vAlign w:val="center"/>
          </w:tcPr>
          <w:p w14:paraId="787BBC99">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制作或获取信息之日起7个工作日内</w:t>
            </w:r>
          </w:p>
        </w:tc>
        <w:tc>
          <w:tcPr>
            <w:tcW w:w="275" w:type="pct"/>
            <w:noWrap w:val="0"/>
            <w:vAlign w:val="center"/>
          </w:tcPr>
          <w:p w14:paraId="285819E6">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区县</w:t>
            </w:r>
          </w:p>
          <w:p w14:paraId="6BC94C65">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司法局</w:t>
            </w:r>
          </w:p>
        </w:tc>
        <w:tc>
          <w:tcPr>
            <w:tcW w:w="472" w:type="pct"/>
            <w:noWrap w:val="0"/>
            <w:vAlign w:val="center"/>
          </w:tcPr>
          <w:p w14:paraId="45D33F4F">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重庆市网上办事大厅（渝快办）、</w:t>
            </w:r>
            <w:r>
              <w:rPr>
                <w:rFonts w:hint="eastAsia" w:ascii="Times New Roman" w:hAnsi="Times New Roman" w:eastAsia="方正仿宋_GBK"/>
                <w:color w:val="000000" w:themeColor="text1"/>
                <w:sz w:val="21"/>
                <w:szCs w:val="21"/>
                <w14:textFill>
                  <w14:solidFill>
                    <w14:schemeClr w14:val="tx1"/>
                  </w14:solidFill>
                </w14:textFill>
              </w:rPr>
              <w:t>区县政府门户网站</w:t>
            </w:r>
          </w:p>
        </w:tc>
        <w:tc>
          <w:tcPr>
            <w:tcW w:w="156" w:type="pct"/>
            <w:noWrap w:val="0"/>
            <w:vAlign w:val="center"/>
          </w:tcPr>
          <w:p w14:paraId="1B7B99E0">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4AF6BD5F">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0315A899">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7DAB51DA">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151F60C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51707362">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3D1C70A">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r w14:paraId="4CFA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5F056BCA">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2</w:t>
            </w:r>
          </w:p>
        </w:tc>
        <w:tc>
          <w:tcPr>
            <w:tcW w:w="169" w:type="pct"/>
            <w:noWrap w:val="0"/>
            <w:vAlign w:val="center"/>
          </w:tcPr>
          <w:p w14:paraId="61A582B8">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行政给付</w:t>
            </w:r>
          </w:p>
        </w:tc>
        <w:tc>
          <w:tcPr>
            <w:tcW w:w="334" w:type="pct"/>
            <w:noWrap w:val="0"/>
            <w:vAlign w:val="center"/>
          </w:tcPr>
          <w:p w14:paraId="420AF4EE">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提供法律援助</w:t>
            </w:r>
          </w:p>
        </w:tc>
        <w:tc>
          <w:tcPr>
            <w:tcW w:w="737" w:type="pct"/>
            <w:noWrap w:val="0"/>
            <w:vAlign w:val="center"/>
          </w:tcPr>
          <w:p w14:paraId="42915E0C">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办事指南（依据、条件、程序）以及资金使用、案件办理、质量考核结果等情况</w:t>
            </w:r>
          </w:p>
        </w:tc>
        <w:tc>
          <w:tcPr>
            <w:tcW w:w="1313" w:type="pct"/>
            <w:noWrap w:val="0"/>
            <w:vAlign w:val="center"/>
          </w:tcPr>
          <w:p w14:paraId="679799C9">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466" w:type="pct"/>
            <w:noWrap w:val="0"/>
            <w:vAlign w:val="center"/>
          </w:tcPr>
          <w:p w14:paraId="22A46D02">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制作或获取信息之日起20个工作日内（资金使用、案件办理、质量考核结果按季度公开）</w:t>
            </w:r>
          </w:p>
        </w:tc>
        <w:tc>
          <w:tcPr>
            <w:tcW w:w="275" w:type="pct"/>
            <w:noWrap w:val="0"/>
            <w:vAlign w:val="center"/>
          </w:tcPr>
          <w:p w14:paraId="00B6CD2D">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市司法局、区县司法局</w:t>
            </w:r>
          </w:p>
        </w:tc>
        <w:tc>
          <w:tcPr>
            <w:tcW w:w="472" w:type="pct"/>
            <w:noWrap w:val="0"/>
            <w:vAlign w:val="center"/>
          </w:tcPr>
          <w:p w14:paraId="0369C0A7">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重庆市网上办事大厅（渝快办）、市司法局网站、区县政府门户网站</w:t>
            </w:r>
          </w:p>
        </w:tc>
        <w:tc>
          <w:tcPr>
            <w:tcW w:w="156" w:type="pct"/>
            <w:noWrap w:val="0"/>
            <w:vAlign w:val="center"/>
          </w:tcPr>
          <w:p w14:paraId="1682F4BD">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557A57C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49476E5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1342683B">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63298A76">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5D766432">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BF1B468">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r w14:paraId="1F5E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4226EA4E">
            <w:pPr>
              <w:spacing w:line="260" w:lineRule="exact"/>
              <w:jc w:val="center"/>
              <w:rPr>
                <w:rFonts w:hint="default" w:ascii="Times New Roman" w:hAnsi="Times New Roman" w:eastAsia="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3</w:t>
            </w:r>
          </w:p>
        </w:tc>
        <w:tc>
          <w:tcPr>
            <w:tcW w:w="169" w:type="pct"/>
            <w:noWrap w:val="0"/>
            <w:vAlign w:val="center"/>
          </w:tcPr>
          <w:p w14:paraId="573A4476">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行政检查</w:t>
            </w:r>
          </w:p>
        </w:tc>
        <w:tc>
          <w:tcPr>
            <w:tcW w:w="334" w:type="pct"/>
            <w:noWrap w:val="0"/>
            <w:vAlign w:val="center"/>
          </w:tcPr>
          <w:p w14:paraId="600C6556">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法律服务行业行政检查</w:t>
            </w:r>
          </w:p>
        </w:tc>
        <w:tc>
          <w:tcPr>
            <w:tcW w:w="737" w:type="pct"/>
            <w:noWrap w:val="0"/>
            <w:vAlign w:val="center"/>
          </w:tcPr>
          <w:p w14:paraId="02074601">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随机（或专项）检查计划及检查结果</w:t>
            </w:r>
          </w:p>
        </w:tc>
        <w:tc>
          <w:tcPr>
            <w:tcW w:w="1313" w:type="pct"/>
            <w:noWrap w:val="0"/>
            <w:vAlign w:val="center"/>
          </w:tcPr>
          <w:p w14:paraId="549F883A">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国务院办公厅关于全面推行行政执法公示制度执法全过程记录制度重大执法决定法制审核制度的指导意见》（国办发〔2018〕118号）《中华人民共和国政府信息公开条例》《重庆市公共法律服务领域“双随机一公开”监管实施方案》（渝司发〔2020〕56号）</w:t>
            </w:r>
          </w:p>
        </w:tc>
        <w:tc>
          <w:tcPr>
            <w:tcW w:w="466" w:type="pct"/>
            <w:noWrap w:val="0"/>
            <w:vAlign w:val="center"/>
          </w:tcPr>
          <w:p w14:paraId="230A181F">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w:t>
            </w:r>
          </w:p>
        </w:tc>
        <w:tc>
          <w:tcPr>
            <w:tcW w:w="275" w:type="pct"/>
            <w:noWrap w:val="0"/>
            <w:vAlign w:val="center"/>
          </w:tcPr>
          <w:p w14:paraId="02DCC2A5">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市司法局、区县司法局</w:t>
            </w:r>
          </w:p>
        </w:tc>
        <w:tc>
          <w:tcPr>
            <w:tcW w:w="472" w:type="pct"/>
            <w:noWrap w:val="0"/>
            <w:vAlign w:val="center"/>
          </w:tcPr>
          <w:p w14:paraId="2EF33FB0">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市司法局网站、区县政府门户网站</w:t>
            </w:r>
          </w:p>
        </w:tc>
        <w:tc>
          <w:tcPr>
            <w:tcW w:w="156" w:type="pct"/>
            <w:noWrap w:val="0"/>
            <w:vAlign w:val="center"/>
          </w:tcPr>
          <w:p w14:paraId="00FD52C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44BDF114">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45B90094">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7972D523">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2CD9CD8A">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4E040F51">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C91A58C">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r w14:paraId="203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06C41CD5">
            <w:pPr>
              <w:spacing w:line="260" w:lineRule="exact"/>
              <w:jc w:val="center"/>
              <w:rPr>
                <w:rFonts w:hint="default" w:ascii="Times New Roman" w:hAnsi="Times New Roman" w:eastAsia="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4</w:t>
            </w:r>
          </w:p>
        </w:tc>
        <w:tc>
          <w:tcPr>
            <w:tcW w:w="169" w:type="pct"/>
            <w:noWrap w:val="0"/>
            <w:vAlign w:val="center"/>
          </w:tcPr>
          <w:p w14:paraId="17DDEE14">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行政奖励</w:t>
            </w:r>
          </w:p>
        </w:tc>
        <w:tc>
          <w:tcPr>
            <w:tcW w:w="334" w:type="pct"/>
            <w:noWrap w:val="0"/>
            <w:vAlign w:val="center"/>
          </w:tcPr>
          <w:p w14:paraId="36C83309">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法律服务行业表彰奖励</w:t>
            </w:r>
          </w:p>
        </w:tc>
        <w:tc>
          <w:tcPr>
            <w:tcW w:w="737" w:type="pct"/>
            <w:noWrap w:val="0"/>
            <w:vAlign w:val="center"/>
          </w:tcPr>
          <w:p w14:paraId="53F2152E">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公示以及奖励决定</w:t>
            </w:r>
          </w:p>
        </w:tc>
        <w:tc>
          <w:tcPr>
            <w:tcW w:w="1313" w:type="pct"/>
            <w:noWrap w:val="0"/>
            <w:vAlign w:val="center"/>
          </w:tcPr>
          <w:p w14:paraId="620354F5">
            <w:pPr>
              <w:spacing w:line="246"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中华人民共和国人民调解法》《中华人民共和国法律援助法》《法律援助条例》《人民调解委员会及调解员奖励办法》（司法部令1991年第15号）《基层法律服务所管理办法》（司法部令2017年第137号）《基层法律服务工作者管理办法》（司法部令2017年第138号）《律师事务所管理办法》（司法部令2018年142号）《律师执业管理办法》（司法部令2016年第134号）《重庆市人民调解条例》《重庆市法律援助条例》《中华人民共和国政府信息公开条例》</w:t>
            </w:r>
          </w:p>
        </w:tc>
        <w:tc>
          <w:tcPr>
            <w:tcW w:w="466" w:type="pct"/>
            <w:noWrap w:val="0"/>
            <w:vAlign w:val="center"/>
          </w:tcPr>
          <w:p w14:paraId="5685A266">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w:t>
            </w:r>
          </w:p>
        </w:tc>
        <w:tc>
          <w:tcPr>
            <w:tcW w:w="275" w:type="pct"/>
            <w:noWrap w:val="0"/>
            <w:vAlign w:val="center"/>
          </w:tcPr>
          <w:p w14:paraId="4A459A04">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市司法局、区县司法局</w:t>
            </w:r>
          </w:p>
        </w:tc>
        <w:tc>
          <w:tcPr>
            <w:tcW w:w="472" w:type="pct"/>
            <w:noWrap w:val="0"/>
            <w:vAlign w:val="center"/>
          </w:tcPr>
          <w:p w14:paraId="019ABC24">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市司法局网站、区县政府门户网站</w:t>
            </w:r>
          </w:p>
        </w:tc>
        <w:tc>
          <w:tcPr>
            <w:tcW w:w="156" w:type="pct"/>
            <w:noWrap w:val="0"/>
            <w:vAlign w:val="center"/>
          </w:tcPr>
          <w:p w14:paraId="52C2B203">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5E940020">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78B9477E">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506A1CA2">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5BD45DC5">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1CEF35F">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44FE110">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r w14:paraId="78C3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1C4D6898">
            <w:pPr>
              <w:spacing w:line="260" w:lineRule="exact"/>
              <w:jc w:val="center"/>
              <w:rPr>
                <w:rFonts w:hint="default" w:ascii="Times New Roman" w:hAnsi="Times New Roman" w:eastAsia="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5</w:t>
            </w:r>
          </w:p>
        </w:tc>
        <w:tc>
          <w:tcPr>
            <w:tcW w:w="169" w:type="pct"/>
            <w:noWrap w:val="0"/>
            <w:vAlign w:val="center"/>
          </w:tcPr>
          <w:p w14:paraId="6C2040BE">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公共服务</w:t>
            </w:r>
          </w:p>
        </w:tc>
        <w:tc>
          <w:tcPr>
            <w:tcW w:w="334" w:type="pct"/>
            <w:noWrap w:val="0"/>
            <w:vAlign w:val="center"/>
          </w:tcPr>
          <w:p w14:paraId="6648E096">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法律法规、行政规范性文件和案例检索服务</w:t>
            </w:r>
          </w:p>
        </w:tc>
        <w:tc>
          <w:tcPr>
            <w:tcW w:w="737" w:type="pct"/>
            <w:noWrap w:val="0"/>
            <w:vAlign w:val="center"/>
          </w:tcPr>
          <w:p w14:paraId="365FB84B">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国家法律数据库、司法行政（法律服务）案例库、重庆市行政规范性文件数据库（可以采取提供查询网址方式公开）</w:t>
            </w:r>
          </w:p>
        </w:tc>
        <w:tc>
          <w:tcPr>
            <w:tcW w:w="1313" w:type="pct"/>
            <w:noWrap w:val="0"/>
            <w:vAlign w:val="center"/>
          </w:tcPr>
          <w:p w14:paraId="4777D9C2">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《司法部办公厅关于印发公共法律服务领域基层政务公开标准指引的通知》（司办通〔2019〕57号）《中华人民共和国政府信息公开条例》</w:t>
            </w:r>
          </w:p>
        </w:tc>
        <w:tc>
          <w:tcPr>
            <w:tcW w:w="466" w:type="pct"/>
            <w:noWrap w:val="0"/>
            <w:vAlign w:val="center"/>
          </w:tcPr>
          <w:p w14:paraId="2EA68CE2">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动态更新或重新发布（间隔不超过1年）</w:t>
            </w:r>
          </w:p>
        </w:tc>
        <w:tc>
          <w:tcPr>
            <w:tcW w:w="275" w:type="pct"/>
            <w:noWrap w:val="0"/>
            <w:vAlign w:val="center"/>
          </w:tcPr>
          <w:p w14:paraId="7C830616">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市司法局、区县司法局</w:t>
            </w:r>
          </w:p>
        </w:tc>
        <w:tc>
          <w:tcPr>
            <w:tcW w:w="472" w:type="pct"/>
            <w:noWrap w:val="0"/>
            <w:vAlign w:val="center"/>
          </w:tcPr>
          <w:p w14:paraId="637EAAA9">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市司法局网站、区县政府门户网站</w:t>
            </w:r>
          </w:p>
        </w:tc>
        <w:tc>
          <w:tcPr>
            <w:tcW w:w="156" w:type="pct"/>
            <w:noWrap w:val="0"/>
            <w:vAlign w:val="center"/>
          </w:tcPr>
          <w:p w14:paraId="1D4F6636">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742B3FAD">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138B762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77CD1EA5">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2F369224">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0FBBEBF0">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3BB92EF7">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r w14:paraId="73C5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0"/>
            <w:vAlign w:val="center"/>
          </w:tcPr>
          <w:p w14:paraId="4E1CF2F1">
            <w:pPr>
              <w:spacing w:line="260" w:lineRule="exact"/>
              <w:jc w:val="center"/>
              <w:rPr>
                <w:rFonts w:hint="default" w:ascii="Times New Roman" w:hAnsi="Times New Roman" w:eastAsia="方正仿宋_GBK"/>
                <w:color w:val="000000" w:themeColor="text1"/>
                <w:sz w:val="21"/>
                <w:szCs w:val="21"/>
                <w:lang w:val="en-US" w:eastAsia="zh-CN"/>
                <w14:textFill>
                  <w14:solidFill>
                    <w14:schemeClr w14:val="tx1"/>
                  </w14:solidFill>
                </w14:textFill>
              </w:rPr>
            </w:pPr>
            <w:r>
              <w:rPr>
                <w:rFonts w:hint="eastAsia" w:ascii="Times New Roman" w:hAnsi="Times New Roman" w:eastAsia="方正仿宋_GBK"/>
                <w:color w:val="000000" w:themeColor="text1"/>
                <w:sz w:val="21"/>
                <w:szCs w:val="21"/>
                <w:lang w:val="en-US" w:eastAsia="zh-CN"/>
                <w14:textFill>
                  <w14:solidFill>
                    <w14:schemeClr w14:val="tx1"/>
                  </w14:solidFill>
                </w14:textFill>
              </w:rPr>
              <w:t>6</w:t>
            </w:r>
          </w:p>
        </w:tc>
        <w:tc>
          <w:tcPr>
            <w:tcW w:w="169" w:type="pct"/>
            <w:noWrap w:val="0"/>
            <w:vAlign w:val="center"/>
          </w:tcPr>
          <w:p w14:paraId="64597DB8">
            <w:pPr>
              <w:spacing w:line="260" w:lineRule="exact"/>
              <w:jc w:val="center"/>
              <w:rPr>
                <w:rFonts w:hint="eastAsia"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公共服务</w:t>
            </w:r>
          </w:p>
        </w:tc>
        <w:tc>
          <w:tcPr>
            <w:tcW w:w="334" w:type="pct"/>
            <w:noWrap w:val="0"/>
            <w:vAlign w:val="center"/>
          </w:tcPr>
          <w:p w14:paraId="7836E365">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法律服务机构、人员信息查询服务</w:t>
            </w:r>
          </w:p>
        </w:tc>
        <w:tc>
          <w:tcPr>
            <w:tcW w:w="737" w:type="pct"/>
            <w:noWrap w:val="0"/>
            <w:vAlign w:val="center"/>
          </w:tcPr>
          <w:p w14:paraId="572831F7">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辖区内的律师、公证、基层法律服务、司法鉴定、仲裁、人民调解等法律服务机构和人员有关基本信息、从业信息和信用信息（可以采取提供查询网址方式公开）</w:t>
            </w:r>
          </w:p>
        </w:tc>
        <w:tc>
          <w:tcPr>
            <w:tcW w:w="1313" w:type="pct"/>
            <w:noWrap w:val="0"/>
            <w:vAlign w:val="center"/>
          </w:tcPr>
          <w:p w14:paraId="4C8F678E">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《司法部办公厅关于印发公共法律服务领域基层政务公开标准指引的通知》（司办通〔2019〕57号）《中华人民共和国政府信息公开条例》</w:t>
            </w:r>
          </w:p>
        </w:tc>
        <w:tc>
          <w:tcPr>
            <w:tcW w:w="466" w:type="pct"/>
            <w:noWrap w:val="0"/>
            <w:vAlign w:val="center"/>
          </w:tcPr>
          <w:p w14:paraId="54AEC5CD">
            <w:pPr>
              <w:spacing w:line="260" w:lineRule="exact"/>
              <w:jc w:val="both"/>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动态更新或重新发布（间隔不超过1年）</w:t>
            </w:r>
          </w:p>
        </w:tc>
        <w:tc>
          <w:tcPr>
            <w:tcW w:w="275" w:type="pct"/>
            <w:noWrap w:val="0"/>
            <w:vAlign w:val="center"/>
          </w:tcPr>
          <w:p w14:paraId="0AFD660C">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市司法局、区县司法局</w:t>
            </w:r>
          </w:p>
        </w:tc>
        <w:tc>
          <w:tcPr>
            <w:tcW w:w="472" w:type="pct"/>
            <w:noWrap w:val="0"/>
            <w:vAlign w:val="center"/>
          </w:tcPr>
          <w:p w14:paraId="2D081C8A">
            <w:pPr>
              <w:spacing w:line="260" w:lineRule="exact"/>
              <w:jc w:val="center"/>
              <w:rPr>
                <w:rFonts w:ascii="Times New Roman" w:hAnsi="Times New Roman" w:eastAsia="方正仿宋_GBK"/>
                <w:color w:val="000000" w:themeColor="text1"/>
                <w:sz w:val="21"/>
                <w:szCs w:val="21"/>
                <w:lang w:eastAsia="zh-CN"/>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市司法局网站、区县政府门户网站</w:t>
            </w:r>
          </w:p>
        </w:tc>
        <w:tc>
          <w:tcPr>
            <w:tcW w:w="156" w:type="pct"/>
            <w:noWrap w:val="0"/>
            <w:vAlign w:val="center"/>
          </w:tcPr>
          <w:p w14:paraId="7B64317F">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6" w:type="pct"/>
            <w:noWrap w:val="0"/>
            <w:vAlign w:val="center"/>
          </w:tcPr>
          <w:p w14:paraId="126EAAA8">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6" w:type="pct"/>
            <w:noWrap w:val="0"/>
            <w:vAlign w:val="center"/>
          </w:tcPr>
          <w:p w14:paraId="45BAE50A">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9" w:type="pct"/>
            <w:noWrap w:val="0"/>
            <w:vAlign w:val="center"/>
          </w:tcPr>
          <w:p w14:paraId="66161BA1">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c>
          <w:tcPr>
            <w:tcW w:w="150" w:type="pct"/>
            <w:noWrap w:val="0"/>
            <w:vAlign w:val="center"/>
          </w:tcPr>
          <w:p w14:paraId="5072E5CA">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4A234BDB">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w:t>
            </w:r>
          </w:p>
        </w:tc>
        <w:tc>
          <w:tcPr>
            <w:tcW w:w="150" w:type="pct"/>
            <w:noWrap w:val="0"/>
            <w:vAlign w:val="center"/>
          </w:tcPr>
          <w:p w14:paraId="634D9195">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p>
        </w:tc>
      </w:tr>
    </w:tbl>
    <w:p w14:paraId="36579777"/>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DI2M2IxYjA1YThhZDNhMjZmZTQ1NTlhODM5NzIifQ=="/>
  </w:docVars>
  <w:rsids>
    <w:rsidRoot w:val="6CAA2615"/>
    <w:rsid w:val="0081756A"/>
    <w:rsid w:val="099E2C0A"/>
    <w:rsid w:val="09EF622A"/>
    <w:rsid w:val="0C5A7CD5"/>
    <w:rsid w:val="110342E2"/>
    <w:rsid w:val="12AB58C6"/>
    <w:rsid w:val="13526A57"/>
    <w:rsid w:val="17F91C8E"/>
    <w:rsid w:val="1BB955F7"/>
    <w:rsid w:val="1F6A5161"/>
    <w:rsid w:val="2900477D"/>
    <w:rsid w:val="2AC50999"/>
    <w:rsid w:val="2B9D29E5"/>
    <w:rsid w:val="2E7A4D38"/>
    <w:rsid w:val="2F7D44CC"/>
    <w:rsid w:val="32035E78"/>
    <w:rsid w:val="32650111"/>
    <w:rsid w:val="328A2575"/>
    <w:rsid w:val="339C59A4"/>
    <w:rsid w:val="33C70ACF"/>
    <w:rsid w:val="348A6BA4"/>
    <w:rsid w:val="35335D8D"/>
    <w:rsid w:val="37B95AD2"/>
    <w:rsid w:val="381B7EB1"/>
    <w:rsid w:val="3A0D1545"/>
    <w:rsid w:val="3A563CE2"/>
    <w:rsid w:val="3C8D114D"/>
    <w:rsid w:val="3CFB66EF"/>
    <w:rsid w:val="3D6E0A01"/>
    <w:rsid w:val="3FB1288C"/>
    <w:rsid w:val="42D9379A"/>
    <w:rsid w:val="4A1B1792"/>
    <w:rsid w:val="4F1A390D"/>
    <w:rsid w:val="50596FEB"/>
    <w:rsid w:val="51F53582"/>
    <w:rsid w:val="565B74D0"/>
    <w:rsid w:val="5A0E5C5D"/>
    <w:rsid w:val="5B1C630A"/>
    <w:rsid w:val="5B2B0B91"/>
    <w:rsid w:val="609173E0"/>
    <w:rsid w:val="67BC45F6"/>
    <w:rsid w:val="6824397C"/>
    <w:rsid w:val="693D5D0B"/>
    <w:rsid w:val="6B923EF9"/>
    <w:rsid w:val="6CAA2615"/>
    <w:rsid w:val="6DED6F14"/>
    <w:rsid w:val="71F80E46"/>
    <w:rsid w:val="77185694"/>
    <w:rsid w:val="771D1321"/>
    <w:rsid w:val="78523112"/>
    <w:rsid w:val="7C7904F7"/>
    <w:rsid w:val="7E777E8C"/>
    <w:rsid w:val="7E797CFD"/>
    <w:rsid w:val="7E8B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pPr>
    <w:rPr>
      <w:rFonts w:ascii="黑体" w:hAns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1456</Words>
  <Characters>1526</Characters>
  <Lines>0</Lines>
  <Paragraphs>0</Paragraphs>
  <TotalTime>11</TotalTime>
  <ScaleCrop>false</ScaleCrop>
  <LinksUpToDate>false</LinksUpToDate>
  <CharactersWithSpaces>1526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2024-01-29T01:22:00Z</dcterms:created>
  <dc:creator>朱翊</dc:creator>
  <cp:lastModifiedBy>朱翊</cp:lastModifiedBy>
  <cp:lastPrinted>2024-01-29T01:54:00Z</cp:lastPrinted>
  <dcterms:modified xsi:type="dcterms:W3CDTF">2025-01-21T05:20:02Z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E64DE6C298614ACB8370ED3EA91D3840_13</vt:lpwstr>
  </property>
</Properties>
</file>