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50" w:afterLines="50" w:line="594" w:lineRule="exact"/>
        <w:jc w:val="center"/>
        <w:rPr>
          <w:rFonts w:ascii="Times New Roman" w:hAnsi="Times New Roman" w:eastAsia="方正小标宋_GBK" w:cs="方正小标宋_GBK"/>
          <w:color w:val="000000" w:themeColor="text1"/>
          <w:sz w:val="36"/>
          <w:szCs w:val="36"/>
        </w:rPr>
      </w:pPr>
      <w:r>
        <w:rPr>
          <w:rFonts w:hint="eastAsia" w:ascii="Times New Roman" w:hAnsi="Times New Roman" w:eastAsia="方正小标宋_GBK" w:cs="方正小标宋_GBK"/>
          <w:color w:val="000000" w:themeColor="text1"/>
          <w:sz w:val="36"/>
          <w:szCs w:val="36"/>
        </w:rPr>
        <w:t>酉阳县公共法律服务领域政务公开标准目录（2024年版）</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
        <w:gridCol w:w="360"/>
        <w:gridCol w:w="899"/>
        <w:gridCol w:w="2768"/>
        <w:gridCol w:w="5602"/>
        <w:gridCol w:w="1636"/>
        <w:gridCol w:w="575"/>
        <w:gridCol w:w="1294"/>
        <w:gridCol w:w="288"/>
        <w:gridCol w:w="288"/>
        <w:gridCol w:w="288"/>
        <w:gridCol w:w="302"/>
        <w:gridCol w:w="252"/>
        <w:gridCol w:w="252"/>
        <w:gridCol w:w="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vMerge w:val="restar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序</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号</w:t>
            </w:r>
          </w:p>
        </w:tc>
        <w:tc>
          <w:tcPr>
            <w:tcW w:w="503" w:type="pct"/>
            <w:gridSpan w:val="2"/>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公开事项</w:t>
            </w:r>
          </w:p>
        </w:tc>
        <w:tc>
          <w:tcPr>
            <w:tcW w:w="737" w:type="pct"/>
            <w:vMerge w:val="restar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公开内容</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（要素）</w:t>
            </w:r>
          </w:p>
        </w:tc>
        <w:tc>
          <w:tcPr>
            <w:tcW w:w="1313" w:type="pct"/>
            <w:vMerge w:val="restar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公开依据</w:t>
            </w:r>
          </w:p>
        </w:tc>
        <w:tc>
          <w:tcPr>
            <w:tcW w:w="466" w:type="pct"/>
            <w:vMerge w:val="restar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时限</w:t>
            </w:r>
          </w:p>
        </w:tc>
        <w:tc>
          <w:tcPr>
            <w:tcW w:w="275" w:type="pct"/>
            <w:vMerge w:val="restar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主体</w:t>
            </w:r>
          </w:p>
        </w:tc>
        <w:tc>
          <w:tcPr>
            <w:tcW w:w="472" w:type="pct"/>
            <w:vMerge w:val="restar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公开渠道</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和载体</w:t>
            </w:r>
          </w:p>
        </w:tc>
        <w:tc>
          <w:tcPr>
            <w:tcW w:w="313" w:type="pct"/>
            <w:gridSpan w:val="2"/>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公开对象</w:t>
            </w:r>
          </w:p>
        </w:tc>
        <w:tc>
          <w:tcPr>
            <w:tcW w:w="316" w:type="pct"/>
            <w:gridSpan w:val="2"/>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公开方式</w:t>
            </w:r>
          </w:p>
        </w:tc>
        <w:tc>
          <w:tcPr>
            <w:tcW w:w="450" w:type="pct"/>
            <w:gridSpan w:val="3"/>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vMerge w:val="continue"/>
            <w:noWrap/>
            <w:vAlign w:val="center"/>
          </w:tcPr>
          <w:p>
            <w:pPr>
              <w:pStyle w:val="2"/>
              <w:spacing w:line="240" w:lineRule="exact"/>
              <w:jc w:val="center"/>
              <w:rPr>
                <w:rFonts w:ascii="Times New Roman" w:hAnsi="Times New Roman" w:eastAsia="方正仿宋_GBK" w:cs="方正仿宋_GBK"/>
                <w:color w:val="000000" w:themeColor="text1"/>
                <w:szCs w:val="21"/>
              </w:rPr>
            </w:pPr>
          </w:p>
        </w:tc>
        <w:tc>
          <w:tcPr>
            <w:tcW w:w="169" w:type="pct"/>
            <w:noWrap/>
            <w:vAlign w:val="center"/>
          </w:tcPr>
          <w:p>
            <w:pPr>
              <w:pStyle w:val="2"/>
              <w:spacing w:line="240" w:lineRule="exact"/>
              <w:jc w:val="center"/>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一级</w:t>
            </w:r>
          </w:p>
          <w:p>
            <w:pPr>
              <w:pStyle w:val="2"/>
              <w:spacing w:line="240" w:lineRule="exact"/>
              <w:jc w:val="center"/>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事项</w:t>
            </w:r>
          </w:p>
        </w:tc>
        <w:tc>
          <w:tcPr>
            <w:tcW w:w="334" w:type="pct"/>
            <w:noWrap/>
            <w:vAlign w:val="center"/>
          </w:tcPr>
          <w:p>
            <w:pPr>
              <w:pStyle w:val="2"/>
              <w:spacing w:line="240" w:lineRule="exact"/>
              <w:jc w:val="center"/>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二级</w:t>
            </w:r>
          </w:p>
          <w:p>
            <w:pPr>
              <w:pStyle w:val="2"/>
              <w:spacing w:line="240" w:lineRule="exact"/>
              <w:jc w:val="center"/>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事项</w:t>
            </w:r>
          </w:p>
        </w:tc>
        <w:tc>
          <w:tcPr>
            <w:tcW w:w="737" w:type="pct"/>
            <w:vMerge w:val="continue"/>
            <w:noWrap/>
            <w:vAlign w:val="center"/>
          </w:tcPr>
          <w:p>
            <w:pPr>
              <w:pStyle w:val="2"/>
              <w:spacing w:line="240" w:lineRule="exact"/>
              <w:jc w:val="center"/>
              <w:rPr>
                <w:rFonts w:ascii="Times New Roman" w:hAnsi="Times New Roman" w:eastAsia="方正仿宋_GBK" w:cs="方正仿宋_GBK"/>
                <w:color w:val="000000" w:themeColor="text1"/>
                <w:szCs w:val="21"/>
              </w:rPr>
            </w:pPr>
          </w:p>
        </w:tc>
        <w:tc>
          <w:tcPr>
            <w:tcW w:w="1313" w:type="pct"/>
            <w:vMerge w:val="continue"/>
            <w:noWrap/>
            <w:vAlign w:val="center"/>
          </w:tcPr>
          <w:p>
            <w:pPr>
              <w:pStyle w:val="2"/>
              <w:spacing w:line="240" w:lineRule="exact"/>
              <w:rPr>
                <w:rFonts w:ascii="Times New Roman" w:hAnsi="Times New Roman" w:eastAsia="方正仿宋_GBK" w:cs="方正仿宋_GBK"/>
                <w:color w:val="000000" w:themeColor="text1"/>
                <w:szCs w:val="21"/>
              </w:rPr>
            </w:pPr>
          </w:p>
        </w:tc>
        <w:tc>
          <w:tcPr>
            <w:tcW w:w="466" w:type="pct"/>
            <w:vMerge w:val="continue"/>
            <w:noWrap/>
            <w:vAlign w:val="center"/>
          </w:tcPr>
          <w:p>
            <w:pPr>
              <w:pStyle w:val="2"/>
              <w:spacing w:line="240" w:lineRule="exact"/>
              <w:rPr>
                <w:rFonts w:ascii="Times New Roman" w:hAnsi="Times New Roman" w:eastAsia="方正仿宋_GBK" w:cs="方正仿宋_GBK"/>
                <w:color w:val="000000" w:themeColor="text1"/>
                <w:szCs w:val="21"/>
              </w:rPr>
            </w:pPr>
          </w:p>
        </w:tc>
        <w:tc>
          <w:tcPr>
            <w:tcW w:w="275" w:type="pct"/>
            <w:vMerge w:val="continue"/>
            <w:noWrap/>
            <w:vAlign w:val="center"/>
          </w:tcPr>
          <w:p>
            <w:pPr>
              <w:pStyle w:val="2"/>
              <w:spacing w:line="240" w:lineRule="exact"/>
              <w:jc w:val="center"/>
              <w:rPr>
                <w:rFonts w:ascii="Times New Roman" w:hAnsi="Times New Roman" w:eastAsia="方正仿宋_GBK" w:cs="方正仿宋_GBK"/>
                <w:color w:val="000000" w:themeColor="text1"/>
                <w:szCs w:val="21"/>
              </w:rPr>
            </w:pPr>
          </w:p>
        </w:tc>
        <w:tc>
          <w:tcPr>
            <w:tcW w:w="472" w:type="pct"/>
            <w:vMerge w:val="continue"/>
            <w:noWrap/>
            <w:vAlign w:val="center"/>
          </w:tcPr>
          <w:p>
            <w:pPr>
              <w:pStyle w:val="2"/>
              <w:spacing w:line="240" w:lineRule="exact"/>
              <w:jc w:val="center"/>
              <w:rPr>
                <w:rFonts w:ascii="Times New Roman" w:hAnsi="Times New Roman" w:eastAsia="方正仿宋_GBK" w:cs="方正仿宋_GBK"/>
                <w:color w:val="000000" w:themeColor="text1"/>
                <w:szCs w:val="21"/>
              </w:rPr>
            </w:pPr>
          </w:p>
        </w:tc>
        <w:tc>
          <w:tcPr>
            <w:tcW w:w="156" w:type="pct"/>
            <w:noWrap/>
            <w:vAlign w:val="center"/>
          </w:tcPr>
          <w:p>
            <w:pPr>
              <w:pStyle w:val="2"/>
              <w:spacing w:line="240" w:lineRule="exact"/>
              <w:jc w:val="center"/>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全</w:t>
            </w:r>
          </w:p>
          <w:p>
            <w:pPr>
              <w:pStyle w:val="2"/>
              <w:spacing w:line="240" w:lineRule="exact"/>
              <w:jc w:val="center"/>
              <w:rPr>
                <w:rFonts w:ascii="Times New Roman" w:hAnsi="Times New Roman"/>
                <w:color w:val="000000" w:themeColor="text1"/>
                <w:szCs w:val="21"/>
              </w:rPr>
            </w:pPr>
            <w:r>
              <w:rPr>
                <w:rFonts w:hint="eastAsia" w:ascii="Times New Roman" w:hAnsi="Times New Roman" w:eastAsia="方正黑体_GBK" w:cs="方正黑体_GBK"/>
                <w:color w:val="000000" w:themeColor="text1"/>
                <w:szCs w:val="21"/>
              </w:rPr>
              <w:t>社会</w:t>
            </w:r>
          </w:p>
        </w:tc>
        <w:tc>
          <w:tcPr>
            <w:tcW w:w="156" w:type="pct"/>
            <w:noWrap/>
            <w:vAlign w:val="center"/>
          </w:tcPr>
          <w:p>
            <w:pPr>
              <w:pStyle w:val="2"/>
              <w:spacing w:line="240" w:lineRule="exact"/>
              <w:jc w:val="center"/>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特定</w:t>
            </w:r>
          </w:p>
          <w:p>
            <w:pPr>
              <w:pStyle w:val="2"/>
              <w:spacing w:line="240" w:lineRule="exact"/>
              <w:jc w:val="center"/>
              <w:rPr>
                <w:rFonts w:ascii="Times New Roman" w:hAnsi="Times New Roman" w:eastAsia="方正仿宋_GBK" w:cs="方正仿宋_GBK"/>
                <w:color w:val="000000" w:themeColor="text1"/>
                <w:szCs w:val="21"/>
              </w:rPr>
            </w:pPr>
            <w:r>
              <w:rPr>
                <w:rFonts w:hint="eastAsia" w:ascii="Times New Roman" w:hAnsi="Times New Roman" w:eastAsia="方正黑体_GBK" w:cs="方正黑体_GBK"/>
                <w:color w:val="000000" w:themeColor="text1"/>
                <w:szCs w:val="21"/>
              </w:rPr>
              <w:t>群体</w:t>
            </w:r>
          </w:p>
        </w:tc>
        <w:tc>
          <w:tcPr>
            <w:tcW w:w="156" w:type="pc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主动</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公开</w:t>
            </w:r>
          </w:p>
        </w:tc>
        <w:tc>
          <w:tcPr>
            <w:tcW w:w="159" w:type="pc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依申</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w w:val="80"/>
                <w:szCs w:val="21"/>
              </w:rPr>
              <w:t>请公开</w:t>
            </w:r>
          </w:p>
        </w:tc>
        <w:tc>
          <w:tcPr>
            <w:tcW w:w="150" w:type="pc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市</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级</w:t>
            </w:r>
          </w:p>
        </w:tc>
        <w:tc>
          <w:tcPr>
            <w:tcW w:w="150" w:type="pc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县</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级</w:t>
            </w:r>
          </w:p>
        </w:tc>
        <w:tc>
          <w:tcPr>
            <w:tcW w:w="150" w:type="pct"/>
            <w:noWrap/>
            <w:vAlign w:val="center"/>
          </w:tcPr>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乡</w:t>
            </w:r>
          </w:p>
          <w:p>
            <w:pPr>
              <w:pStyle w:val="2"/>
              <w:spacing w:line="240" w:lineRule="exact"/>
              <w:jc w:val="center"/>
              <w:textAlignment w:val="baseline"/>
              <w:rPr>
                <w:rFonts w:ascii="Times New Roman" w:hAnsi="Times New Roman" w:eastAsia="方正黑体_GBK" w:cs="方正黑体_GBK"/>
                <w:color w:val="000000" w:themeColor="text1"/>
                <w:szCs w:val="21"/>
              </w:rPr>
            </w:pPr>
            <w:r>
              <w:rPr>
                <w:rFonts w:hint="eastAsia" w:ascii="Times New Roman" w:hAnsi="Times New Roman" w:eastAsia="方正黑体_GBK" w:cs="方正黑体_GBK"/>
                <w:color w:val="000000" w:themeColor="text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1</w:t>
            </w:r>
          </w:p>
        </w:tc>
        <w:tc>
          <w:tcPr>
            <w:tcW w:w="169"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行政许可</w:t>
            </w:r>
          </w:p>
        </w:tc>
        <w:tc>
          <w:tcPr>
            <w:tcW w:w="334"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基层法律服务工作者执业、变更、注销许可</w:t>
            </w:r>
          </w:p>
        </w:tc>
        <w:tc>
          <w:tcPr>
            <w:tcW w:w="737"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办事指南（依据、条件、程序）、准予行政许可决定</w:t>
            </w:r>
          </w:p>
        </w:tc>
        <w:tc>
          <w:tcPr>
            <w:tcW w:w="1313"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基层法律服务工作者管理办法》（司法部令2017年第138号）《国务院对确需保留的行政审批项目设定行政许可的决定》（国务院令2016年第617号）《国务院关于第六批取消和调整行政审批项目的决定》（国发〔2012〕52号）《中华人民共和国行政许可法》《中华人民共和国政府信息公开条例》《国务院办公厅关于全面推行行政执法公示制度执法全过程记录制度重大执法决定法制审核制度的指导意见》（国办发〔2018〕118号）</w:t>
            </w:r>
          </w:p>
        </w:tc>
        <w:tc>
          <w:tcPr>
            <w:tcW w:w="466"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制作或获取信息之日起7个工作日内</w:t>
            </w:r>
          </w:p>
        </w:tc>
        <w:tc>
          <w:tcPr>
            <w:tcW w:w="275"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区县</w:t>
            </w:r>
          </w:p>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司法局</w:t>
            </w:r>
          </w:p>
        </w:tc>
        <w:tc>
          <w:tcPr>
            <w:tcW w:w="472"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重庆市网上办事大厅（渝快办）、区县政府门户网站</w:t>
            </w: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6" w:type="pct"/>
            <w:noWrap/>
            <w:vAlign w:val="center"/>
          </w:tcPr>
          <w:p>
            <w:pPr>
              <w:spacing w:line="260" w:lineRule="exact"/>
              <w:jc w:val="center"/>
              <w:rPr>
                <w:rFonts w:ascii="Times New Roman" w:hAnsi="Times New Roman" w:eastAsia="方正仿宋_GBK"/>
                <w:color w:val="000000" w:themeColor="text1"/>
                <w:szCs w:val="21"/>
              </w:rPr>
            </w:pP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9" w:type="pct"/>
            <w:noWrap/>
            <w:vAlign w:val="center"/>
          </w:tcPr>
          <w:p>
            <w:pPr>
              <w:spacing w:line="260" w:lineRule="exact"/>
              <w:jc w:val="center"/>
              <w:rPr>
                <w:rFonts w:ascii="Times New Roman" w:hAnsi="Times New Roman" w:eastAsia="方正仿宋_GBK"/>
                <w:color w:val="000000" w:themeColor="text1"/>
                <w:szCs w:val="21"/>
              </w:rPr>
            </w:pPr>
          </w:p>
        </w:tc>
        <w:tc>
          <w:tcPr>
            <w:tcW w:w="150" w:type="pct"/>
            <w:noWrap/>
            <w:vAlign w:val="center"/>
          </w:tcPr>
          <w:p>
            <w:pPr>
              <w:spacing w:line="260" w:lineRule="exact"/>
              <w:jc w:val="center"/>
              <w:rPr>
                <w:rFonts w:ascii="Times New Roman" w:hAnsi="Times New Roman" w:eastAsia="方正仿宋_GBK"/>
                <w:color w:val="000000" w:themeColor="text1"/>
                <w:szCs w:val="21"/>
              </w:rPr>
            </w:pP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2</w:t>
            </w:r>
          </w:p>
        </w:tc>
        <w:tc>
          <w:tcPr>
            <w:tcW w:w="169"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行政给付</w:t>
            </w:r>
          </w:p>
        </w:tc>
        <w:tc>
          <w:tcPr>
            <w:tcW w:w="334"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提供法律援助</w:t>
            </w:r>
          </w:p>
        </w:tc>
        <w:tc>
          <w:tcPr>
            <w:tcW w:w="737"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办事指南（依据、条件、程序）以及资金使用、案件办理、质量考核结果等情况</w:t>
            </w:r>
          </w:p>
        </w:tc>
        <w:tc>
          <w:tcPr>
            <w:tcW w:w="1313"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中华人民共和国法律援助法》《中华人民共和国刑事诉讼法》《法律援助条例》《重庆市法律援助条例》《中共重庆市委办公厅重庆市人民政府办公厅印发〈关于完善法律援助制度的实施意见〉的通知》（渝委办发〔2016〕10号）《中华人民共和国政府信息公开条例》</w:t>
            </w:r>
          </w:p>
        </w:tc>
        <w:tc>
          <w:tcPr>
            <w:tcW w:w="466"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制作或获取信息之日起20个工作日内（资金使用、案件办理、质量考核结果按季度公开）</w:t>
            </w:r>
          </w:p>
        </w:tc>
        <w:tc>
          <w:tcPr>
            <w:tcW w:w="275"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市司法局、区县司法局</w:t>
            </w:r>
          </w:p>
        </w:tc>
        <w:tc>
          <w:tcPr>
            <w:tcW w:w="472"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重庆市网上办事大厅（渝快办）、市司法局网站、区县政府门户网站</w:t>
            </w: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6" w:type="pct"/>
            <w:noWrap/>
            <w:vAlign w:val="center"/>
          </w:tcPr>
          <w:p>
            <w:pPr>
              <w:spacing w:line="260" w:lineRule="exact"/>
              <w:jc w:val="center"/>
              <w:rPr>
                <w:rFonts w:ascii="Times New Roman" w:hAnsi="Times New Roman" w:eastAsia="方正仿宋_GBK"/>
                <w:color w:val="000000" w:themeColor="text1"/>
                <w:szCs w:val="21"/>
              </w:rPr>
            </w:pP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9" w:type="pct"/>
            <w:noWrap/>
            <w:vAlign w:val="center"/>
          </w:tcPr>
          <w:p>
            <w:pPr>
              <w:spacing w:line="260" w:lineRule="exact"/>
              <w:jc w:val="center"/>
              <w:rPr>
                <w:rFonts w:ascii="Times New Roman" w:hAnsi="Times New Roman" w:eastAsia="方正仿宋_GBK"/>
                <w:color w:val="000000" w:themeColor="text1"/>
                <w:szCs w:val="21"/>
              </w:rPr>
            </w:pP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3</w:t>
            </w:r>
          </w:p>
        </w:tc>
        <w:tc>
          <w:tcPr>
            <w:tcW w:w="169"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行政检查</w:t>
            </w:r>
          </w:p>
        </w:tc>
        <w:tc>
          <w:tcPr>
            <w:tcW w:w="334"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法律服务行业行政检查</w:t>
            </w:r>
          </w:p>
        </w:tc>
        <w:tc>
          <w:tcPr>
            <w:tcW w:w="737"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随机（或专项）检查计划及检查结果</w:t>
            </w:r>
          </w:p>
        </w:tc>
        <w:tc>
          <w:tcPr>
            <w:tcW w:w="1313"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《国务院办公厅关于全面推行行政执法公示制度执法全过程记录制度重大执法决定法制审核制度的指导意见》（国办发〔2018〕118号）《中华人民共和国政府信息公开条例》《重庆市公共法律服务领域“双随机</w:t>
            </w:r>
            <w:r>
              <w:rPr>
                <w:rFonts w:hint="eastAsia" w:ascii="Times New Roman" w:hAnsi="Times New Roman" w:eastAsia="方正仿宋_GBK"/>
                <w:color w:val="000000" w:themeColor="text1"/>
                <w:szCs w:val="21"/>
                <w:lang w:eastAsia="zh-CN"/>
              </w:rPr>
              <w:t>、</w:t>
            </w:r>
            <w:r>
              <w:rPr>
                <w:rFonts w:hint="eastAsia" w:ascii="Times New Roman" w:hAnsi="Times New Roman" w:eastAsia="方正仿宋_GBK"/>
                <w:color w:val="000000" w:themeColor="text1"/>
                <w:szCs w:val="21"/>
              </w:rPr>
              <w:t>一公开”监管实施方案》（渝司发〔2020〕56号）</w:t>
            </w:r>
          </w:p>
        </w:tc>
        <w:tc>
          <w:tcPr>
            <w:tcW w:w="466"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制作或获取信息之日起20个工作日内</w:t>
            </w:r>
          </w:p>
        </w:tc>
        <w:tc>
          <w:tcPr>
            <w:tcW w:w="275"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市司法局、区县司法局</w:t>
            </w:r>
          </w:p>
        </w:tc>
        <w:tc>
          <w:tcPr>
            <w:tcW w:w="472"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市司法局网站、区县政府门户网站</w:t>
            </w: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6" w:type="pct"/>
            <w:noWrap/>
            <w:vAlign w:val="center"/>
          </w:tcPr>
          <w:p>
            <w:pPr>
              <w:spacing w:line="260" w:lineRule="exact"/>
              <w:jc w:val="center"/>
              <w:rPr>
                <w:rFonts w:ascii="Times New Roman" w:hAnsi="Times New Roman" w:eastAsia="方正仿宋_GBK"/>
                <w:color w:val="000000" w:themeColor="text1"/>
                <w:szCs w:val="21"/>
              </w:rPr>
            </w:pP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9" w:type="pct"/>
            <w:noWrap/>
            <w:vAlign w:val="center"/>
          </w:tcPr>
          <w:p>
            <w:pPr>
              <w:spacing w:line="260" w:lineRule="exact"/>
              <w:jc w:val="center"/>
              <w:rPr>
                <w:rFonts w:ascii="Times New Roman" w:hAnsi="Times New Roman" w:eastAsia="方正仿宋_GBK"/>
                <w:color w:val="000000" w:themeColor="text1"/>
                <w:szCs w:val="21"/>
              </w:rPr>
            </w:pP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4</w:t>
            </w:r>
          </w:p>
        </w:tc>
        <w:tc>
          <w:tcPr>
            <w:tcW w:w="169"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行政奖励</w:t>
            </w:r>
          </w:p>
        </w:tc>
        <w:tc>
          <w:tcPr>
            <w:tcW w:w="334"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法律服务行业表彰奖励</w:t>
            </w:r>
          </w:p>
        </w:tc>
        <w:tc>
          <w:tcPr>
            <w:tcW w:w="737"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公示以及奖励决定</w:t>
            </w:r>
          </w:p>
        </w:tc>
        <w:tc>
          <w:tcPr>
            <w:tcW w:w="1313" w:type="pct"/>
            <w:noWrap/>
            <w:vAlign w:val="center"/>
          </w:tcPr>
          <w:p>
            <w:pPr>
              <w:spacing w:line="246"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中华人民共和国人民调解法》《中华人民共和国法律援助法》《法律援助条例》《人民调解委员会及调解员奖励办法》（司法部令1991年第15号）《基层法律服务所管理办法》（司法部令2017年第137号）《基层法律服务工作者管理办法》（司法部令2017年第138号）《律师事务所管理办法》（司法部令2018年142号）《律师执业管理办法》（司法部令2016年第134号）《重庆市人民调解条例》《重庆市法律援助条例》《中华人民共和国政府信息公开条例》</w:t>
            </w:r>
          </w:p>
        </w:tc>
        <w:tc>
          <w:tcPr>
            <w:tcW w:w="466"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制作或获取信息之日起20个工作日内</w:t>
            </w:r>
          </w:p>
        </w:tc>
        <w:tc>
          <w:tcPr>
            <w:tcW w:w="275"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市司法局、区县司法局</w:t>
            </w:r>
          </w:p>
        </w:tc>
        <w:tc>
          <w:tcPr>
            <w:tcW w:w="472"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市司法局网站、区县政府门户网站</w:t>
            </w: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6" w:type="pct"/>
            <w:noWrap/>
            <w:vAlign w:val="center"/>
          </w:tcPr>
          <w:p>
            <w:pPr>
              <w:spacing w:line="260" w:lineRule="exact"/>
              <w:jc w:val="center"/>
              <w:rPr>
                <w:rFonts w:ascii="Times New Roman" w:hAnsi="Times New Roman" w:eastAsia="方正仿宋_GBK"/>
                <w:color w:val="000000" w:themeColor="text1"/>
                <w:szCs w:val="21"/>
              </w:rPr>
            </w:pP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9" w:type="pct"/>
            <w:noWrap/>
            <w:vAlign w:val="center"/>
          </w:tcPr>
          <w:p>
            <w:pPr>
              <w:spacing w:line="260" w:lineRule="exact"/>
              <w:jc w:val="center"/>
              <w:rPr>
                <w:rFonts w:ascii="Times New Roman" w:hAnsi="Times New Roman" w:eastAsia="方正仿宋_GBK"/>
                <w:color w:val="000000" w:themeColor="text1"/>
                <w:szCs w:val="21"/>
              </w:rPr>
            </w:pP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5</w:t>
            </w:r>
          </w:p>
        </w:tc>
        <w:tc>
          <w:tcPr>
            <w:tcW w:w="169"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公共服务</w:t>
            </w:r>
          </w:p>
        </w:tc>
        <w:tc>
          <w:tcPr>
            <w:tcW w:w="334"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法律法规、行政规范性文件和案例检索服务</w:t>
            </w:r>
          </w:p>
        </w:tc>
        <w:tc>
          <w:tcPr>
            <w:tcW w:w="737"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国家法律数据库、司法行政（法律服务）案例库、重庆市行政规范性文件数据库（可以采取提供查询网址方式公开）</w:t>
            </w:r>
          </w:p>
        </w:tc>
        <w:tc>
          <w:tcPr>
            <w:tcW w:w="1313"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《司法部办公厅关于印发公共法律服务领域基层政务公开标准指引的通知》（司办通〔2019〕57号）《中华人民共和国政府信息公开条例》</w:t>
            </w:r>
          </w:p>
        </w:tc>
        <w:tc>
          <w:tcPr>
            <w:tcW w:w="466"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动态更新或重新发布（间隔不超过1年）</w:t>
            </w:r>
          </w:p>
        </w:tc>
        <w:tc>
          <w:tcPr>
            <w:tcW w:w="275"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市司法局、区县司法局</w:t>
            </w:r>
          </w:p>
        </w:tc>
        <w:tc>
          <w:tcPr>
            <w:tcW w:w="472"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市司法局网站、区县政府门户网站</w:t>
            </w: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6" w:type="pct"/>
            <w:noWrap/>
            <w:vAlign w:val="center"/>
          </w:tcPr>
          <w:p>
            <w:pPr>
              <w:spacing w:line="260" w:lineRule="exact"/>
              <w:jc w:val="center"/>
              <w:rPr>
                <w:rFonts w:ascii="Times New Roman" w:hAnsi="Times New Roman" w:eastAsia="方正仿宋_GBK"/>
                <w:color w:val="000000" w:themeColor="text1"/>
                <w:szCs w:val="21"/>
              </w:rPr>
            </w:pP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9" w:type="pct"/>
            <w:noWrap/>
            <w:vAlign w:val="center"/>
          </w:tcPr>
          <w:p>
            <w:pPr>
              <w:spacing w:line="260" w:lineRule="exact"/>
              <w:jc w:val="center"/>
              <w:rPr>
                <w:rFonts w:ascii="Times New Roman" w:hAnsi="Times New Roman" w:eastAsia="方正仿宋_GBK"/>
                <w:color w:val="000000" w:themeColor="text1"/>
                <w:szCs w:val="21"/>
              </w:rPr>
            </w:pP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6</w:t>
            </w:r>
          </w:p>
        </w:tc>
        <w:tc>
          <w:tcPr>
            <w:tcW w:w="169"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公共服务</w:t>
            </w:r>
          </w:p>
        </w:tc>
        <w:tc>
          <w:tcPr>
            <w:tcW w:w="334"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法律服务机构、人员信息查询服务</w:t>
            </w:r>
          </w:p>
        </w:tc>
        <w:tc>
          <w:tcPr>
            <w:tcW w:w="737"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辖区内的律师、公证、基层法律服务、司法鉴定、仲裁、人民调解等法律服务机构和人员有关基本信息、从业信息和信用信息（可以采取提供查询网址方式公开）</w:t>
            </w:r>
          </w:p>
        </w:tc>
        <w:tc>
          <w:tcPr>
            <w:tcW w:w="1313"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《司法部办公厅关于印发公共法律服务领域基层政务公开标准指引的通知》（司办通〔2019〕57号）《中华人民共和国政府信息公开条例》</w:t>
            </w:r>
          </w:p>
        </w:tc>
        <w:tc>
          <w:tcPr>
            <w:tcW w:w="466" w:type="pct"/>
            <w:noWrap/>
            <w:vAlign w:val="center"/>
          </w:tcPr>
          <w:p>
            <w:pPr>
              <w:spacing w:line="260" w:lineRule="exact"/>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动态更新或重新发布（间隔不超过1年）</w:t>
            </w:r>
          </w:p>
        </w:tc>
        <w:tc>
          <w:tcPr>
            <w:tcW w:w="275"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市司法局、区县司法局</w:t>
            </w:r>
          </w:p>
        </w:tc>
        <w:tc>
          <w:tcPr>
            <w:tcW w:w="472"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市司法局网站、区县政府门户网站</w:t>
            </w: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6" w:type="pct"/>
            <w:noWrap/>
            <w:vAlign w:val="center"/>
          </w:tcPr>
          <w:p>
            <w:pPr>
              <w:spacing w:line="260" w:lineRule="exact"/>
              <w:jc w:val="center"/>
              <w:rPr>
                <w:rFonts w:ascii="Times New Roman" w:hAnsi="Times New Roman" w:eastAsia="方正仿宋_GBK"/>
                <w:color w:val="000000" w:themeColor="text1"/>
                <w:szCs w:val="21"/>
              </w:rPr>
            </w:pPr>
          </w:p>
        </w:tc>
        <w:tc>
          <w:tcPr>
            <w:tcW w:w="156"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9" w:type="pct"/>
            <w:noWrap/>
            <w:vAlign w:val="center"/>
          </w:tcPr>
          <w:p>
            <w:pPr>
              <w:spacing w:line="260" w:lineRule="exact"/>
              <w:jc w:val="center"/>
              <w:rPr>
                <w:rFonts w:ascii="Times New Roman" w:hAnsi="Times New Roman" w:eastAsia="方正仿宋_GBK"/>
                <w:color w:val="000000" w:themeColor="text1"/>
                <w:szCs w:val="21"/>
              </w:rPr>
            </w:pP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r>
              <w:rPr>
                <w:rFonts w:hint="eastAsia" w:ascii="Times New Roman" w:hAnsi="Times New Roman" w:eastAsia="方正仿宋_GBK"/>
                <w:color w:val="000000" w:themeColor="text1"/>
                <w:szCs w:val="21"/>
              </w:rPr>
              <w:t>√</w:t>
            </w:r>
          </w:p>
        </w:tc>
        <w:tc>
          <w:tcPr>
            <w:tcW w:w="150" w:type="pct"/>
            <w:noWrap/>
            <w:vAlign w:val="center"/>
          </w:tcPr>
          <w:p>
            <w:pPr>
              <w:spacing w:line="260" w:lineRule="exact"/>
              <w:jc w:val="center"/>
              <w:rPr>
                <w:rFonts w:ascii="Times New Roman" w:hAnsi="Times New Roman" w:eastAsia="方正仿宋_GBK"/>
                <w:color w:val="000000" w:themeColor="text1"/>
                <w:szCs w:val="21"/>
              </w:rPr>
            </w:pPr>
          </w:p>
        </w:tc>
      </w:tr>
    </w:tbl>
    <w:p/>
    <w:sectPr>
      <w:pgSz w:w="16838" w:h="11906" w:orient="landscape"/>
      <w:pgMar w:top="1800" w:right="873" w:bottom="1800" w:left="87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yMDI2M2IxYjA1YThhZDNhMjZmZTQ1NTlhODM5NzIifQ=="/>
  </w:docVars>
  <w:rsids>
    <w:rsidRoot w:val="6CAA2615"/>
    <w:rsid w:val="0081756A"/>
    <w:rsid w:val="00AF2FA3"/>
    <w:rsid w:val="00C769BE"/>
    <w:rsid w:val="099E2C0A"/>
    <w:rsid w:val="09EF622A"/>
    <w:rsid w:val="0C5A7CD5"/>
    <w:rsid w:val="110342E2"/>
    <w:rsid w:val="12AB58C6"/>
    <w:rsid w:val="13526A57"/>
    <w:rsid w:val="17F91C8E"/>
    <w:rsid w:val="1BB955F7"/>
    <w:rsid w:val="1F6A5161"/>
    <w:rsid w:val="2900477D"/>
    <w:rsid w:val="2B9D29E5"/>
    <w:rsid w:val="2E7A4D38"/>
    <w:rsid w:val="2F7D44CC"/>
    <w:rsid w:val="32035E78"/>
    <w:rsid w:val="32650111"/>
    <w:rsid w:val="328A2575"/>
    <w:rsid w:val="339C59A4"/>
    <w:rsid w:val="33C70ACF"/>
    <w:rsid w:val="348A6BA4"/>
    <w:rsid w:val="35335D8D"/>
    <w:rsid w:val="381B7EB1"/>
    <w:rsid w:val="3A0D1545"/>
    <w:rsid w:val="3A563CE2"/>
    <w:rsid w:val="3C8D114D"/>
    <w:rsid w:val="3CFB66EF"/>
    <w:rsid w:val="3D6E0A01"/>
    <w:rsid w:val="3FB1288C"/>
    <w:rsid w:val="42D9379A"/>
    <w:rsid w:val="463E5EFA"/>
    <w:rsid w:val="4A1B1792"/>
    <w:rsid w:val="4F1A390D"/>
    <w:rsid w:val="50596FEB"/>
    <w:rsid w:val="51F53582"/>
    <w:rsid w:val="565B74D0"/>
    <w:rsid w:val="5A0E5C5D"/>
    <w:rsid w:val="5B2B0B91"/>
    <w:rsid w:val="609173E0"/>
    <w:rsid w:val="67BC45F6"/>
    <w:rsid w:val="6824397C"/>
    <w:rsid w:val="693D5D0B"/>
    <w:rsid w:val="6B923EF9"/>
    <w:rsid w:val="6CAA2615"/>
    <w:rsid w:val="6DED6F14"/>
    <w:rsid w:val="71F80E46"/>
    <w:rsid w:val="77185694"/>
    <w:rsid w:val="771D1321"/>
    <w:rsid w:val="78523112"/>
    <w:rsid w:val="7C7904F7"/>
    <w:rsid w:val="7E777E8C"/>
    <w:rsid w:val="7E797CFD"/>
    <w:rsid w:val="7E8B23DC"/>
    <w:rsid w:val="7F6D52D3"/>
    <w:rsid w:val="8FFEF6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Calibri" w:hAnsi="Calibri" w:eastAsia="Calibri" w:cs="Calibri"/>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line="560" w:lineRule="exact"/>
    </w:pPr>
    <w:rPr>
      <w:rFonts w:ascii="黑体" w:hAnsi="黑体" w:eastAsia="黑体"/>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Calibri" w:cs="Calibri"/>
      <w:sz w:val="18"/>
      <w:szCs w:val="18"/>
      <w:shd w:val="clear" w:color="auto" w:fill="FFFFFF"/>
    </w:rPr>
  </w:style>
  <w:style w:type="character" w:customStyle="1" w:styleId="8">
    <w:name w:val="页脚 Char"/>
    <w:basedOn w:val="6"/>
    <w:link w:val="3"/>
    <w:qFormat/>
    <w:uiPriority w:val="0"/>
    <w:rPr>
      <w:rFonts w:ascii="Calibri" w:hAnsi="Calibri" w:eastAsia="Calibri" w:cs="Calibri"/>
      <w:sz w:val="18"/>
      <w:szCs w:val="18"/>
      <w:shd w:val="clear" w:color="auto"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3</Pages>
  <Words>1456</Words>
  <Characters>210</Characters>
  <Lines>1</Lines>
  <Paragraphs>3</Paragraphs>
  <TotalTime>12</TotalTime>
  <ScaleCrop>false</ScaleCrop>
  <LinksUpToDate>false</LinksUpToDate>
  <CharactersWithSpaces>1663</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2024-01-29T17:22:00Z</dcterms:created>
  <dc:creator>朱翊</dc:creator>
  <cp:lastModifiedBy> </cp:lastModifiedBy>
  <cp:lastPrinted>2024-01-29T17:54:00Z</cp:lastPrinted>
  <dcterms:modified xsi:type="dcterms:W3CDTF">2024-06-03T10:38:04Z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C8205FAF877E4AC2AEE5E39542BDCA20_13</vt:lpwstr>
  </property>
</Properties>
</file>