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/>
        </w:rPr>
      </w:pPr>
      <w:r>
        <w:rPr>
          <w:rFonts w:hint="default"/>
        </w:rPr>
        <w:t>关于做好脱贫人口和监测对象参加城乡居民 医保有关工作的通知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各区县(自治县)乡村振兴局、医疗保障局、税务局，高新区改 革发展局、政务服务和社会事务中心，万盛经开区人力社保局：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为防范因病返贫致贫、筑牢民生保障底线，推动相关政策有 序衔接，经报请相关市领导同意，现就做好脱贫人口和监测对象 参加城乡居民医保有关工作通知如下。</w:t>
      </w:r>
    </w:p>
    <w:p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/>
        </w:rPr>
      </w:pPr>
      <w:r>
        <w:rPr>
          <w:rFonts w:hint="default"/>
        </w:rPr>
        <w:t>一、积极开展基本医保参保动员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根据《国家医保局财政部国家税务总局关于做好2023年城 乡居民基本医疗保障工作的通知》(医保发〔2023〕24号)文件 要求，巩固提升“基本医疗有保障”成果，稳定实现农村低收入和 脱贫人口参保率达到99%以上，强化三重制度综合保障效能，坚 决守牢不发生因病规模性返贫底线。目前，我市已启动2024年度 城乡居民基本医保参保缴费工作，各区县医保、乡村振兴部门要 共同做好脱贫人口和监测对象参保动员、政策宣传、舆情监测等 相关工作，合力推动脱贫人口及监测对象基本医保动态参保率达 到99%以上。</w:t>
      </w:r>
    </w:p>
    <w:p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/>
        </w:rPr>
      </w:pPr>
      <w:r>
        <w:rPr>
          <w:rFonts w:hint="default"/>
        </w:rPr>
        <w:t>二、继续做好分类资助参保工作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在剩余过渡期内继续对脱贫人口和监测对象购买重庆市城乡 居民医保进行资助参保。资助标准为：对未纳入低收入人口监测  范围的稳定脱贫人口参加2024年、2025年居民医保的，分别按 照30元、15元标准给予定额资助，由各区县统筹市级及以下衔 接资金、社会捐赠资金及其他相关资金安排；对监测对象参加2024 年、2025年居民医保一档按照个人缴费标准的70%给予定额资助， 自愿购买二档按照一档个人缴费标准的100%给予资助，由各区县  医疗救助资金安排。</w:t>
      </w:r>
    </w:p>
    <w:p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/>
        </w:rPr>
      </w:pPr>
      <w:r>
        <w:rPr>
          <w:rFonts w:hint="default"/>
        </w:rPr>
        <w:t>三、规范资助政策落实措施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本政策实施后，由市税务局统一在社保费标准版系统中运维 资助标准，脱贫人口可直接按照资助后的差额缴费。本医保缴费资助政策出台前，已全额缴纳2024年度居民医保的脱贫人口，由 各区县乡村振兴部门在集中征收期结束后通过线下渠道落实资助 政策，各区县税务部门及时向乡村振兴部门提供已缴费参保人员 名单。</w:t>
      </w:r>
    </w:p>
    <w:p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/>
        </w:rPr>
      </w:pPr>
      <w:r>
        <w:rPr>
          <w:rFonts w:hint="default"/>
        </w:rPr>
        <w:t>四、其他相关事宜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鼓励区县通过慈善基金、社会捐赠等方式筹措资金对困难群 体资助购买“重庆渝快保”,市级层面不制定出台统一的该项资助 参保政策，不再使用市级衔接资金资助参保“重庆渝快保”。脱贫 人口和监测对象因大病产生大额自付医疗费用，影响基本生活的， 各区县采取“一事一议”,通过社会救助、社会捐赠、医疗互助等 方式开展特殊救助，防止因病返贫致贫。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本通知自发布之日起施行。以往相关政策规定与本通知不一致的，以本通知为准。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重庆市乡村振兴局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重庆市医疗保障局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国家税务总局重庆市税务局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2023年11月13 日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方正仿宋_GBK" w:cs="Times New Roman"/>
          <w:color w:val="FF0000"/>
          <w:sz w:val="33"/>
          <w:szCs w:val="33"/>
          <w:lang w:eastAsia="zh-CN"/>
        </w:rPr>
        <w:sectPr>
          <w:footerReference r:id="rId5" w:type="default"/>
          <w:pgSz w:w="11910" w:h="16850"/>
          <w:pgMar w:top="1814" w:right="1757" w:bottom="1814" w:left="1757" w:header="0" w:footer="907" w:gutter="0"/>
          <w:cols w:space="720" w:num="1"/>
        </w:sectPr>
      </w:pPr>
      <w:r>
        <w:rPr>
          <w:rFonts w:hint="default" w:ascii="Times New Roman" w:hAnsi="Times New Roman" w:eastAsia="方正仿宋_GBK" w:cs="Times New Roman"/>
          <w:color w:val="FF0000"/>
          <w:sz w:val="33"/>
          <w:szCs w:val="33"/>
        </w:rPr>
        <w:t>(此件公开发布</w:t>
      </w:r>
      <w:r>
        <w:rPr>
          <w:rFonts w:hint="eastAsia" w:ascii="Times New Roman" w:hAnsi="Times New Roman" w:eastAsia="方正仿宋_GBK" w:cs="Times New Roman"/>
          <w:color w:val="FF0000"/>
          <w:sz w:val="33"/>
          <w:szCs w:val="33"/>
          <w:lang w:eastAsia="zh-CN"/>
        </w:rPr>
        <w:t>）</w:t>
      </w:r>
      <w:bookmarkStart w:id="0" w:name="_GoBack"/>
      <w:bookmarkEnd w:id="0"/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textAlignment w:val="baseline"/>
        <w:rPr>
          <w:rFonts w:ascii="宋体" w:hAnsi="宋体" w:eastAsia="宋体" w:cs="宋体"/>
          <w:color w:val="auto"/>
          <w:sz w:val="30"/>
          <w:szCs w:val="30"/>
        </w:rPr>
      </w:pPr>
    </w:p>
    <w:sectPr>
      <w:footerReference r:id="rId6" w:type="default"/>
      <w:pgSz w:w="11910" w:h="16850"/>
      <w:pgMar w:top="1432" w:right="1619" w:bottom="40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49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5NGY2NGI1YTBkZDFiMGJhZmVlNmUxMWJlNmQ3NmMifQ=="/>
  </w:docVars>
  <w:rsids>
    <w:rsidRoot w:val="00000000"/>
    <w:rsid w:val="49190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Arial" w:hAnsi="Arial" w:eastAsia="方正小标宋_GBK" w:cs="Arial"/>
      <w:snapToGrid w:val="0"/>
      <w:color w:val="000000"/>
      <w:kern w:val="44"/>
      <w:sz w:val="44"/>
      <w:szCs w:val="21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方正黑体_GBK"/>
      <w:sz w:val="33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1054</Words>
  <Characters>1104</Characters>
  <TotalTime>4</TotalTime>
  <ScaleCrop>false</ScaleCrop>
  <LinksUpToDate>false</LinksUpToDate>
  <CharactersWithSpaces>1136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2024-08-06T10:22:00Z</dcterms:created>
  <dc:creator>Kingsoft-PDF</dc:creator>
  <cp:lastModifiedBy>果果</cp:lastModifiedBy>
  <dcterms:modified xsi:type="dcterms:W3CDTF">2024-08-06T02:26:50Z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2024-08-06T10:22:01Z</vt:filetime>
  </property>
  <property fmtid="{D5CDD505-2E9C-101B-9397-08002B2CF9AE}" pid="4" name="UsrData">
    <vt:lpwstr>66b188c5d32d37001f4b6ba5wl</vt:lpwstr>
  </property>
  <property fmtid="{D5CDD505-2E9C-101B-9397-08002B2CF9AE}" pid="5" name="KSOProductBuildVer">
    <vt:lpwstr>2052-12.1.0.16929</vt:lpwstr>
  </property>
  <property fmtid="{D5CDD505-2E9C-101B-9397-08002B2CF9AE}" pid="6" name="ICV">
    <vt:lpwstr>86BA63F3A06C441798CC9EC4465F6190_12</vt:lpwstr>
  </property>
</Properties>
</file>