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BFDF8">
      <w:pPr>
        <w:keepNext w:val="0"/>
        <w:keepLines w:val="0"/>
        <w:pageBreakBefore w:val="0"/>
        <w:wordWrap/>
        <w:topLinePunct w:val="0"/>
        <w:bidi w:val="0"/>
        <w:adjustRightInd w:val="0"/>
        <w:snapToGrid w:val="0"/>
        <w:spacing w:line="560" w:lineRule="exact"/>
        <w:rPr>
          <w:rFonts w:hint="eastAsia"/>
        </w:rPr>
      </w:pPr>
    </w:p>
    <w:p w14:paraId="2F7110BE">
      <w:pPr>
        <w:pStyle w:val="7"/>
        <w:keepNext w:val="0"/>
        <w:keepLines w:val="0"/>
        <w:pageBreakBefore w:val="0"/>
        <w:wordWrap/>
        <w:topLinePunct w:val="0"/>
        <w:bidi w:val="0"/>
        <w:adjustRightInd w:val="0"/>
        <w:snapToGrid w:val="0"/>
        <w:spacing w:before="138" w:line="560" w:lineRule="exact"/>
        <w:ind w:left="2"/>
        <w:rPr>
          <w:rFonts w:hint="eastAsia" w:ascii="仿宋_GB2312" w:hAnsi="仿宋_GB2312" w:eastAsia="仿宋_GB2312" w:cs="仿宋_GB2312"/>
        </w:rPr>
      </w:pPr>
      <w:r>
        <w:rPr>
          <w:rFonts w:hint="eastAsia" w:ascii="仿宋_GB2312" w:hAnsi="仿宋_GB2312" w:eastAsia="仿宋_GB2312" w:cs="仿宋_GB2312"/>
          <w:spacing w:val="-4"/>
        </w:rPr>
        <w:t>各街道办事处，乡镇人民政府，县级各部门：</w:t>
      </w:r>
    </w:p>
    <w:p w14:paraId="1F7E9248">
      <w:pPr>
        <w:keepNext w:val="0"/>
        <w:keepLines w:val="0"/>
        <w:pageBreakBefore w:val="0"/>
        <w:wordWrap/>
        <w:topLinePunct w:val="0"/>
        <w:bidi w:val="0"/>
        <w:adjustRightInd w:val="0"/>
        <w:snapToGrid w:val="0"/>
        <w:spacing w:line="560" w:lineRule="exact"/>
        <w:ind w:firstLine="624" w:firstLineChars="20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en-US" w:bidi="ar-SA"/>
        </w:rPr>
        <w:t>根据民政部《最低生活保障审核确认办法》（民发〔2021〕57号）、《重庆市最低生活保障条件认定办法》（渝府办发〔2022〕128号），</w:t>
      </w:r>
      <w:r>
        <w:rPr>
          <w:rFonts w:hint="eastAsia" w:ascii="仿宋_GB2312" w:hAnsi="仿宋_GB2312" w:eastAsia="仿宋_GB2312" w:cs="仿宋_GB2312"/>
          <w:snapToGrid w:val="0"/>
          <w:color w:val="000000"/>
          <w:spacing w:val="-4"/>
          <w:kern w:val="0"/>
          <w:sz w:val="32"/>
          <w:szCs w:val="32"/>
          <w:lang w:val="en-US" w:eastAsia="zh-CN" w:bidi="ar-SA"/>
        </w:rPr>
        <w:t>县</w:t>
      </w:r>
      <w:r>
        <w:rPr>
          <w:rFonts w:hint="eastAsia" w:ascii="仿宋_GB2312" w:hAnsi="仿宋_GB2312" w:eastAsia="仿宋_GB2312" w:cs="仿宋_GB2312"/>
          <w:snapToGrid w:val="0"/>
          <w:color w:val="000000"/>
          <w:spacing w:val="-4"/>
          <w:kern w:val="0"/>
          <w:sz w:val="32"/>
          <w:szCs w:val="32"/>
          <w:lang w:val="en-US" w:eastAsia="en-US" w:bidi="ar-SA"/>
        </w:rPr>
        <w:t>民政局制定了《酉阳自治县最低生活保障条件认定实施细则》，现印发你们，请遵照执行</w:t>
      </w:r>
      <w:r>
        <w:rPr>
          <w:rFonts w:hint="eastAsia" w:ascii="仿宋_GB2312" w:hAnsi="仿宋_GB2312" w:eastAsia="仿宋_GB2312" w:cs="仿宋_GB2312"/>
          <w:snapToGrid w:val="0"/>
          <w:color w:val="000000"/>
          <w:spacing w:val="-4"/>
          <w:kern w:val="0"/>
          <w:sz w:val="32"/>
          <w:szCs w:val="32"/>
          <w:lang w:val="en-US" w:eastAsia="zh-CN" w:bidi="ar-SA"/>
        </w:rPr>
        <w:t>。</w:t>
      </w:r>
    </w:p>
    <w:p w14:paraId="7B836345">
      <w:pPr>
        <w:keepNext w:val="0"/>
        <w:keepLines w:val="0"/>
        <w:pageBreakBefore w:val="0"/>
        <w:wordWrap/>
        <w:topLinePunct w:val="0"/>
        <w:bidi w:val="0"/>
        <w:adjustRightInd w:val="0"/>
        <w:snapToGrid w:val="0"/>
        <w:spacing w:line="560" w:lineRule="exact"/>
        <w:rPr>
          <w:rFonts w:hint="eastAsia" w:ascii="仿宋_GB2312" w:hAnsi="仿宋_GB2312" w:eastAsia="仿宋_GB2312" w:cs="仿宋_GB2312"/>
          <w:sz w:val="21"/>
        </w:rPr>
      </w:pPr>
    </w:p>
    <w:p w14:paraId="2B6A6610">
      <w:pPr>
        <w:pStyle w:val="7"/>
        <w:keepNext w:val="0"/>
        <w:keepLines w:val="0"/>
        <w:pageBreakBefore w:val="0"/>
        <w:wordWrap/>
        <w:topLinePunct w:val="0"/>
        <w:bidi w:val="0"/>
        <w:adjustRightInd w:val="0"/>
        <w:snapToGrid w:val="0"/>
        <w:spacing w:before="138" w:line="560" w:lineRule="exact"/>
        <w:ind w:left="2788" w:firstLine="1896" w:firstLineChars="600"/>
        <w:rPr>
          <w:rFonts w:hint="eastAsia" w:ascii="仿宋_GB2312" w:hAnsi="仿宋_GB2312" w:eastAsia="仿宋_GB2312" w:cs="仿宋_GB2312"/>
          <w:lang w:eastAsia="zh-CN"/>
        </w:rPr>
      </w:pPr>
      <w:r>
        <w:rPr>
          <w:rFonts w:hint="eastAsia" w:ascii="仿宋_GB2312" w:hAnsi="仿宋_GB2312" w:eastAsia="仿宋_GB2312" w:cs="仿宋_GB2312"/>
          <w:spacing w:val="-2"/>
          <w:position w:val="19"/>
          <w:lang w:val="en-US" w:eastAsia="zh-CN"/>
        </w:rPr>
        <w:t>酉阳</w:t>
      </w:r>
      <w:r>
        <w:rPr>
          <w:rFonts w:hint="eastAsia" w:ascii="仿宋_GB2312" w:hAnsi="仿宋_GB2312" w:eastAsia="仿宋_GB2312" w:cs="仿宋_GB2312"/>
          <w:spacing w:val="-2"/>
          <w:position w:val="19"/>
        </w:rPr>
        <w:t>土家族苗族自治县</w:t>
      </w:r>
      <w:r>
        <w:rPr>
          <w:rFonts w:hint="eastAsia" w:ascii="仿宋_GB2312" w:hAnsi="仿宋_GB2312" w:eastAsia="仿宋_GB2312" w:cs="仿宋_GB2312"/>
          <w:spacing w:val="-2"/>
          <w:position w:val="19"/>
          <w:lang w:val="en-US" w:eastAsia="zh-CN"/>
        </w:rPr>
        <w:t>民政局</w:t>
      </w:r>
    </w:p>
    <w:p w14:paraId="6F820936">
      <w:pPr>
        <w:pStyle w:val="7"/>
        <w:keepNext w:val="0"/>
        <w:keepLines w:val="0"/>
        <w:pageBreakBefore w:val="0"/>
        <w:wordWrap/>
        <w:topLinePunct w:val="0"/>
        <w:bidi w:val="0"/>
        <w:adjustRightInd w:val="0"/>
        <w:snapToGrid w:val="0"/>
        <w:spacing w:line="560" w:lineRule="exact"/>
        <w:ind w:firstLine="308" w:firstLineChars="100"/>
        <w:jc w:val="center"/>
        <w:rPr>
          <w:rFonts w:hint="eastAsia" w:ascii="仿宋_GB2312" w:hAnsi="仿宋_GB2312" w:eastAsia="仿宋_GB2312" w:cs="仿宋_GB2312"/>
        </w:rPr>
      </w:pPr>
      <w:r>
        <w:rPr>
          <w:rFonts w:hint="eastAsia" w:ascii="仿宋_GB2312" w:hAnsi="仿宋_GB2312" w:eastAsia="仿宋_GB2312" w:cs="仿宋_GB2312"/>
          <w:spacing w:val="-6"/>
          <w:lang w:val="en-US" w:eastAsia="zh-CN"/>
        </w:rPr>
        <w:t xml:space="preserve">                          </w:t>
      </w:r>
      <w:r>
        <w:rPr>
          <w:rFonts w:hint="eastAsia" w:ascii="仿宋_GB2312" w:hAnsi="仿宋_GB2312" w:eastAsia="仿宋_GB2312" w:cs="仿宋_GB2312"/>
          <w:spacing w:val="-6"/>
        </w:rPr>
        <w:t>2023年</w:t>
      </w:r>
      <w:r>
        <w:rPr>
          <w:rFonts w:hint="eastAsia" w:ascii="仿宋_GB2312" w:hAnsi="仿宋_GB2312" w:eastAsia="仿宋_GB2312" w:cs="仿宋_GB2312"/>
          <w:spacing w:val="-6"/>
          <w:lang w:val="en-US" w:eastAsia="zh-CN"/>
        </w:rPr>
        <w:t>7</w:t>
      </w:r>
      <w:r>
        <w:rPr>
          <w:rFonts w:hint="eastAsia" w:ascii="仿宋_GB2312" w:hAnsi="仿宋_GB2312" w:eastAsia="仿宋_GB2312" w:cs="仿宋_GB2312"/>
          <w:spacing w:val="-6"/>
        </w:rPr>
        <w:t>月</w:t>
      </w:r>
      <w:r>
        <w:rPr>
          <w:rFonts w:hint="eastAsia" w:ascii="仿宋_GB2312" w:hAnsi="仿宋_GB2312" w:eastAsia="仿宋_GB2312" w:cs="仿宋_GB2312"/>
          <w:spacing w:val="-6"/>
          <w:lang w:val="en-US" w:eastAsia="zh-CN"/>
        </w:rPr>
        <w:t>11</w:t>
      </w:r>
      <w:r>
        <w:rPr>
          <w:rFonts w:hint="eastAsia" w:ascii="仿宋_GB2312" w:hAnsi="仿宋_GB2312" w:eastAsia="仿宋_GB2312" w:cs="仿宋_GB2312"/>
          <w:spacing w:val="-6"/>
        </w:rPr>
        <w:t>日</w:t>
      </w:r>
    </w:p>
    <w:p w14:paraId="07B15364">
      <w:pPr>
        <w:pStyle w:val="7"/>
        <w:keepNext w:val="0"/>
        <w:keepLines w:val="0"/>
        <w:pageBreakBefore w:val="0"/>
        <w:wordWrap/>
        <w:topLinePunct w:val="0"/>
        <w:bidi w:val="0"/>
        <w:adjustRightInd w:val="0"/>
        <w:snapToGrid w:val="0"/>
        <w:spacing w:before="144" w:line="560" w:lineRule="exact"/>
        <w:ind w:left="610"/>
        <w:sectPr>
          <w:footerReference r:id="rId5" w:type="default"/>
          <w:pgSz w:w="11905" w:h="16840"/>
          <w:pgMar w:top="2098" w:right="1474" w:bottom="1984" w:left="1587" w:header="0" w:footer="1491" w:gutter="0"/>
          <w:cols w:space="0" w:num="1"/>
          <w:rtlGutter w:val="0"/>
          <w:docGrid w:linePitch="0" w:charSpace="0"/>
        </w:sectPr>
      </w:pPr>
      <w:r>
        <w:rPr>
          <w:rFonts w:hint="eastAsia" w:ascii="仿宋_GB2312" w:hAnsi="仿宋_GB2312" w:eastAsia="仿宋_GB2312" w:cs="仿宋_GB2312"/>
          <w:spacing w:val="3"/>
        </w:rPr>
        <w:t>（此件公开发布）</w:t>
      </w:r>
    </w:p>
    <w:p w14:paraId="3F4E5A47">
      <w:pPr>
        <w:keepNext w:val="0"/>
        <w:keepLines w:val="0"/>
        <w:pageBreakBefore w:val="0"/>
        <w:wordWrap/>
        <w:topLinePunct w:val="0"/>
        <w:bidi w:val="0"/>
        <w:adjustRightInd w:val="0"/>
        <w:snapToGrid w:val="0"/>
        <w:spacing w:line="560" w:lineRule="exact"/>
        <w:rPr>
          <w:rFonts w:ascii="Arial"/>
          <w:sz w:val="21"/>
        </w:rPr>
      </w:pPr>
    </w:p>
    <w:p w14:paraId="6C1364B8">
      <w:pPr>
        <w:pStyle w:val="7"/>
        <w:keepNext w:val="0"/>
        <w:keepLines w:val="0"/>
        <w:pageBreakBefore w:val="0"/>
        <w:wordWrap/>
        <w:topLinePunct w:val="0"/>
        <w:bidi w:val="0"/>
        <w:adjustRightInd w:val="0"/>
        <w:snapToGrid w:val="0"/>
        <w:spacing w:before="189" w:line="560" w:lineRule="exact"/>
        <w:ind w:left="278"/>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
          <w:sz w:val="44"/>
          <w:szCs w:val="44"/>
          <w:lang w:val="en-US" w:eastAsia="zh-CN"/>
        </w:rPr>
        <w:t>酉阳</w:t>
      </w:r>
      <w:r>
        <w:rPr>
          <w:rFonts w:hint="eastAsia" w:ascii="方正小标宋_GBK" w:hAnsi="方正小标宋_GBK" w:eastAsia="方正小标宋_GBK" w:cs="方正小标宋_GBK"/>
          <w:spacing w:val="-1"/>
          <w:sz w:val="44"/>
          <w:szCs w:val="44"/>
        </w:rPr>
        <w:t>自治县最低生活保障条件认定实施细则</w:t>
      </w:r>
    </w:p>
    <w:p w14:paraId="79007F39">
      <w:pPr>
        <w:keepNext w:val="0"/>
        <w:keepLines w:val="0"/>
        <w:pageBreakBefore w:val="0"/>
        <w:wordWrap/>
        <w:topLinePunct w:val="0"/>
        <w:bidi w:val="0"/>
        <w:adjustRightInd w:val="0"/>
        <w:snapToGrid w:val="0"/>
        <w:spacing w:line="560" w:lineRule="exact"/>
        <w:rPr>
          <w:rFonts w:ascii="Arial"/>
          <w:sz w:val="21"/>
        </w:rPr>
      </w:pPr>
    </w:p>
    <w:p w14:paraId="4751AC10">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Times New Roman" w:hAnsi="方正楷体_GBK" w:eastAsia="方正楷体_GBK" w:cs="Times New Roman"/>
          <w:snapToGrid/>
          <w:color w:val="000000"/>
          <w:kern w:val="32"/>
          <w:sz w:val="32"/>
          <w:szCs w:val="32"/>
          <w:lang w:eastAsia="zh-CN"/>
        </w:rPr>
      </w:pPr>
      <w:r>
        <w:rPr>
          <w:rFonts w:hint="eastAsia" w:ascii="Times New Roman" w:hAnsi="方正楷体_GBK" w:eastAsia="方正楷体_GBK" w:cs="Times New Roman"/>
          <w:snapToGrid/>
          <w:color w:val="000000"/>
          <w:kern w:val="32"/>
          <w:sz w:val="32"/>
          <w:szCs w:val="32"/>
          <w:lang w:eastAsia="zh-CN"/>
        </w:rPr>
        <w:t>第一章   总则</w:t>
      </w:r>
    </w:p>
    <w:p w14:paraId="52D8AA23">
      <w:pPr>
        <w:pStyle w:val="7"/>
        <w:keepNext w:val="0"/>
        <w:keepLines w:val="0"/>
        <w:pageBreakBefore w:val="0"/>
        <w:wordWrap/>
        <w:topLinePunct w:val="0"/>
        <w:bidi w:val="0"/>
        <w:adjustRightInd w:val="0"/>
        <w:snapToGrid w:val="0"/>
        <w:spacing w:before="192" w:line="560" w:lineRule="exact"/>
        <w:ind w:firstLine="680"/>
        <w:jc w:val="both"/>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第一条</w:t>
      </w:r>
      <w:r>
        <w:rPr>
          <w:spacing w:val="21"/>
        </w:rPr>
        <w:t xml:space="preserve">  </w:t>
      </w:r>
      <w:r>
        <w:rPr>
          <w:rFonts w:ascii="Times New Roman" w:hAnsi="方正仿宋_GBK" w:eastAsia="方正仿宋_GBK" w:cs="Times New Roman"/>
          <w:snapToGrid/>
          <w:color w:val="000000"/>
          <w:kern w:val="32"/>
          <w:sz w:val="32"/>
          <w:szCs w:val="32"/>
          <w:lang w:val="en-US" w:eastAsia="zh-CN" w:bidi="ar-SA"/>
        </w:rPr>
        <w:t>为进一步明确最低生活保障条件，公平公正公开认定保障对象</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依据《社会救助暂行办法》《中共中央办公厅  国务院办公厅印发〈关于改革完善社会救助制度的意见〉的通知》《重庆市委办公厅重庆市人民政府办公厅关于印发〈重庆市改革完善社会救助制度的重点举措〉的通知》（渝委办发〔2020〕30 号）、《重庆市人民政府办公厅〈关于印发重庆市最低生活保障条件认定办法（修订）〉的通知》（渝府办发〔2022〕128号）和有关法律法规，结合我县实际，制定本细则。</w:t>
      </w:r>
    </w:p>
    <w:p w14:paraId="7B7129C6">
      <w:pPr>
        <w:pStyle w:val="7"/>
        <w:keepNext w:val="0"/>
        <w:keepLines w:val="0"/>
        <w:pageBreakBefore w:val="0"/>
        <w:wordWrap/>
        <w:topLinePunct w:val="0"/>
        <w:bidi w:val="0"/>
        <w:adjustRightInd w:val="0"/>
        <w:snapToGrid w:val="0"/>
        <w:spacing w:before="192" w:line="560" w:lineRule="exact"/>
        <w:ind w:firstLine="680"/>
        <w:jc w:val="both"/>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第二条</w:t>
      </w:r>
      <w:r>
        <w:rPr>
          <w:spacing w:val="34"/>
        </w:rPr>
        <w:t xml:space="preserve">  </w:t>
      </w:r>
      <w:r>
        <w:rPr>
          <w:rFonts w:ascii="Times New Roman" w:hAnsi="方正仿宋_GBK" w:eastAsia="方正仿宋_GBK" w:cs="Times New Roman"/>
          <w:snapToGrid/>
          <w:color w:val="000000"/>
          <w:kern w:val="32"/>
          <w:sz w:val="32"/>
          <w:szCs w:val="32"/>
          <w:lang w:val="en-US" w:eastAsia="zh-CN" w:bidi="ar-SA"/>
        </w:rPr>
        <w:t>最低生活保障条件是指居民家庭申请最低生活保障的具体条件，包括家庭成员、家庭收入、家庭财产、家庭消费支出4个方面。</w:t>
      </w:r>
    </w:p>
    <w:p w14:paraId="1AC08C43">
      <w:pPr>
        <w:pStyle w:val="7"/>
        <w:keepNext w:val="0"/>
        <w:keepLines w:val="0"/>
        <w:pageBreakBefore w:val="0"/>
        <w:wordWrap/>
        <w:topLinePunct w:val="0"/>
        <w:bidi w:val="0"/>
        <w:adjustRightInd w:val="0"/>
        <w:snapToGrid w:val="0"/>
        <w:spacing w:before="192" w:line="560" w:lineRule="exact"/>
        <w:ind w:firstLine="680"/>
        <w:jc w:val="both"/>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第三条</w:t>
      </w:r>
      <w:r>
        <w:rPr>
          <w:spacing w:val="26"/>
          <w:position w:val="19"/>
        </w:rPr>
        <w:t xml:space="preserve">  </w:t>
      </w:r>
      <w:r>
        <w:rPr>
          <w:rFonts w:ascii="Times New Roman" w:hAnsi="方正仿宋_GBK" w:eastAsia="方正仿宋_GBK" w:cs="Times New Roman"/>
          <w:snapToGrid/>
          <w:color w:val="000000"/>
          <w:kern w:val="32"/>
          <w:sz w:val="32"/>
          <w:szCs w:val="32"/>
          <w:lang w:val="en-US" w:eastAsia="zh-CN" w:bidi="ar-SA"/>
        </w:rPr>
        <w:t>本细则主要用于认定居民家庭是否具备获得最低生活保障的资格条件。</w:t>
      </w:r>
    </w:p>
    <w:p w14:paraId="22D9E55E">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Times New Roman" w:hAnsi="方正楷体_GBK" w:eastAsia="方正楷体_GBK" w:cs="Times New Roman"/>
          <w:snapToGrid/>
          <w:color w:val="000000"/>
          <w:kern w:val="32"/>
          <w:sz w:val="32"/>
          <w:szCs w:val="32"/>
          <w:lang w:eastAsia="zh-CN"/>
        </w:rPr>
      </w:pPr>
      <w:r>
        <w:rPr>
          <w:rFonts w:hint="eastAsia" w:ascii="Times New Roman" w:hAnsi="方正楷体_GBK" w:eastAsia="方正楷体_GBK" w:cs="Times New Roman"/>
          <w:snapToGrid/>
          <w:color w:val="000000"/>
          <w:kern w:val="32"/>
          <w:sz w:val="32"/>
          <w:szCs w:val="32"/>
          <w:lang w:eastAsia="zh-CN"/>
        </w:rPr>
        <w:t>第二章   家庭成员</w:t>
      </w:r>
    </w:p>
    <w:p w14:paraId="79F17959">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第四条</w:t>
      </w:r>
      <w:r>
        <w:rPr>
          <w:spacing w:val="-11"/>
        </w:rPr>
        <w:t xml:space="preserve">   </w:t>
      </w:r>
      <w:r>
        <w:rPr>
          <w:rFonts w:ascii="Times New Roman" w:hAnsi="方正仿宋_GBK" w:eastAsia="方正仿宋_GBK" w:cs="Times New Roman"/>
          <w:snapToGrid/>
          <w:color w:val="000000"/>
          <w:kern w:val="32"/>
          <w:sz w:val="32"/>
          <w:szCs w:val="32"/>
          <w:lang w:val="en-US" w:eastAsia="zh-CN" w:bidi="ar-SA"/>
        </w:rPr>
        <w:t>申请最低生活保障的申请人应具有本县户籍，其家庭成员应当是具有法定赡养、扶养、抚养义务关系的共同生活</w:t>
      </w:r>
    </w:p>
    <w:p w14:paraId="543A9171">
      <w:pPr>
        <w:pStyle w:val="7"/>
        <w:keepNext w:val="0"/>
        <w:keepLines w:val="0"/>
        <w:pageBreakBefore w:val="0"/>
        <w:wordWrap/>
        <w:topLinePunct w:val="0"/>
        <w:bidi w:val="0"/>
        <w:adjustRightInd w:val="0"/>
        <w:snapToGrid w:val="0"/>
        <w:spacing w:before="137" w:line="560" w:lineRule="exact"/>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家庭成员</w:t>
      </w:r>
      <w:r>
        <w:rPr>
          <w:rFonts w:hint="eastAsia" w:ascii="Times New Roman" w:hAnsi="方正仿宋_GBK" w:eastAsia="方正仿宋_GBK" w:cs="Times New Roman"/>
          <w:snapToGrid/>
          <w:color w:val="000000"/>
          <w:kern w:val="32"/>
          <w:sz w:val="32"/>
          <w:szCs w:val="32"/>
          <w:lang w:val="en-US" w:eastAsia="zh-CN" w:bidi="ar-SA"/>
        </w:rPr>
        <w:t>。</w:t>
      </w:r>
    </w:p>
    <w:p w14:paraId="6685E405">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第五条</w:t>
      </w:r>
      <w:r>
        <w:rPr>
          <w:spacing w:val="19"/>
        </w:rPr>
        <w:t xml:space="preserve">  </w:t>
      </w:r>
      <w:r>
        <w:rPr>
          <w:rFonts w:ascii="Times New Roman" w:hAnsi="方正仿宋_GBK" w:eastAsia="方正仿宋_GBK" w:cs="Times New Roman"/>
          <w:snapToGrid/>
          <w:color w:val="000000"/>
          <w:kern w:val="32"/>
          <w:sz w:val="32"/>
          <w:szCs w:val="32"/>
          <w:lang w:val="en-US" w:eastAsia="zh-CN" w:bidi="ar-SA"/>
        </w:rPr>
        <w:t xml:space="preserve"> 共同生活的家庭成员包括：</w:t>
      </w:r>
    </w:p>
    <w:p w14:paraId="3D716A37">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（一）配偶；</w:t>
      </w:r>
    </w:p>
    <w:p w14:paraId="44F8D61D">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（二）未成年子女；</w:t>
      </w:r>
    </w:p>
    <w:p w14:paraId="3DAB9908">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（三）已成年但不能独立生活的子女，包括在校接受全日制本科及以下学历教育的子女；</w:t>
      </w:r>
    </w:p>
    <w:p w14:paraId="60851702">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（四）其他具有法定赡养、扶养、抚养义务关系并长期共同居住的人员。</w:t>
      </w:r>
    </w:p>
    <w:p w14:paraId="04562058">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第六条</w:t>
      </w:r>
      <w:r>
        <w:rPr>
          <w:spacing w:val="-2"/>
        </w:rPr>
        <w:t xml:space="preserve">   </w:t>
      </w:r>
      <w:r>
        <w:rPr>
          <w:rFonts w:ascii="Times New Roman" w:hAnsi="方正仿宋_GBK" w:eastAsia="方正仿宋_GBK" w:cs="Times New Roman"/>
          <w:snapToGrid/>
          <w:color w:val="000000"/>
          <w:kern w:val="32"/>
          <w:sz w:val="32"/>
          <w:szCs w:val="32"/>
          <w:lang w:val="en-US" w:eastAsia="zh-CN" w:bidi="ar-SA"/>
        </w:rPr>
        <w:t>特殊情形的共同生活家庭成员认定：</w:t>
      </w:r>
    </w:p>
    <w:p w14:paraId="271B9747">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（一）连续</w:t>
      </w:r>
      <w:r>
        <w:rPr>
          <w:rFonts w:hint="eastAsia" w:ascii="Times New Roman" w:hAnsi="方正仿宋_GBK" w:eastAsia="方正仿宋_GBK" w:cs="Times New Roman"/>
          <w:snapToGrid/>
          <w:color w:val="000000"/>
          <w:kern w:val="32"/>
          <w:sz w:val="32"/>
          <w:szCs w:val="32"/>
          <w:lang w:val="en-US" w:eastAsia="zh-CN" w:bidi="ar-SA"/>
        </w:rPr>
        <w:t>3</w:t>
      </w:r>
      <w:r>
        <w:rPr>
          <w:rFonts w:ascii="Times New Roman" w:hAnsi="方正仿宋_GBK" w:eastAsia="方正仿宋_GBK" w:cs="Times New Roman"/>
          <w:snapToGrid/>
          <w:color w:val="000000"/>
          <w:kern w:val="32"/>
          <w:sz w:val="32"/>
          <w:szCs w:val="32"/>
          <w:lang w:val="en-US" w:eastAsia="zh-CN" w:bidi="ar-SA"/>
        </w:rPr>
        <w:t>年以上（含</w:t>
      </w:r>
      <w:r>
        <w:rPr>
          <w:rFonts w:hint="eastAsia" w:ascii="Times New Roman" w:hAnsi="方正仿宋_GBK" w:eastAsia="方正仿宋_GBK" w:cs="Times New Roman"/>
          <w:snapToGrid/>
          <w:color w:val="000000"/>
          <w:kern w:val="32"/>
          <w:sz w:val="32"/>
          <w:szCs w:val="32"/>
          <w:lang w:val="en-US" w:eastAsia="zh-CN" w:bidi="ar-SA"/>
        </w:rPr>
        <w:t>3</w:t>
      </w:r>
      <w:r>
        <w:rPr>
          <w:rFonts w:ascii="Times New Roman" w:hAnsi="方正仿宋_GBK" w:eastAsia="方正仿宋_GBK" w:cs="Times New Roman"/>
          <w:snapToGrid/>
          <w:color w:val="000000"/>
          <w:kern w:val="32"/>
          <w:sz w:val="32"/>
          <w:szCs w:val="32"/>
          <w:lang w:val="en-US" w:eastAsia="zh-CN" w:bidi="ar-SA"/>
        </w:rPr>
        <w:t>年）脱离家庭独立生活的宗教教职人员，在监狱内服刑、在戒毒所强制隔离戒毒人员或者宣告失踪的人员，不计入共同生活的家庭成员；</w:t>
      </w:r>
    </w:p>
    <w:p w14:paraId="4AF475B5">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（二）回到家庭生活的刑满释放、监外执行、保外就医人员，计入共同生活的家庭成员。</w:t>
      </w:r>
    </w:p>
    <w:p w14:paraId="1ADFE9CF">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第七条</w:t>
      </w:r>
      <w:r>
        <w:rPr>
          <w:spacing w:val="-2"/>
        </w:rPr>
        <w:t xml:space="preserve">   </w:t>
      </w:r>
      <w:r>
        <w:rPr>
          <w:rFonts w:ascii="Times New Roman" w:hAnsi="方正仿宋_GBK" w:eastAsia="方正仿宋_GBK" w:cs="Times New Roman"/>
          <w:snapToGrid/>
          <w:color w:val="000000"/>
          <w:kern w:val="32"/>
          <w:sz w:val="32"/>
          <w:szCs w:val="32"/>
          <w:lang w:val="en-US" w:eastAsia="zh-CN" w:bidi="ar-SA"/>
        </w:rPr>
        <w:t>符合下列情形之一的人员，可以单独提出申请：</w:t>
      </w:r>
    </w:p>
    <w:p w14:paraId="32C24F02">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（一）最低生活保障边缘家庭中持有中华人民共和国残疾人证的一级、二级重度残疾人和三级智力残疾人、三级精神残疾人；</w:t>
      </w:r>
    </w:p>
    <w:p w14:paraId="51503276">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（二）最低生活保障边缘家庭中患有当地有关部门认定的重特大疾病的人员；</w:t>
      </w:r>
    </w:p>
    <w:p w14:paraId="553847E5">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（三）脱离家庭、在宗教场所居住</w:t>
      </w:r>
      <w:r>
        <w:rPr>
          <w:rFonts w:hint="eastAsia" w:ascii="Times New Roman" w:hAnsi="方正仿宋_GBK" w:eastAsia="方正仿宋_GBK" w:cs="Times New Roman"/>
          <w:snapToGrid/>
          <w:color w:val="000000"/>
          <w:kern w:val="32"/>
          <w:sz w:val="32"/>
          <w:szCs w:val="32"/>
          <w:lang w:val="en-US" w:eastAsia="zh-CN" w:bidi="ar-SA"/>
        </w:rPr>
        <w:t>3</w:t>
      </w:r>
      <w:r>
        <w:rPr>
          <w:rFonts w:ascii="Times New Roman" w:hAnsi="方正仿宋_GBK" w:eastAsia="方正仿宋_GBK" w:cs="Times New Roman"/>
          <w:snapToGrid/>
          <w:color w:val="000000"/>
          <w:kern w:val="32"/>
          <w:sz w:val="32"/>
          <w:szCs w:val="32"/>
          <w:lang w:val="en-US" w:eastAsia="zh-CN" w:bidi="ar-SA"/>
        </w:rPr>
        <w:t>年以上（含</w:t>
      </w:r>
      <w:r>
        <w:rPr>
          <w:rFonts w:hint="eastAsia" w:ascii="Times New Roman" w:hAnsi="方正仿宋_GBK" w:eastAsia="方正仿宋_GBK" w:cs="Times New Roman"/>
          <w:snapToGrid/>
          <w:color w:val="000000"/>
          <w:kern w:val="32"/>
          <w:sz w:val="32"/>
          <w:szCs w:val="32"/>
          <w:lang w:val="en-US" w:eastAsia="zh-CN" w:bidi="ar-SA"/>
        </w:rPr>
        <w:t>3</w:t>
      </w:r>
      <w:r>
        <w:rPr>
          <w:rFonts w:ascii="Times New Roman" w:hAnsi="方正仿宋_GBK" w:eastAsia="方正仿宋_GBK" w:cs="Times New Roman"/>
          <w:snapToGrid/>
          <w:color w:val="000000"/>
          <w:kern w:val="32"/>
          <w:sz w:val="32"/>
          <w:szCs w:val="32"/>
          <w:lang w:val="en-US" w:eastAsia="zh-CN" w:bidi="ar-SA"/>
        </w:rPr>
        <w:t>年）的生</w:t>
      </w:r>
    </w:p>
    <w:p w14:paraId="327190C9">
      <w:pPr>
        <w:pStyle w:val="7"/>
        <w:keepNext w:val="0"/>
        <w:keepLines w:val="0"/>
        <w:pageBreakBefore w:val="0"/>
        <w:wordWrap/>
        <w:topLinePunct w:val="0"/>
        <w:bidi w:val="0"/>
        <w:adjustRightInd w:val="0"/>
        <w:snapToGrid w:val="0"/>
        <w:spacing w:before="137" w:line="560" w:lineRule="exact"/>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活困难宗教教职人员；</w:t>
      </w:r>
    </w:p>
    <w:p w14:paraId="7BB05550">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sectPr>
          <w:footerReference r:id="rId6" w:type="default"/>
          <w:pgSz w:w="11905" w:h="16840"/>
          <w:pgMar w:top="1431" w:right="1363" w:bottom="1767" w:left="1602" w:header="0" w:footer="1492" w:gutter="0"/>
          <w:cols w:space="720" w:num="1"/>
        </w:sectPr>
      </w:pPr>
      <w:r>
        <w:rPr>
          <w:rFonts w:ascii="Times New Roman" w:hAnsi="方正仿宋_GBK" w:eastAsia="方正仿宋_GBK" w:cs="Times New Roman"/>
          <w:snapToGrid/>
          <w:color w:val="000000"/>
          <w:kern w:val="32"/>
          <w:sz w:val="32"/>
          <w:szCs w:val="32"/>
          <w:lang w:val="en-US" w:eastAsia="zh-CN" w:bidi="ar-SA"/>
        </w:rPr>
        <w:t>（四）家庭月人均收入在当地最低生活保障标准</w:t>
      </w:r>
      <w:r>
        <w:rPr>
          <w:rFonts w:hint="eastAsia" w:ascii="Times New Roman" w:hAnsi="方正仿宋_GBK" w:eastAsia="方正仿宋_GBK" w:cs="Times New Roman"/>
          <w:snapToGrid/>
          <w:color w:val="000000"/>
          <w:kern w:val="32"/>
          <w:sz w:val="32"/>
          <w:szCs w:val="32"/>
          <w:lang w:val="en-US" w:eastAsia="zh-CN" w:bidi="ar-SA"/>
        </w:rPr>
        <w:t>3</w:t>
      </w:r>
      <w:r>
        <w:rPr>
          <w:rFonts w:ascii="Times New Roman" w:hAnsi="方正仿宋_GBK" w:eastAsia="方正仿宋_GBK" w:cs="Times New Roman"/>
          <w:snapToGrid/>
          <w:color w:val="000000"/>
          <w:kern w:val="32"/>
          <w:sz w:val="32"/>
          <w:szCs w:val="32"/>
          <w:lang w:val="en-US" w:eastAsia="zh-CN" w:bidi="ar-SA"/>
        </w:rPr>
        <w:t>倍以内，</w:t>
      </w:r>
    </w:p>
    <w:p w14:paraId="3E7224A5">
      <w:pPr>
        <w:pStyle w:val="7"/>
        <w:keepNext w:val="0"/>
        <w:keepLines w:val="0"/>
        <w:pageBreakBefore w:val="0"/>
        <w:wordWrap/>
        <w:topLinePunct w:val="0"/>
        <w:bidi w:val="0"/>
        <w:adjustRightInd w:val="0"/>
        <w:snapToGrid w:val="0"/>
        <w:spacing w:before="137" w:line="560" w:lineRule="exact"/>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靠父母、兄弟姐妹供养，已成年且丧失劳动能力的残疾人或者身患重特大疾病长期卧床不起的人员。</w:t>
      </w:r>
    </w:p>
    <w:p w14:paraId="27FF3834">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Times New Roman" w:hAnsi="方正楷体_GBK" w:eastAsia="方正楷体_GBK" w:cs="Times New Roman"/>
          <w:snapToGrid/>
          <w:color w:val="000000"/>
          <w:kern w:val="32"/>
          <w:sz w:val="32"/>
          <w:szCs w:val="32"/>
          <w:lang w:eastAsia="zh-CN"/>
        </w:rPr>
      </w:pPr>
      <w:r>
        <w:rPr>
          <w:rFonts w:hint="eastAsia" w:ascii="Times New Roman" w:hAnsi="方正楷体_GBK" w:eastAsia="方正楷体_GBK" w:cs="Times New Roman"/>
          <w:snapToGrid/>
          <w:color w:val="000000"/>
          <w:kern w:val="32"/>
          <w:sz w:val="32"/>
          <w:szCs w:val="32"/>
          <w:lang w:eastAsia="zh-CN"/>
        </w:rPr>
        <w:t>第三章   家庭收入</w:t>
      </w:r>
    </w:p>
    <w:p w14:paraId="3EB783CA">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第八条</w:t>
      </w:r>
      <w:r>
        <w:rPr>
          <w:spacing w:val="34"/>
          <w:position w:val="19"/>
        </w:rPr>
        <w:t xml:space="preserve">   </w:t>
      </w:r>
      <w:r>
        <w:rPr>
          <w:rFonts w:ascii="Times New Roman" w:hAnsi="方正仿宋_GBK" w:eastAsia="方正仿宋_GBK" w:cs="Times New Roman"/>
          <w:snapToGrid/>
          <w:color w:val="000000"/>
          <w:kern w:val="32"/>
          <w:sz w:val="32"/>
          <w:szCs w:val="32"/>
          <w:lang w:val="en-US" w:eastAsia="zh-CN" w:bidi="ar-SA"/>
        </w:rPr>
        <w:t>家庭收入指共同生活的家庭成员在规定期限内获</w:t>
      </w:r>
    </w:p>
    <w:p w14:paraId="2CFE35C8">
      <w:pPr>
        <w:pStyle w:val="7"/>
        <w:keepNext w:val="0"/>
        <w:keepLines w:val="0"/>
        <w:pageBreakBefore w:val="0"/>
        <w:wordWrap/>
        <w:topLinePunct w:val="0"/>
        <w:bidi w:val="0"/>
        <w:adjustRightInd w:val="0"/>
        <w:snapToGrid w:val="0"/>
        <w:spacing w:before="137" w:line="560" w:lineRule="exact"/>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得的全部现金及实物收入。</w:t>
      </w:r>
    </w:p>
    <w:p w14:paraId="470A9A4E">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第九条</w:t>
      </w:r>
      <w:r>
        <w:rPr>
          <w:spacing w:val="-8"/>
        </w:rPr>
        <w:t xml:space="preserve">   </w:t>
      </w:r>
      <w:r>
        <w:rPr>
          <w:rFonts w:ascii="Times New Roman" w:hAnsi="方正仿宋_GBK" w:eastAsia="方正仿宋_GBK" w:cs="Times New Roman"/>
          <w:snapToGrid/>
          <w:color w:val="000000"/>
          <w:kern w:val="32"/>
          <w:sz w:val="32"/>
          <w:szCs w:val="32"/>
          <w:lang w:val="en-US" w:eastAsia="zh-CN" w:bidi="ar-SA"/>
        </w:rPr>
        <w:t>获得最低生活保障，家庭月人均收入应当低于最低生活保障标准。家庭月人均收入，按照申请人家庭月收入总额除以核定的家庭人口数确定。</w:t>
      </w:r>
    </w:p>
    <w:p w14:paraId="575823C0">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第十条</w:t>
      </w:r>
      <w:r>
        <w:rPr>
          <w:spacing w:val="21"/>
        </w:rPr>
        <w:t xml:space="preserve">  </w:t>
      </w:r>
      <w:r>
        <w:rPr>
          <w:rFonts w:ascii="Times New Roman" w:hAnsi="方正仿宋_GBK" w:eastAsia="方正仿宋_GBK" w:cs="Times New Roman"/>
          <w:snapToGrid/>
          <w:color w:val="000000"/>
          <w:kern w:val="32"/>
          <w:sz w:val="32"/>
          <w:szCs w:val="32"/>
          <w:lang w:val="en-US" w:eastAsia="zh-CN" w:bidi="ar-SA"/>
        </w:rPr>
        <w:t xml:space="preserve"> 家庭收入主要包括：</w:t>
      </w:r>
    </w:p>
    <w:p w14:paraId="1D2C6539">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（一）工资性收入。工资性收入指就业人员通过各种途径得 到的全部劳动报酬和各种福利并扣除必要的就业成本，包括因任职或者受雇而取得的工资、薪金、奖金、劳动分红、津贴、补贴以及与任职或者受雇有关的其他所得等。</w:t>
      </w:r>
    </w:p>
    <w:p w14:paraId="1833A997">
      <w:pPr>
        <w:pStyle w:val="7"/>
        <w:keepNext w:val="0"/>
        <w:keepLines w:val="0"/>
        <w:pageBreakBefore w:val="0"/>
        <w:wordWrap/>
        <w:topLinePunct w:val="0"/>
        <w:bidi w:val="0"/>
        <w:adjustRightInd w:val="0"/>
        <w:snapToGrid w:val="0"/>
        <w:spacing w:before="137" w:line="560" w:lineRule="exact"/>
        <w:ind w:firstLine="640" w:firstLineChars="200"/>
        <w:rPr>
          <w:rFonts w:hint="eastAsia"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稳定就业或长期在外务工人员的工资性收入，按用人单位劳资部门出具的收入证明计算，也可根据社会保险、个人所得税缴 纳情况计算；不能提供收入证明或无法通过社会保险、个人所得 税缴纳情况测算的，参照本市统计部门公布的上年度同行业就业人员平均工资计算。灵活就业人员劳务收入，参照本市统计部门公布的上年度同行业就业人员平均工资标准，按实际务工月数或天数据实计算。在实际核算时，工资性收入由就业成本扣除后确定。（就业成本含交通费、通讯费、房租等费用，按就业地当年最低工资标准的25%进行计算）</w:t>
      </w:r>
      <w:r>
        <w:rPr>
          <w:rFonts w:hint="eastAsia" w:ascii="Times New Roman" w:hAnsi="方正仿宋_GBK" w:eastAsia="方正仿宋_GBK" w:cs="Times New Roman"/>
          <w:snapToGrid/>
          <w:color w:val="000000"/>
          <w:kern w:val="32"/>
          <w:sz w:val="32"/>
          <w:szCs w:val="32"/>
          <w:lang w:val="en-US" w:eastAsia="zh-CN" w:bidi="ar-SA"/>
        </w:rPr>
        <w:t>。</w:t>
      </w:r>
    </w:p>
    <w:p w14:paraId="6D6D0F9E">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二）经营净收入。经营净收入指从事生产经营及有偿服务活动所获得全部经营收入扣除经营费用、生产性固定资产折旧和生产税等之后得到的收入，包括从事种植、养殖、采集及加工等农林牧渔业的生产收入，从事工业、建筑业、手工业、交通运输 业、批发和零售贸易业、餐饮业、文教卫生业和社会服务业等经营及有偿服务活动的收入等。</w:t>
      </w:r>
    </w:p>
    <w:p w14:paraId="43D7696F">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种植、养殖、采集及加工等农林牧渔业（规模化种植、养殖除外）收入，按照我县上年度农村常住居民人均可支配收入的 70%为核算基数，根据家庭成员劳动力系数（见附件）指标折算核定。计算公式为：家庭成员人均月收入=我县上年度农村常住居民人均可支配收入×70%×家庭成员劳动力系数之和/12个月/家庭人数。</w:t>
      </w:r>
    </w:p>
    <w:p w14:paraId="70F78A52">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（三）财产净收入。财产净收入指出让动产和不动产，或将动产和不动产交由其他机构、单位或个人使用并扣除相关费用之后得到的收入，包括储蓄存款利息、有价证券红利、储蓄性保险 投资以及其他股息和红利等收入，集体财产收入分红和其他动产收入</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转租承包土地经营权、出租或者出让房产以及其他不动产收入等。出让、租赁等收入，参照双方签订的相关合法有效合同计算个人不能提供相关合同或合同确定的收入明显低于市场平均收益的，参照当地同类资产出让、租赁的平均价格计算。储蓄存款利息、有价证券红利、储蓄性保险投资以及其他股息和红利等按照金融机构提供的信息计算</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集体财产收入分红等按集体出具的分配记录计算。土地、林地承包经营权流转收入按有关规定据实计算。</w:t>
      </w:r>
    </w:p>
    <w:p w14:paraId="7BE28745">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（四）转移净收入。转移净收入指转移性收入扣减转移性支出之后的收入。其中</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转移性收入指国家、机关企事业单位、社会组织对居民的各种经常性转移支付和居民之间的经常性收入转移，包括赡养费、扶养费、抚养费、离退休金、失业保险金，遗属补助金、赔偿收入、接受捐赠（赠送）收入等；转移性支出指居民对国家、企事业单位、社会组织、居民的经常性转移支出</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包括缴纳的税款、各项社会保障支出、赡养支出以及其他经常性转移支出等。赡养、扶养、抚养费，有离婚协议书、法院调解书、判决书的</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按文书确定的金额认定；无文书确定的</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每位被赡养</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扶养、抚养人的赡养、扶养、抚养费收入按义务人家庭月人均收入减去最低生活保障标准后余额的20%计算。法定赡养、扶养、抚养义务人有下列情形的，视为暂无赡养、扶养、抚养能力，不计算赡养、扶养、抚养费：</w:t>
      </w:r>
    </w:p>
    <w:p w14:paraId="2255B30E">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1.特困供养人员；</w:t>
      </w:r>
    </w:p>
    <w:p w14:paraId="34D298B1">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2.最低生活保障家庭人员及最低生活保障边缘家庭人员；</w:t>
      </w:r>
    </w:p>
    <w:p w14:paraId="52A37CDC">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3.家庭中有重特大疾病患者、重度残疾人</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造成家庭支出过大，实际生活困难的。</w:t>
      </w:r>
    </w:p>
    <w:p w14:paraId="333DEFAF">
      <w:pPr>
        <w:pStyle w:val="7"/>
        <w:keepNext w:val="0"/>
        <w:keepLines w:val="0"/>
        <w:pageBreakBefore w:val="0"/>
        <w:wordWrap/>
        <w:topLinePunct w:val="0"/>
        <w:bidi w:val="0"/>
        <w:adjustRightInd w:val="0"/>
        <w:snapToGrid w:val="0"/>
        <w:spacing w:before="141" w:line="560" w:lineRule="exact"/>
        <w:ind w:left="640"/>
      </w:pPr>
      <w:r>
        <w:rPr>
          <w:rFonts w:ascii="Times New Roman" w:hAnsi="方正黑体_GBK" w:eastAsia="方正黑体_GBK" w:cs="Times New Roman"/>
          <w:snapToGrid/>
          <w:color w:val="000000"/>
          <w:kern w:val="32"/>
          <w:sz w:val="32"/>
          <w:szCs w:val="32"/>
          <w:lang w:val="en-US" w:eastAsia="zh-CN" w:bidi="ar-SA"/>
        </w:rPr>
        <w:t>第十一条</w:t>
      </w:r>
      <w:r>
        <w:rPr>
          <w:spacing w:val="26"/>
        </w:rPr>
        <w:t xml:space="preserve">  </w:t>
      </w:r>
      <w:r>
        <w:rPr>
          <w:rFonts w:ascii="Times New Roman" w:hAnsi="方正仿宋_GBK" w:eastAsia="方正仿宋_GBK" w:cs="Times New Roman"/>
          <w:snapToGrid/>
          <w:color w:val="000000"/>
          <w:kern w:val="32"/>
          <w:sz w:val="32"/>
          <w:szCs w:val="32"/>
          <w:lang w:val="en-US" w:eastAsia="zh-CN" w:bidi="ar-SA"/>
        </w:rPr>
        <w:t>不应当计入家庭收入的项目包括：</w:t>
      </w:r>
    </w:p>
    <w:p w14:paraId="2FA48107">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（一）国家规定的优待抚恤金、计划生育奖励与扶助金、奖学金、见义勇为等奖励性补助；老党员定期补助</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经济困难的高 龄失能老年人养老服务补贴、家庭经济困难学生助学金及生活补助；精简退职职工定期定量救济金、困难残疾人生活补贴、重度残疾人护理补贴。</w:t>
      </w:r>
    </w:p>
    <w:p w14:paraId="7D549D46">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（二）政府发放的各类社会救助款物</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低保金、特困金、孤儿生活保障金除外。</w:t>
      </w:r>
    </w:p>
    <w:p w14:paraId="6DFAEA3F">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（三）“十四五”期间中央确定的城乡居民基本养老保险基础养老金。</w:t>
      </w:r>
    </w:p>
    <w:p w14:paraId="417F93EB">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（四）因重大疾病、重大灾害出卖唯一住房的销售款。</w:t>
      </w:r>
    </w:p>
    <w:p w14:paraId="68B54476">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（五）共同生活的家庭成员因残疾、因患重病、因学等增加的刚性支出、必要的就业成本等，可凭相关支出佐证资料在核算家庭收入时适当扣减当期支出。</w:t>
      </w:r>
    </w:p>
    <w:p w14:paraId="667D2D80">
      <w:pPr>
        <w:pStyle w:val="7"/>
        <w:keepNext w:val="0"/>
        <w:keepLines w:val="0"/>
        <w:pageBreakBefore w:val="0"/>
        <w:wordWrap/>
        <w:topLinePunct w:val="0"/>
        <w:bidi w:val="0"/>
        <w:adjustRightInd w:val="0"/>
        <w:snapToGrid w:val="0"/>
        <w:spacing w:before="149" w:line="560" w:lineRule="exact"/>
        <w:ind w:left="3131"/>
      </w:pPr>
      <w:r>
        <w:rPr>
          <w:rFonts w:hint="eastAsia" w:ascii="Times New Roman" w:hAnsi="方正楷体_GBK" w:eastAsia="方正楷体_GBK" w:cs="Times New Roman"/>
          <w:snapToGrid/>
          <w:color w:val="000000"/>
          <w:kern w:val="32"/>
          <w:sz w:val="32"/>
          <w:szCs w:val="32"/>
          <w:lang w:val="en-US" w:eastAsia="zh-CN" w:bidi="ar-SA"/>
        </w:rPr>
        <w:t>第四章   家庭财产</w:t>
      </w:r>
    </w:p>
    <w:p w14:paraId="0991D128">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 xml:space="preserve">第十二条 </w:t>
      </w:r>
      <w:r>
        <w:rPr>
          <w:spacing w:val="34"/>
        </w:rPr>
        <w:t xml:space="preserve">  </w:t>
      </w:r>
      <w:r>
        <w:rPr>
          <w:rFonts w:ascii="Times New Roman" w:hAnsi="方正仿宋_GBK" w:eastAsia="方正仿宋_GBK" w:cs="Times New Roman"/>
          <w:snapToGrid/>
          <w:color w:val="000000"/>
          <w:kern w:val="32"/>
          <w:sz w:val="32"/>
          <w:szCs w:val="32"/>
          <w:lang w:val="en-US" w:eastAsia="zh-CN" w:bidi="ar-SA"/>
        </w:rPr>
        <w:t>家庭财产是指共同生活的家庭成员拥有的全部动产和不动产。动产主要包括银行存款、证券、基金、商业保险、债权、互联网金融资产以及车辆等。不动产主要包括房屋、林木等定着物。</w:t>
      </w:r>
    </w:p>
    <w:p w14:paraId="0F4C52C6">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 xml:space="preserve">第十三条 </w:t>
      </w:r>
      <w:r>
        <w:rPr>
          <w:spacing w:val="-4"/>
          <w:position w:val="19"/>
        </w:rPr>
        <w:t xml:space="preserve">  </w:t>
      </w:r>
      <w:r>
        <w:rPr>
          <w:rFonts w:ascii="Times New Roman" w:hAnsi="方正仿宋_GBK" w:eastAsia="方正仿宋_GBK" w:cs="Times New Roman"/>
          <w:snapToGrid/>
          <w:color w:val="000000"/>
          <w:kern w:val="32"/>
          <w:sz w:val="32"/>
          <w:szCs w:val="32"/>
          <w:lang w:val="en-US" w:eastAsia="zh-CN" w:bidi="ar-SA"/>
        </w:rPr>
        <w:t>家庭财产状况有下列情形之一的，视为不符合最低生活保障认定条件：</w:t>
      </w:r>
    </w:p>
    <w:p w14:paraId="29A77A02">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（一）银行存款、证券、基金、商业保险、债权、互联网金融资产等人均总值，超过全市城市最低生活保障标准的24倍；</w:t>
      </w:r>
    </w:p>
    <w:p w14:paraId="0355F0E7">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（二）拥有2套及以上住房（不含C、D级危房），且人均拥有建筑面积超过最低住房保障标准3倍；</w:t>
      </w:r>
    </w:p>
    <w:p w14:paraId="7A859562">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（三）拥有出租或自营的商业门面、店铺；</w:t>
      </w:r>
    </w:p>
    <w:p w14:paraId="494A817F">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（四）拥有机动车辆（享受燃油补贴的残疾人机动轮椅车、</w:t>
      </w:r>
    </w:p>
    <w:p w14:paraId="0E2D4788">
      <w:pPr>
        <w:pStyle w:val="7"/>
        <w:keepNext w:val="0"/>
        <w:keepLines w:val="0"/>
        <w:pageBreakBefore w:val="0"/>
        <w:wordWrap/>
        <w:topLinePunct w:val="0"/>
        <w:bidi w:val="0"/>
        <w:adjustRightInd w:val="0"/>
        <w:snapToGrid w:val="0"/>
        <w:spacing w:before="137" w:line="560" w:lineRule="exact"/>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普通两轮摩托车除外）、船舶、工程机械以及大型农机具等；</w:t>
      </w:r>
    </w:p>
    <w:p w14:paraId="143EFE61">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（五）主动放弃合法收益（因向国家捐赠个人财产导致基本生活困难的除外）。</w:t>
      </w:r>
    </w:p>
    <w:p w14:paraId="5AED5A2E">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第十四条</w:t>
      </w:r>
      <w:r>
        <w:rPr>
          <w:spacing w:val="42"/>
          <w:position w:val="19"/>
        </w:rPr>
        <w:t xml:space="preserve">  </w:t>
      </w:r>
      <w:r>
        <w:rPr>
          <w:rFonts w:ascii="Times New Roman" w:hAnsi="方正仿宋_GBK" w:eastAsia="方正仿宋_GBK" w:cs="Times New Roman"/>
          <w:snapToGrid/>
          <w:color w:val="000000"/>
          <w:kern w:val="32"/>
          <w:sz w:val="32"/>
          <w:szCs w:val="32"/>
          <w:lang w:val="en-US" w:eastAsia="zh-CN" w:bidi="ar-SA"/>
        </w:rPr>
        <w:t>对于维持家庭生产生活的必需财产，可以在认定家庭财产状况时予以豁免：</w:t>
      </w:r>
    </w:p>
    <w:p w14:paraId="6288DD75">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1.家庭共同生活成员或具有法定赡养、抚养（扶养）关系的非共同生活成员家庭中拥有唯一机动车辆，且该机动车用于保障家庭成员维持家庭生产生活使用等特殊情形的，可适当放宽认定条件，所拥有的机动车辆购买金额不超过4万元（含4万元）且能提供有效票据的（二手车以交易市场正式票据为准）；</w:t>
      </w:r>
    </w:p>
    <w:p w14:paraId="7963C069">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2.最低生活保障家庭核查时</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发现家庭成员人均存款超过我县城市低保标准24倍，且累计持有时间未超过12个月，能够提供自申请或者动态管理之日起12个月内二级以上级别医院开具的医学诊断证明书、治疗方案等医学证明材料</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确认存款用于治疗重大疾病的，可以予以豁免。豁免时间最长不能超过12个月；</w:t>
      </w:r>
    </w:p>
    <w:p w14:paraId="46F95683">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3.拥有2套及以上住房（不含C、D级危房），人均拥有建筑面积超过最低住房保障标准3倍，但家庭或家庭成员遭受重特大灾害、重特大交通事故等意外事件，造成重大人身伤害或重大财产损失的，可以予以豁免；</w:t>
      </w:r>
    </w:p>
    <w:p w14:paraId="44F1878A">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 xml:space="preserve">第十五条 </w:t>
      </w:r>
      <w:r>
        <w:rPr>
          <w:spacing w:val="21"/>
          <w:position w:val="19"/>
        </w:rPr>
        <w:t xml:space="preserve">  </w:t>
      </w:r>
      <w:r>
        <w:rPr>
          <w:rFonts w:ascii="Times New Roman" w:hAnsi="方正仿宋_GBK" w:eastAsia="方正仿宋_GBK" w:cs="Times New Roman"/>
          <w:snapToGrid/>
          <w:color w:val="000000"/>
          <w:kern w:val="32"/>
          <w:sz w:val="32"/>
          <w:szCs w:val="32"/>
          <w:lang w:val="en-US" w:eastAsia="zh-CN" w:bidi="ar-SA"/>
        </w:rPr>
        <w:t>家庭财产采取实名认定</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根据有关部门和管理单位的登记信息和实际拥有情况确认。</w:t>
      </w:r>
    </w:p>
    <w:p w14:paraId="75EB2FF5">
      <w:pPr>
        <w:pStyle w:val="7"/>
        <w:keepNext w:val="0"/>
        <w:keepLines w:val="0"/>
        <w:pageBreakBefore w:val="0"/>
        <w:wordWrap/>
        <w:topLinePunct w:val="0"/>
        <w:bidi w:val="0"/>
        <w:adjustRightInd w:val="0"/>
        <w:snapToGrid w:val="0"/>
        <w:spacing w:before="147" w:line="560" w:lineRule="exact"/>
        <w:ind w:left="2815"/>
      </w:pPr>
      <w:r>
        <w:rPr>
          <w:spacing w:val="-1"/>
        </w:rPr>
        <w:t>第五章</w:t>
      </w:r>
      <w:r>
        <w:rPr>
          <w:spacing w:val="12"/>
        </w:rPr>
        <w:t xml:space="preserve">   </w:t>
      </w:r>
      <w:r>
        <w:rPr>
          <w:spacing w:val="-1"/>
        </w:rPr>
        <w:t>家庭消费支出</w:t>
      </w:r>
    </w:p>
    <w:p w14:paraId="27B628CB">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第十六条</w:t>
      </w:r>
      <w:r>
        <w:rPr>
          <w:spacing w:val="34"/>
        </w:rPr>
        <w:t xml:space="preserve">   </w:t>
      </w:r>
      <w:r>
        <w:rPr>
          <w:rFonts w:ascii="Times New Roman" w:hAnsi="方正仿宋_GBK" w:eastAsia="方正仿宋_GBK" w:cs="Times New Roman"/>
          <w:snapToGrid/>
          <w:color w:val="000000"/>
          <w:kern w:val="32"/>
          <w:sz w:val="32"/>
          <w:szCs w:val="32"/>
          <w:lang w:val="en-US" w:eastAsia="zh-CN" w:bidi="ar-SA"/>
        </w:rPr>
        <w:t>家庭消费支出是指共同生活的家庭成员在一定时期内的消费支出情况和实际生活状况。家庭消费支出根据调查核实情况认定。</w:t>
      </w:r>
    </w:p>
    <w:p w14:paraId="0A36483A">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第十七条</w:t>
      </w:r>
      <w:r>
        <w:rPr>
          <w:spacing w:val="-4"/>
          <w:position w:val="19"/>
        </w:rPr>
        <w:t xml:space="preserve">   </w:t>
      </w:r>
      <w:r>
        <w:rPr>
          <w:rFonts w:ascii="Times New Roman" w:hAnsi="方正仿宋_GBK" w:eastAsia="方正仿宋_GBK" w:cs="Times New Roman"/>
          <w:snapToGrid/>
          <w:color w:val="000000"/>
          <w:kern w:val="32"/>
          <w:sz w:val="32"/>
          <w:szCs w:val="32"/>
          <w:lang w:val="en-US" w:eastAsia="zh-CN" w:bidi="ar-SA"/>
        </w:rPr>
        <w:t>家庭消费支出有下列情形之一的，不能获得最低生活保障：</w:t>
      </w:r>
    </w:p>
    <w:p w14:paraId="3A2B991D">
      <w:pPr>
        <w:pStyle w:val="7"/>
        <w:keepNext w:val="0"/>
        <w:keepLines w:val="0"/>
        <w:pageBreakBefore w:val="0"/>
        <w:wordWrap/>
        <w:topLinePunct w:val="0"/>
        <w:bidi w:val="0"/>
        <w:adjustRightInd w:val="0"/>
        <w:snapToGrid w:val="0"/>
        <w:spacing w:before="137" w:line="560" w:lineRule="exact"/>
        <w:ind w:firstLine="636" w:firstLineChars="200"/>
        <w:rPr>
          <w:rFonts w:ascii="Times New Roman" w:hAnsi="方正仿宋_GBK" w:eastAsia="方正仿宋_GBK" w:cs="Times New Roman"/>
          <w:snapToGrid/>
          <w:color w:val="000000"/>
          <w:kern w:val="32"/>
          <w:sz w:val="32"/>
          <w:szCs w:val="32"/>
          <w:lang w:val="en-US" w:eastAsia="zh-CN" w:bidi="ar-SA"/>
        </w:rPr>
      </w:pPr>
      <w:r>
        <w:rPr>
          <w:spacing w:val="-1"/>
        </w:rPr>
        <w:t>（</w:t>
      </w:r>
      <w:r>
        <w:rPr>
          <w:rFonts w:ascii="Times New Roman" w:hAnsi="方正仿宋_GBK" w:eastAsia="方正仿宋_GBK" w:cs="Times New Roman"/>
          <w:snapToGrid/>
          <w:color w:val="000000"/>
          <w:kern w:val="32"/>
          <w:sz w:val="32"/>
          <w:szCs w:val="32"/>
          <w:lang w:val="en-US" w:eastAsia="zh-CN" w:bidi="ar-SA"/>
        </w:rPr>
        <w:t>一）3 年内修建自有住房、按揭或全款购买商品房（不含因灾重建、排危、国家基础设施建设拆迁房屋等唯一住房）或高标准装修住房；家庭发生重大变故，造成家庭基本生活困难的除外；</w:t>
      </w:r>
    </w:p>
    <w:p w14:paraId="5F747959">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（二）有非公派出国留学、义务教育、学前教育阶段缴纳超过低保标准12倍（含）以上学费（每人每年）在民办学校读书的；</w:t>
      </w:r>
    </w:p>
    <w:p w14:paraId="220F28FD">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（三）近1年内自费出国旅游的；</w:t>
      </w:r>
    </w:p>
    <w:p w14:paraId="329A4713">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仿宋_GBK" w:eastAsia="方正仿宋_GBK" w:cs="Times New Roman"/>
          <w:snapToGrid/>
          <w:color w:val="000000"/>
          <w:kern w:val="32"/>
          <w:sz w:val="32"/>
          <w:szCs w:val="32"/>
          <w:lang w:val="en-US" w:eastAsia="zh-CN" w:bidi="ar-SA"/>
        </w:rPr>
        <w:t>（四）自费购买商业保险</w:t>
      </w:r>
      <w:r>
        <w:rPr>
          <w:rFonts w:hint="eastAsia" w:ascii="Times New Roman" w:hAnsi="方正仿宋_GBK" w:eastAsia="方正仿宋_GBK" w:cs="Times New Roman"/>
          <w:snapToGrid/>
          <w:color w:val="000000"/>
          <w:kern w:val="32"/>
          <w:sz w:val="32"/>
          <w:szCs w:val="32"/>
          <w:lang w:val="en-US" w:eastAsia="zh-CN" w:bidi="ar-SA"/>
        </w:rPr>
        <w:t>，</w:t>
      </w:r>
      <w:r>
        <w:rPr>
          <w:rFonts w:ascii="Times New Roman" w:hAnsi="方正仿宋_GBK" w:eastAsia="方正仿宋_GBK" w:cs="Times New Roman"/>
          <w:snapToGrid/>
          <w:color w:val="000000"/>
          <w:kern w:val="32"/>
          <w:sz w:val="32"/>
          <w:szCs w:val="32"/>
          <w:lang w:val="en-US" w:eastAsia="zh-CN" w:bidi="ar-SA"/>
        </w:rPr>
        <w:t>每人每年缴纳保险费用在低保标准12倍（含）以上的。</w:t>
      </w:r>
    </w:p>
    <w:p w14:paraId="1EC7CB1B">
      <w:pPr>
        <w:pStyle w:val="7"/>
        <w:keepNext w:val="0"/>
        <w:keepLines w:val="0"/>
        <w:pageBreakBefore w:val="0"/>
        <w:wordWrap/>
        <w:topLinePunct w:val="0"/>
        <w:bidi w:val="0"/>
        <w:adjustRightInd w:val="0"/>
        <w:snapToGrid w:val="0"/>
        <w:spacing w:before="147" w:line="560" w:lineRule="exact"/>
        <w:ind w:left="2815"/>
        <w:jc w:val="left"/>
        <w:rPr>
          <w:spacing w:val="-1"/>
        </w:rPr>
      </w:pPr>
      <w:r>
        <w:rPr>
          <w:spacing w:val="-1"/>
        </w:rPr>
        <w:t>第六章   附则</w:t>
      </w:r>
    </w:p>
    <w:p w14:paraId="2842B67A">
      <w:pPr>
        <w:pStyle w:val="7"/>
        <w:keepNext w:val="0"/>
        <w:keepLines w:val="0"/>
        <w:pageBreakBefore w:val="0"/>
        <w:wordWrap/>
        <w:topLinePunct w:val="0"/>
        <w:bidi w:val="0"/>
        <w:adjustRightInd w:val="0"/>
        <w:snapToGrid w:val="0"/>
        <w:spacing w:before="137" w:line="560" w:lineRule="exact"/>
        <w:ind w:firstLine="640" w:firstLineChars="200"/>
        <w:rPr>
          <w:rFonts w:ascii="Arial"/>
          <w:sz w:val="21"/>
        </w:rPr>
      </w:pPr>
      <w:r>
        <w:rPr>
          <w:rFonts w:ascii="Times New Roman" w:hAnsi="方正黑体_GBK" w:eastAsia="方正黑体_GBK" w:cs="Times New Roman"/>
          <w:snapToGrid/>
          <w:color w:val="000000"/>
          <w:kern w:val="32"/>
          <w:sz w:val="32"/>
          <w:szCs w:val="32"/>
          <w:lang w:val="en-US" w:eastAsia="zh-CN" w:bidi="ar-SA"/>
        </w:rPr>
        <w:t>第十八条</w:t>
      </w:r>
      <w:r>
        <w:rPr>
          <w:spacing w:val="22"/>
        </w:rPr>
        <w:t xml:space="preserve">   </w:t>
      </w:r>
      <w:r>
        <w:rPr>
          <w:rFonts w:ascii="Times New Roman" w:hAnsi="方正仿宋_GBK" w:eastAsia="方正仿宋_GBK" w:cs="Times New Roman"/>
          <w:snapToGrid/>
          <w:color w:val="000000"/>
          <w:kern w:val="32"/>
          <w:sz w:val="32"/>
          <w:szCs w:val="32"/>
          <w:lang w:val="en-US" w:eastAsia="zh-CN" w:bidi="ar-SA"/>
        </w:rPr>
        <w:t>本细则自印发之日起施行。</w:t>
      </w:r>
    </w:p>
    <w:p w14:paraId="6C221B49">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黑体_GBK" w:eastAsia="方正黑体_GBK" w:cs="Times New Roman"/>
          <w:snapToGrid/>
          <w:color w:val="000000"/>
          <w:kern w:val="32"/>
          <w:sz w:val="32"/>
          <w:szCs w:val="32"/>
          <w:lang w:val="en-US" w:eastAsia="zh-CN" w:bidi="ar-SA"/>
        </w:rPr>
      </w:pPr>
    </w:p>
    <w:p w14:paraId="4BC870EA">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pPr>
      <w:r>
        <w:rPr>
          <w:rFonts w:ascii="Times New Roman" w:hAnsi="方正黑体_GBK" w:eastAsia="方正黑体_GBK" w:cs="Times New Roman"/>
          <w:snapToGrid/>
          <w:color w:val="000000"/>
          <w:kern w:val="32"/>
          <w:sz w:val="32"/>
          <w:szCs w:val="32"/>
          <w:lang w:val="en-US" w:eastAsia="zh-CN" w:bidi="ar-SA"/>
        </w:rPr>
        <w:t>附件</w:t>
      </w:r>
      <w:r>
        <w:rPr>
          <w:spacing w:val="-2"/>
        </w:rPr>
        <w:t>：</w:t>
      </w:r>
      <w:r>
        <w:rPr>
          <w:rFonts w:hint="eastAsia" w:ascii="Times New Roman" w:hAnsi="方正仿宋_GBK" w:eastAsia="方正仿宋_GBK" w:cs="Times New Roman"/>
          <w:snapToGrid/>
          <w:color w:val="000000"/>
          <w:kern w:val="32"/>
          <w:sz w:val="32"/>
          <w:szCs w:val="32"/>
          <w:lang w:val="en-US" w:eastAsia="zh-CN" w:bidi="ar-SA"/>
        </w:rPr>
        <w:t>酉阳</w:t>
      </w:r>
      <w:r>
        <w:rPr>
          <w:rFonts w:ascii="Times New Roman" w:hAnsi="方正仿宋_GBK" w:eastAsia="方正仿宋_GBK" w:cs="Times New Roman"/>
          <w:snapToGrid/>
          <w:color w:val="000000"/>
          <w:kern w:val="32"/>
          <w:sz w:val="32"/>
          <w:szCs w:val="32"/>
          <w:lang w:val="en-US" w:eastAsia="zh-CN" w:bidi="ar-SA"/>
        </w:rPr>
        <w:t>县最低生活保障条件认定劳动力系数计算表</w:t>
      </w:r>
    </w:p>
    <w:p w14:paraId="0D335778">
      <w:pPr>
        <w:pStyle w:val="7"/>
        <w:keepNext w:val="0"/>
        <w:keepLines w:val="0"/>
        <w:pageBreakBefore w:val="0"/>
        <w:wordWrap/>
        <w:topLinePunct w:val="0"/>
        <w:bidi w:val="0"/>
        <w:adjustRightInd w:val="0"/>
        <w:snapToGrid w:val="0"/>
        <w:spacing w:before="137" w:line="560" w:lineRule="exact"/>
        <w:ind w:firstLine="640" w:firstLineChars="200"/>
        <w:rPr>
          <w:rFonts w:ascii="Times New Roman" w:hAnsi="方正仿宋_GBK" w:eastAsia="方正仿宋_GBK" w:cs="Times New Roman"/>
          <w:snapToGrid/>
          <w:color w:val="000000"/>
          <w:kern w:val="32"/>
          <w:sz w:val="32"/>
          <w:szCs w:val="32"/>
          <w:lang w:val="en-US" w:eastAsia="zh-CN" w:bidi="ar-SA"/>
        </w:rPr>
        <w:sectPr>
          <w:footerReference r:id="rId7" w:type="default"/>
          <w:pgSz w:w="11905" w:h="16840"/>
          <w:pgMar w:top="1431" w:right="1495" w:bottom="1768" w:left="1611" w:header="0" w:footer="1492" w:gutter="0"/>
          <w:cols w:space="720" w:num="1"/>
        </w:sectPr>
      </w:pPr>
    </w:p>
    <w:p w14:paraId="12533A3F">
      <w:pPr>
        <w:spacing w:line="295" w:lineRule="auto"/>
        <w:rPr>
          <w:rFonts w:ascii="Arial"/>
          <w:sz w:val="21"/>
        </w:rPr>
      </w:pPr>
    </w:p>
    <w:p w14:paraId="59940064">
      <w:pPr>
        <w:spacing w:line="296" w:lineRule="auto"/>
        <w:rPr>
          <w:rFonts w:ascii="Arial"/>
          <w:sz w:val="21"/>
        </w:rPr>
      </w:pPr>
    </w:p>
    <w:p w14:paraId="6AC61D52">
      <w:pPr>
        <w:spacing w:before="104" w:line="225" w:lineRule="auto"/>
        <w:ind w:left="384"/>
        <w:rPr>
          <w:rFonts w:ascii="黑体" w:hAnsi="黑体" w:eastAsia="黑体" w:cs="黑体"/>
          <w:sz w:val="32"/>
          <w:szCs w:val="32"/>
        </w:rPr>
      </w:pPr>
      <w:r>
        <w:rPr>
          <w:rFonts w:ascii="黑体" w:hAnsi="黑体" w:eastAsia="黑体" w:cs="黑体"/>
          <w:spacing w:val="-8"/>
          <w:sz w:val="32"/>
          <w:szCs w:val="32"/>
        </w:rPr>
        <w:t>附件</w:t>
      </w:r>
    </w:p>
    <w:p w14:paraId="51C13395">
      <w:pPr>
        <w:spacing w:line="298" w:lineRule="auto"/>
        <w:rPr>
          <w:rFonts w:ascii="Arial"/>
          <w:sz w:val="21"/>
        </w:rPr>
      </w:pPr>
    </w:p>
    <w:p w14:paraId="678B5FE0">
      <w:pPr>
        <w:pStyle w:val="7"/>
        <w:spacing w:before="188" w:line="211" w:lineRule="auto"/>
        <w:ind w:left="2123"/>
        <w:rPr>
          <w:sz w:val="44"/>
          <w:szCs w:val="44"/>
        </w:rPr>
      </w:pPr>
      <w:r>
        <w:rPr>
          <w:rFonts w:hint="eastAsia"/>
          <w:spacing w:val="-1"/>
          <w:sz w:val="44"/>
          <w:szCs w:val="44"/>
          <w:lang w:val="en-US" w:eastAsia="zh-CN"/>
        </w:rPr>
        <w:t>酉阳</w:t>
      </w:r>
      <w:r>
        <w:rPr>
          <w:spacing w:val="-1"/>
          <w:sz w:val="44"/>
          <w:szCs w:val="44"/>
        </w:rPr>
        <w:t>县最低生活保障条件认定劳动力系数计算表</w:t>
      </w:r>
    </w:p>
    <w:p w14:paraId="43B28702">
      <w:pPr>
        <w:spacing w:line="213" w:lineRule="exact"/>
      </w:pPr>
      <w:bookmarkStart w:id="0" w:name="_GoBack"/>
      <w:bookmarkEnd w:id="0"/>
    </w:p>
    <w:tbl>
      <w:tblPr>
        <w:tblStyle w:val="13"/>
        <w:tblW w:w="13532"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40"/>
        <w:gridCol w:w="2554"/>
        <w:gridCol w:w="2417"/>
        <w:gridCol w:w="2323"/>
        <w:gridCol w:w="2198"/>
      </w:tblGrid>
      <w:tr w14:paraId="04BD2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5" w:hRule="atLeast"/>
        </w:trPr>
        <w:tc>
          <w:tcPr>
            <w:tcW w:w="4040" w:type="dxa"/>
            <w:tcBorders>
              <w:top w:val="single" w:color="000000" w:sz="12" w:space="0"/>
              <w:left w:val="single" w:color="000000" w:sz="12" w:space="0"/>
            </w:tcBorders>
            <w:vAlign w:val="top"/>
          </w:tcPr>
          <w:p w14:paraId="604F2BB7">
            <w:pPr>
              <w:pStyle w:val="14"/>
              <w:spacing w:before="80" w:line="229" w:lineRule="auto"/>
              <w:ind w:left="2625"/>
            </w:pPr>
            <w:r>
              <mc:AlternateContent>
                <mc:Choice Requires="wps">
                  <w:drawing>
                    <wp:anchor distT="0" distB="0" distL="114300" distR="114300" simplePos="0" relativeHeight="251659264" behindDoc="1" locked="0" layoutInCell="1" allowOverlap="1">
                      <wp:simplePos x="0" y="0"/>
                      <wp:positionH relativeFrom="column">
                        <wp:posOffset>-6985</wp:posOffset>
                      </wp:positionH>
                      <wp:positionV relativeFrom="paragraph">
                        <wp:posOffset>-11430</wp:posOffset>
                      </wp:positionV>
                      <wp:extent cx="2548255" cy="1038860"/>
                      <wp:effectExtent l="635" t="2540" r="3810" b="6350"/>
                      <wp:wrapNone/>
                      <wp:docPr id="3" name="任意多边形 3"/>
                      <wp:cNvGraphicFramePr/>
                      <a:graphic xmlns:a="http://schemas.openxmlformats.org/drawingml/2006/main">
                        <a:graphicData uri="http://schemas.microsoft.com/office/word/2010/wordprocessingShape">
                          <wps:wsp>
                            <wps:cNvSpPr/>
                            <wps:spPr>
                              <a:xfrm>
                                <a:off x="0" y="0"/>
                                <a:ext cx="2548255" cy="1038860"/>
                              </a:xfrm>
                              <a:custGeom>
                                <a:avLst/>
                                <a:gdLst/>
                                <a:ahLst/>
                                <a:cxnLst/>
                                <a:pathLst>
                                  <a:path w="4012" h="1636">
                                    <a:moveTo>
                                      <a:pt x="1822" y="2"/>
                                    </a:moveTo>
                                    <a:lnTo>
                                      <a:pt x="4010" y="1623"/>
                                    </a:lnTo>
                                    <a:moveTo>
                                      <a:pt x="0" y="873"/>
                                    </a:moveTo>
                                    <a:lnTo>
                                      <a:pt x="3989" y="1632"/>
                                    </a:lnTo>
                                  </a:path>
                                </a:pathLst>
                              </a:custGeom>
                              <a:noFill/>
                              <a:ln w="317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0.55pt;margin-top:-0.9pt;height:81.8pt;width:200.65pt;z-index:-251657216;mso-width-relative:page;mso-height-relative:page;" filled="f" stroked="t" coordsize="4012,1636" o:gfxdata="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E6&#10;KCzWAAAACQEAAA8AAAAAAAAAAQAgAAAAIgAAAGRycy9kb3ducmV2LnhtbFBLAQIUABQAAAAIAIdO&#10;4kDYyALgXgIAAOsEAAAOAAAAAAAAAAEAIAAAACUBAABkcnMvZTJvRG9jLnhtbFBLBQYAAAAABgAG&#10;AFkBAAD1BQAAAAA=&#10;" path="m1822,2l4010,1623m0,873l3989,1632e">
                      <v:fill on="f" focussize="0,0"/>
                      <v:stroke weight="0.25pt" color="#000000" joinstyle="round"/>
                      <v:imagedata o:title=""/>
                      <o:lock v:ext="edit" aspectratio="f"/>
                    </v:shape>
                  </w:pict>
                </mc:Fallback>
              </mc:AlternateContent>
            </w:r>
            <w:r>
              <w:rPr>
                <w:spacing w:val="5"/>
              </w:rPr>
              <w:t>年龄段</w:t>
            </w:r>
          </w:p>
          <w:p w14:paraId="73B2D115">
            <w:pPr>
              <w:pStyle w:val="14"/>
              <w:spacing w:before="66" w:line="228" w:lineRule="auto"/>
              <w:ind w:left="815"/>
            </w:pPr>
            <w:r>
              <w:rPr>
                <w:spacing w:val="2"/>
              </w:rPr>
              <w:t>劳动力</w:t>
            </w:r>
          </w:p>
          <w:p w14:paraId="7AD0EB34">
            <w:pPr>
              <w:pStyle w:val="14"/>
              <w:spacing w:before="65" w:line="229" w:lineRule="auto"/>
              <w:ind w:left="2210"/>
            </w:pPr>
            <w:r>
              <w:rPr>
                <w:spacing w:val="1"/>
              </w:rPr>
              <w:t>系数</w:t>
            </w:r>
          </w:p>
          <w:p w14:paraId="4114CF3B">
            <w:pPr>
              <w:pStyle w:val="14"/>
              <w:spacing w:before="64" w:line="222" w:lineRule="auto"/>
              <w:ind w:left="108"/>
            </w:pPr>
            <w:r>
              <w:rPr>
                <w:spacing w:val="5"/>
              </w:rPr>
              <w:t>人员类别</w:t>
            </w:r>
          </w:p>
        </w:tc>
        <w:tc>
          <w:tcPr>
            <w:tcW w:w="2554" w:type="dxa"/>
            <w:tcBorders>
              <w:top w:val="single" w:color="000000" w:sz="12" w:space="0"/>
            </w:tcBorders>
            <w:vAlign w:val="top"/>
          </w:tcPr>
          <w:p w14:paraId="1BB84233">
            <w:pPr>
              <w:spacing w:line="401" w:lineRule="auto"/>
              <w:rPr>
                <w:rFonts w:ascii="Arial"/>
                <w:sz w:val="21"/>
              </w:rPr>
            </w:pPr>
          </w:p>
          <w:p w14:paraId="60B44B49">
            <w:pPr>
              <w:pStyle w:val="14"/>
              <w:spacing w:before="88" w:line="251" w:lineRule="auto"/>
              <w:ind w:left="380" w:right="368" w:hanging="5"/>
            </w:pPr>
            <w:r>
              <w:t>男</w:t>
            </w:r>
            <w:r>
              <w:rPr>
                <w:spacing w:val="-34"/>
              </w:rPr>
              <w:t xml:space="preserve"> </w:t>
            </w:r>
            <w:r>
              <w:t>16—50</w:t>
            </w:r>
            <w:r>
              <w:rPr>
                <w:spacing w:val="-52"/>
              </w:rPr>
              <w:t xml:space="preserve"> </w:t>
            </w:r>
            <w:r>
              <w:t>周岁 女</w:t>
            </w:r>
            <w:r>
              <w:rPr>
                <w:spacing w:val="-39"/>
              </w:rPr>
              <w:t xml:space="preserve"> </w:t>
            </w:r>
            <w:r>
              <w:t>16—45</w:t>
            </w:r>
            <w:r>
              <w:rPr>
                <w:spacing w:val="-53"/>
              </w:rPr>
              <w:t xml:space="preserve"> </w:t>
            </w:r>
            <w:r>
              <w:t>周岁</w:t>
            </w:r>
          </w:p>
        </w:tc>
        <w:tc>
          <w:tcPr>
            <w:tcW w:w="2417" w:type="dxa"/>
            <w:tcBorders>
              <w:top w:val="single" w:color="000000" w:sz="12" w:space="0"/>
            </w:tcBorders>
            <w:vAlign w:val="top"/>
          </w:tcPr>
          <w:p w14:paraId="0C93B650">
            <w:pPr>
              <w:spacing w:line="401" w:lineRule="auto"/>
              <w:rPr>
                <w:rFonts w:ascii="Arial"/>
                <w:sz w:val="21"/>
              </w:rPr>
            </w:pPr>
          </w:p>
          <w:p w14:paraId="6096DAC3">
            <w:pPr>
              <w:pStyle w:val="14"/>
              <w:spacing w:before="88" w:line="251" w:lineRule="auto"/>
              <w:ind w:left="317" w:right="294" w:hanging="5"/>
            </w:pPr>
            <w:r>
              <w:rPr>
                <w:spacing w:val="3"/>
              </w:rPr>
              <w:t>男</w:t>
            </w:r>
            <w:r>
              <w:rPr>
                <w:spacing w:val="-58"/>
              </w:rPr>
              <w:t xml:space="preserve"> </w:t>
            </w:r>
            <w:r>
              <w:rPr>
                <w:spacing w:val="3"/>
              </w:rPr>
              <w:t>51—60</w:t>
            </w:r>
            <w:r>
              <w:rPr>
                <w:spacing w:val="-52"/>
              </w:rPr>
              <w:t xml:space="preserve"> </w:t>
            </w:r>
            <w:r>
              <w:rPr>
                <w:spacing w:val="3"/>
              </w:rPr>
              <w:t>周岁</w:t>
            </w:r>
            <w:r>
              <w:t xml:space="preserve"> </w:t>
            </w:r>
            <w:r>
              <w:rPr>
                <w:spacing w:val="2"/>
              </w:rPr>
              <w:t>女</w:t>
            </w:r>
            <w:r>
              <w:rPr>
                <w:spacing w:val="-55"/>
              </w:rPr>
              <w:t xml:space="preserve"> </w:t>
            </w:r>
            <w:r>
              <w:rPr>
                <w:spacing w:val="2"/>
              </w:rPr>
              <w:t>46—55</w:t>
            </w:r>
            <w:r>
              <w:rPr>
                <w:spacing w:val="-53"/>
              </w:rPr>
              <w:t xml:space="preserve"> </w:t>
            </w:r>
            <w:r>
              <w:rPr>
                <w:spacing w:val="2"/>
              </w:rPr>
              <w:t>周岁</w:t>
            </w:r>
          </w:p>
        </w:tc>
        <w:tc>
          <w:tcPr>
            <w:tcW w:w="2323" w:type="dxa"/>
            <w:tcBorders>
              <w:top w:val="single" w:color="000000" w:sz="12" w:space="0"/>
            </w:tcBorders>
            <w:vAlign w:val="top"/>
          </w:tcPr>
          <w:p w14:paraId="72C889B1">
            <w:pPr>
              <w:spacing w:line="401" w:lineRule="auto"/>
              <w:rPr>
                <w:rFonts w:ascii="Arial"/>
                <w:sz w:val="21"/>
              </w:rPr>
            </w:pPr>
          </w:p>
          <w:p w14:paraId="0912A228">
            <w:pPr>
              <w:pStyle w:val="14"/>
              <w:spacing w:before="88" w:line="251" w:lineRule="auto"/>
              <w:ind w:left="345" w:right="312" w:hanging="5"/>
            </w:pPr>
            <w:r>
              <w:rPr>
                <w:spacing w:val="2"/>
              </w:rPr>
              <w:t>男</w:t>
            </w:r>
            <w:r>
              <w:rPr>
                <w:spacing w:val="-54"/>
              </w:rPr>
              <w:t xml:space="preserve"> </w:t>
            </w:r>
            <w:r>
              <w:rPr>
                <w:spacing w:val="2"/>
              </w:rPr>
              <w:t>61-65</w:t>
            </w:r>
            <w:r>
              <w:rPr>
                <w:spacing w:val="-54"/>
              </w:rPr>
              <w:t xml:space="preserve"> </w:t>
            </w:r>
            <w:r>
              <w:rPr>
                <w:spacing w:val="2"/>
              </w:rPr>
              <w:t>周岁</w:t>
            </w:r>
            <w:r>
              <w:t xml:space="preserve"> </w:t>
            </w:r>
            <w:r>
              <w:rPr>
                <w:spacing w:val="2"/>
              </w:rPr>
              <w:t>女</w:t>
            </w:r>
            <w:r>
              <w:rPr>
                <w:spacing w:val="-60"/>
              </w:rPr>
              <w:t xml:space="preserve"> </w:t>
            </w:r>
            <w:r>
              <w:rPr>
                <w:spacing w:val="2"/>
              </w:rPr>
              <w:t>56-60</w:t>
            </w:r>
            <w:r>
              <w:rPr>
                <w:spacing w:val="-53"/>
              </w:rPr>
              <w:t xml:space="preserve"> </w:t>
            </w:r>
            <w:r>
              <w:rPr>
                <w:spacing w:val="2"/>
              </w:rPr>
              <w:t>周岁</w:t>
            </w:r>
          </w:p>
        </w:tc>
        <w:tc>
          <w:tcPr>
            <w:tcW w:w="2198" w:type="dxa"/>
            <w:tcBorders>
              <w:top w:val="single" w:color="000000" w:sz="12" w:space="0"/>
              <w:right w:val="single" w:color="000000" w:sz="12" w:space="0"/>
            </w:tcBorders>
            <w:vAlign w:val="top"/>
          </w:tcPr>
          <w:p w14:paraId="4637407D">
            <w:pPr>
              <w:pStyle w:val="14"/>
              <w:spacing w:before="89" w:line="259" w:lineRule="auto"/>
              <w:ind w:left="127" w:right="92" w:hanging="3"/>
            </w:pPr>
            <w:r>
              <w:rPr>
                <w:spacing w:val="20"/>
              </w:rPr>
              <w:t>在校学生及</w:t>
            </w:r>
            <w:r>
              <w:rPr>
                <w:spacing w:val="67"/>
              </w:rPr>
              <w:t xml:space="preserve"> </w:t>
            </w:r>
            <w:r>
              <w:rPr>
                <w:spacing w:val="20"/>
              </w:rPr>
              <w:t>16</w:t>
            </w:r>
            <w:r>
              <w:t xml:space="preserve"> </w:t>
            </w:r>
            <w:r>
              <w:rPr>
                <w:spacing w:val="-2"/>
              </w:rPr>
              <w:t>周岁以下人员，</w:t>
            </w:r>
            <w:r>
              <w:rPr>
                <w:spacing w:val="2"/>
              </w:rPr>
              <w:t xml:space="preserve"> </w:t>
            </w:r>
            <w:r>
              <w:rPr>
                <w:spacing w:val="14"/>
              </w:rPr>
              <w:t>男</w:t>
            </w:r>
            <w:r>
              <w:rPr>
                <w:spacing w:val="-53"/>
              </w:rPr>
              <w:t xml:space="preserve"> </w:t>
            </w:r>
            <w:r>
              <w:rPr>
                <w:spacing w:val="14"/>
              </w:rPr>
              <w:t>66</w:t>
            </w:r>
            <w:r>
              <w:rPr>
                <w:spacing w:val="-53"/>
              </w:rPr>
              <w:t xml:space="preserve"> </w:t>
            </w:r>
            <w:r>
              <w:rPr>
                <w:spacing w:val="14"/>
              </w:rPr>
              <w:t>周岁以上</w:t>
            </w:r>
            <w:r>
              <w:t xml:space="preserve"> </w:t>
            </w:r>
            <w:r>
              <w:rPr>
                <w:spacing w:val="14"/>
              </w:rPr>
              <w:t>女</w:t>
            </w:r>
            <w:r>
              <w:rPr>
                <w:spacing w:val="-53"/>
              </w:rPr>
              <w:t xml:space="preserve"> </w:t>
            </w:r>
            <w:r>
              <w:rPr>
                <w:spacing w:val="14"/>
              </w:rPr>
              <w:t>61</w:t>
            </w:r>
            <w:r>
              <w:rPr>
                <w:spacing w:val="-53"/>
              </w:rPr>
              <w:t xml:space="preserve"> </w:t>
            </w:r>
            <w:r>
              <w:rPr>
                <w:spacing w:val="14"/>
              </w:rPr>
              <w:t>周岁以上</w:t>
            </w:r>
          </w:p>
        </w:tc>
      </w:tr>
      <w:tr w14:paraId="198FD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4040" w:type="dxa"/>
            <w:tcBorders>
              <w:left w:val="single" w:color="000000" w:sz="12" w:space="0"/>
            </w:tcBorders>
            <w:vAlign w:val="top"/>
          </w:tcPr>
          <w:p w14:paraId="37B2C27A">
            <w:pPr>
              <w:spacing w:before="141" w:line="187" w:lineRule="auto"/>
              <w:ind w:left="1467"/>
              <w:rPr>
                <w:rFonts w:ascii="微软雅黑" w:hAnsi="微软雅黑" w:eastAsia="微软雅黑" w:cs="微软雅黑"/>
                <w:sz w:val="27"/>
                <w:szCs w:val="27"/>
              </w:rPr>
            </w:pPr>
            <w:r>
              <w:rPr>
                <w:rFonts w:ascii="微软雅黑" w:hAnsi="微软雅黑" w:eastAsia="微软雅黑" w:cs="微软雅黑"/>
                <w:spacing w:val="3"/>
                <w:sz w:val="27"/>
                <w:szCs w:val="27"/>
              </w:rPr>
              <w:t>正常人员</w:t>
            </w:r>
          </w:p>
        </w:tc>
        <w:tc>
          <w:tcPr>
            <w:tcW w:w="2554" w:type="dxa"/>
            <w:vAlign w:val="top"/>
          </w:tcPr>
          <w:p w14:paraId="1C8C9FD9">
            <w:pPr>
              <w:spacing w:before="198" w:line="191" w:lineRule="auto"/>
              <w:ind w:left="1232"/>
              <w:rPr>
                <w:rFonts w:ascii="Times New Roman" w:hAnsi="Times New Roman" w:eastAsia="Times New Roman" w:cs="Times New Roman"/>
                <w:sz w:val="27"/>
                <w:szCs w:val="27"/>
              </w:rPr>
            </w:pPr>
            <w:r>
              <w:rPr>
                <w:rFonts w:ascii="Times New Roman" w:hAnsi="Times New Roman" w:eastAsia="Times New Roman" w:cs="Times New Roman"/>
                <w:sz w:val="27"/>
                <w:szCs w:val="27"/>
              </w:rPr>
              <w:t>1</w:t>
            </w:r>
          </w:p>
        </w:tc>
        <w:tc>
          <w:tcPr>
            <w:tcW w:w="2417" w:type="dxa"/>
            <w:vAlign w:val="top"/>
          </w:tcPr>
          <w:p w14:paraId="33B1D829">
            <w:pPr>
              <w:spacing w:before="198" w:line="191" w:lineRule="auto"/>
              <w:ind w:left="1042"/>
              <w:rPr>
                <w:rFonts w:ascii="Times New Roman" w:hAnsi="Times New Roman" w:eastAsia="Times New Roman" w:cs="Times New Roman"/>
                <w:sz w:val="27"/>
                <w:szCs w:val="27"/>
              </w:rPr>
            </w:pPr>
            <w:r>
              <w:rPr>
                <w:rFonts w:ascii="Times New Roman" w:hAnsi="Times New Roman" w:eastAsia="Times New Roman" w:cs="Times New Roman"/>
                <w:sz w:val="27"/>
                <w:szCs w:val="27"/>
              </w:rPr>
              <w:t>0.8</w:t>
            </w:r>
          </w:p>
        </w:tc>
        <w:tc>
          <w:tcPr>
            <w:tcW w:w="2323" w:type="dxa"/>
            <w:vAlign w:val="top"/>
          </w:tcPr>
          <w:p w14:paraId="2B6C4B1D">
            <w:pPr>
              <w:spacing w:before="198" w:line="191" w:lineRule="auto"/>
              <w:ind w:left="1000"/>
              <w:rPr>
                <w:rFonts w:ascii="Times New Roman" w:hAnsi="Times New Roman" w:eastAsia="Times New Roman" w:cs="Times New Roman"/>
                <w:sz w:val="27"/>
                <w:szCs w:val="27"/>
              </w:rPr>
            </w:pPr>
            <w:r>
              <w:rPr>
                <w:rFonts w:ascii="Times New Roman" w:hAnsi="Times New Roman" w:eastAsia="Times New Roman" w:cs="Times New Roman"/>
                <w:sz w:val="27"/>
                <w:szCs w:val="27"/>
              </w:rPr>
              <w:t>0.4</w:t>
            </w:r>
          </w:p>
        </w:tc>
        <w:tc>
          <w:tcPr>
            <w:tcW w:w="2198" w:type="dxa"/>
            <w:tcBorders>
              <w:right w:val="single" w:color="000000" w:sz="12" w:space="0"/>
            </w:tcBorders>
            <w:vAlign w:val="top"/>
          </w:tcPr>
          <w:p w14:paraId="5321211A">
            <w:pPr>
              <w:spacing w:before="198" w:line="191" w:lineRule="auto"/>
              <w:ind w:left="1042"/>
              <w:rPr>
                <w:rFonts w:ascii="Times New Roman" w:hAnsi="Times New Roman" w:eastAsia="Times New Roman" w:cs="Times New Roman"/>
                <w:sz w:val="27"/>
                <w:szCs w:val="27"/>
              </w:rPr>
            </w:pPr>
            <w:r>
              <w:rPr>
                <w:rFonts w:ascii="Times New Roman" w:hAnsi="Times New Roman" w:eastAsia="Times New Roman" w:cs="Times New Roman"/>
                <w:sz w:val="27"/>
                <w:szCs w:val="27"/>
              </w:rPr>
              <w:t>0</w:t>
            </w:r>
          </w:p>
        </w:tc>
      </w:tr>
      <w:tr w14:paraId="2039A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4040" w:type="dxa"/>
            <w:tcBorders>
              <w:left w:val="single" w:color="000000" w:sz="12" w:space="0"/>
            </w:tcBorders>
            <w:vAlign w:val="top"/>
          </w:tcPr>
          <w:p w14:paraId="2A74C3A6">
            <w:pPr>
              <w:spacing w:before="90" w:line="181" w:lineRule="auto"/>
              <w:ind w:left="757" w:right="112" w:hanging="631"/>
              <w:rPr>
                <w:rFonts w:ascii="微软雅黑" w:hAnsi="微软雅黑" w:eastAsia="微软雅黑" w:cs="微软雅黑"/>
                <w:sz w:val="27"/>
                <w:szCs w:val="27"/>
              </w:rPr>
            </w:pPr>
            <w:r>
              <w:rPr>
                <w:rFonts w:ascii="Times New Roman" w:hAnsi="Times New Roman" w:eastAsia="Times New Roman" w:cs="Times New Roman"/>
                <w:spacing w:val="-4"/>
                <w:sz w:val="27"/>
                <w:szCs w:val="27"/>
              </w:rPr>
              <w:t>1</w:t>
            </w:r>
            <w:r>
              <w:rPr>
                <w:rFonts w:ascii="Times New Roman" w:hAnsi="Times New Roman" w:eastAsia="Times New Roman" w:cs="Times New Roman"/>
                <w:spacing w:val="-23"/>
                <w:sz w:val="27"/>
                <w:szCs w:val="27"/>
              </w:rPr>
              <w:t xml:space="preserve"> </w:t>
            </w:r>
            <w:r>
              <w:rPr>
                <w:rFonts w:ascii="微软雅黑" w:hAnsi="微软雅黑" w:eastAsia="微软雅黑" w:cs="微软雅黑"/>
                <w:spacing w:val="-4"/>
                <w:sz w:val="27"/>
                <w:szCs w:val="27"/>
              </w:rPr>
              <w:t>、</w:t>
            </w:r>
            <w:r>
              <w:rPr>
                <w:rFonts w:ascii="Times New Roman" w:hAnsi="Times New Roman" w:eastAsia="Times New Roman" w:cs="Times New Roman"/>
                <w:spacing w:val="-4"/>
                <w:sz w:val="27"/>
                <w:szCs w:val="27"/>
              </w:rPr>
              <w:t>2</w:t>
            </w:r>
            <w:r>
              <w:rPr>
                <w:rFonts w:ascii="Times New Roman" w:hAnsi="Times New Roman" w:eastAsia="Times New Roman" w:cs="Times New Roman"/>
                <w:spacing w:val="23"/>
                <w:sz w:val="27"/>
                <w:szCs w:val="27"/>
              </w:rPr>
              <w:t xml:space="preserve"> </w:t>
            </w:r>
            <w:r>
              <w:rPr>
                <w:rFonts w:ascii="微软雅黑" w:hAnsi="微软雅黑" w:eastAsia="微软雅黑" w:cs="微软雅黑"/>
                <w:spacing w:val="-4"/>
                <w:sz w:val="27"/>
                <w:szCs w:val="27"/>
              </w:rPr>
              <w:t xml:space="preserve">级聋哑残疾人员及 </w:t>
            </w:r>
            <w:r>
              <w:rPr>
                <w:rFonts w:ascii="Times New Roman" w:hAnsi="Times New Roman" w:eastAsia="Times New Roman" w:cs="Times New Roman"/>
                <w:spacing w:val="-4"/>
                <w:sz w:val="27"/>
                <w:szCs w:val="27"/>
              </w:rPr>
              <w:t>3</w:t>
            </w:r>
            <w:r>
              <w:rPr>
                <w:rFonts w:ascii="Times New Roman" w:hAnsi="Times New Roman" w:eastAsia="Times New Roman" w:cs="Times New Roman"/>
                <w:spacing w:val="-37"/>
                <w:sz w:val="27"/>
                <w:szCs w:val="27"/>
              </w:rPr>
              <w:t xml:space="preserve"> </w:t>
            </w:r>
            <w:r>
              <w:rPr>
                <w:rFonts w:ascii="微软雅黑" w:hAnsi="微软雅黑" w:eastAsia="微软雅黑" w:cs="微软雅黑"/>
                <w:spacing w:val="-4"/>
                <w:sz w:val="27"/>
                <w:szCs w:val="27"/>
              </w:rPr>
              <w:t>、</w:t>
            </w:r>
            <w:r>
              <w:rPr>
                <w:rFonts w:ascii="Times New Roman" w:hAnsi="Times New Roman" w:eastAsia="Times New Roman" w:cs="Times New Roman"/>
                <w:spacing w:val="-4"/>
                <w:sz w:val="27"/>
                <w:szCs w:val="27"/>
              </w:rPr>
              <w:t>4</w:t>
            </w:r>
            <w:r>
              <w:rPr>
                <w:rFonts w:ascii="Times New Roman" w:hAnsi="Times New Roman" w:eastAsia="Times New Roman" w:cs="Times New Roman"/>
                <w:spacing w:val="23"/>
                <w:sz w:val="27"/>
                <w:szCs w:val="27"/>
              </w:rPr>
              <w:t xml:space="preserve"> </w:t>
            </w:r>
            <w:r>
              <w:rPr>
                <w:rFonts w:ascii="微软雅黑" w:hAnsi="微软雅黑" w:eastAsia="微软雅黑" w:cs="微软雅黑"/>
                <w:spacing w:val="-4"/>
                <w:sz w:val="27"/>
                <w:szCs w:val="27"/>
              </w:rPr>
              <w:t>级</w:t>
            </w:r>
            <w:r>
              <w:rPr>
                <w:rFonts w:ascii="微软雅黑" w:hAnsi="微软雅黑" w:eastAsia="微软雅黑" w:cs="微软雅黑"/>
                <w:sz w:val="27"/>
                <w:szCs w:val="27"/>
              </w:rPr>
              <w:t xml:space="preserve"> </w:t>
            </w:r>
            <w:r>
              <w:rPr>
                <w:rFonts w:ascii="微软雅黑" w:hAnsi="微软雅黑" w:eastAsia="微软雅黑" w:cs="微软雅黑"/>
                <w:spacing w:val="8"/>
                <w:sz w:val="27"/>
                <w:szCs w:val="27"/>
              </w:rPr>
              <w:t>肢体、视力残疾人员</w:t>
            </w:r>
          </w:p>
        </w:tc>
        <w:tc>
          <w:tcPr>
            <w:tcW w:w="2554" w:type="dxa"/>
            <w:vAlign w:val="top"/>
          </w:tcPr>
          <w:p w14:paraId="146695F5">
            <w:pPr>
              <w:spacing w:line="268" w:lineRule="auto"/>
              <w:rPr>
                <w:rFonts w:ascii="Arial"/>
                <w:sz w:val="21"/>
              </w:rPr>
            </w:pPr>
          </w:p>
          <w:p w14:paraId="73E5E14D">
            <w:pPr>
              <w:spacing w:before="78" w:line="191" w:lineRule="auto"/>
              <w:ind w:left="1104"/>
              <w:rPr>
                <w:rFonts w:ascii="Times New Roman" w:hAnsi="Times New Roman" w:eastAsia="Times New Roman" w:cs="Times New Roman"/>
                <w:sz w:val="27"/>
                <w:szCs w:val="27"/>
              </w:rPr>
            </w:pPr>
            <w:r>
              <w:rPr>
                <w:rFonts w:ascii="Times New Roman" w:hAnsi="Times New Roman" w:eastAsia="Times New Roman" w:cs="Times New Roman"/>
                <w:sz w:val="27"/>
                <w:szCs w:val="27"/>
              </w:rPr>
              <w:t>0.7</w:t>
            </w:r>
          </w:p>
        </w:tc>
        <w:tc>
          <w:tcPr>
            <w:tcW w:w="2417" w:type="dxa"/>
            <w:vAlign w:val="top"/>
          </w:tcPr>
          <w:p w14:paraId="4AB5F9F0">
            <w:pPr>
              <w:spacing w:line="268" w:lineRule="auto"/>
              <w:rPr>
                <w:rFonts w:ascii="Arial"/>
                <w:sz w:val="21"/>
              </w:rPr>
            </w:pPr>
          </w:p>
          <w:p w14:paraId="178FC3BB">
            <w:pPr>
              <w:spacing w:before="78" w:line="191" w:lineRule="auto"/>
              <w:ind w:left="1042"/>
              <w:rPr>
                <w:rFonts w:ascii="Times New Roman" w:hAnsi="Times New Roman" w:eastAsia="Times New Roman" w:cs="Times New Roman"/>
                <w:sz w:val="27"/>
                <w:szCs w:val="27"/>
              </w:rPr>
            </w:pPr>
            <w:r>
              <w:rPr>
                <w:rFonts w:ascii="Times New Roman" w:hAnsi="Times New Roman" w:eastAsia="Times New Roman" w:cs="Times New Roman"/>
                <w:sz w:val="27"/>
                <w:szCs w:val="27"/>
              </w:rPr>
              <w:t>0.5</w:t>
            </w:r>
          </w:p>
        </w:tc>
        <w:tc>
          <w:tcPr>
            <w:tcW w:w="2323" w:type="dxa"/>
            <w:vAlign w:val="top"/>
          </w:tcPr>
          <w:p w14:paraId="16D8485D">
            <w:pPr>
              <w:spacing w:line="268" w:lineRule="auto"/>
              <w:rPr>
                <w:rFonts w:ascii="Arial"/>
                <w:sz w:val="21"/>
              </w:rPr>
            </w:pPr>
          </w:p>
          <w:p w14:paraId="6E5ED5FC">
            <w:pPr>
              <w:spacing w:before="78" w:line="191" w:lineRule="auto"/>
              <w:ind w:left="1000"/>
              <w:rPr>
                <w:rFonts w:ascii="Times New Roman" w:hAnsi="Times New Roman" w:eastAsia="Times New Roman" w:cs="Times New Roman"/>
                <w:sz w:val="27"/>
                <w:szCs w:val="27"/>
              </w:rPr>
            </w:pPr>
            <w:r>
              <w:rPr>
                <w:rFonts w:ascii="Times New Roman" w:hAnsi="Times New Roman" w:eastAsia="Times New Roman" w:cs="Times New Roman"/>
                <w:sz w:val="27"/>
                <w:szCs w:val="27"/>
              </w:rPr>
              <w:t>0.2</w:t>
            </w:r>
          </w:p>
        </w:tc>
        <w:tc>
          <w:tcPr>
            <w:tcW w:w="2198" w:type="dxa"/>
            <w:tcBorders>
              <w:right w:val="single" w:color="000000" w:sz="12" w:space="0"/>
            </w:tcBorders>
            <w:vAlign w:val="top"/>
          </w:tcPr>
          <w:p w14:paraId="5153657A">
            <w:pPr>
              <w:spacing w:line="268" w:lineRule="auto"/>
              <w:rPr>
                <w:rFonts w:ascii="Arial"/>
                <w:sz w:val="21"/>
              </w:rPr>
            </w:pPr>
          </w:p>
          <w:p w14:paraId="2D127F71">
            <w:pPr>
              <w:spacing w:before="78" w:line="191" w:lineRule="auto"/>
              <w:ind w:left="1042"/>
              <w:rPr>
                <w:rFonts w:ascii="Times New Roman" w:hAnsi="Times New Roman" w:eastAsia="Times New Roman" w:cs="Times New Roman"/>
                <w:sz w:val="27"/>
                <w:szCs w:val="27"/>
              </w:rPr>
            </w:pPr>
            <w:r>
              <w:rPr>
                <w:rFonts w:ascii="Times New Roman" w:hAnsi="Times New Roman" w:eastAsia="Times New Roman" w:cs="Times New Roman"/>
                <w:sz w:val="27"/>
                <w:szCs w:val="27"/>
              </w:rPr>
              <w:t>0</w:t>
            </w:r>
          </w:p>
        </w:tc>
      </w:tr>
      <w:tr w14:paraId="32026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trPr>
        <w:tc>
          <w:tcPr>
            <w:tcW w:w="4040" w:type="dxa"/>
            <w:tcBorders>
              <w:left w:val="single" w:color="000000" w:sz="12" w:space="0"/>
              <w:bottom w:val="single" w:color="000000" w:sz="12" w:space="0"/>
            </w:tcBorders>
            <w:vAlign w:val="top"/>
          </w:tcPr>
          <w:p w14:paraId="73FC859A">
            <w:pPr>
              <w:spacing w:before="94" w:line="208" w:lineRule="auto"/>
              <w:ind w:left="180"/>
              <w:rPr>
                <w:rFonts w:ascii="微软雅黑" w:hAnsi="微软雅黑" w:eastAsia="微软雅黑" w:cs="微软雅黑"/>
                <w:sz w:val="27"/>
                <w:szCs w:val="27"/>
              </w:rPr>
            </w:pPr>
            <w:r>
              <w:rPr>
                <w:rFonts w:ascii="Times New Roman" w:hAnsi="Times New Roman" w:eastAsia="Times New Roman" w:cs="Times New Roman"/>
                <w:spacing w:val="3"/>
                <w:sz w:val="27"/>
                <w:szCs w:val="27"/>
              </w:rPr>
              <w:t>1</w:t>
            </w:r>
            <w:r>
              <w:rPr>
                <w:rFonts w:ascii="Times New Roman" w:hAnsi="Times New Roman" w:eastAsia="Times New Roman" w:cs="Times New Roman"/>
                <w:spacing w:val="-34"/>
                <w:sz w:val="27"/>
                <w:szCs w:val="27"/>
              </w:rPr>
              <w:t xml:space="preserve"> </w:t>
            </w:r>
            <w:r>
              <w:rPr>
                <w:rFonts w:ascii="微软雅黑" w:hAnsi="微软雅黑" w:eastAsia="微软雅黑" w:cs="微软雅黑"/>
                <w:spacing w:val="3"/>
                <w:sz w:val="27"/>
                <w:szCs w:val="27"/>
              </w:rPr>
              <w:t>、</w:t>
            </w:r>
            <w:r>
              <w:rPr>
                <w:rFonts w:ascii="Times New Roman" w:hAnsi="Times New Roman" w:eastAsia="Times New Roman" w:cs="Times New Roman"/>
                <w:spacing w:val="3"/>
                <w:sz w:val="27"/>
                <w:szCs w:val="27"/>
              </w:rPr>
              <w:t>2</w:t>
            </w:r>
            <w:r>
              <w:rPr>
                <w:rFonts w:ascii="Times New Roman" w:hAnsi="Times New Roman" w:eastAsia="Times New Roman" w:cs="Times New Roman"/>
                <w:spacing w:val="22"/>
                <w:sz w:val="27"/>
                <w:szCs w:val="27"/>
              </w:rPr>
              <w:t xml:space="preserve"> </w:t>
            </w:r>
            <w:r>
              <w:rPr>
                <w:rFonts w:ascii="微软雅黑" w:hAnsi="微软雅黑" w:eastAsia="微软雅黑" w:cs="微软雅黑"/>
                <w:spacing w:val="3"/>
                <w:sz w:val="27"/>
                <w:szCs w:val="27"/>
              </w:rPr>
              <w:t>级视力、精神、肢体、智</w:t>
            </w:r>
          </w:p>
          <w:p w14:paraId="03D1DB9E">
            <w:pPr>
              <w:spacing w:line="207" w:lineRule="auto"/>
              <w:ind w:left="116"/>
              <w:rPr>
                <w:rFonts w:ascii="微软雅黑" w:hAnsi="微软雅黑" w:eastAsia="微软雅黑" w:cs="微软雅黑"/>
                <w:sz w:val="27"/>
                <w:szCs w:val="27"/>
              </w:rPr>
            </w:pPr>
            <w:r>
              <w:rPr>
                <w:rFonts w:ascii="微软雅黑" w:hAnsi="微软雅黑" w:eastAsia="微软雅黑" w:cs="微软雅黑"/>
                <w:spacing w:val="-7"/>
                <w:sz w:val="27"/>
                <w:szCs w:val="27"/>
              </w:rPr>
              <w:t xml:space="preserve">力残疾人员；  </w:t>
            </w:r>
            <w:r>
              <w:rPr>
                <w:rFonts w:ascii="Times New Roman" w:hAnsi="Times New Roman" w:eastAsia="Times New Roman" w:cs="Times New Roman"/>
                <w:spacing w:val="-7"/>
                <w:sz w:val="27"/>
                <w:szCs w:val="27"/>
              </w:rPr>
              <w:t>3</w:t>
            </w:r>
            <w:r>
              <w:rPr>
                <w:rFonts w:ascii="Times New Roman" w:hAnsi="Times New Roman" w:eastAsia="Times New Roman" w:cs="Times New Roman"/>
                <w:spacing w:val="32"/>
                <w:sz w:val="27"/>
                <w:szCs w:val="27"/>
              </w:rPr>
              <w:t xml:space="preserve"> </w:t>
            </w:r>
            <w:r>
              <w:rPr>
                <w:rFonts w:ascii="微软雅黑" w:hAnsi="微软雅黑" w:eastAsia="微软雅黑" w:cs="微软雅黑"/>
                <w:spacing w:val="-7"/>
                <w:sz w:val="27"/>
                <w:szCs w:val="27"/>
              </w:rPr>
              <w:t>级智力、精神残</w:t>
            </w:r>
          </w:p>
          <w:p w14:paraId="4D5ADBBA">
            <w:pPr>
              <w:spacing w:line="163" w:lineRule="auto"/>
              <w:ind w:left="898"/>
              <w:rPr>
                <w:rFonts w:ascii="微软雅黑" w:hAnsi="微软雅黑" w:eastAsia="微软雅黑" w:cs="微软雅黑"/>
                <w:sz w:val="27"/>
                <w:szCs w:val="27"/>
              </w:rPr>
            </w:pPr>
            <w:r>
              <w:rPr>
                <w:rFonts w:ascii="微软雅黑" w:hAnsi="微软雅黑" w:eastAsia="微软雅黑" w:cs="微软雅黑"/>
                <w:spacing w:val="7"/>
                <w:sz w:val="27"/>
                <w:szCs w:val="27"/>
              </w:rPr>
              <w:t>疾人员；重病人员</w:t>
            </w:r>
          </w:p>
        </w:tc>
        <w:tc>
          <w:tcPr>
            <w:tcW w:w="2554" w:type="dxa"/>
            <w:tcBorders>
              <w:bottom w:val="single" w:color="000000" w:sz="12" w:space="0"/>
            </w:tcBorders>
            <w:vAlign w:val="top"/>
          </w:tcPr>
          <w:p w14:paraId="1DEA090B">
            <w:pPr>
              <w:spacing w:line="473" w:lineRule="auto"/>
              <w:rPr>
                <w:rFonts w:ascii="Arial"/>
                <w:sz w:val="21"/>
              </w:rPr>
            </w:pPr>
          </w:p>
          <w:p w14:paraId="570100EC">
            <w:pPr>
              <w:spacing w:before="78" w:line="191" w:lineRule="auto"/>
              <w:ind w:left="1209"/>
              <w:rPr>
                <w:rFonts w:ascii="Times New Roman" w:hAnsi="Times New Roman" w:eastAsia="Times New Roman" w:cs="Times New Roman"/>
                <w:sz w:val="27"/>
                <w:szCs w:val="27"/>
              </w:rPr>
            </w:pPr>
            <w:r>
              <w:rPr>
                <w:rFonts w:ascii="Times New Roman" w:hAnsi="Times New Roman" w:eastAsia="Times New Roman" w:cs="Times New Roman"/>
                <w:sz w:val="27"/>
                <w:szCs w:val="27"/>
              </w:rPr>
              <w:t>0</w:t>
            </w:r>
          </w:p>
        </w:tc>
        <w:tc>
          <w:tcPr>
            <w:tcW w:w="2417" w:type="dxa"/>
            <w:tcBorders>
              <w:bottom w:val="single" w:color="000000" w:sz="12" w:space="0"/>
            </w:tcBorders>
            <w:vAlign w:val="top"/>
          </w:tcPr>
          <w:p w14:paraId="05417522">
            <w:pPr>
              <w:spacing w:line="473" w:lineRule="auto"/>
              <w:rPr>
                <w:rFonts w:ascii="Arial"/>
                <w:sz w:val="21"/>
              </w:rPr>
            </w:pPr>
          </w:p>
          <w:p w14:paraId="7EAEDDD9">
            <w:pPr>
              <w:spacing w:before="78" w:line="191" w:lineRule="auto"/>
              <w:ind w:left="1146"/>
              <w:rPr>
                <w:rFonts w:ascii="Times New Roman" w:hAnsi="Times New Roman" w:eastAsia="Times New Roman" w:cs="Times New Roman"/>
                <w:sz w:val="27"/>
                <w:szCs w:val="27"/>
              </w:rPr>
            </w:pPr>
            <w:r>
              <w:rPr>
                <w:rFonts w:ascii="Times New Roman" w:hAnsi="Times New Roman" w:eastAsia="Times New Roman" w:cs="Times New Roman"/>
                <w:sz w:val="27"/>
                <w:szCs w:val="27"/>
              </w:rPr>
              <w:t>0</w:t>
            </w:r>
          </w:p>
        </w:tc>
        <w:tc>
          <w:tcPr>
            <w:tcW w:w="2323" w:type="dxa"/>
            <w:tcBorders>
              <w:bottom w:val="single" w:color="000000" w:sz="12" w:space="0"/>
            </w:tcBorders>
            <w:vAlign w:val="top"/>
          </w:tcPr>
          <w:p w14:paraId="4F025A0B">
            <w:pPr>
              <w:spacing w:line="473" w:lineRule="auto"/>
              <w:rPr>
                <w:rFonts w:ascii="Arial"/>
                <w:sz w:val="21"/>
              </w:rPr>
            </w:pPr>
          </w:p>
          <w:p w14:paraId="7DD1B175">
            <w:pPr>
              <w:spacing w:before="78" w:line="191" w:lineRule="auto"/>
              <w:ind w:left="1105"/>
              <w:rPr>
                <w:rFonts w:ascii="Times New Roman" w:hAnsi="Times New Roman" w:eastAsia="Times New Roman" w:cs="Times New Roman"/>
                <w:sz w:val="27"/>
                <w:szCs w:val="27"/>
              </w:rPr>
            </w:pPr>
            <w:r>
              <w:rPr>
                <w:rFonts w:ascii="Times New Roman" w:hAnsi="Times New Roman" w:eastAsia="Times New Roman" w:cs="Times New Roman"/>
                <w:sz w:val="27"/>
                <w:szCs w:val="27"/>
              </w:rPr>
              <w:t>0</w:t>
            </w:r>
          </w:p>
        </w:tc>
        <w:tc>
          <w:tcPr>
            <w:tcW w:w="2198" w:type="dxa"/>
            <w:tcBorders>
              <w:bottom w:val="single" w:color="000000" w:sz="12" w:space="0"/>
              <w:right w:val="single" w:color="000000" w:sz="12" w:space="0"/>
            </w:tcBorders>
            <w:vAlign w:val="top"/>
          </w:tcPr>
          <w:p w14:paraId="0AEB001D">
            <w:pPr>
              <w:spacing w:line="473" w:lineRule="auto"/>
              <w:rPr>
                <w:rFonts w:ascii="Arial"/>
                <w:sz w:val="21"/>
              </w:rPr>
            </w:pPr>
          </w:p>
          <w:p w14:paraId="46F3AA22">
            <w:pPr>
              <w:spacing w:before="78" w:line="191" w:lineRule="auto"/>
              <w:ind w:left="1041"/>
              <w:rPr>
                <w:rFonts w:ascii="Times New Roman" w:hAnsi="Times New Roman" w:eastAsia="Times New Roman" w:cs="Times New Roman"/>
                <w:sz w:val="27"/>
                <w:szCs w:val="27"/>
              </w:rPr>
            </w:pPr>
            <w:r>
              <w:rPr>
                <w:rFonts w:ascii="Times New Roman" w:hAnsi="Times New Roman" w:eastAsia="Times New Roman" w:cs="Times New Roman"/>
                <w:sz w:val="27"/>
                <w:szCs w:val="27"/>
              </w:rPr>
              <w:t>0</w:t>
            </w:r>
          </w:p>
        </w:tc>
      </w:tr>
    </w:tbl>
    <w:p w14:paraId="792E7329">
      <w:pPr>
        <w:pStyle w:val="7"/>
        <w:spacing w:before="47" w:line="207" w:lineRule="auto"/>
        <w:ind w:left="368"/>
        <w:rPr>
          <w:lang w:val="en-US" w:eastAsia="en-US"/>
        </w:rPr>
      </w:pPr>
      <w:r>
        <w:rPr>
          <w:sz w:val="27"/>
          <w:szCs w:val="27"/>
          <w14:textOutline w14:w="3556" w14:cap="flat" w14:cmpd="sng">
            <w14:solidFill>
              <w14:srgbClr w14:val="000000"/>
            </w14:solidFill>
            <w14:prstDash w14:val="solid"/>
            <w14:miter w14:val="0"/>
          </w14:textOutline>
        </w:rPr>
        <w:t>备注：</w:t>
      </w:r>
      <w:r>
        <w:rPr>
          <w:spacing w:val="88"/>
          <w:sz w:val="27"/>
          <w:szCs w:val="27"/>
        </w:rPr>
        <w:t xml:space="preserve"> </w:t>
      </w:r>
      <w:r>
        <w:rPr>
          <w:rFonts w:ascii="Times New Roman" w:hAnsi="Times New Roman" w:eastAsia="Times New Roman" w:cs="Times New Roman"/>
          <w:sz w:val="27"/>
          <w:szCs w:val="27"/>
        </w:rPr>
        <w:t>1.</w:t>
      </w:r>
      <w:r>
        <w:rPr>
          <w:sz w:val="27"/>
          <w:szCs w:val="27"/>
        </w:rPr>
        <w:t>有需要照顾的完全丧失劳动能力的重残、重病人员家庭，每</w:t>
      </w:r>
      <w:r>
        <w:rPr>
          <w:rFonts w:ascii="Times New Roman" w:hAnsi="Times New Roman" w:eastAsia="Times New Roman" w:cs="Times New Roman"/>
          <w:sz w:val="27"/>
          <w:szCs w:val="27"/>
        </w:rPr>
        <w:t>1</w:t>
      </w:r>
      <w:r>
        <w:rPr>
          <w:sz w:val="27"/>
          <w:szCs w:val="27"/>
        </w:rPr>
        <w:t>名重残、重病人员扣减家庭劳动力</w:t>
      </w:r>
      <w:r>
        <w:rPr>
          <w:spacing w:val="3"/>
          <w:sz w:val="27"/>
          <w:szCs w:val="27"/>
        </w:rPr>
        <w:t>系数</w:t>
      </w:r>
      <w:r>
        <w:rPr>
          <w:rFonts w:ascii="Times New Roman" w:hAnsi="Times New Roman" w:eastAsia="Times New Roman" w:cs="Times New Roman"/>
          <w:spacing w:val="3"/>
          <w:sz w:val="27"/>
          <w:szCs w:val="27"/>
        </w:rPr>
        <w:t>0.3</w:t>
      </w:r>
      <w:r>
        <w:rPr>
          <w:spacing w:val="3"/>
          <w:sz w:val="27"/>
          <w:szCs w:val="27"/>
        </w:rPr>
        <w:t>；有未成年人的单亲家庭，每</w:t>
      </w:r>
      <w:r>
        <w:rPr>
          <w:rFonts w:ascii="Times New Roman" w:hAnsi="Times New Roman" w:eastAsia="Times New Roman" w:cs="Times New Roman"/>
          <w:spacing w:val="3"/>
          <w:sz w:val="27"/>
          <w:szCs w:val="27"/>
        </w:rPr>
        <w:t>1</w:t>
      </w:r>
      <w:r>
        <w:rPr>
          <w:spacing w:val="3"/>
          <w:sz w:val="27"/>
          <w:szCs w:val="27"/>
        </w:rPr>
        <w:t>名未成年人扣减家庭劳动力系</w:t>
      </w:r>
      <w:r>
        <w:rPr>
          <w:spacing w:val="2"/>
          <w:sz w:val="27"/>
          <w:szCs w:val="27"/>
        </w:rPr>
        <w:t>数</w:t>
      </w:r>
      <w:r>
        <w:rPr>
          <w:rFonts w:ascii="Times New Roman" w:hAnsi="Times New Roman" w:eastAsia="Times New Roman" w:cs="Times New Roman"/>
          <w:spacing w:val="2"/>
          <w:sz w:val="27"/>
          <w:szCs w:val="27"/>
        </w:rPr>
        <w:t>0.2</w:t>
      </w:r>
      <w:r>
        <w:rPr>
          <w:spacing w:val="2"/>
          <w:sz w:val="27"/>
          <w:szCs w:val="27"/>
        </w:rPr>
        <w:t>。</w:t>
      </w:r>
      <w:r>
        <w:rPr>
          <w:rFonts w:ascii="Times New Roman" w:hAnsi="Times New Roman" w:eastAsia="Times New Roman" w:cs="Times New Roman"/>
          <w:spacing w:val="6"/>
          <w:sz w:val="27"/>
          <w:szCs w:val="27"/>
        </w:rPr>
        <w:t>2.</w:t>
      </w:r>
      <w:r>
        <w:rPr>
          <w:spacing w:val="6"/>
          <w:sz w:val="27"/>
          <w:szCs w:val="27"/>
        </w:rPr>
        <w:t>家庭劳动力系数扣减后出现负数时，按</w:t>
      </w:r>
      <w:r>
        <w:rPr>
          <w:rFonts w:ascii="Times New Roman" w:hAnsi="Times New Roman" w:eastAsia="Times New Roman" w:cs="Times New Roman"/>
          <w:spacing w:val="6"/>
          <w:sz w:val="27"/>
          <w:szCs w:val="27"/>
        </w:rPr>
        <w:t>0</w:t>
      </w:r>
      <w:r>
        <w:rPr>
          <w:spacing w:val="6"/>
          <w:sz w:val="27"/>
          <w:szCs w:val="27"/>
        </w:rPr>
        <w:t>计算。</w:t>
      </w:r>
    </w:p>
    <w:sectPr>
      <w:headerReference r:id="rId8" w:type="default"/>
      <w:footerReference r:id="rId9" w:type="default"/>
      <w:pgSz w:w="16840" w:h="11905" w:orient="landscape"/>
      <w:pgMar w:top="1587" w:right="2098" w:bottom="1474" w:left="1984" w:header="0" w:footer="1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A565EF0-B29B-4FA2-A76D-FDD5E94776AA}"/>
  </w:font>
  <w:font w:name="黑体">
    <w:panose1 w:val="02010609060101010101"/>
    <w:charset w:val="86"/>
    <w:family w:val="auto"/>
    <w:pitch w:val="default"/>
    <w:sig w:usb0="800002BF" w:usb1="38CF7CFA" w:usb2="00000016" w:usb3="00000000" w:csb0="00040001" w:csb1="00000000"/>
    <w:embedRegular r:id="rId2" w:fontKey="{D3E47357-2B62-41E7-9116-14B3D8BF09B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embedRegular r:id="rId3" w:fontKey="{3A300A1A-091D-42FE-BA65-087FF6BDAEED}"/>
  </w:font>
  <w:font w:name="微软雅黑">
    <w:panose1 w:val="020B0503020204020204"/>
    <w:charset w:val="86"/>
    <w:family w:val="auto"/>
    <w:pitch w:val="default"/>
    <w:sig w:usb0="80000287" w:usb1="280F3C52" w:usb2="00000016" w:usb3="00000000" w:csb0="0004001F" w:csb1="00000000"/>
    <w:embedRegular r:id="rId4" w:fontKey="{50BDF458-7EEF-4DD6-A0E7-3796A538815B}"/>
  </w:font>
  <w:font w:name="方正小标宋_GBK">
    <w:panose1 w:val="02000000000000000000"/>
    <w:charset w:val="86"/>
    <w:family w:val="auto"/>
    <w:pitch w:val="default"/>
    <w:sig w:usb0="00000001" w:usb1="080E0000" w:usb2="00000000" w:usb3="00000000" w:csb0="00040000" w:csb1="00000000"/>
    <w:embedRegular r:id="rId5" w:fontKey="{97F25058-B58D-4F93-90A2-66BF2A485804}"/>
  </w:font>
  <w:font w:name="方正仿宋_GBK">
    <w:panose1 w:val="02000000000000000000"/>
    <w:charset w:val="86"/>
    <w:family w:val="script"/>
    <w:pitch w:val="default"/>
    <w:sig w:usb0="00000001" w:usb1="080E0000" w:usb2="00000000" w:usb3="00000000" w:csb0="00040000" w:csb1="00000000"/>
    <w:embedRegular r:id="rId6" w:fontKey="{D9E00F2D-3515-4414-8133-BDA218F389C2}"/>
  </w:font>
  <w:font w:name="方正楷体_GBK">
    <w:panose1 w:val="02000000000000000000"/>
    <w:charset w:val="86"/>
    <w:family w:val="auto"/>
    <w:pitch w:val="default"/>
    <w:sig w:usb0="00000001" w:usb1="080E0000" w:usb2="00000000" w:usb3="00000000" w:csb0="00040000" w:csb1="00000000"/>
    <w:embedRegular r:id="rId7" w:fontKey="{5C23977B-B925-43A8-AA06-9B03041A7D31}"/>
  </w:font>
  <w:font w:name="方正黑体_GBK">
    <w:panose1 w:val="03000509000000000000"/>
    <w:charset w:val="86"/>
    <w:family w:val="script"/>
    <w:pitch w:val="default"/>
    <w:sig w:usb0="00000001" w:usb1="080E0000" w:usb2="00000000" w:usb3="00000000" w:csb0="00040000" w:csb1="00000000"/>
    <w:embedRegular r:id="rId8" w:fontKey="{36E56BEE-47AE-45E8-80E8-938DF8A6488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E3ACA">
    <w:pPr>
      <w:spacing w:line="181" w:lineRule="auto"/>
      <w:ind w:left="7428"/>
      <w:rPr>
        <w:rFonts w:ascii="宋体" w:hAnsi="宋体" w:eastAsia="宋体" w:cs="宋体"/>
        <w:sz w:val="27"/>
        <w:szCs w:val="27"/>
      </w:rPr>
    </w:pPr>
    <w:r>
      <w:rPr>
        <w:rFonts w:ascii="宋体" w:hAnsi="宋体" w:eastAsia="宋体" w:cs="宋体"/>
        <w:spacing w:val="-9"/>
        <w:sz w:val="27"/>
        <w:szCs w:val="27"/>
      </w:rPr>
      <w:t>—</w:t>
    </w:r>
    <w:r>
      <w:rPr>
        <w:rFonts w:ascii="宋体" w:hAnsi="宋体" w:eastAsia="宋体" w:cs="宋体"/>
        <w:spacing w:val="38"/>
        <w:sz w:val="27"/>
        <w:szCs w:val="27"/>
      </w:rPr>
      <w:t xml:space="preserve"> </w:t>
    </w:r>
    <w:r>
      <w:rPr>
        <w:rFonts w:ascii="宋体" w:hAnsi="宋体" w:eastAsia="宋体" w:cs="宋体"/>
        <w:spacing w:val="-9"/>
        <w:sz w:val="27"/>
        <w:szCs w:val="27"/>
      </w:rPr>
      <w:t>1</w:t>
    </w:r>
    <w:r>
      <w:rPr>
        <w:rFonts w:ascii="宋体" w:hAnsi="宋体" w:eastAsia="宋体" w:cs="宋体"/>
        <w:spacing w:val="14"/>
        <w:sz w:val="27"/>
        <w:szCs w:val="27"/>
      </w:rPr>
      <w:t xml:space="preserve"> </w:t>
    </w:r>
    <w:r>
      <w:rPr>
        <w:rFonts w:ascii="宋体" w:hAnsi="宋体" w:eastAsia="宋体" w:cs="宋体"/>
        <w:spacing w:val="-9"/>
        <w:sz w:val="27"/>
        <w:szCs w:val="2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2A899">
    <w:pPr>
      <w:spacing w:before="1" w:line="180" w:lineRule="auto"/>
      <w:ind w:left="7428"/>
      <w:rPr>
        <w:rFonts w:ascii="宋体" w:hAnsi="宋体" w:eastAsia="宋体" w:cs="宋体"/>
        <w:sz w:val="27"/>
        <w:szCs w:val="27"/>
      </w:rPr>
    </w:pPr>
    <w:r>
      <w:rPr>
        <w:rFonts w:ascii="宋体" w:hAnsi="宋体" w:eastAsia="宋体" w:cs="宋体"/>
        <w:spacing w:val="-4"/>
        <w:sz w:val="27"/>
        <w:szCs w:val="27"/>
      </w:rPr>
      <w:t>—</w:t>
    </w:r>
    <w:r>
      <w:rPr>
        <w:rFonts w:ascii="宋体" w:hAnsi="宋体" w:eastAsia="宋体" w:cs="宋体"/>
        <w:spacing w:val="23"/>
        <w:sz w:val="27"/>
        <w:szCs w:val="27"/>
      </w:rPr>
      <w:t xml:space="preserve"> </w:t>
    </w:r>
    <w:r>
      <w:rPr>
        <w:rFonts w:ascii="宋体" w:hAnsi="宋体" w:eastAsia="宋体" w:cs="宋体"/>
        <w:spacing w:val="-4"/>
        <w:sz w:val="27"/>
        <w:szCs w:val="27"/>
      </w:rPr>
      <w:t>3</w:t>
    </w:r>
    <w:r>
      <w:rPr>
        <w:rFonts w:ascii="宋体" w:hAnsi="宋体" w:eastAsia="宋体" w:cs="宋体"/>
        <w:spacing w:val="14"/>
        <w:sz w:val="27"/>
        <w:szCs w:val="27"/>
      </w:rPr>
      <w:t xml:space="preserve"> </w:t>
    </w:r>
    <w:r>
      <w:rPr>
        <w:rFonts w:ascii="宋体" w:hAnsi="宋体" w:eastAsia="宋体" w:cs="宋体"/>
        <w:spacing w:val="-4"/>
        <w:sz w:val="27"/>
        <w:szCs w:val="2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7C1AB">
    <w:pPr>
      <w:spacing w:line="181" w:lineRule="auto"/>
      <w:ind w:left="319"/>
      <w:rPr>
        <w:rFonts w:ascii="宋体" w:hAnsi="宋体" w:eastAsia="宋体" w:cs="宋体"/>
        <w:sz w:val="27"/>
        <w:szCs w:val="27"/>
      </w:rPr>
    </w:pPr>
    <w:r>
      <w:rPr>
        <w:rFonts w:ascii="宋体" w:hAnsi="宋体" w:eastAsia="宋体" w:cs="宋体"/>
        <w:spacing w:val="-5"/>
        <w:sz w:val="27"/>
        <w:szCs w:val="27"/>
      </w:rPr>
      <w:t>—</w:t>
    </w:r>
    <w:r>
      <w:rPr>
        <w:rFonts w:ascii="宋体" w:hAnsi="宋体" w:eastAsia="宋体" w:cs="宋体"/>
        <w:spacing w:val="37"/>
        <w:sz w:val="27"/>
        <w:szCs w:val="27"/>
      </w:rPr>
      <w:t xml:space="preserve"> </w:t>
    </w:r>
    <w:r>
      <w:rPr>
        <w:rFonts w:ascii="宋体" w:hAnsi="宋体" w:eastAsia="宋体" w:cs="宋体"/>
        <w:spacing w:val="-5"/>
        <w:sz w:val="27"/>
        <w:szCs w:val="27"/>
      </w:rPr>
      <w:t>10</w:t>
    </w:r>
    <w:r>
      <w:rPr>
        <w:rFonts w:ascii="宋体" w:hAnsi="宋体" w:eastAsia="宋体" w:cs="宋体"/>
        <w:spacing w:val="14"/>
        <w:sz w:val="27"/>
        <w:szCs w:val="27"/>
      </w:rPr>
      <w:t xml:space="preserve"> </w:t>
    </w:r>
    <w:r>
      <w:rPr>
        <w:rFonts w:ascii="宋体" w:hAnsi="宋体" w:eastAsia="宋体" w:cs="宋体"/>
        <w:spacing w:val="-5"/>
        <w:sz w:val="27"/>
        <w:szCs w:val="2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FAA27">
    <w:pPr>
      <w:spacing w:line="181" w:lineRule="auto"/>
      <w:rPr>
        <w:rFonts w:hint="eastAsia" w:ascii="宋体" w:hAnsi="宋体" w:eastAsia="宋体" w:cs="宋体"/>
        <w:sz w:val="27"/>
        <w:szCs w:val="27"/>
        <w:lang w:eastAsia="zh-CN"/>
      </w:rPr>
    </w:pPr>
  </w:p>
  <w:p w14:paraId="4540D3B8">
    <w:pPr>
      <w:pStyle w:val="2"/>
      <w:rPr>
        <w:rFonts w:hint="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10E1">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AF8308E"/>
    <w:rsid w:val="1AE45A66"/>
    <w:rsid w:val="1FAC1B1C"/>
    <w:rsid w:val="255E0DD3"/>
    <w:rsid w:val="2DDF0A87"/>
    <w:rsid w:val="36D6068F"/>
    <w:rsid w:val="402A499E"/>
    <w:rsid w:val="45CE3A0D"/>
    <w:rsid w:val="5D876DC4"/>
    <w:rsid w:val="61EE5FDE"/>
    <w:rsid w:val="7A3135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Arial" w:eastAsia="仿宋_GB2312" w:cs="仿宋_GB2312"/>
      <w:color w:val="000000"/>
      <w:sz w:val="24"/>
      <w:szCs w:val="24"/>
      <w:lang w:val="en-US" w:eastAsia="zh-CN" w:bidi="ar-SA"/>
    </w:rPr>
  </w:style>
  <w:style w:type="paragraph" w:styleId="7">
    <w:name w:val="Body Text"/>
    <w:basedOn w:val="1"/>
    <w:semiHidden/>
    <w:qFormat/>
    <w:uiPriority w:val="0"/>
    <w:rPr>
      <w:rFonts w:ascii="微软雅黑" w:hAnsi="微软雅黑" w:eastAsia="微软雅黑" w:cs="微软雅黑"/>
      <w:sz w:val="32"/>
      <w:szCs w:val="32"/>
      <w:lang w:val="en-US" w:eastAsia="en-US" w:bidi="ar-SA"/>
    </w:rPr>
  </w:style>
  <w:style w:type="paragraph" w:styleId="8">
    <w:name w:val="footer"/>
    <w:basedOn w:val="1"/>
    <w:qFormat/>
    <w:uiPriority w:val="0"/>
    <w:pPr>
      <w:tabs>
        <w:tab w:val="center" w:pos="4153"/>
        <w:tab w:val="right" w:pos="8306"/>
      </w:tabs>
      <w:snapToGrid w:val="0"/>
      <w:jc w:val="left"/>
    </w:pPr>
    <w:rPr>
      <w:rFonts w:eastAsia="宋体"/>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黑体" w:hAnsi="黑体" w:eastAsia="黑体" w:cs="黑体"/>
      <w:sz w:val="27"/>
      <w:szCs w:val="2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4237</Words>
  <Characters>4325</Characters>
  <TotalTime>18</TotalTime>
  <ScaleCrop>false</ScaleCrop>
  <LinksUpToDate>false</LinksUpToDate>
  <CharactersWithSpaces>4639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2023-07-06T16:25:00Z</dcterms:created>
  <dc:creator>hp</dc:creator>
  <cp:lastModifiedBy>石学友</cp:lastModifiedBy>
  <dcterms:modified xsi:type="dcterms:W3CDTF">2025-03-12T01:28:41Z</dcterms:modified>
  <dc:title>&lt;4D6963726F736F667420576F7264202D20D0E3C9BDB8AEB0ECB7A2A1B232303233A1B33238BAC52E646F63&gt;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2023-11-29T09:23:15Z</vt:filetime>
  </property>
  <property fmtid="{D5CDD505-2E9C-101B-9397-08002B2CF9AE}" pid="4" name="KSOProductBuildVer">
    <vt:lpwstr>2052-12.1.0.20305</vt:lpwstr>
  </property>
  <property fmtid="{D5CDD505-2E9C-101B-9397-08002B2CF9AE}" pid="5" name="ICV">
    <vt:lpwstr>A524053146984DF5AF681B9BB16C04A8</vt:lpwstr>
  </property>
  <property fmtid="{D5CDD505-2E9C-101B-9397-08002B2CF9AE}" pid="6" name="KSOTemplateDocerSaveRecord">
    <vt:lpwstr>eyJoZGlkIjoiMDRjY2I2OTAxNWZmMmY2ZmY0Yzg4ZjZmZDJlMDBiZjEiLCJ1c2VySWQiOiIzODE2MTk5MzUifQ==</vt:lpwstr>
  </property>
</Properties>
</file>