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00" w:lineRule="exact"/>
        <w:jc w:val="center"/>
        <w:rPr>
          <w:rFonts w:hint="default" w:ascii="Times New Roman" w:hAnsi="Times New Roman" w:eastAsia="华文中宋" w:cs="Times New Roman"/>
          <w:sz w:val="44"/>
          <w:szCs w:val="44"/>
          <w:u w:val="none"/>
        </w:rPr>
      </w:pPr>
    </w:p>
    <w:p>
      <w:pPr>
        <w:spacing w:line="600" w:lineRule="exact"/>
        <w:jc w:val="center"/>
        <w:rPr>
          <w:rFonts w:hint="default" w:ascii="Times New Roman" w:hAnsi="Times New Roman" w:eastAsia="华文中宋" w:cs="Times New Roman"/>
          <w:sz w:val="24"/>
          <w:szCs w:val="24"/>
          <w:u w:val="none"/>
        </w:rPr>
      </w:pPr>
      <w:r>
        <w:rPr>
          <w:rFonts w:hint="default" w:ascii="Times New Roman" w:hAnsi="Times New Roman" w:eastAsia="方正小标宋_GBK" w:cs="Times New Roman"/>
          <w:sz w:val="44"/>
          <w:szCs w:val="44"/>
          <w:u w:val="none"/>
        </w:rPr>
        <w:t>酉阳土家族苗族自治县青华林场2022年部门预算情况说明</w:t>
      </w:r>
    </w:p>
    <w:p>
      <w:pPr>
        <w:spacing w:line="600" w:lineRule="exact"/>
        <w:ind w:firstLine="640" w:firstLineChars="200"/>
        <w:rPr>
          <w:rFonts w:hint="default" w:ascii="Times New Roman" w:hAnsi="Times New Roman" w:eastAsia="方正黑体_GBK" w:cs="Times New Roman"/>
          <w:sz w:val="32"/>
          <w:szCs w:val="32"/>
          <w:u w:val="none"/>
        </w:rPr>
      </w:pPr>
    </w:p>
    <w:p>
      <w:pPr>
        <w:spacing w:line="600" w:lineRule="exact"/>
        <w:ind w:firstLine="640" w:firstLineChars="200"/>
        <w:rPr>
          <w:rFonts w:hint="default" w:ascii="Times New Roman" w:hAnsi="Times New Roman" w:eastAsia="方正黑体_GBK" w:cs="Times New Roman"/>
          <w:sz w:val="32"/>
          <w:szCs w:val="32"/>
          <w:u w:val="none"/>
        </w:rPr>
      </w:pPr>
      <w:r>
        <w:rPr>
          <w:rFonts w:hint="default" w:ascii="Times New Roman" w:hAnsi="Times New Roman" w:eastAsia="方正黑体_GBK" w:cs="Times New Roman"/>
          <w:sz w:val="32"/>
          <w:szCs w:val="32"/>
          <w:u w:val="none"/>
        </w:rPr>
        <w:t>一、单位基本情况</w:t>
      </w:r>
    </w:p>
    <w:p>
      <w:pPr>
        <w:spacing w:line="600" w:lineRule="exact"/>
        <w:ind w:firstLine="480" w:firstLineChars="150"/>
        <w:rPr>
          <w:rFonts w:hint="default" w:ascii="Times New Roman" w:hAnsi="Times New Roman" w:eastAsia="方正楷体_GBK" w:cs="Times New Roman"/>
          <w:sz w:val="32"/>
          <w:szCs w:val="32"/>
          <w:u w:val="none"/>
        </w:rPr>
      </w:pPr>
      <w:r>
        <w:rPr>
          <w:rFonts w:hint="default" w:ascii="Times New Roman" w:hAnsi="Times New Roman" w:eastAsia="方正楷体_GBK" w:cs="Times New Roman"/>
          <w:sz w:val="32"/>
          <w:szCs w:val="32"/>
          <w:u w:val="none"/>
        </w:rPr>
        <w:t>（一）职能职责</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1.负责贯彻执行国家有关林业的方针政策和法律法规，保护培育森林资源，维护国家生态安全。</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2.依据《中华人民共和国森林法》、《中华人民共和国森林法实施条例》等相关法律法规，以国有森林资源保护管理为核心，依法保护好国有林木、林地，严格执法，严厉打击偷砍盗伐、破坏动植物资源、毁林开垦、乱占林地等破坏国有森林资源的行为。</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3.负责制定国有林场中长期发展规划和年度计划并负责组织实施。开展资源调查、林业统计、林业资产核算和森林资源档案管理工作。</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4.负责管护区域内的森林防火宣传及森林火灾扑救工作，确保国有森林资源不受损失。</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5.负责管护区域内森林资源培育保护、野生动植物资源保护、林业有害生物防治工作。</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6.依据国家、市和县相关的管理规定，做好辖区内重点公益林管理工作，充分发挥公益林的生态效益。</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7.负责管理国有林场，依法经营销售林场生产的间伐木材、林产品和其它产品，发展生态旅游，促进林场持续健康发展。</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8.负责林场社会事务管理工作，确保林区社会安全稳定。</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9.承担林业科技项目的实施和林业基本建设、技术改造工作；申报重点林业建设项目；组织管理国有资产；负责国有林场各项林业建设资金的使用管理工作。</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10.承办上级主管部门交办的其他事项。</w:t>
      </w:r>
    </w:p>
    <w:p>
      <w:pPr>
        <w:spacing w:line="600" w:lineRule="exact"/>
        <w:ind w:firstLine="640" w:firstLineChars="200"/>
        <w:rPr>
          <w:rFonts w:hint="default" w:ascii="Times New Roman" w:hAnsi="Times New Roman" w:eastAsia="方正楷体_GBK" w:cs="Times New Roman"/>
          <w:sz w:val="32"/>
          <w:szCs w:val="32"/>
          <w:u w:val="none"/>
        </w:rPr>
      </w:pPr>
      <w:r>
        <w:rPr>
          <w:rFonts w:hint="default" w:ascii="Times New Roman" w:hAnsi="Times New Roman" w:eastAsia="方正楷体_GBK" w:cs="Times New Roman"/>
          <w:sz w:val="32"/>
          <w:szCs w:val="32"/>
          <w:u w:val="none"/>
        </w:rPr>
        <w:t>（二）单位构成</w:t>
      </w:r>
    </w:p>
    <w:p>
      <w:pPr>
        <w:spacing w:line="600" w:lineRule="exact"/>
        <w:ind w:firstLine="800" w:firstLineChars="25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根据上述职责，县青华林场内设办公室、计财科、森林资源管理科等3个科室；下设印盒岩、庙湾、崔家坨、保家、银岭、毛坝、苍岭、楠木等8个生态管护站。</w:t>
      </w:r>
    </w:p>
    <w:p>
      <w:pPr>
        <w:spacing w:line="600" w:lineRule="exact"/>
        <w:ind w:firstLine="800" w:firstLineChars="250"/>
        <w:rPr>
          <w:rFonts w:hint="default" w:ascii="Times New Roman" w:hAnsi="Times New Roman" w:eastAsia="方正黑体_GBK" w:cs="Times New Roman"/>
          <w:sz w:val="32"/>
          <w:szCs w:val="32"/>
          <w:u w:val="none"/>
        </w:rPr>
      </w:pPr>
      <w:r>
        <w:rPr>
          <w:rFonts w:hint="default" w:ascii="Times New Roman" w:hAnsi="Times New Roman" w:eastAsia="方正黑体_GBK" w:cs="Times New Roman"/>
          <w:sz w:val="32"/>
          <w:szCs w:val="32"/>
          <w:u w:val="none"/>
        </w:rPr>
        <w:t>二、部门收支总体情况</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楷体_GBK" w:cs="Times New Roman"/>
          <w:sz w:val="32"/>
          <w:szCs w:val="32"/>
          <w:u w:val="none"/>
        </w:rPr>
        <w:t>（一）收入预算：</w:t>
      </w:r>
      <w:r>
        <w:rPr>
          <w:rFonts w:hint="default" w:ascii="Times New Roman" w:hAnsi="Times New Roman" w:eastAsia="方正仿宋_GBK" w:cs="Times New Roman"/>
          <w:sz w:val="32"/>
          <w:szCs w:val="32"/>
          <w:u w:val="none"/>
        </w:rPr>
        <w:t>2022年年初预算数942.17万元，其中：一般公共预算财政拨款924.49万元，上年结转收入17.68万元。收入预算较上年增加47.68万元，主要是一般公共预算财政拨款较上年增加47.68万元，上年结转收入较上年增加0万元。</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楷体_GBK" w:cs="Times New Roman"/>
          <w:sz w:val="32"/>
          <w:szCs w:val="32"/>
          <w:u w:val="none"/>
        </w:rPr>
        <w:t>（二）支出预算：</w:t>
      </w:r>
      <w:r>
        <w:rPr>
          <w:rFonts w:hint="default" w:ascii="Times New Roman" w:hAnsi="Times New Roman" w:eastAsia="方正仿宋_GBK" w:cs="Times New Roman"/>
          <w:sz w:val="32"/>
          <w:szCs w:val="32"/>
          <w:u w:val="none"/>
        </w:rPr>
        <w:t>2022年年初预算数942.17万元，其中：</w:t>
      </w:r>
      <w:r>
        <w:rPr>
          <w:rFonts w:hint="default" w:ascii="Times New Roman" w:hAnsi="Times New Roman" w:eastAsia="方正仿宋_GBK" w:cs="Times New Roman"/>
          <w:sz w:val="32"/>
          <w:szCs w:val="32"/>
        </w:rPr>
        <w:t>公共安全支出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万元，教育支出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u w:val="none"/>
        </w:rPr>
        <w:t>社会保障和就业支出201.22万元，卫生健康支出65.82万元，节能环保支出17.68万元，</w:t>
      </w:r>
      <w:r>
        <w:rPr>
          <w:rFonts w:hint="default" w:ascii="Times New Roman" w:hAnsi="Times New Roman" w:eastAsia="方正仿宋_GBK" w:cs="Times New Roman"/>
          <w:sz w:val="32"/>
          <w:szCs w:val="32"/>
        </w:rPr>
        <w:t>资源勘探工业信息等支出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u w:val="none"/>
        </w:rPr>
        <w:t>农林水支出614.27万元，住房保障支出43.17万元</w:t>
      </w:r>
      <w:r>
        <w:rPr>
          <w:rFonts w:hint="eastAsia" w:ascii="Times New Roman" w:hAnsi="Times New Roman" w:eastAsia="方正仿宋_GBK" w:cs="Times New Roman"/>
          <w:sz w:val="32"/>
          <w:szCs w:val="32"/>
          <w:u w:val="none"/>
          <w:lang w:eastAsia="zh-CN"/>
        </w:rPr>
        <w:t>，</w:t>
      </w:r>
      <w:r>
        <w:rPr>
          <w:rFonts w:hint="default" w:ascii="Times New Roman" w:hAnsi="Times New Roman" w:eastAsia="方正仿宋_GBK" w:cs="Times New Roman"/>
          <w:sz w:val="32"/>
          <w:szCs w:val="32"/>
        </w:rPr>
        <w:t>粮油物资储备支出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u w:val="none"/>
        </w:rPr>
        <w:t>。支出预算较上年增加47.68万元，主要是基本支出预算增加41.3</w:t>
      </w:r>
      <w:r>
        <w:rPr>
          <w:rFonts w:hint="eastAsia" w:ascii="Times New Roman" w:hAnsi="Times New Roman" w:eastAsia="方正仿宋_GBK" w:cs="Times New Roman"/>
          <w:sz w:val="32"/>
          <w:szCs w:val="32"/>
          <w:u w:val="none"/>
          <w:lang w:val="en-US" w:eastAsia="zh-CN"/>
        </w:rPr>
        <w:t>4</w:t>
      </w:r>
      <w:r>
        <w:rPr>
          <w:rFonts w:hint="default" w:ascii="Times New Roman" w:hAnsi="Times New Roman" w:eastAsia="方正仿宋_GBK" w:cs="Times New Roman"/>
          <w:sz w:val="32"/>
          <w:szCs w:val="32"/>
          <w:u w:val="none"/>
        </w:rPr>
        <w:t>万元，项目支出预算增加6.34万元。</w:t>
      </w:r>
    </w:p>
    <w:p>
      <w:pPr>
        <w:spacing w:line="600" w:lineRule="exact"/>
        <w:ind w:firstLine="640" w:firstLineChars="200"/>
        <w:rPr>
          <w:rFonts w:hint="default" w:ascii="Times New Roman" w:hAnsi="Times New Roman" w:eastAsia="方正黑体_GBK" w:cs="Times New Roman"/>
          <w:sz w:val="32"/>
          <w:szCs w:val="32"/>
          <w:u w:val="none"/>
        </w:rPr>
      </w:pPr>
      <w:r>
        <w:rPr>
          <w:rFonts w:hint="default" w:ascii="Times New Roman" w:hAnsi="Times New Roman" w:eastAsia="方正黑体_GBK" w:cs="Times New Roman"/>
          <w:sz w:val="32"/>
          <w:szCs w:val="32"/>
          <w:u w:val="none"/>
        </w:rPr>
        <w:t>三、部门预算情况说明</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2022年一般公共预算财政拨款收入9</w:t>
      </w:r>
      <w:r>
        <w:rPr>
          <w:rFonts w:hint="eastAsia" w:ascii="Times New Roman" w:hAnsi="Times New Roman" w:eastAsia="方正仿宋_GBK" w:cs="Times New Roman"/>
          <w:sz w:val="32"/>
          <w:szCs w:val="32"/>
          <w:u w:val="none"/>
          <w:lang w:val="en-US" w:eastAsia="zh-CN"/>
        </w:rPr>
        <w:t>24.49</w:t>
      </w:r>
      <w:r>
        <w:rPr>
          <w:rFonts w:hint="default" w:ascii="Times New Roman" w:hAnsi="Times New Roman" w:eastAsia="方正仿宋_GBK" w:cs="Times New Roman"/>
          <w:sz w:val="32"/>
          <w:szCs w:val="32"/>
          <w:u w:val="none"/>
        </w:rPr>
        <w:t>万元，一般公共预算财政拨款支出9</w:t>
      </w:r>
      <w:r>
        <w:rPr>
          <w:rFonts w:hint="eastAsia" w:ascii="Times New Roman" w:hAnsi="Times New Roman" w:eastAsia="方正仿宋_GBK" w:cs="Times New Roman"/>
          <w:sz w:val="32"/>
          <w:szCs w:val="32"/>
          <w:u w:val="none"/>
          <w:lang w:val="en-US" w:eastAsia="zh-CN"/>
        </w:rPr>
        <w:t>24.49</w:t>
      </w:r>
      <w:r>
        <w:rPr>
          <w:rFonts w:hint="default" w:ascii="Times New Roman" w:hAnsi="Times New Roman" w:eastAsia="方正仿宋_GBK" w:cs="Times New Roman"/>
          <w:sz w:val="32"/>
          <w:szCs w:val="32"/>
          <w:u w:val="none"/>
        </w:rPr>
        <w:t>万元，比上年增加47.68万元，其中：基本支出883.1</w:t>
      </w:r>
      <w:r>
        <w:rPr>
          <w:rFonts w:hint="eastAsia" w:ascii="Times New Roman" w:hAnsi="Times New Roman" w:eastAsia="方正仿宋_GBK" w:cs="Times New Roman"/>
          <w:sz w:val="32"/>
          <w:szCs w:val="32"/>
          <w:u w:val="none"/>
          <w:lang w:val="en-US" w:eastAsia="zh-CN"/>
        </w:rPr>
        <w:t>5</w:t>
      </w:r>
      <w:r>
        <w:rPr>
          <w:rFonts w:hint="default" w:ascii="Times New Roman" w:hAnsi="Times New Roman" w:eastAsia="方正仿宋_GBK" w:cs="Times New Roman"/>
          <w:sz w:val="32"/>
          <w:szCs w:val="32"/>
          <w:u w:val="none"/>
        </w:rPr>
        <w:t>万元，比上年增加41.3</w:t>
      </w:r>
      <w:r>
        <w:rPr>
          <w:rFonts w:hint="eastAsia" w:ascii="Times New Roman" w:hAnsi="Times New Roman" w:eastAsia="方正仿宋_GBK" w:cs="Times New Roman"/>
          <w:sz w:val="32"/>
          <w:szCs w:val="32"/>
          <w:u w:val="none"/>
          <w:lang w:val="en-US" w:eastAsia="zh-CN"/>
        </w:rPr>
        <w:t>4</w:t>
      </w:r>
      <w:r>
        <w:rPr>
          <w:rFonts w:hint="default" w:ascii="Times New Roman" w:hAnsi="Times New Roman" w:eastAsia="方正仿宋_GBK" w:cs="Times New Roman"/>
          <w:sz w:val="32"/>
          <w:szCs w:val="32"/>
          <w:u w:val="none"/>
        </w:rPr>
        <w:t>万元，</w:t>
      </w:r>
      <w:r>
        <w:rPr>
          <w:rFonts w:hint="eastAsia" w:ascii="方正仿宋_GBK" w:hAnsi="方正仿宋_GBK" w:eastAsia="方正仿宋_GBK" w:cs="方正仿宋_GBK"/>
          <w:sz w:val="32"/>
          <w:szCs w:val="32"/>
          <w:u w:val="none"/>
        </w:rPr>
        <w:t>主要原因是在职人员年终绩效考核奖和退休人员健康休养费调高的预算标准，主要用于保障在职人员工资福利及社会保险缴费，离休人员离休费，退休人员补助等，保障部门正常运转的各项商品服务支出</w:t>
      </w:r>
      <w:r>
        <w:rPr>
          <w:rFonts w:hint="default" w:ascii="Times New Roman" w:hAnsi="Times New Roman" w:eastAsia="方正仿宋_GBK" w:cs="Times New Roman"/>
          <w:sz w:val="32"/>
          <w:szCs w:val="32"/>
          <w:u w:val="none"/>
        </w:rPr>
        <w:t>；项目支出</w:t>
      </w:r>
      <w:r>
        <w:rPr>
          <w:rFonts w:hint="eastAsia" w:ascii="Times New Roman" w:hAnsi="Times New Roman" w:eastAsia="方正仿宋_GBK" w:cs="Times New Roman"/>
          <w:sz w:val="32"/>
          <w:szCs w:val="32"/>
          <w:u w:val="none"/>
          <w:lang w:val="en-US" w:eastAsia="zh-CN"/>
        </w:rPr>
        <w:t>41.34</w:t>
      </w:r>
      <w:r>
        <w:rPr>
          <w:rFonts w:hint="default" w:ascii="Times New Roman" w:hAnsi="Times New Roman" w:eastAsia="方正仿宋_GBK" w:cs="Times New Roman"/>
          <w:sz w:val="32"/>
          <w:szCs w:val="32"/>
          <w:u w:val="none"/>
        </w:rPr>
        <w:t>万元，比上年增加6.34万元，主要原因是遗属人员生活补助</w:t>
      </w:r>
      <w:r>
        <w:rPr>
          <w:rFonts w:hint="eastAsia" w:ascii="Times New Roman" w:hAnsi="Times New Roman" w:eastAsia="方正仿宋_GBK" w:cs="Times New Roman"/>
          <w:sz w:val="32"/>
          <w:szCs w:val="32"/>
          <w:u w:val="none"/>
          <w:lang w:eastAsia="zh-CN"/>
        </w:rPr>
        <w:t>纳入项目支出预算</w:t>
      </w:r>
      <w:r>
        <w:rPr>
          <w:rFonts w:hint="default" w:ascii="Times New Roman" w:hAnsi="Times New Roman" w:eastAsia="方正仿宋_GBK" w:cs="Times New Roman"/>
          <w:sz w:val="32"/>
          <w:szCs w:val="32"/>
          <w:u w:val="none"/>
        </w:rPr>
        <w:t>，主要用于遗属人员生活补助</w:t>
      </w:r>
      <w:r>
        <w:rPr>
          <w:rFonts w:hint="eastAsia" w:ascii="Times New Roman" w:hAnsi="Times New Roman" w:eastAsia="方正仿宋_GBK" w:cs="Times New Roman"/>
          <w:sz w:val="32"/>
          <w:szCs w:val="32"/>
          <w:u w:val="none"/>
          <w:lang w:eastAsia="zh-CN"/>
        </w:rPr>
        <w:t>、</w:t>
      </w:r>
      <w:r>
        <w:rPr>
          <w:rFonts w:hint="default" w:ascii="Times New Roman" w:hAnsi="Times New Roman" w:eastAsia="方正仿宋_GBK" w:cs="Times New Roman"/>
          <w:sz w:val="32"/>
          <w:szCs w:val="32"/>
        </w:rPr>
        <w:t>办公费、印刷费、邮电费、差旅费、会议费、及其他商品和服务支出等</w:t>
      </w:r>
      <w:r>
        <w:rPr>
          <w:rFonts w:hint="default" w:ascii="Times New Roman" w:hAnsi="Times New Roman" w:eastAsia="方正仿宋_GBK" w:cs="Times New Roman"/>
          <w:sz w:val="32"/>
          <w:szCs w:val="32"/>
          <w:u w:val="none"/>
        </w:rPr>
        <w:t>。</w:t>
      </w:r>
    </w:p>
    <w:p>
      <w:pPr>
        <w:spacing w:line="600" w:lineRule="exact"/>
        <w:ind w:firstLine="640" w:firstLineChars="200"/>
        <w:rPr>
          <w:rFonts w:hint="default" w:ascii="Times New Roman" w:hAnsi="Times New Roman" w:eastAsia="方正仿宋_GBK" w:cs="Times New Roman"/>
          <w:sz w:val="32"/>
          <w:szCs w:val="32"/>
          <w:u w:val="none"/>
        </w:rPr>
      </w:pPr>
      <w:bookmarkStart w:id="0" w:name="_GoBack"/>
      <w:bookmarkEnd w:id="0"/>
      <w:r>
        <w:rPr>
          <w:rFonts w:hint="default" w:ascii="Times New Roman" w:hAnsi="Times New Roman" w:eastAsia="方正仿宋_GBK" w:cs="Times New Roman"/>
          <w:sz w:val="32"/>
          <w:szCs w:val="32"/>
          <w:u w:val="none"/>
        </w:rPr>
        <w:t>酉阳土家族苗族自治县青华林场2022年未使用政府性基金预算拨款安排的支出，与上年保持一致。</w:t>
      </w:r>
    </w:p>
    <w:p>
      <w:pPr>
        <w:spacing w:line="600" w:lineRule="exact"/>
        <w:ind w:firstLine="640" w:firstLineChars="200"/>
        <w:rPr>
          <w:rFonts w:hint="default" w:ascii="Times New Roman" w:hAnsi="Times New Roman" w:eastAsia="方正黑体_GBK" w:cs="Times New Roman"/>
          <w:sz w:val="32"/>
          <w:szCs w:val="32"/>
          <w:u w:val="none"/>
        </w:rPr>
      </w:pPr>
      <w:r>
        <w:rPr>
          <w:rFonts w:hint="default" w:ascii="Times New Roman" w:hAnsi="Times New Roman" w:eastAsia="方正黑体_GBK" w:cs="Times New Roman"/>
          <w:sz w:val="32"/>
          <w:szCs w:val="32"/>
          <w:u w:val="none"/>
        </w:rPr>
        <w:t>四、“三公”经费情况说明</w:t>
      </w:r>
    </w:p>
    <w:p>
      <w:pPr>
        <w:spacing w:line="600" w:lineRule="exact"/>
        <w:ind w:firstLine="6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2022年“三公”经费预算0万元，比上年</w:t>
      </w:r>
      <w:r>
        <w:rPr>
          <w:rFonts w:hint="eastAsia" w:ascii="Times New Roman" w:hAnsi="Times New Roman" w:eastAsia="方正仿宋_GBK" w:cs="Times New Roman"/>
          <w:sz w:val="32"/>
          <w:szCs w:val="32"/>
          <w:u w:val="none"/>
          <w:lang w:eastAsia="zh-CN"/>
        </w:rPr>
        <w:t>减少</w:t>
      </w:r>
      <w:r>
        <w:rPr>
          <w:rFonts w:hint="eastAsia" w:ascii="Times New Roman" w:hAnsi="Times New Roman" w:eastAsia="方正仿宋_GBK" w:cs="Times New Roman"/>
          <w:sz w:val="32"/>
          <w:szCs w:val="32"/>
          <w:u w:val="none"/>
          <w:lang w:val="en-US" w:eastAsia="zh-CN"/>
        </w:rPr>
        <w:t>5.00</w:t>
      </w:r>
      <w:r>
        <w:rPr>
          <w:rFonts w:hint="default" w:ascii="Times New Roman" w:hAnsi="Times New Roman" w:eastAsia="方正仿宋_GBK" w:cs="Times New Roman"/>
          <w:sz w:val="32"/>
          <w:szCs w:val="32"/>
          <w:u w:val="none"/>
        </w:rPr>
        <w:t>万元，其中：因公出国（境）费用0万元，比上年增加0万元；公务接待费0万元，比上年增加0万元；公务用车运行维护费0万元，比上年减少5</w:t>
      </w:r>
      <w:r>
        <w:rPr>
          <w:rFonts w:hint="eastAsia" w:ascii="Times New Roman" w:hAnsi="Times New Roman" w:eastAsia="方正仿宋_GBK" w:cs="Times New Roman"/>
          <w:sz w:val="32"/>
          <w:szCs w:val="32"/>
          <w:u w:val="none"/>
          <w:lang w:val="en-US" w:eastAsia="zh-CN"/>
        </w:rPr>
        <w:t>.00</w:t>
      </w:r>
      <w:r>
        <w:rPr>
          <w:rFonts w:hint="default" w:ascii="Times New Roman" w:hAnsi="Times New Roman" w:eastAsia="方正仿宋_GBK" w:cs="Times New Roman"/>
          <w:sz w:val="32"/>
          <w:szCs w:val="32"/>
          <w:u w:val="none"/>
        </w:rPr>
        <w:t>万元，主要原因是2022年事业单位的公务用车运行维护费不再安排预算；公务用车购置0万元，比上年增加0万元。</w:t>
      </w:r>
    </w:p>
    <w:p>
      <w:pPr>
        <w:spacing w:line="600" w:lineRule="exact"/>
        <w:ind w:firstLine="640" w:firstLineChars="200"/>
        <w:rPr>
          <w:rFonts w:hint="default" w:ascii="Times New Roman" w:hAnsi="Times New Roman" w:eastAsia="方正黑体_GBK" w:cs="Times New Roman"/>
          <w:sz w:val="32"/>
          <w:szCs w:val="32"/>
          <w:u w:val="none"/>
        </w:rPr>
      </w:pPr>
      <w:r>
        <w:rPr>
          <w:rFonts w:hint="default" w:ascii="Times New Roman" w:hAnsi="Times New Roman" w:eastAsia="方正黑体_GBK" w:cs="Times New Roman"/>
          <w:sz w:val="32"/>
          <w:szCs w:val="32"/>
          <w:u w:val="none"/>
        </w:rPr>
        <w:t>五、其他重要事项的情况说明</w:t>
      </w:r>
    </w:p>
    <w:p>
      <w:pPr>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1.机关运行经费。2022年一般公共预算财政拨款运行经费12.17万元，比上年增加0.1</w:t>
      </w:r>
      <w:r>
        <w:rPr>
          <w:rFonts w:hint="eastAsia" w:ascii="Times New Roman" w:hAnsi="Times New Roman" w:eastAsia="方正仿宋_GBK" w:cs="Times New Roman"/>
          <w:sz w:val="32"/>
          <w:szCs w:val="32"/>
          <w:u w:val="none"/>
          <w:lang w:val="en-US" w:eastAsia="zh-CN"/>
        </w:rPr>
        <w:t>5</w:t>
      </w:r>
      <w:r>
        <w:rPr>
          <w:rFonts w:hint="default" w:ascii="Times New Roman" w:hAnsi="Times New Roman" w:eastAsia="方正仿宋_GBK" w:cs="Times New Roman"/>
          <w:sz w:val="32"/>
          <w:szCs w:val="32"/>
          <w:u w:val="none"/>
        </w:rPr>
        <w:t>万元，主要原因为单位在编人员变动。主要用于办公费、印刷费、邮电费、物管费、差旅费、会议费、培训费及其他商品和服务支出等。</w:t>
      </w:r>
    </w:p>
    <w:p>
      <w:pPr>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2.政府采购情况。所属各预算单位政府采购预算总额0万元，其中：政府采购货物预算0万元，政府采购工程预算0万元，政府采购服务预算0万元。一般公共预算拨款政府采购0万元，其中：政府采购货物预算0万元，政府采购工程预算0万元，政府采购服务预算0万元。</w:t>
      </w:r>
    </w:p>
    <w:p>
      <w:pPr>
        <w:ind w:left="105" w:leftChars="50" w:firstLine="480" w:firstLineChars="15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3.绩效目标设置情况。2022年项目支出均实行了绩效目标管理，涉及一般公共预算当年财政拨款</w:t>
      </w:r>
      <w:r>
        <w:rPr>
          <w:rFonts w:hint="eastAsia" w:ascii="Times New Roman" w:hAnsi="Times New Roman" w:eastAsia="方正仿宋_GBK" w:cs="Times New Roman"/>
          <w:sz w:val="32"/>
          <w:szCs w:val="32"/>
          <w:u w:val="none"/>
          <w:lang w:val="en-US" w:eastAsia="zh-CN"/>
        </w:rPr>
        <w:t>41.34</w:t>
      </w:r>
      <w:r>
        <w:rPr>
          <w:rFonts w:hint="default" w:ascii="Times New Roman" w:hAnsi="Times New Roman" w:eastAsia="方正仿宋_GBK" w:cs="Times New Roman"/>
          <w:sz w:val="32"/>
          <w:szCs w:val="32"/>
          <w:u w:val="none"/>
        </w:rPr>
        <w:t>万元。</w:t>
      </w:r>
    </w:p>
    <w:p>
      <w:pPr>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4.国有资产占有使用情况。截止2021年12月，所属各预算单位共有车辆1辆，其中一般公务用车1辆，2022年一般公共预算安排购置车辆0辆，其中一般公务用车0辆，执法执勤用车0辆。</w:t>
      </w:r>
    </w:p>
    <w:p>
      <w:pPr>
        <w:spacing w:line="600" w:lineRule="exact"/>
        <w:ind w:left="640"/>
        <w:rPr>
          <w:rFonts w:hint="default" w:ascii="Times New Roman" w:hAnsi="Times New Roman" w:eastAsia="方正黑体_GBK" w:cs="Times New Roman"/>
          <w:sz w:val="32"/>
          <w:u w:val="none"/>
        </w:rPr>
      </w:pPr>
      <w:r>
        <w:rPr>
          <w:rFonts w:hint="default" w:ascii="Times New Roman" w:hAnsi="Times New Roman" w:eastAsia="方正黑体_GBK" w:cs="Times New Roman"/>
          <w:sz w:val="32"/>
          <w:u w:val="none"/>
        </w:rPr>
        <w:t>六、专业性名词解释</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（一）财政拨款收入：指本年度从本级财政部门取得的财政拨款，包括一般公共预算财政拨款和政府性基金预算财政拨款。</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（二）其他收入：指单位取得的除“财政拨款收入”、“事业收入”、“经营收入”等以外的收入。</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（三）基本支出：指为保障机构正常运转、完成日常工作任务而发生的人员经费和公用经费。</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（四）项目支出：指在基本支出之外为完成特定行政任务和事业发展目标所发生的支出。</w:t>
      </w:r>
    </w:p>
    <w:p>
      <w:pPr>
        <w:ind w:firstLine="640" w:firstLineChars="200"/>
        <w:rPr>
          <w:rFonts w:hint="default" w:ascii="Times New Roman" w:hAnsi="Times New Roman" w:eastAsia="方正仿宋_GBK" w:cs="Times New Roman"/>
          <w:color w:val="000000"/>
          <w:sz w:val="32"/>
          <w:u w:val="none"/>
        </w:rPr>
      </w:pPr>
      <w:r>
        <w:rPr>
          <w:rFonts w:hint="default" w:ascii="Times New Roman" w:hAnsi="Times New Roman" w:eastAsia="方正仿宋_GBK" w:cs="Times New Roman"/>
          <w:sz w:val="32"/>
          <w:szCs w:val="32"/>
          <w:u w:val="none"/>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2" w:firstLineChars="200"/>
        <w:rPr>
          <w:rFonts w:hint="default" w:ascii="Times New Roman" w:hAnsi="Times New Roman" w:eastAsia="仿宋_GB2312" w:cs="Times New Roman"/>
          <w:b/>
          <w:sz w:val="32"/>
          <w:u w:val="none"/>
        </w:rPr>
      </w:pPr>
      <w:r>
        <w:rPr>
          <w:rFonts w:hint="default" w:ascii="Times New Roman" w:hAnsi="Times New Roman" w:eastAsia="方正仿宋_GBK" w:cs="Times New Roman"/>
          <w:b/>
          <w:sz w:val="32"/>
          <w:u w:val="none"/>
        </w:rPr>
        <w:t>部门预算公开联系人：田永红</w:t>
      </w:r>
      <w:r>
        <w:rPr>
          <w:rFonts w:hint="eastAsia" w:ascii="Times New Roman" w:hAnsi="Times New Roman" w:eastAsia="方正仿宋_GBK" w:cs="Times New Roman"/>
          <w:b/>
          <w:sz w:val="32"/>
          <w:u w:val="none"/>
          <w:lang w:val="en-US" w:eastAsia="zh-CN"/>
        </w:rPr>
        <w:t xml:space="preserve">     </w:t>
      </w:r>
      <w:r>
        <w:rPr>
          <w:rFonts w:hint="default" w:ascii="Times New Roman" w:hAnsi="Times New Roman" w:eastAsia="方正仿宋_GBK" w:cs="Times New Roman"/>
          <w:b/>
          <w:sz w:val="32"/>
          <w:u w:val="none"/>
        </w:rPr>
        <w:t>联系方式：13996963731</w:t>
      </w:r>
    </w:p>
    <w:p>
      <w:pPr>
        <w:ind w:firstLine="640" w:firstLineChars="200"/>
        <w:rPr>
          <w:rFonts w:hint="default" w:ascii="Times New Roman" w:hAnsi="Times New Roman" w:eastAsia="方正仿宋_GBK" w:cs="Times New Roman"/>
          <w:sz w:val="32"/>
          <w:szCs w:val="32"/>
          <w:u w:val="none"/>
        </w:rPr>
      </w:pPr>
    </w:p>
    <w:sectPr>
      <w:pgSz w:w="16838" w:h="11906" w:orient="landscape"/>
      <w:pgMar w:top="1440"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方正楷体_GBK">
    <w:panose1 w:val="02000000000000000000"/>
    <w:charset w:val="86"/>
    <w:family w:val="script"/>
    <w:pitch w:val="default"/>
    <w:sig w:usb0="00000001" w:usb1="08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ExpandShiftReturn/>
    <w:adjustLineHeightInTable/>
    <w:useFELayout/>
    <w:compatSetting w:name="compatibilityMode" w:uri="http://schemas.microsoft.com/office/word" w:val="12"/>
  </w:compat>
  <w:rsids>
    <w:rsidRoot w:val="00B25CF0"/>
    <w:rsid w:val="000065FF"/>
    <w:rsid w:val="00025D49"/>
    <w:rsid w:val="000B16FC"/>
    <w:rsid w:val="000E6986"/>
    <w:rsid w:val="000E7A86"/>
    <w:rsid w:val="00104156"/>
    <w:rsid w:val="001C295B"/>
    <w:rsid w:val="001F62A7"/>
    <w:rsid w:val="00201E27"/>
    <w:rsid w:val="00295D2E"/>
    <w:rsid w:val="002F0B32"/>
    <w:rsid w:val="00315FF1"/>
    <w:rsid w:val="00326B00"/>
    <w:rsid w:val="00357D5D"/>
    <w:rsid w:val="00361DB6"/>
    <w:rsid w:val="00366915"/>
    <w:rsid w:val="003917CB"/>
    <w:rsid w:val="003C56C2"/>
    <w:rsid w:val="003F3271"/>
    <w:rsid w:val="00412B49"/>
    <w:rsid w:val="0048380D"/>
    <w:rsid w:val="005124F3"/>
    <w:rsid w:val="00562209"/>
    <w:rsid w:val="005A5BC6"/>
    <w:rsid w:val="006E66F0"/>
    <w:rsid w:val="00746575"/>
    <w:rsid w:val="0075644E"/>
    <w:rsid w:val="0076031D"/>
    <w:rsid w:val="00825E43"/>
    <w:rsid w:val="00892B61"/>
    <w:rsid w:val="009027F8"/>
    <w:rsid w:val="00980BC7"/>
    <w:rsid w:val="009A024E"/>
    <w:rsid w:val="009C0C1E"/>
    <w:rsid w:val="00A54852"/>
    <w:rsid w:val="00A85988"/>
    <w:rsid w:val="00AB4CBD"/>
    <w:rsid w:val="00AF7912"/>
    <w:rsid w:val="00B25CF0"/>
    <w:rsid w:val="00B67C25"/>
    <w:rsid w:val="00BA6131"/>
    <w:rsid w:val="00BB7769"/>
    <w:rsid w:val="00C264FA"/>
    <w:rsid w:val="00CB5754"/>
    <w:rsid w:val="00CC1EFB"/>
    <w:rsid w:val="00CC6777"/>
    <w:rsid w:val="00D17EA8"/>
    <w:rsid w:val="00DE312C"/>
    <w:rsid w:val="00E10E1B"/>
    <w:rsid w:val="00E4250B"/>
    <w:rsid w:val="00E438FD"/>
    <w:rsid w:val="00E648A3"/>
    <w:rsid w:val="00E70524"/>
    <w:rsid w:val="00E83EC4"/>
    <w:rsid w:val="00F07238"/>
    <w:rsid w:val="00F32309"/>
    <w:rsid w:val="00F35787"/>
    <w:rsid w:val="00F602BE"/>
    <w:rsid w:val="00F83DA5"/>
    <w:rsid w:val="00FE3041"/>
    <w:rsid w:val="010049A3"/>
    <w:rsid w:val="3B8943A6"/>
    <w:rsid w:val="766B3945"/>
    <w:rsid w:val="76D30C7F"/>
    <w:rsid w:val="7B592844"/>
    <w:rsid w:val="FFDECD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snapToGrid w:val="0"/>
      <w:jc w:val="left"/>
    </w:pPr>
    <w:rPr>
      <w:sz w:val="18"/>
      <w:szCs w:val="18"/>
    </w:rPr>
  </w:style>
  <w:style w:type="paragraph" w:styleId="4">
    <w:name w:val="header"/>
    <w:basedOn w:val="1"/>
    <w:link w:val="9"/>
    <w:qFormat/>
    <w:uiPriority w:val="0"/>
    <w:pPr>
      <w:pBdr>
        <w:bottom w:val="single" w:color="auto" w:sz="6" w:space="1"/>
      </w:pBdr>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8">
    <w:name w:val="批注框文本 Char"/>
    <w:link w:val="2"/>
    <w:qFormat/>
    <w:uiPriority w:val="0"/>
    <w:rPr>
      <w:kern w:val="2"/>
      <w:sz w:val="18"/>
      <w:szCs w:val="18"/>
    </w:rPr>
  </w:style>
  <w:style w:type="character" w:customStyle="1" w:styleId="9">
    <w:name w:val="页眉 Char"/>
    <w:link w:val="4"/>
    <w:qFormat/>
    <w:uiPriority w:val="0"/>
    <w:rPr>
      <w:kern w:val="2"/>
      <w:sz w:val="18"/>
      <w:szCs w:val="18"/>
    </w:rPr>
  </w:style>
  <w:style w:type="character" w:customStyle="1" w:styleId="10">
    <w:name w:val="页脚 Char"/>
    <w:link w:val="3"/>
    <w:qFormat/>
    <w:uiPriority w:val="0"/>
    <w:rPr>
      <w:kern w:val="2"/>
      <w:sz w:val="18"/>
      <w:szCs w:val="18"/>
    </w:rPr>
  </w:style>
  <w:style w:type="paragraph" w:styleId="11">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335</Words>
  <Characters>1914</Characters>
  <Lines>15</Lines>
  <Paragraphs>4</Paragraphs>
  <TotalTime>1</TotalTime>
  <ScaleCrop>false</ScaleCrop>
  <LinksUpToDate>false</LinksUpToDate>
  <CharactersWithSpaces>2245</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2021-12-14T11:09:00Z</dcterms:created>
  <dc:creator>Administrator</dc:creator>
  <cp:lastModifiedBy> </cp:lastModifiedBy>
  <cp:lastPrinted>2018-01-02T16:11:00Z</cp:lastPrinted>
  <dcterms:modified xsi:type="dcterms:W3CDTF">2023-09-06T11:12:58Z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ies>
</file>