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300" w:afterAutospacing="0" w:line="560" w:lineRule="exact"/>
        <w:jc w:val="center"/>
        <w:textAlignment w:val="auto"/>
        <w:outlineLvl w:val="9"/>
        <w:rPr>
          <w:rFonts w:hint="default" w:ascii="Times New Roman" w:hAnsi="Times New Roman" w:eastAsia="方正小标宋_GBK" w:cs="Times New Roman"/>
          <w:b/>
          <w:bCs/>
          <w:color w:val="333333"/>
          <w:sz w:val="44"/>
          <w:szCs w:val="44"/>
        </w:rPr>
      </w:pPr>
      <w:r>
        <w:rPr>
          <w:rFonts w:hint="default" w:ascii="Times New Roman" w:hAnsi="Times New Roman" w:eastAsia="方正小标宋_GBK" w:cs="Times New Roman"/>
          <w:b/>
          <w:bCs/>
          <w:color w:val="333333"/>
          <w:sz w:val="44"/>
          <w:szCs w:val="44"/>
        </w:rPr>
        <w:t>酉阳土家族苗族自治县大板营自然保护区管理站2022年部门预算</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300" w:afterAutospacing="0" w:line="560" w:lineRule="exact"/>
        <w:jc w:val="center"/>
        <w:textAlignment w:val="auto"/>
        <w:outlineLvl w:val="9"/>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情况说明</w:t>
      </w:r>
    </w:p>
    <w:p>
      <w:pPr>
        <w:pStyle w:val="4"/>
        <w:shd w:val="clear" w:color="auto" w:fill="FFFFFF"/>
        <w:spacing w:before="0" w:beforeAutospacing="0" w:after="0" w:afterAutospacing="0" w:line="420" w:lineRule="atLeast"/>
        <w:ind w:firstLine="480"/>
        <w:jc w:val="both"/>
        <w:rPr>
          <w:rFonts w:hint="eastAsia"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eastAsia" w:ascii="方正楷体_GBK" w:hAnsi="方正楷体_GBK" w:eastAsia="方正楷体_GBK" w:cs="方正楷体_GBK"/>
          <w:color w:val="333333"/>
          <w:sz w:val="32"/>
          <w:szCs w:val="32"/>
        </w:rPr>
      </w:pPr>
      <w:r>
        <w:rPr>
          <w:rFonts w:hint="eastAsia"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贯彻执行国家有关自然保护的法律、法规和方针、政策；制定大板营自然保护区的各项管理制度、措施，统一管理自然保护区；组织环境监测，开展生态建设，保护大板营自然保护区的自然环境、自然资源和森林景观资源；组织或者协助有关部门开展大板营自然保护区的科学研究工作，调查自然资源并建立档案；进行自然保护的宣传教育；在不影响保护自然保护区的自然环境和自然资源的前提下，合理开发利用自然资源、发展旅游业；负责自然保护区内森林防火工作，依法查处自然保护区内违反野生动植物管理政策、法规的各类行政案件。</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76.11</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76.11</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76.11</w:t>
      </w:r>
      <w:r>
        <w:rPr>
          <w:rFonts w:hint="default" w:ascii="Times New Roman" w:hAnsi="Times New Roman" w:eastAsia="方正仿宋_GBK" w:cs="Times New Roman"/>
          <w:color w:val="333333"/>
          <w:sz w:val="32"/>
          <w:szCs w:val="32"/>
        </w:rPr>
        <w:t>万元，其中：农林水支出60.99万元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社会保障和就业支出7.57万元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卫生健康支出3.89万元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住房保障支出3.66万元。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76.11</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76.11</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2EC31641"/>
    <w:rsid w:val="3BC520A0"/>
    <w:rsid w:val="3EB735D0"/>
    <w:rsid w:val="407126A0"/>
    <w:rsid w:val="4E0C7E99"/>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1</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2022-01-24T08:51:36Z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