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shd w:val="clear" w:color="auto" w:fill="FFFFFF"/>
        <w:spacing w:before="0" w:beforeAutospacing="0" w:after="300" w:afterAutospacing="0"/>
        <w:jc w:val="center"/>
        <w:rPr>
          <w:rFonts w:hint="default" w:ascii="Times New Roman" w:hAnsi="Times New Roman" w:eastAsia="微软雅黑" w:cs="Times New Roman"/>
          <w:color w:val="333333"/>
          <w:sz w:val="45"/>
          <w:szCs w:val="45"/>
        </w:rPr>
      </w:pPr>
      <w:r>
        <w:rPr>
          <w:rFonts w:hint="default" w:ascii="Times New Roman" w:hAnsi="Times New Roman" w:eastAsia="方正小标宋_GBK" w:cs="Times New Roman"/>
          <w:b/>
          <w:bCs/>
          <w:color w:val="333333"/>
          <w:sz w:val="44"/>
          <w:szCs w:val="44"/>
        </w:rPr>
        <w:t>酉阳土家族苗族自治县油茶研究所2022年部门预算情况说明</w:t>
      </w:r>
    </w:p>
    <w:p>
      <w:pPr>
        <w:pStyle w:val="4"/>
        <w:shd w:val="clear" w:color="auto" w:fill="FFFFFF"/>
        <w:spacing w:before="0" w:beforeAutospacing="0" w:after="0" w:afterAutospacing="0" w:line="420" w:lineRule="atLeast"/>
        <w:ind w:firstLine="480"/>
        <w:jc w:val="both"/>
        <w:rPr>
          <w:rFonts w:hint="default" w:ascii="方正黑体_GBK" w:hAnsi="方正黑体_GBK" w:eastAsia="方正黑体_GBK" w:cs="方正黑体_GBK"/>
          <w:color w:val="333333"/>
          <w:sz w:val="32"/>
          <w:szCs w:val="32"/>
        </w:rPr>
      </w:pPr>
      <w:r>
        <w:rPr>
          <w:rFonts w:hint="default" w:ascii="方正黑体_GBK" w:hAnsi="方正黑体_GBK" w:eastAsia="方正黑体_GBK" w:cs="方正黑体_GBK"/>
          <w:color w:val="333333"/>
          <w:sz w:val="32"/>
          <w:szCs w:val="32"/>
        </w:rPr>
        <w:t>一、单位基本情况</w:t>
      </w:r>
    </w:p>
    <w:p>
      <w:pPr>
        <w:pStyle w:val="4"/>
        <w:shd w:val="clear" w:color="auto" w:fill="FFFFFF"/>
        <w:spacing w:before="0" w:beforeAutospacing="0" w:after="0" w:afterAutospacing="0" w:line="420" w:lineRule="atLeast"/>
        <w:ind w:firstLine="480"/>
        <w:jc w:val="both"/>
        <w:rPr>
          <w:rFonts w:hint="default" w:ascii="方正楷体_GBK" w:hAnsi="方正楷体_GBK" w:eastAsia="方正楷体_GBK" w:cs="方正楷体_GBK"/>
          <w:color w:val="333333"/>
          <w:sz w:val="32"/>
          <w:szCs w:val="32"/>
        </w:rPr>
      </w:pPr>
      <w:r>
        <w:rPr>
          <w:rFonts w:hint="default" w:ascii="方正楷体_GBK" w:hAnsi="方正楷体_GBK" w:eastAsia="方正楷体_GBK" w:cs="方正楷体_GBK"/>
          <w:color w:val="333333"/>
          <w:sz w:val="32"/>
          <w:szCs w:val="32"/>
        </w:rPr>
        <w:t>（一）职能职责</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lang w:val="en-US" w:eastAsia="zh-CN"/>
        </w:rPr>
      </w:pPr>
      <w:r>
        <w:rPr>
          <w:rFonts w:hint="default" w:ascii="Times New Roman" w:hAnsi="Times New Roman" w:eastAsia="方正仿宋_GBK" w:cs="Times New Roman"/>
          <w:color w:val="333333"/>
          <w:sz w:val="32"/>
          <w:szCs w:val="32"/>
          <w:lang w:val="en-US" w:eastAsia="zh-CN"/>
        </w:rPr>
        <w:t>起草我县油茶研究工作计划、油茶项目实施方案编制、技术推广、督查管理；牵头做好油茶作业设计、检查验收等工作。</w:t>
      </w:r>
    </w:p>
    <w:p>
      <w:pPr>
        <w:pStyle w:val="4"/>
        <w:shd w:val="clear" w:color="auto" w:fill="FFFFFF"/>
        <w:spacing w:before="0" w:beforeAutospacing="0" w:after="0" w:afterAutospacing="0" w:line="420" w:lineRule="atLeast"/>
        <w:ind w:firstLine="480"/>
        <w:jc w:val="both"/>
        <w:rPr>
          <w:rFonts w:hint="default" w:ascii="方正楷体_GBK" w:hAnsi="方正楷体_GBK" w:eastAsia="方正楷体_GBK" w:cs="方正楷体_GBK"/>
          <w:color w:val="333333"/>
          <w:sz w:val="32"/>
          <w:szCs w:val="32"/>
        </w:rPr>
      </w:pPr>
      <w:r>
        <w:rPr>
          <w:rFonts w:hint="default" w:ascii="方正楷体_GBK" w:hAnsi="方正楷体_GBK" w:eastAsia="方正楷体_GBK" w:cs="方正楷体_GBK"/>
          <w:color w:val="333333"/>
          <w:sz w:val="32"/>
          <w:szCs w:val="32"/>
        </w:rPr>
        <w:t>（二）单位构成</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本单位无下属机构。</w:t>
      </w:r>
    </w:p>
    <w:p>
      <w:pPr>
        <w:pStyle w:val="4"/>
        <w:shd w:val="clear" w:color="auto" w:fill="FFFFFF"/>
        <w:spacing w:before="0" w:beforeAutospacing="0" w:after="0" w:afterAutospacing="0" w:line="420" w:lineRule="atLeast"/>
        <w:ind w:firstLine="480"/>
        <w:jc w:val="both"/>
        <w:rPr>
          <w:rFonts w:hint="default" w:ascii="方正黑体_GBK" w:hAnsi="方正黑体_GBK" w:eastAsia="方正黑体_GBK" w:cs="方正黑体_GBK"/>
          <w:color w:val="333333"/>
          <w:sz w:val="32"/>
          <w:szCs w:val="32"/>
        </w:rPr>
      </w:pPr>
      <w:r>
        <w:rPr>
          <w:rFonts w:hint="default" w:ascii="方正黑体_GBK" w:hAnsi="方正黑体_GBK" w:eastAsia="方正黑体_GBK" w:cs="方正黑体_GBK"/>
          <w:color w:val="333333"/>
          <w:sz w:val="32"/>
          <w:szCs w:val="32"/>
        </w:rPr>
        <w:t>二、单位收支总体情况</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方正楷体_GBK" w:hAnsi="方正楷体_GBK" w:eastAsia="方正楷体_GBK" w:cs="方正楷体_GBK"/>
          <w:color w:val="333333"/>
          <w:sz w:val="32"/>
          <w:szCs w:val="32"/>
        </w:rPr>
        <w:t>（一）收入预算</w:t>
      </w:r>
      <w:r>
        <w:rPr>
          <w:rFonts w:hint="default" w:ascii="Times New Roman" w:hAnsi="Times New Roman" w:eastAsia="方正仿宋_GBK" w:cs="Times New Roman"/>
          <w:color w:val="333333"/>
          <w:sz w:val="32"/>
          <w:szCs w:val="32"/>
        </w:rPr>
        <w:t>：2022年年初预算数</w:t>
      </w:r>
      <w:r>
        <w:rPr>
          <w:rFonts w:hint="default" w:ascii="Times New Roman" w:hAnsi="Times New Roman" w:eastAsia="方正仿宋_GBK" w:cs="Times New Roman"/>
          <w:color w:val="333333"/>
          <w:sz w:val="32"/>
          <w:szCs w:val="32"/>
          <w:lang w:val="en-US" w:eastAsia="zh-CN"/>
        </w:rPr>
        <w:t>101.36</w:t>
      </w:r>
      <w:r>
        <w:rPr>
          <w:rFonts w:hint="default" w:ascii="Times New Roman" w:hAnsi="Times New Roman" w:eastAsia="方正仿宋_GBK" w:cs="Times New Roman"/>
          <w:color w:val="333333"/>
          <w:sz w:val="32"/>
          <w:szCs w:val="32"/>
        </w:rPr>
        <w:t>万元，其中：一般公共预算拨款</w:t>
      </w:r>
      <w:r>
        <w:rPr>
          <w:rFonts w:hint="default" w:ascii="Times New Roman" w:hAnsi="Times New Roman" w:eastAsia="方正仿宋_GBK" w:cs="Times New Roman"/>
          <w:color w:val="333333"/>
          <w:sz w:val="32"/>
          <w:szCs w:val="32"/>
          <w:lang w:val="en-US" w:eastAsia="zh-CN"/>
        </w:rPr>
        <w:t>101.36</w:t>
      </w:r>
      <w:r>
        <w:rPr>
          <w:rFonts w:hint="default" w:ascii="Times New Roman" w:hAnsi="Times New Roman" w:eastAsia="方正仿宋_GBK" w:cs="Times New Roman"/>
          <w:color w:val="333333"/>
          <w:sz w:val="32"/>
          <w:szCs w:val="32"/>
        </w:rPr>
        <w:t>万元。</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方正楷体_GBK" w:hAnsi="方正楷体_GBK" w:eastAsia="方正楷体_GBK" w:cs="方正楷体_GBK"/>
          <w:color w:val="333333"/>
          <w:sz w:val="32"/>
          <w:szCs w:val="32"/>
        </w:rPr>
        <w:t>（二）支出预算</w:t>
      </w:r>
      <w:r>
        <w:rPr>
          <w:rFonts w:hint="default" w:ascii="Times New Roman" w:hAnsi="Times New Roman" w:eastAsia="方正仿宋_GBK" w:cs="Times New Roman"/>
          <w:color w:val="333333"/>
          <w:sz w:val="32"/>
          <w:szCs w:val="32"/>
        </w:rPr>
        <w:t>：2022年年初预算数</w:t>
      </w:r>
      <w:r>
        <w:rPr>
          <w:rFonts w:hint="default" w:ascii="Times New Roman" w:hAnsi="Times New Roman" w:eastAsia="方正仿宋_GBK" w:cs="Times New Roman"/>
          <w:color w:val="333333"/>
          <w:sz w:val="32"/>
          <w:szCs w:val="32"/>
          <w:lang w:val="en-US" w:eastAsia="zh-CN"/>
        </w:rPr>
        <w:t>101.36</w:t>
      </w:r>
      <w:r>
        <w:rPr>
          <w:rFonts w:hint="default" w:ascii="Times New Roman" w:hAnsi="Times New Roman" w:eastAsia="方正仿宋_GBK" w:cs="Times New Roman"/>
          <w:color w:val="333333"/>
          <w:sz w:val="32"/>
          <w:szCs w:val="32"/>
        </w:rPr>
        <w:t>万元，其中：农林水支出80.52万元</w:t>
      </w:r>
      <w:r>
        <w:rPr>
          <w:rFonts w:hint="default" w:ascii="Times New Roman" w:hAnsi="Times New Roman" w:eastAsia="方正仿宋_GBK" w:cs="Times New Roman"/>
          <w:color w:val="333333"/>
          <w:sz w:val="32"/>
          <w:szCs w:val="32"/>
          <w:lang w:eastAsia="zh-CN"/>
        </w:rPr>
        <w:t>，</w:t>
      </w:r>
      <w:r>
        <w:rPr>
          <w:rFonts w:hint="default" w:ascii="Times New Roman" w:hAnsi="Times New Roman" w:eastAsia="方正仿宋_GBK" w:cs="Times New Roman"/>
          <w:color w:val="333333"/>
          <w:sz w:val="32"/>
          <w:szCs w:val="32"/>
        </w:rPr>
        <w:t>社会保障和就业支出10.49万元</w:t>
      </w:r>
      <w:r>
        <w:rPr>
          <w:rFonts w:hint="default" w:ascii="Times New Roman" w:hAnsi="Times New Roman" w:eastAsia="方正仿宋_GBK" w:cs="Times New Roman"/>
          <w:color w:val="333333"/>
          <w:sz w:val="32"/>
          <w:szCs w:val="32"/>
          <w:lang w:eastAsia="zh-CN"/>
        </w:rPr>
        <w:t>，</w:t>
      </w:r>
      <w:r>
        <w:rPr>
          <w:rFonts w:hint="default" w:ascii="Times New Roman" w:hAnsi="Times New Roman" w:eastAsia="方正仿宋_GBK" w:cs="Times New Roman"/>
          <w:color w:val="333333"/>
          <w:sz w:val="32"/>
          <w:szCs w:val="32"/>
        </w:rPr>
        <w:t>卫生健康支出5.28万元</w:t>
      </w:r>
      <w:r>
        <w:rPr>
          <w:rFonts w:hint="default" w:ascii="Times New Roman" w:hAnsi="Times New Roman" w:eastAsia="方正仿宋_GBK" w:cs="Times New Roman"/>
          <w:color w:val="333333"/>
          <w:sz w:val="32"/>
          <w:szCs w:val="32"/>
          <w:lang w:eastAsia="zh-CN"/>
        </w:rPr>
        <w:t>，</w:t>
      </w:r>
      <w:r>
        <w:rPr>
          <w:rFonts w:hint="default" w:ascii="Times New Roman" w:hAnsi="Times New Roman" w:eastAsia="方正仿宋_GBK" w:cs="Times New Roman"/>
          <w:color w:val="333333"/>
          <w:sz w:val="32"/>
          <w:szCs w:val="32"/>
        </w:rPr>
        <w:t>住房保障支出5.07万元。</w:t>
      </w:r>
    </w:p>
    <w:p>
      <w:pPr>
        <w:pStyle w:val="4"/>
        <w:shd w:val="clear" w:color="auto" w:fill="FFFFFF"/>
        <w:spacing w:before="0" w:beforeAutospacing="0" w:after="0" w:afterAutospacing="0" w:line="420" w:lineRule="atLeast"/>
        <w:ind w:firstLine="480"/>
        <w:jc w:val="both"/>
        <w:rPr>
          <w:rFonts w:hint="default" w:ascii="方正黑体_GBK" w:hAnsi="方正黑体_GBK" w:eastAsia="方正黑体_GBK" w:cs="方正黑体_GBK"/>
          <w:color w:val="333333"/>
          <w:sz w:val="32"/>
          <w:szCs w:val="32"/>
        </w:rPr>
      </w:pPr>
      <w:r>
        <w:rPr>
          <w:rFonts w:hint="default" w:ascii="方正黑体_GBK" w:hAnsi="方正黑体_GBK" w:eastAsia="方正黑体_GBK" w:cs="方正黑体_GBK"/>
          <w:color w:val="333333"/>
          <w:sz w:val="32"/>
          <w:szCs w:val="32"/>
        </w:rPr>
        <w:t>三、单位预算情况说明</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2022年一般公共预算财政拨款收入</w:t>
      </w:r>
      <w:r>
        <w:rPr>
          <w:rFonts w:hint="default" w:ascii="Times New Roman" w:hAnsi="Times New Roman" w:eastAsia="方正仿宋_GBK" w:cs="Times New Roman"/>
          <w:color w:val="333333"/>
          <w:sz w:val="32"/>
          <w:szCs w:val="32"/>
          <w:lang w:val="en-US" w:eastAsia="zh-CN"/>
        </w:rPr>
        <w:t>101.36</w:t>
      </w:r>
      <w:r>
        <w:rPr>
          <w:rFonts w:hint="default" w:ascii="Times New Roman" w:hAnsi="Times New Roman" w:eastAsia="方正仿宋_GBK" w:cs="Times New Roman"/>
          <w:color w:val="333333"/>
          <w:sz w:val="32"/>
          <w:szCs w:val="32"/>
        </w:rPr>
        <w:t>万元，一般公共预算财政拨款支出</w:t>
      </w:r>
      <w:r>
        <w:rPr>
          <w:rFonts w:hint="default" w:ascii="Times New Roman" w:hAnsi="Times New Roman" w:eastAsia="方正仿宋_GBK" w:cs="Times New Roman"/>
          <w:color w:val="333333"/>
          <w:sz w:val="32"/>
          <w:szCs w:val="32"/>
          <w:lang w:val="en-US" w:eastAsia="zh-CN"/>
        </w:rPr>
        <w:t>101.36</w:t>
      </w:r>
      <w:r>
        <w:rPr>
          <w:rFonts w:hint="default" w:ascii="Times New Roman" w:hAnsi="Times New Roman" w:eastAsia="方正仿宋_GBK" w:cs="Times New Roman"/>
          <w:color w:val="333333"/>
          <w:sz w:val="32"/>
          <w:szCs w:val="32"/>
        </w:rPr>
        <w:t>万元。</w:t>
      </w:r>
    </w:p>
    <w:p>
      <w:pPr>
        <w:pStyle w:val="4"/>
        <w:shd w:val="clear" w:color="auto" w:fill="FFFFFF"/>
        <w:spacing w:before="0" w:beforeAutospacing="0" w:after="0" w:afterAutospacing="0" w:line="420" w:lineRule="atLeast"/>
        <w:ind w:firstLine="480"/>
        <w:jc w:val="both"/>
        <w:rPr>
          <w:rFonts w:hint="default" w:ascii="方正黑体_GBK" w:hAnsi="方正黑体_GBK" w:eastAsia="方正黑体_GBK" w:cs="方正黑体_GBK"/>
          <w:color w:val="333333"/>
          <w:sz w:val="32"/>
          <w:szCs w:val="32"/>
        </w:rPr>
      </w:pPr>
      <w:r>
        <w:rPr>
          <w:rFonts w:hint="default" w:ascii="方正黑体_GBK" w:hAnsi="方正黑体_GBK" w:eastAsia="方正黑体_GBK" w:cs="方正黑体_GBK"/>
          <w:color w:val="333333"/>
          <w:sz w:val="32"/>
          <w:szCs w:val="32"/>
        </w:rPr>
        <w:t>四、“三公”经费情况说明</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2022年“三公”经费预算</w:t>
      </w:r>
      <w:r>
        <w:rPr>
          <w:rFonts w:hint="default" w:ascii="Times New Roman" w:hAnsi="Times New Roman" w:eastAsia="方正仿宋_GBK" w:cs="Times New Roman"/>
          <w:color w:val="333333"/>
          <w:sz w:val="32"/>
          <w:szCs w:val="32"/>
          <w:lang w:val="en-US" w:eastAsia="zh-CN"/>
        </w:rPr>
        <w:t>0</w:t>
      </w:r>
      <w:r>
        <w:rPr>
          <w:rFonts w:hint="default" w:ascii="Times New Roman" w:hAnsi="Times New Roman" w:eastAsia="方正仿宋_GBK" w:cs="Times New Roman"/>
          <w:color w:val="333333"/>
          <w:sz w:val="32"/>
          <w:szCs w:val="32"/>
        </w:rPr>
        <w:t>万元。其中：因公出国（境）费用0万元；公务接待费0万元；公务用车运行维护费</w:t>
      </w:r>
      <w:r>
        <w:rPr>
          <w:rFonts w:hint="default" w:ascii="Times New Roman" w:hAnsi="Times New Roman" w:eastAsia="方正仿宋_GBK" w:cs="Times New Roman"/>
          <w:color w:val="333333"/>
          <w:sz w:val="32"/>
          <w:szCs w:val="32"/>
          <w:lang w:val="en-US" w:eastAsia="zh-CN"/>
        </w:rPr>
        <w:t>0</w:t>
      </w:r>
      <w:r>
        <w:rPr>
          <w:rFonts w:hint="default" w:ascii="Times New Roman" w:hAnsi="Times New Roman" w:eastAsia="方正仿宋_GBK" w:cs="Times New Roman"/>
          <w:color w:val="333333"/>
          <w:sz w:val="32"/>
          <w:szCs w:val="32"/>
        </w:rPr>
        <w:t>万元。</w:t>
      </w:r>
    </w:p>
    <w:p>
      <w:pPr>
        <w:pStyle w:val="4"/>
        <w:shd w:val="clear" w:color="auto" w:fill="FFFFFF"/>
        <w:spacing w:before="0" w:beforeAutospacing="0" w:after="0" w:afterAutospacing="0" w:line="420" w:lineRule="atLeast"/>
        <w:ind w:firstLine="480"/>
        <w:jc w:val="both"/>
        <w:rPr>
          <w:rFonts w:hint="default" w:ascii="方正黑体_GBK" w:hAnsi="方正黑体_GBK" w:eastAsia="方正黑体_GBK" w:cs="方正黑体_GBK"/>
          <w:color w:val="333333"/>
          <w:sz w:val="32"/>
          <w:szCs w:val="32"/>
        </w:rPr>
      </w:pPr>
      <w:r>
        <w:rPr>
          <w:rFonts w:hint="default" w:ascii="方正黑体_GBK" w:hAnsi="方正黑体_GBK" w:eastAsia="方正黑体_GBK" w:cs="方正黑体_GBK"/>
          <w:color w:val="333333"/>
          <w:sz w:val="32"/>
          <w:szCs w:val="32"/>
        </w:rPr>
        <w:t>五、其他重要事项的情况说明</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方正楷体_GBK" w:hAnsi="方正楷体_GBK" w:eastAsia="方正楷体_GBK" w:cs="方正楷体_GBK"/>
          <w:color w:val="333333"/>
          <w:sz w:val="32"/>
          <w:szCs w:val="32"/>
        </w:rPr>
        <w:t>（一）机关运行经费</w:t>
      </w:r>
      <w:r>
        <w:rPr>
          <w:rFonts w:hint="default" w:ascii="Times New Roman" w:hAnsi="Times New Roman" w:eastAsia="方正仿宋_GBK" w:cs="Times New Roman"/>
          <w:color w:val="333333"/>
          <w:sz w:val="32"/>
          <w:szCs w:val="32"/>
        </w:rPr>
        <w:t>。</w:t>
      </w:r>
      <w:r>
        <w:rPr>
          <w:rFonts w:hint="default" w:ascii="Times New Roman" w:hAnsi="Times New Roman" w:eastAsia="方正仿宋_GBK" w:cs="Times New Roman"/>
          <w:sz w:val="32"/>
          <w:szCs w:val="32"/>
        </w:rPr>
        <w:t>我单位不在机关运行经费统计范围之内。</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方正楷体_GBK" w:hAnsi="方正楷体_GBK" w:eastAsia="方正楷体_GBK" w:cs="方正楷体_GBK"/>
          <w:color w:val="333333"/>
          <w:sz w:val="32"/>
          <w:szCs w:val="32"/>
        </w:rPr>
        <w:t>（二）政府采购情况。</w:t>
      </w:r>
      <w:r>
        <w:rPr>
          <w:rFonts w:hint="default" w:ascii="Times New Roman" w:hAnsi="Times New Roman" w:eastAsia="方正仿宋_GBK" w:cs="Times New Roman"/>
          <w:color w:val="333333"/>
          <w:sz w:val="32"/>
          <w:szCs w:val="32"/>
        </w:rPr>
        <w:t>2022年度无政府采购。</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方正楷体_GBK" w:hAnsi="方正楷体_GBK" w:eastAsia="方正楷体_GBK" w:cs="方正楷体_GBK"/>
          <w:color w:val="333333"/>
          <w:sz w:val="32"/>
          <w:szCs w:val="32"/>
        </w:rPr>
        <w:t>（三）绩效目标设置情况。</w:t>
      </w:r>
      <w:r>
        <w:rPr>
          <w:rFonts w:hint="default" w:ascii="Times New Roman" w:hAnsi="Times New Roman" w:eastAsia="方正仿宋_GBK" w:cs="Times New Roman"/>
          <w:color w:val="333333"/>
          <w:sz w:val="32"/>
          <w:szCs w:val="32"/>
        </w:rPr>
        <w:t>2022年度无项目支出。</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方正楷体_GBK" w:hAnsi="方正楷体_GBK" w:eastAsia="方正楷体_GBK" w:cs="方正楷体_GBK"/>
          <w:color w:val="333333"/>
          <w:sz w:val="32"/>
          <w:szCs w:val="32"/>
        </w:rPr>
        <w:t>（四）国有资产占有使用情况。</w:t>
      </w:r>
      <w:r>
        <w:rPr>
          <w:rFonts w:hint="default" w:ascii="Times New Roman" w:hAnsi="Times New Roman" w:eastAsia="方正仿宋_GBK" w:cs="Times New Roman"/>
          <w:color w:val="333333"/>
          <w:sz w:val="32"/>
          <w:szCs w:val="32"/>
        </w:rPr>
        <w:t>截止2021年12月，本单位共有车辆</w:t>
      </w:r>
      <w:r>
        <w:rPr>
          <w:rFonts w:hint="default" w:ascii="Times New Roman" w:hAnsi="Times New Roman" w:eastAsia="方正仿宋_GBK" w:cs="Times New Roman"/>
          <w:color w:val="333333"/>
          <w:sz w:val="32"/>
          <w:szCs w:val="32"/>
          <w:lang w:val="en-US" w:eastAsia="zh-CN"/>
        </w:rPr>
        <w:t>0</w:t>
      </w:r>
      <w:r>
        <w:rPr>
          <w:rFonts w:hint="default" w:ascii="Times New Roman" w:hAnsi="Times New Roman" w:eastAsia="方正仿宋_GBK" w:cs="Times New Roman"/>
          <w:color w:val="333333"/>
          <w:sz w:val="32"/>
          <w:szCs w:val="32"/>
        </w:rPr>
        <w:t>辆，其中一般公务用车</w:t>
      </w:r>
      <w:r>
        <w:rPr>
          <w:rFonts w:hint="default" w:ascii="Times New Roman" w:hAnsi="Times New Roman" w:eastAsia="方正仿宋_GBK" w:cs="Times New Roman"/>
          <w:color w:val="333333"/>
          <w:sz w:val="32"/>
          <w:szCs w:val="32"/>
          <w:lang w:val="en-US" w:eastAsia="zh-CN"/>
        </w:rPr>
        <w:t>0</w:t>
      </w:r>
      <w:r>
        <w:rPr>
          <w:rFonts w:hint="default" w:ascii="Times New Roman" w:hAnsi="Times New Roman" w:eastAsia="方正仿宋_GBK" w:cs="Times New Roman"/>
          <w:color w:val="333333"/>
          <w:sz w:val="32"/>
          <w:szCs w:val="32"/>
        </w:rPr>
        <w:t>辆、执勤执法用车0辆。2022年一般公共预算安排购置车辆0辆，其中一般公务用车0辆、执勤执法用车0辆。</w:t>
      </w:r>
    </w:p>
    <w:p>
      <w:pPr>
        <w:pStyle w:val="4"/>
        <w:shd w:val="clear" w:color="auto" w:fill="FFFFFF"/>
        <w:spacing w:before="0" w:beforeAutospacing="0" w:after="0" w:afterAutospacing="0" w:line="420" w:lineRule="atLeast"/>
        <w:ind w:firstLine="480"/>
        <w:jc w:val="both"/>
        <w:rPr>
          <w:rFonts w:hint="default" w:ascii="方正黑体_GBK" w:hAnsi="方正黑体_GBK" w:eastAsia="方正黑体_GBK" w:cs="方正黑体_GBK"/>
          <w:color w:val="333333"/>
          <w:sz w:val="32"/>
          <w:szCs w:val="32"/>
        </w:rPr>
      </w:pPr>
      <w:r>
        <w:rPr>
          <w:rFonts w:hint="default" w:ascii="方正黑体_GBK" w:hAnsi="方正黑体_GBK" w:eastAsia="方正黑体_GBK" w:cs="方正黑体_GBK"/>
          <w:color w:val="333333"/>
          <w:sz w:val="32"/>
          <w:szCs w:val="32"/>
        </w:rPr>
        <w:t>六、专业性名词解释</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（一）财政拨款收入：指本年度从本级财政部门取得的财政拨款，包括一般公共预算财政拨款和政府性基金预算财政拨款。</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（二）其他收入：指单位取得的除“财政拨款收入”、“事业收入”、“经营收入”等以外的收入。</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（三）基本支出：指为保障机构正常运转、完成日常工作任务而发生的人员经费和公用经费。</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（四）项目支出：指在基本支出之外为完成特定行政任务和事业发展目标所发生的支出。</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五）“三公”经费：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ind w:firstLine="643" w:firstLineChars="200"/>
        <w:rPr>
          <w:rFonts w:hint="default" w:ascii="Times New Roman" w:hAnsi="Times New Roman" w:eastAsia="仿宋_GB2312" w:cs="Times New Roman"/>
          <w:b/>
          <w:sz w:val="32"/>
        </w:rPr>
      </w:pPr>
      <w:r>
        <w:rPr>
          <w:rFonts w:hint="default" w:ascii="Times New Roman" w:hAnsi="Times New Roman" w:eastAsia="方正仿宋_GBK" w:cs="Times New Roman"/>
          <w:b/>
          <w:sz w:val="32"/>
        </w:rPr>
        <w:t xml:space="preserve">部门预算公开联系人： 熊海涛   </w:t>
      </w:r>
      <w:r>
        <w:rPr>
          <w:rFonts w:hint="eastAsia" w:ascii="Times New Roman" w:hAnsi="Times New Roman" w:eastAsia="方正仿宋_GBK" w:cs="Times New Roman"/>
          <w:b/>
          <w:sz w:val="32"/>
          <w:lang w:val="en-US" w:eastAsia="zh-CN"/>
        </w:rPr>
        <w:t xml:space="preserve"> </w:t>
      </w:r>
      <w:bookmarkStart w:id="0" w:name="_GoBack"/>
      <w:bookmarkEnd w:id="0"/>
      <w:r>
        <w:rPr>
          <w:rFonts w:hint="default" w:ascii="Times New Roman" w:hAnsi="Times New Roman" w:eastAsia="方正仿宋_GBK" w:cs="Times New Roman"/>
          <w:b/>
          <w:sz w:val="32"/>
        </w:rPr>
        <w:t xml:space="preserve">  联系方式：  023-75552798</w:t>
      </w:r>
    </w:p>
    <w:p>
      <w:pPr>
        <w:rPr>
          <w:rFonts w:hint="default" w:ascii="Times New Roman" w:hAnsi="Times New Roman" w:eastAsia="方正仿宋_GBK" w:cs="Times New Roman"/>
          <w:sz w:val="32"/>
          <w:szCs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005D0"/>
    <w:rsid w:val="003005D0"/>
    <w:rsid w:val="00411831"/>
    <w:rsid w:val="005A3233"/>
    <w:rsid w:val="008632BF"/>
    <w:rsid w:val="00A574E2"/>
    <w:rsid w:val="00E70CF4"/>
    <w:rsid w:val="01427274"/>
    <w:rsid w:val="24087307"/>
    <w:rsid w:val="3BC520A0"/>
    <w:rsid w:val="3EB735D0"/>
    <w:rsid w:val="4636566D"/>
    <w:rsid w:val="7E524DC6"/>
    <w:rsid w:val="7ECC57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7">
    <w:name w:val="页眉 Char"/>
    <w:basedOn w:val="5"/>
    <w:link w:val="3"/>
    <w:semiHidden/>
    <w:qFormat/>
    <w:uiPriority w:val="99"/>
    <w:rPr>
      <w:sz w:val="18"/>
      <w:szCs w:val="18"/>
    </w:rPr>
  </w:style>
  <w:style w:type="character" w:customStyle="1" w:styleId="8">
    <w:name w:val="页脚 Char"/>
    <w:basedOn w:val="5"/>
    <w:link w:val="2"/>
    <w:semiHidden/>
    <w:qFormat/>
    <w:uiPriority w:val="99"/>
    <w:rPr>
      <w:sz w:val="18"/>
      <w:szCs w:val="18"/>
    </w:rPr>
  </w:style>
  <w:style w:type="paragraph" w:customStyle="1" w:styleId="9">
    <w:name w:val="tit"/>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190</Words>
  <Characters>1083</Characters>
  <Lines>9</Lines>
  <Paragraphs>2</Paragraphs>
  <TotalTime>1</TotalTime>
  <ScaleCrop>false</ScaleCrop>
  <LinksUpToDate>false</LinksUpToDate>
  <CharactersWithSpaces>1271</CharactersWithSpaces>
  <Application>WPS Office_10.8.2.6726_F1E327BC-269C-435d-A152-05C5408002CA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2022-03-18T07:09:00Z</dcterms:created>
  <dc:creator>admin</dc:creator>
  <cp:lastModifiedBy>Administrator</cp:lastModifiedBy>
  <dcterms:modified xsi:type="dcterms:W3CDTF">2022-01-24T08:46:19Z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2052-10.8.2.6726</vt:lpwstr>
  </property>
</Properties>
</file>