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酉阳土家族苗族自治县天然林保护事务中心2022年部门预算情况说明</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eastAsia" w:ascii="方正楷体_GBK" w:hAnsi="方正楷体_GBK" w:eastAsia="方正楷体_GBK" w:cs="方正楷体_GBK"/>
          <w:color w:val="333333"/>
          <w:sz w:val="32"/>
          <w:szCs w:val="32"/>
        </w:rPr>
      </w:pPr>
      <w:r>
        <w:rPr>
          <w:rFonts w:hint="eastAsia"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宣传贯彻和监督执行天然林保护工程方针、政策、法律、法规。组织编制天然林资源保护工程中长期规划和年度计划。负责天然林保护工程建设的组织实施和管理，承担工程实施过程中的业务指导和检查、监督、考核等事务工作。负责工程建设科技推广、人员培训、试点示范、社会宣传工作。承担天然林保护工程信息管理和档案管理工作。承担全县天然林保护工程领导小组的日常事务工作。完成县林业局交办的其他工作。</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162.74</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162.74</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162.74</w:t>
      </w:r>
      <w:r>
        <w:rPr>
          <w:rFonts w:hint="default" w:ascii="Times New Roman" w:hAnsi="Times New Roman" w:eastAsia="方正仿宋_GBK" w:cs="Times New Roman"/>
          <w:color w:val="333333"/>
          <w:sz w:val="32"/>
          <w:szCs w:val="32"/>
        </w:rPr>
        <w:t>万元，其中：农林水支出129.23万元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社会保障和就业支出16.87万元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卫生健康支出8.48万元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住房保障支出8.16万元。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162.74</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162.74</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24087307"/>
    <w:rsid w:val="2C2D6925"/>
    <w:rsid w:val="3BC520A0"/>
    <w:rsid w:val="3EB735D0"/>
    <w:rsid w:val="46864AA0"/>
    <w:rsid w:val="5AC30C01"/>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2</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2022-01-24T08:44:43Z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