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hd w:val="clear" w:color="auto" w:fill="FFFFFF"/>
        <w:spacing w:before="0" w:beforeAutospacing="0" w:after="300" w:afterAutospacing="0"/>
        <w:jc w:val="center"/>
        <w:rPr>
          <w:rFonts w:hint="default" w:ascii="Times New Roman" w:hAnsi="Times New Roman" w:eastAsia="微软雅黑" w:cs="Times New Roman"/>
          <w:color w:val="333333"/>
          <w:sz w:val="45"/>
          <w:szCs w:val="45"/>
        </w:rPr>
      </w:pPr>
      <w:r>
        <w:rPr>
          <w:rFonts w:hint="default" w:ascii="Times New Roman" w:hAnsi="Times New Roman" w:eastAsia="方正小标宋_GBK" w:cs="Times New Roman"/>
          <w:b/>
          <w:bCs/>
          <w:color w:val="333333"/>
          <w:sz w:val="44"/>
          <w:szCs w:val="44"/>
        </w:rPr>
        <w:t>酉阳土家族苗族自治县林业科技推广服务中心2022年部门预算情况说明</w:t>
      </w:r>
    </w:p>
    <w:p>
      <w:pPr>
        <w:pStyle w:val="4"/>
        <w:shd w:val="clear" w:color="auto" w:fill="FFFFFF"/>
        <w:spacing w:before="0" w:beforeAutospacing="0" w:after="0" w:afterAutospacing="0" w:line="420" w:lineRule="atLeast"/>
        <w:ind w:firstLine="480"/>
        <w:jc w:val="both"/>
        <w:rPr>
          <w:rFonts w:hint="eastAsia" w:ascii="方正黑体_GBK" w:hAnsi="方正黑体_GBK" w:eastAsia="方正黑体_GBK" w:cs="方正黑体_GBK"/>
          <w:color w:val="333333"/>
          <w:sz w:val="32"/>
          <w:szCs w:val="32"/>
        </w:rPr>
      </w:pPr>
      <w:r>
        <w:rPr>
          <w:rFonts w:hint="eastAsia" w:ascii="方正黑体_GBK" w:hAnsi="方正黑体_GBK" w:eastAsia="方正黑体_GBK" w:cs="方正黑体_GBK"/>
          <w:color w:val="333333"/>
          <w:sz w:val="32"/>
          <w:szCs w:val="32"/>
        </w:rPr>
        <w:t>一、单位基本情况</w:t>
      </w:r>
    </w:p>
    <w:p>
      <w:pPr>
        <w:pStyle w:val="4"/>
        <w:shd w:val="clear" w:color="auto" w:fill="FFFFFF"/>
        <w:spacing w:before="0" w:beforeAutospacing="0" w:after="0" w:afterAutospacing="0" w:line="420" w:lineRule="atLeast"/>
        <w:ind w:firstLine="480"/>
        <w:jc w:val="both"/>
        <w:rPr>
          <w:rFonts w:hint="default" w:ascii="方正楷体_GBK" w:hAnsi="方正楷体_GBK" w:eastAsia="方正楷体_GBK" w:cs="方正楷体_GBK"/>
          <w:color w:val="333333"/>
          <w:sz w:val="32"/>
          <w:szCs w:val="32"/>
        </w:rPr>
      </w:pPr>
      <w:r>
        <w:rPr>
          <w:rFonts w:hint="default" w:ascii="方正楷体_GBK" w:hAnsi="方正楷体_GBK" w:eastAsia="方正楷体_GBK" w:cs="方正楷体_GBK"/>
          <w:color w:val="333333"/>
          <w:sz w:val="32"/>
          <w:szCs w:val="32"/>
        </w:rPr>
        <w:t>（一）职能职责</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lang w:val="en-US" w:eastAsia="zh-CN"/>
        </w:rPr>
      </w:pPr>
      <w:r>
        <w:rPr>
          <w:rFonts w:hint="default" w:ascii="Times New Roman" w:hAnsi="Times New Roman" w:eastAsia="方正仿宋_GBK" w:cs="Times New Roman"/>
          <w:color w:val="333333"/>
          <w:sz w:val="32"/>
          <w:szCs w:val="32"/>
          <w:lang w:val="en-US" w:eastAsia="zh-CN"/>
        </w:rPr>
        <w:t>负责林业、湿地和石漠化防治科学研究、成果转化、技术推广相关工作。承担林业科技、教育和外事工作，指导全县林业产业人才队伍建设。组织指导林产品生产、销售及质量监督，指导生态扶贫相关工作。配合做好集体林权制度改革工作。指导开展林地抵押贷款相关工作。配合有关部门做好林产品市场供需信息发布、检疫和运输办证等工作。负责全县林业科技服务推广相关信息资料的收集、整理、汇总工作和建立动态管理信息系统。完成县林业局交办的其他工作</w:t>
      </w:r>
    </w:p>
    <w:p>
      <w:pPr>
        <w:pStyle w:val="4"/>
        <w:shd w:val="clear" w:color="auto" w:fill="FFFFFF"/>
        <w:spacing w:before="0" w:beforeAutospacing="0" w:after="0" w:afterAutospacing="0" w:line="420" w:lineRule="atLeast"/>
        <w:ind w:firstLine="480"/>
        <w:jc w:val="both"/>
        <w:rPr>
          <w:rFonts w:hint="default" w:ascii="方正楷体_GBK" w:hAnsi="方正楷体_GBK" w:eastAsia="方正楷体_GBK" w:cs="方正楷体_GBK"/>
          <w:color w:val="333333"/>
          <w:sz w:val="32"/>
          <w:szCs w:val="32"/>
        </w:rPr>
      </w:pPr>
      <w:r>
        <w:rPr>
          <w:rFonts w:hint="default" w:ascii="方正楷体_GBK" w:hAnsi="方正楷体_GBK" w:eastAsia="方正楷体_GBK" w:cs="方正楷体_GBK"/>
          <w:color w:val="333333"/>
          <w:sz w:val="32"/>
          <w:szCs w:val="32"/>
        </w:rPr>
        <w:t>（二）单位构成</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本单位无下属机构。</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二、单位收支总体情况</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（一）收入预算</w:t>
      </w:r>
      <w:r>
        <w:rPr>
          <w:rFonts w:hint="default" w:ascii="Times New Roman" w:hAnsi="Times New Roman" w:eastAsia="方正仿宋_GBK" w:cs="Times New Roman"/>
          <w:color w:val="333333"/>
          <w:sz w:val="32"/>
          <w:szCs w:val="32"/>
        </w:rPr>
        <w:t>：2022年年初预算数</w:t>
      </w:r>
      <w:r>
        <w:rPr>
          <w:rFonts w:hint="default" w:ascii="Times New Roman" w:hAnsi="Times New Roman" w:eastAsia="方正仿宋_GBK" w:cs="Times New Roman"/>
          <w:color w:val="333333"/>
          <w:sz w:val="32"/>
          <w:szCs w:val="32"/>
          <w:lang w:val="en-US" w:eastAsia="zh-CN"/>
        </w:rPr>
        <w:t>89.32</w:t>
      </w:r>
      <w:r>
        <w:rPr>
          <w:rFonts w:hint="default" w:ascii="Times New Roman" w:hAnsi="Times New Roman" w:eastAsia="方正仿宋_GBK" w:cs="Times New Roman"/>
          <w:color w:val="333333"/>
          <w:sz w:val="32"/>
          <w:szCs w:val="32"/>
        </w:rPr>
        <w:t>万元，其中：一般公共预算拨款</w:t>
      </w:r>
      <w:r>
        <w:rPr>
          <w:rFonts w:hint="default" w:ascii="Times New Roman" w:hAnsi="Times New Roman" w:eastAsia="方正仿宋_GBK" w:cs="Times New Roman"/>
          <w:color w:val="333333"/>
          <w:sz w:val="32"/>
          <w:szCs w:val="32"/>
          <w:lang w:val="en-US" w:eastAsia="zh-CN"/>
        </w:rPr>
        <w:t>89.32</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（二）支出预算：</w:t>
      </w:r>
      <w:r>
        <w:rPr>
          <w:rFonts w:hint="default" w:ascii="Times New Roman" w:hAnsi="Times New Roman" w:eastAsia="方正仿宋_GBK" w:cs="Times New Roman"/>
          <w:color w:val="333333"/>
          <w:sz w:val="32"/>
          <w:szCs w:val="32"/>
        </w:rPr>
        <w:t>2022年年初预算数</w:t>
      </w:r>
      <w:r>
        <w:rPr>
          <w:rFonts w:hint="default" w:ascii="Times New Roman" w:hAnsi="Times New Roman" w:eastAsia="方正仿宋_GBK" w:cs="Times New Roman"/>
          <w:color w:val="333333"/>
          <w:sz w:val="32"/>
          <w:szCs w:val="32"/>
          <w:lang w:val="en-US" w:eastAsia="zh-CN"/>
        </w:rPr>
        <w:t>89.32</w:t>
      </w:r>
      <w:r>
        <w:rPr>
          <w:rFonts w:hint="default" w:ascii="Times New Roman" w:hAnsi="Times New Roman" w:eastAsia="方正仿宋_GBK" w:cs="Times New Roman"/>
          <w:color w:val="333333"/>
          <w:sz w:val="32"/>
          <w:szCs w:val="32"/>
        </w:rPr>
        <w:t>万元，其中：农林水支出70.11</w:t>
      </w:r>
      <w:r>
        <w:rPr>
          <w:rFonts w:hint="default" w:ascii="Times New Roman" w:hAnsi="Times New Roman" w:eastAsia="方正仿宋_GBK" w:cs="Times New Roman"/>
          <w:color w:val="333333"/>
          <w:sz w:val="32"/>
          <w:szCs w:val="32"/>
          <w:lang w:val="en-US" w:eastAsia="zh-CN"/>
        </w:rPr>
        <w:tab/>
      </w:r>
      <w:r>
        <w:rPr>
          <w:rFonts w:hint="default" w:ascii="Times New Roman" w:hAnsi="Times New Roman" w:eastAsia="方正仿宋_GBK" w:cs="Times New Roman"/>
          <w:color w:val="333333"/>
          <w:sz w:val="32"/>
          <w:szCs w:val="32"/>
        </w:rPr>
        <w:t>万元</w:t>
      </w:r>
      <w:r>
        <w:rPr>
          <w:rFonts w:hint="eastAsia"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社会保障和就业支出9.74万元</w:t>
      </w:r>
      <w:r>
        <w:rPr>
          <w:rFonts w:hint="eastAsia"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卫生健康支出4.77万元</w:t>
      </w:r>
      <w:r>
        <w:rPr>
          <w:rFonts w:hint="eastAsia"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住房保障支出4.71万元。</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黑体_GBK" w:hAnsi="方正黑体_GBK" w:eastAsia="方正黑体_GBK" w:cs="方正黑体_GBK"/>
          <w:color w:val="333333"/>
          <w:sz w:val="32"/>
          <w:szCs w:val="32"/>
        </w:rPr>
        <w:t>三、单位预算情况说明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2022年一般公共预算财政拨款收入</w:t>
      </w:r>
      <w:r>
        <w:rPr>
          <w:rFonts w:hint="default" w:ascii="Times New Roman" w:hAnsi="Times New Roman" w:eastAsia="方正仿宋_GBK" w:cs="Times New Roman"/>
          <w:color w:val="333333"/>
          <w:sz w:val="32"/>
          <w:szCs w:val="32"/>
          <w:lang w:val="en-US" w:eastAsia="zh-CN"/>
        </w:rPr>
        <w:t>89.32</w:t>
      </w:r>
      <w:r>
        <w:rPr>
          <w:rFonts w:hint="default" w:ascii="Times New Roman" w:hAnsi="Times New Roman" w:eastAsia="方正仿宋_GBK" w:cs="Times New Roman"/>
          <w:color w:val="333333"/>
          <w:sz w:val="32"/>
          <w:szCs w:val="32"/>
        </w:rPr>
        <w:t>万元，一般公共预算财政拨款支出</w:t>
      </w:r>
      <w:r>
        <w:rPr>
          <w:rFonts w:hint="default" w:ascii="Times New Roman" w:hAnsi="Times New Roman" w:eastAsia="方正仿宋_GBK" w:cs="Times New Roman"/>
          <w:color w:val="333333"/>
          <w:sz w:val="32"/>
          <w:szCs w:val="32"/>
          <w:lang w:val="en-US" w:eastAsia="zh-CN"/>
        </w:rPr>
        <w:t>89.32</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四、“三公”经费情况说明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2022年“三公”经费预算</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万元。其中：因公出国（境）费用0万元；公务接待费0万元；公务用车运行维护费</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五、其他重要事项的情况说明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（一）机关运行经费。</w:t>
      </w:r>
      <w:r>
        <w:rPr>
          <w:rFonts w:hint="default" w:ascii="Times New Roman" w:hAnsi="Times New Roman" w:eastAsia="方正仿宋_GBK" w:cs="Times New Roman"/>
          <w:sz w:val="32"/>
          <w:szCs w:val="32"/>
        </w:rPr>
        <w:t>我单位不在机关运行经费统计范围之内。</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（二）政府采购情况。</w:t>
      </w:r>
      <w:r>
        <w:rPr>
          <w:rFonts w:hint="default" w:ascii="Times New Roman" w:hAnsi="Times New Roman" w:eastAsia="方正仿宋_GBK" w:cs="Times New Roman"/>
          <w:color w:val="333333"/>
          <w:sz w:val="32"/>
          <w:szCs w:val="32"/>
        </w:rPr>
        <w:t>2022年度无政府采购。</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（三）绩效目标设置情况。</w:t>
      </w:r>
      <w:r>
        <w:rPr>
          <w:rFonts w:hint="default" w:ascii="Times New Roman" w:hAnsi="Times New Roman" w:eastAsia="方正仿宋_GBK" w:cs="Times New Roman"/>
          <w:color w:val="333333"/>
          <w:sz w:val="32"/>
          <w:szCs w:val="32"/>
        </w:rPr>
        <w:t>2022年度无项目支出。</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eastAsia" w:ascii="方正楷体_GBK" w:hAnsi="方正楷体_GBK" w:eastAsia="方正楷体_GBK" w:cs="方正楷体_GBK"/>
          <w:color w:val="333333"/>
          <w:sz w:val="32"/>
          <w:szCs w:val="32"/>
        </w:rPr>
        <w:t>（四）国有资产占有使用情况。</w:t>
      </w:r>
      <w:r>
        <w:rPr>
          <w:rFonts w:hint="default" w:ascii="Times New Roman" w:hAnsi="Times New Roman" w:eastAsia="方正仿宋_GBK" w:cs="Times New Roman"/>
          <w:color w:val="333333"/>
          <w:sz w:val="32"/>
          <w:szCs w:val="32"/>
        </w:rPr>
        <w:t>截止2021年12月，本单位共有车辆</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辆，其中一般公务用车</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辆、执勤执法用车0辆。2022年一般公共预算安排购置车辆0辆，其中一般公务用车0辆、执勤执法用车0辆。</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六、专业性名词解释</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（一）财政拨款收入：指本年度从本级财政部门取得的财政拨款，包括一般公共预算财政拨款和政府性基金预算财政拨款。</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（二）其他收入：指单位取得的除“财政拨款收入”、“事业收入”、“经营收入”等以外的收入。</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（三）基本支出：指为保障机构正常运转、完成日常工作任务而发生的人员经费和公用经费。</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（四）项目支出：指在基本支出之外为完成特定行政任务和事业发展目标所发生的支出。</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ind w:firstLine="643" w:firstLineChars="200"/>
        <w:rPr>
          <w:rFonts w:hint="default" w:ascii="Times New Roman" w:hAnsi="Times New Roman" w:eastAsia="仿宋_GB2312" w:cs="Times New Roman"/>
          <w:b/>
          <w:sz w:val="32"/>
        </w:rPr>
      </w:pPr>
      <w:r>
        <w:rPr>
          <w:rFonts w:hint="default" w:ascii="Times New Roman" w:hAnsi="Times New Roman" w:eastAsia="方正仿宋_GBK" w:cs="Times New Roman"/>
          <w:b/>
          <w:sz w:val="32"/>
        </w:rPr>
        <w:t xml:space="preserve">部门预算公开联系人： 熊海涛  </w:t>
      </w:r>
      <w:r>
        <w:rPr>
          <w:rFonts w:hint="eastAsia" w:ascii="Times New Roman" w:hAnsi="Times New Roman" w:eastAsia="方正仿宋_GBK" w:cs="Times New Roman"/>
          <w:b/>
          <w:sz w:val="32"/>
          <w:lang w:val="en-US" w:eastAsia="zh-CN"/>
        </w:rPr>
        <w:t xml:space="preserve"> </w:t>
      </w:r>
      <w:r>
        <w:rPr>
          <w:rFonts w:hint="default" w:ascii="Times New Roman" w:hAnsi="Times New Roman" w:eastAsia="方正仿宋_GBK" w:cs="Times New Roman"/>
          <w:b/>
          <w:sz w:val="32"/>
        </w:rPr>
        <w:t xml:space="preserve">   联系方式：  023-75552798</w:t>
      </w:r>
    </w:p>
    <w:p>
      <w:pPr>
        <w:rPr>
          <w:rFonts w:hint="default" w:ascii="Times New Roman" w:hAnsi="Times New Roman" w:eastAsia="方正仿宋_GBK" w:cs="Times New Roman"/>
          <w:sz w:val="32"/>
          <w:szCs w:val="32"/>
        </w:rPr>
      </w:pPr>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005D0"/>
    <w:rsid w:val="003005D0"/>
    <w:rsid w:val="00411831"/>
    <w:rsid w:val="005A3233"/>
    <w:rsid w:val="008632BF"/>
    <w:rsid w:val="00A574E2"/>
    <w:rsid w:val="00E70CF4"/>
    <w:rsid w:val="24087307"/>
    <w:rsid w:val="3BC520A0"/>
    <w:rsid w:val="3EB735D0"/>
    <w:rsid w:val="419F50A2"/>
    <w:rsid w:val="58912F0E"/>
    <w:rsid w:val="5ECF3256"/>
    <w:rsid w:val="76C2319A"/>
    <w:rsid w:val="7ECC57D5"/>
    <w:rsid w:val="7F7620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 w:type="paragraph" w:customStyle="1" w:styleId="9">
    <w:name w:val="tit"/>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190</Words>
  <Characters>1083</Characters>
  <Lines>9</Lines>
  <Paragraphs>2</Paragraphs>
  <TotalTime>0</TotalTime>
  <ScaleCrop>false</ScaleCrop>
  <LinksUpToDate>false</LinksUpToDate>
  <CharactersWithSpaces>1271</CharactersWithSpaces>
  <Application>WPS Office_10.8.2.6726_F1E327BC-269C-435d-A152-05C5408002CA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2022-03-18T07:09:00Z</dcterms:created>
  <dc:creator>admin</dc:creator>
  <cp:lastModifiedBy>Administrator</cp:lastModifiedBy>
  <dcterms:modified xsi:type="dcterms:W3CDTF">2022-01-24T08:43:28Z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