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spacing w:before="0" w:beforeAutospacing="0" w:after="300" w:afterAutospacing="0"/>
        <w:jc w:val="center"/>
        <w:rPr>
          <w:rFonts w:hint="default" w:ascii="Times New Roman" w:hAnsi="Times New Roman" w:eastAsia="微软雅黑" w:cs="Times New Roman"/>
          <w:color w:val="333333"/>
          <w:sz w:val="45"/>
          <w:szCs w:val="45"/>
        </w:rPr>
      </w:pPr>
      <w:r>
        <w:rPr>
          <w:rFonts w:hint="default" w:ascii="Times New Roman" w:hAnsi="Times New Roman" w:eastAsia="方正小标宋_GBK" w:cs="Times New Roman"/>
          <w:b/>
          <w:bCs/>
          <w:color w:val="333333"/>
          <w:sz w:val="44"/>
          <w:szCs w:val="44"/>
        </w:rPr>
        <w:t>酉阳土家族苗族自治县国家级森林公园管理处2022年部门预算情况说明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黑体_GBK" w:cs="Times New Roman"/>
          <w:color w:val="333333"/>
          <w:sz w:val="32"/>
          <w:szCs w:val="32"/>
        </w:rPr>
      </w:pPr>
      <w:r>
        <w:rPr>
          <w:rFonts w:hint="default" w:ascii="Times New Roman" w:hAnsi="Times New Roman" w:eastAsia="方正黑体_GBK" w:cs="Times New Roman"/>
          <w:color w:val="333333"/>
          <w:sz w:val="32"/>
          <w:szCs w:val="32"/>
        </w:rPr>
        <w:t>一、单位基本情况</w:t>
      </w:r>
    </w:p>
    <w:p>
      <w:pPr>
        <w:pStyle w:val="4"/>
        <w:shd w:val="clear" w:color="auto" w:fill="FFFFFF"/>
        <w:spacing w:before="0" w:beforeAutospacing="0" w:after="0" w:afterAutospacing="0" w:line="420" w:lineRule="atLeast"/>
        <w:ind w:firstLine="480"/>
        <w:jc w:val="both"/>
        <w:rPr>
          <w:rFonts w:hint="default" w:ascii="Times New Roman" w:hAnsi="Times New Roman" w:eastAsia="方正楷体_GBK" w:cs="Times New Roman"/>
          <w:color w:val="333333"/>
          <w:sz w:val="32"/>
          <w:szCs w:val="32"/>
        </w:rPr>
      </w:pPr>
      <w:r>
        <w:rPr>
          <w:rFonts w:hint="default" w:ascii="Times New Roman" w:hAnsi="Times New Roman" w:eastAsia="方正楷体_GBK" w:cs="Times New Roman"/>
          <w:color w:val="333333"/>
          <w:sz w:val="32"/>
          <w:szCs w:val="32"/>
        </w:rPr>
        <w:t>（一）职能职责</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lang w:val="en-US" w:eastAsia="zh-CN"/>
        </w:rPr>
      </w:pPr>
      <w:r>
        <w:rPr>
          <w:rFonts w:hint="default" w:ascii="Times New Roman" w:hAnsi="Times New Roman" w:eastAsia="方正仿宋_GBK" w:cs="Times New Roman"/>
          <w:color w:val="333333"/>
          <w:sz w:val="32"/>
          <w:szCs w:val="32"/>
          <w:lang w:val="en-US" w:eastAsia="zh-CN"/>
        </w:rPr>
        <w:t>负责桃花源国家森林公园和巴尔盖国家森林公园的规划、开发、建设、管理和保护工作。</w:t>
      </w:r>
    </w:p>
    <w:p>
      <w:pPr>
        <w:pStyle w:val="4"/>
        <w:shd w:val="clear" w:color="auto" w:fill="FFFFFF"/>
        <w:spacing w:before="0" w:beforeAutospacing="0" w:after="0" w:afterAutospacing="0" w:line="420" w:lineRule="atLeast"/>
        <w:ind w:firstLine="480"/>
        <w:jc w:val="both"/>
        <w:rPr>
          <w:rFonts w:hint="default" w:ascii="Times New Roman" w:hAnsi="Times New Roman" w:eastAsia="方正楷体_GBK" w:cs="Times New Roman"/>
          <w:color w:val="333333"/>
          <w:sz w:val="32"/>
          <w:szCs w:val="32"/>
        </w:rPr>
      </w:pPr>
      <w:r>
        <w:rPr>
          <w:rFonts w:hint="default" w:ascii="Times New Roman" w:hAnsi="Times New Roman" w:eastAsia="方正楷体_GBK" w:cs="Times New Roman"/>
          <w:color w:val="333333"/>
          <w:sz w:val="32"/>
          <w:szCs w:val="32"/>
        </w:rPr>
        <w:t>（二）单位构成</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本单位无下属机构。</w:t>
      </w:r>
    </w:p>
    <w:p>
      <w:pPr>
        <w:pStyle w:val="4"/>
        <w:shd w:val="clear" w:color="auto" w:fill="FFFFFF"/>
        <w:spacing w:before="0" w:beforeAutospacing="0" w:after="0" w:afterAutospacing="0" w:line="420" w:lineRule="atLeast"/>
        <w:ind w:firstLine="480"/>
        <w:jc w:val="both"/>
        <w:rPr>
          <w:rFonts w:hint="default" w:ascii="Times New Roman" w:hAnsi="Times New Roman" w:eastAsia="方正黑体_GBK" w:cs="Times New Roman"/>
          <w:color w:val="333333"/>
          <w:sz w:val="32"/>
          <w:szCs w:val="32"/>
        </w:rPr>
      </w:pPr>
      <w:r>
        <w:rPr>
          <w:rFonts w:hint="default" w:ascii="Times New Roman" w:hAnsi="Times New Roman" w:eastAsia="方正黑体_GBK" w:cs="Times New Roman"/>
          <w:color w:val="333333"/>
          <w:sz w:val="32"/>
          <w:szCs w:val="32"/>
        </w:rPr>
        <w:t>二、单位收支总体情况</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楷体_GBK" w:cs="Times New Roman"/>
          <w:color w:val="333333"/>
          <w:sz w:val="32"/>
          <w:szCs w:val="32"/>
        </w:rPr>
        <w:t>（一）收入预算：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161.87</w:t>
      </w:r>
      <w:r>
        <w:rPr>
          <w:rFonts w:hint="default" w:ascii="Times New Roman" w:hAnsi="Times New Roman" w:eastAsia="方正仿宋_GBK" w:cs="Times New Roman"/>
          <w:color w:val="333333"/>
          <w:sz w:val="32"/>
          <w:szCs w:val="32"/>
        </w:rPr>
        <w:t>万元，其中：一般公共预算拨款</w:t>
      </w:r>
      <w:r>
        <w:rPr>
          <w:rFonts w:hint="default" w:ascii="Times New Roman" w:hAnsi="Times New Roman" w:eastAsia="方正仿宋_GBK" w:cs="Times New Roman"/>
          <w:color w:val="333333"/>
          <w:sz w:val="32"/>
          <w:szCs w:val="32"/>
          <w:lang w:val="en-US" w:eastAsia="zh-CN"/>
        </w:rPr>
        <w:t>161.87</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楷体_GBK" w:cs="Times New Roman"/>
          <w:color w:val="333333"/>
          <w:sz w:val="32"/>
          <w:szCs w:val="32"/>
        </w:rPr>
        <w:t>（二）支出预算：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161.87</w:t>
      </w:r>
      <w:r>
        <w:rPr>
          <w:rFonts w:hint="default" w:ascii="Times New Roman" w:hAnsi="Times New Roman" w:eastAsia="方正仿宋_GBK" w:cs="Times New Roman"/>
          <w:color w:val="333333"/>
          <w:sz w:val="32"/>
          <w:szCs w:val="32"/>
        </w:rPr>
        <w:t>万元，其中：农林水支出128.65万元</w:t>
      </w:r>
      <w:r>
        <w:rPr>
          <w:rFonts w:hint="eastAsia"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社会保障和就业支出16.71万元</w:t>
      </w:r>
      <w:r>
        <w:rPr>
          <w:rFonts w:hint="eastAsia"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卫生健康支出8.42万元</w:t>
      </w:r>
      <w:r>
        <w:rPr>
          <w:rFonts w:hint="eastAsia"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住房保障支出8.09万元。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黑体_GBK" w:cs="Times New Roman"/>
          <w:color w:val="333333"/>
          <w:sz w:val="32"/>
          <w:szCs w:val="32"/>
        </w:rPr>
      </w:pPr>
      <w:r>
        <w:rPr>
          <w:rFonts w:hint="default" w:ascii="Times New Roman" w:hAnsi="Times New Roman" w:eastAsia="方正黑体_GBK" w:cs="Times New Roman"/>
          <w:color w:val="333333"/>
          <w:sz w:val="32"/>
          <w:szCs w:val="32"/>
        </w:rPr>
        <w:t>三、单位预算情况说明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2022年一般公共预算财政拨款收入</w:t>
      </w:r>
      <w:r>
        <w:rPr>
          <w:rFonts w:hint="default" w:ascii="Times New Roman" w:hAnsi="Times New Roman" w:eastAsia="方正仿宋_GBK" w:cs="Times New Roman"/>
          <w:color w:val="333333"/>
          <w:sz w:val="32"/>
          <w:szCs w:val="32"/>
          <w:lang w:val="en-US" w:eastAsia="zh-CN"/>
        </w:rPr>
        <w:t>161.87</w:t>
      </w:r>
      <w:r>
        <w:rPr>
          <w:rFonts w:hint="default" w:ascii="Times New Roman" w:hAnsi="Times New Roman" w:eastAsia="方正仿宋_GBK" w:cs="Times New Roman"/>
          <w:color w:val="333333"/>
          <w:sz w:val="32"/>
          <w:szCs w:val="32"/>
        </w:rPr>
        <w:t>万元，一般公共预算财政拨款支出</w:t>
      </w:r>
      <w:r>
        <w:rPr>
          <w:rFonts w:hint="default" w:ascii="Times New Roman" w:hAnsi="Times New Roman" w:eastAsia="方正仿宋_GBK" w:cs="Times New Roman"/>
          <w:color w:val="333333"/>
          <w:sz w:val="32"/>
          <w:szCs w:val="32"/>
          <w:lang w:val="en-US" w:eastAsia="zh-CN"/>
        </w:rPr>
        <w:t>161.87</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黑体_GBK" w:cs="Times New Roman"/>
          <w:color w:val="333333"/>
          <w:sz w:val="32"/>
          <w:szCs w:val="32"/>
        </w:rPr>
      </w:pPr>
      <w:r>
        <w:rPr>
          <w:rFonts w:hint="default" w:ascii="Times New Roman" w:hAnsi="Times New Roman" w:eastAsia="方正黑体_GBK" w:cs="Times New Roman"/>
          <w:color w:val="333333"/>
          <w:sz w:val="32"/>
          <w:szCs w:val="32"/>
        </w:rPr>
        <w:t>四、“三公”经费情况说明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2022年“三公”经费预算</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万元。其中：因公出国（境）费用0万元；公务接待费0万元；公务用车运行维护费</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黑体_GBK" w:cs="Times New Roman"/>
          <w:color w:val="333333"/>
          <w:sz w:val="32"/>
          <w:szCs w:val="32"/>
        </w:rPr>
      </w:pPr>
      <w:r>
        <w:rPr>
          <w:rFonts w:hint="default" w:ascii="Times New Roman" w:hAnsi="Times New Roman" w:eastAsia="方正黑体_GBK" w:cs="Times New Roman"/>
          <w:color w:val="333333"/>
          <w:sz w:val="32"/>
          <w:szCs w:val="32"/>
        </w:rPr>
        <w:t>五、其他重要事项的情况说明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楷体_GBK" w:cs="Times New Roman"/>
          <w:color w:val="333333"/>
          <w:sz w:val="32"/>
          <w:szCs w:val="32"/>
        </w:rPr>
        <w:t>（一）机关运行经费。</w:t>
      </w:r>
      <w:r>
        <w:rPr>
          <w:rFonts w:hint="default" w:ascii="Times New Roman" w:hAnsi="Times New Roman" w:eastAsia="方正仿宋_GBK" w:cs="Times New Roman"/>
          <w:sz w:val="32"/>
          <w:szCs w:val="32"/>
        </w:rPr>
        <w:t>我单位不在机关运行经费统计范围之内。</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楷体_GBK" w:cs="Times New Roman"/>
          <w:color w:val="333333"/>
          <w:sz w:val="32"/>
          <w:szCs w:val="32"/>
        </w:rPr>
        <w:t>（二）政府采购情况。</w:t>
      </w:r>
      <w:r>
        <w:rPr>
          <w:rFonts w:hint="default" w:ascii="Times New Roman" w:hAnsi="Times New Roman" w:eastAsia="方正仿宋_GBK" w:cs="Times New Roman"/>
          <w:color w:val="333333"/>
          <w:sz w:val="32"/>
          <w:szCs w:val="32"/>
        </w:rPr>
        <w:t>2022年度无政府采购。</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楷体_GBK" w:cs="Times New Roman"/>
          <w:color w:val="333333"/>
          <w:sz w:val="32"/>
          <w:szCs w:val="32"/>
        </w:rPr>
        <w:t>（三）绩效目标设置情况</w:t>
      </w:r>
      <w:r>
        <w:rPr>
          <w:rFonts w:hint="default" w:ascii="Times New Roman" w:hAnsi="Times New Roman" w:eastAsia="方正仿宋_GBK" w:cs="Times New Roman"/>
          <w:color w:val="333333"/>
          <w:sz w:val="32"/>
          <w:szCs w:val="32"/>
        </w:rPr>
        <w:t>。2022年度无项目支出。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楷体_GBK" w:cs="Times New Roman"/>
          <w:color w:val="333333"/>
          <w:sz w:val="32"/>
          <w:szCs w:val="32"/>
        </w:rPr>
        <w:t>（四）国有资产占有使用情况。</w:t>
      </w:r>
      <w:r>
        <w:rPr>
          <w:rFonts w:hint="default" w:ascii="Times New Roman" w:hAnsi="Times New Roman" w:eastAsia="方正仿宋_GBK" w:cs="Times New Roman"/>
          <w:color w:val="333333"/>
          <w:sz w:val="32"/>
          <w:szCs w:val="32"/>
        </w:rPr>
        <w:t>截止2021年12月，本单位共有车辆</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辆，其中一般公务用车</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辆、执勤执法用车0辆。2022年一般公共预算安排购置车辆0辆，其中一般公务用车0辆、执勤执法用车0辆。</w:t>
      </w:r>
    </w:p>
    <w:p>
      <w:pPr>
        <w:pStyle w:val="4"/>
        <w:shd w:val="clear" w:color="auto" w:fill="FFFFFF"/>
        <w:spacing w:before="0" w:beforeAutospacing="0" w:after="0" w:afterAutospacing="0" w:line="420" w:lineRule="atLeast"/>
        <w:ind w:firstLine="480"/>
        <w:jc w:val="both"/>
        <w:rPr>
          <w:rFonts w:hint="default" w:ascii="Times New Roman" w:hAnsi="Times New Roman" w:eastAsia="方正黑体_GBK" w:cs="Times New Roman"/>
          <w:color w:val="333333"/>
          <w:sz w:val="32"/>
          <w:szCs w:val="32"/>
        </w:rPr>
      </w:pPr>
      <w:r>
        <w:rPr>
          <w:rFonts w:hint="default" w:ascii="Times New Roman" w:hAnsi="Times New Roman" w:eastAsia="方正黑体_GBK" w:cs="Times New Roman"/>
          <w:color w:val="333333"/>
          <w:sz w:val="32"/>
          <w:szCs w:val="32"/>
        </w:rPr>
        <w:t>六、专业性名词解释</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（一）财政拨款收入：指本年度从本级财政部门取得的财政拨款，包括一般公共预算财政拨款和政府性基金预算财政拨款。</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（二）其他收入：指单位取得的除“财政拨款收入”、“事业收入”、“经营收入”等以外的收入。</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（三）基本支出：指为保障机构正常运转、完成日常工作任务而发生的人员经费和公用经费。</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（四）项目支出：指在基本支出之外为完成特定行政任务和事业发展目标所发生的支出。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仿宋_GB2312" w:cs="Times New Roman"/>
          <w:b/>
          <w:sz w:val="32"/>
        </w:rPr>
      </w:pPr>
      <w:r>
        <w:rPr>
          <w:rFonts w:hint="default" w:ascii="Times New Roman" w:hAnsi="Times New Roman" w:eastAsia="方正仿宋_GBK" w:cs="Times New Roman"/>
          <w:b/>
          <w:sz w:val="32"/>
        </w:rPr>
        <w:t xml:space="preserve">部门预算公开联系人： 熊海涛   </w:t>
      </w:r>
      <w:r>
        <w:rPr>
          <w:rFonts w:hint="eastAsia" w:ascii="Times New Roman" w:hAnsi="Times New Roman" w:eastAsia="方正仿宋_GBK" w:cs="Times New Roman"/>
          <w:b/>
          <w:sz w:val="32"/>
          <w:lang w:val="en-US" w:eastAsia="zh-CN"/>
        </w:rPr>
        <w:t xml:space="preserve"> </w:t>
      </w:r>
      <w:bookmarkStart w:id="0" w:name="_GoBack"/>
      <w:bookmarkEnd w:id="0"/>
      <w:r>
        <w:rPr>
          <w:rFonts w:hint="default" w:ascii="Times New Roman" w:hAnsi="Times New Roman" w:eastAsia="方正仿宋_GBK" w:cs="Times New Roman"/>
          <w:b/>
          <w:sz w:val="32"/>
        </w:rPr>
        <w:t xml:space="preserve">  联系方式：  023-75552798</w:t>
      </w:r>
    </w:p>
    <w:p>
      <w:pPr>
        <w:rPr>
          <w:rFonts w:hint="default" w:ascii="Times New Roman" w:hAnsi="Times New Roman" w:eastAsia="方正仿宋_GBK" w:cs="Times New Roman"/>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05D0"/>
    <w:rsid w:val="003005D0"/>
    <w:rsid w:val="00411831"/>
    <w:rsid w:val="005A3233"/>
    <w:rsid w:val="008632BF"/>
    <w:rsid w:val="00A574E2"/>
    <w:rsid w:val="00E70CF4"/>
    <w:rsid w:val="24087307"/>
    <w:rsid w:val="32E304B7"/>
    <w:rsid w:val="3BC520A0"/>
    <w:rsid w:val="3EB735D0"/>
    <w:rsid w:val="56A55663"/>
    <w:rsid w:val="70E86D3F"/>
    <w:rsid w:val="7ECC5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ti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190</Words>
  <Characters>1083</Characters>
  <Lines>9</Lines>
  <Paragraphs>2</Paragraphs>
  <TotalTime>3</TotalTime>
  <ScaleCrop>false</ScaleCrop>
  <LinksUpToDate>false</LinksUpToDate>
  <CharactersWithSpaces>1271</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2022-03-18T07:09:00Z</dcterms:created>
  <dc:creator>admin</dc:creator>
  <cp:lastModifiedBy>Administrator</cp:lastModifiedBy>
  <dcterms:modified xsi:type="dcterms:W3CDTF">2022-01-24T08:42:30Z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