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600" w:lineRule="exact"/>
        <w:jc w:val="center"/>
        <w:rPr>
          <w:rFonts w:hint="default" w:ascii="Times New Roman" w:hAnsi="Times New Roman" w:eastAsia="华文中宋" w:cs="Times New Roman"/>
          <w:sz w:val="44"/>
          <w:szCs w:val="44"/>
        </w:rPr>
      </w:pPr>
    </w:p>
    <w:p>
      <w:pPr>
        <w:spacing w:line="600" w:lineRule="exact"/>
        <w:jc w:val="center"/>
        <w:rPr>
          <w:rFonts w:hint="default" w:ascii="Times New Roman" w:hAnsi="Times New Roman" w:eastAsia="华文中宋" w:cs="Times New Roman"/>
          <w:sz w:val="24"/>
          <w:szCs w:val="24"/>
        </w:rPr>
      </w:pPr>
      <w:r>
        <w:rPr>
          <w:rFonts w:hint="default" w:ascii="Times New Roman" w:hAnsi="Times New Roman" w:eastAsia="方正小标宋_GBK" w:cs="Times New Roman"/>
          <w:sz w:val="44"/>
          <w:szCs w:val="44"/>
        </w:rPr>
        <w:t>酉阳</w:t>
      </w:r>
      <w:r>
        <w:rPr>
          <w:rFonts w:hint="default" w:ascii="Times New Roman" w:hAnsi="Times New Roman" w:eastAsia="方正小标宋_GBK" w:cs="Times New Roman"/>
          <w:sz w:val="44"/>
          <w:szCs w:val="44"/>
          <w:lang w:eastAsia="zh-CN"/>
        </w:rPr>
        <w:t>土家族苗族自治</w:t>
      </w:r>
      <w:r>
        <w:rPr>
          <w:rFonts w:hint="default" w:ascii="Times New Roman" w:hAnsi="Times New Roman" w:eastAsia="方正小标宋_GBK" w:cs="Times New Roman"/>
          <w:sz w:val="44"/>
          <w:szCs w:val="44"/>
        </w:rPr>
        <w:t>县林业局</w:t>
      </w:r>
      <w:r>
        <w:rPr>
          <w:rFonts w:hint="eastAsia" w:ascii="Times New Roman" w:hAnsi="Times New Roman" w:eastAsia="方正小标宋_GBK" w:cs="Times New Roman"/>
          <w:sz w:val="44"/>
          <w:szCs w:val="44"/>
          <w:lang w:eastAsia="zh-CN"/>
        </w:rPr>
        <w:t>（本级）</w:t>
      </w:r>
      <w:bookmarkStart w:id="0" w:name="_GoBack"/>
      <w:bookmarkEnd w:id="0"/>
      <w:r>
        <w:rPr>
          <w:rFonts w:hint="default" w:ascii="Times New Roman" w:hAnsi="Times New Roman" w:eastAsia="方正小标宋_GBK" w:cs="Times New Roman"/>
          <w:sz w:val="44"/>
          <w:szCs w:val="44"/>
        </w:rPr>
        <w:t>2022年部门预算情况说明</w:t>
      </w:r>
    </w:p>
    <w:p>
      <w:pPr>
        <w:spacing w:line="600" w:lineRule="exact"/>
        <w:ind w:firstLine="640" w:firstLineChars="200"/>
        <w:rPr>
          <w:rFonts w:hint="default" w:ascii="Times New Roman" w:hAnsi="Times New Roman" w:eastAsia="方正黑体_GBK" w:cs="Times New Roman"/>
          <w:sz w:val="32"/>
          <w:szCs w:val="32"/>
        </w:rPr>
      </w:pPr>
    </w:p>
    <w:p>
      <w:pPr>
        <w:spacing w:line="600"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一、单位基本情况</w:t>
      </w:r>
    </w:p>
    <w:p>
      <w:pPr>
        <w:spacing w:line="600" w:lineRule="exact"/>
        <w:ind w:firstLine="640" w:firstLineChars="200"/>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（一）职能职责</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1、负责林业和草原及其生态保护修复的监督管理。贯彻执行林业和草原及其生态保护修复的法律、法规、规章，拟订相关政策、规划、标准并组织实施。</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2、牵头组织实施林业和草原等生态保护修复和造林绿化工作。组织实施林业、草原重点生态保护修复工程，指导公益林和商品林的培育，指导、监督全民义务植树、城乡绿化工作。指导林业和草原有害生物防治、检疫工作。开展退耕还林还草。承担林业和草原应对气候变化的有关工作。</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3、负责森林、草原和湿地资源的监督管理。组织开展森林、草原、湿地、石漠化和陆生野生动植物资源动态监测与评价。组织实施并监督执行全县森林采伐限额。负责林地管理，拟订全县林地保护利用规划并组织实施，负责组织公益林划定、申报和保护管理工作，监督管理国有森林资源。负责草原禁牧、草畜平衡和草原生态修复治理工作，监督管理草原的开发利用。负责湿地生态保护修复工作，拟定全县湿地保护规划，监督管理湿地的开发利用。</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4、负责监督管理石漠化防治工作。组织开展石漠化调查，按要求拟订石漠化防治、石漠化土地封禁保护区建设规划和相关地方标准，监督管理石漠化土地的开发利用。</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5、负责陆生野生动植物资源的监督管理。组织开展陆生野生动植物资源调查，参与市级重点保护的陆生野生动物、植物名录的编制，指导陆生野生动植物的救护繁育、栖息地恢复发展 、疫源疫病监测，监督管理陆生野生动植物猎捕或采集、驯养繁殖或培植、经营利用。</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6、负责监督管理各类自然保护地。拟订全县各类自然保护地规划。提出新建、调整各类自然保护地的审核建议并按程序报批。组织开展世界自然遗产的申报，会同有关部门开展世界自然与文化双重遗产的申报。负责全县国家级自然保护地的自然资源资产管理和国土空间用途管制，监督指导其他自然保护地的管理工作。监督管理风景名胜区和地质公园、森林公园、湿地公园、自然遗产等自然公园。负责生物多样性保护相关工作。</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7、负责推进林业和草原改革发展工作。拟订集体林权制度、国有林场、草原等重大改革意见并监督实施。拟订农村林业发展、维护林业经营者合法权益的政策措施，指导农村林地承包经营工作。</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8、贯彻执行中、市林业和草原资源优化配置及木材利用相关政策，拟订相关林业产业县级标准并监督实施，组织、指导林产品质量监督，指导生态扶贫相关工作。负责天然林保护工作。</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9、指导国有林场基本建设和发展，组织林木种子、草种种质资源普查，组织建立种质资源库，负责良种选育推广，管理林木种子种苗、草种生产经营行为，监管林木种子种苗、草种质量。监督管理林业和草原生物种质资源、转基因生物安全、植物新品种保护。</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10、负责林业和草原领域的相关行政执法工作，指导乡镇（街道）林业和草原领域相关行政执法工作。</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11、负责落实综合防灾减灾规划相关要求，组织编制森林和草原火灾防治规划和防护标准并指导实施，指导开展防火巡护、火源管理、防火设施建设等工作。承担森林、草原火灾预防预警监测的相应工作。组织指导国有林场和草原开展宣传教育、监测预警、督促检查等防火工作。必要时，可以提请县应急管理局，以县应急管理指挥机构的名义，部署相关防治工作。</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12、监督管理林业、草原及其生态保护县级以上资金和国有资产。提出林业、草原、湿地和石漠化防治预算内投资、财政性资金安排建议，按县政府规定权限，审核县级规划内和年度计划内投资项目。参与拟订林业和草原经济调节政策，组织实施林业、草原、湿地和石漠化防治生态补偿工作。</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13、负责林业和草原科技、教育和外事工作，指导全县林业和草原人才队伍建设，组织实施林业、草原、湿地和石漠化防治的对外交流与合作事务，承担湿地、防治荒漠化、濒危野生动植物等国际公约履约工作。</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14、依法负责对本行业和产业项目及其附属工程招投标活动实施具体监督，负责项目合同签订后的监督管理。</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15、完成县委、县政府交办的其他任务。</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16、职能转变。县林业局要深入贯彻落实习近平总书记关于建设长江上游重要生态屏障的重要指示精神，以最坚决的态度、最严格的制度、最有力的措施，切实加大生态系统保护力度，实施重要生态系统保护和修复工程，加强森林、草原、湿地和石漠化防治监督管理的统筹协调，大力推进国土绿化行动，持续提高全县森林覆盖率，保障国家生态安全。加快建立自然保护地体系，统一推进各类自然保护地的清理规范和归并整合。全力推进林业生态文明建设各项工作，把酉阳建成山清水秀美丽之地。</w:t>
      </w:r>
    </w:p>
    <w:p>
      <w:pPr>
        <w:spacing w:line="600" w:lineRule="exact"/>
        <w:ind w:firstLine="640" w:firstLineChars="200"/>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（二）单位构成</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 xml:space="preserve">酉阳县林业局机关内设6个职能科室，分别是办公室、规划财务科、政策法规科（行政审批科）、生态修复科（酉阳土家族苗族自治县绿化委员会办公室）、资源管理科、安全生产科（行政执法科）。            </w:t>
      </w:r>
    </w:p>
    <w:p>
      <w:pPr>
        <w:spacing w:line="600" w:lineRule="exact"/>
        <w:ind w:firstLine="640" w:firstLineChars="200"/>
        <w:rPr>
          <w:rFonts w:hint="default" w:ascii="Times New Roman" w:hAnsi="Times New Roman" w:eastAsia="方正仿宋_GBK" w:cs="Times New Roman"/>
          <w:sz w:val="32"/>
        </w:rPr>
      </w:pPr>
      <w:r>
        <w:rPr>
          <w:rFonts w:hint="default" w:ascii="Times New Roman" w:hAnsi="Times New Roman" w:eastAsia="方正仿宋_GBK" w:cs="Times New Roman"/>
          <w:sz w:val="32"/>
        </w:rPr>
        <w:t>所属事业单位有：酉阳土家族苗族自治县林业野生动物保护站、酉阳土家族苗族自治县森林病虫防治检疫站、酉阳土家族苗族自治县林业科技推广中心、酉阳土家族苗族自治县林业调查规划设计队、酉阳土家族苗族自治县天然林保护事务中心、酉阳土家族苗族自治县油茶研究所、酉阳土家族苗族自治县林业造林管理站、酉阳土家族苗族自治县森林火灾预防中心、酉阳土家族苗族自治县国家级森林公园管理处、酉阳土家族苗族自治县大板营自然保护区管理站、酉阳土家族苗族自治县三黛沟大鲵自然保护区管理站、酉阳土家族苗族自治县林业行政执法支队。</w:t>
      </w:r>
    </w:p>
    <w:p>
      <w:pPr>
        <w:spacing w:line="600"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二、部门收支总体情况</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（一）收入预算：</w:t>
      </w:r>
      <w:r>
        <w:rPr>
          <w:rFonts w:hint="default" w:ascii="Times New Roman" w:hAnsi="Times New Roman" w:eastAsia="方正仿宋_GBK" w:cs="Times New Roman"/>
          <w:sz w:val="32"/>
          <w:szCs w:val="32"/>
        </w:rPr>
        <w:t>2022年年初预算数18993.83万元，其中：一般公共预算财政拨款18729.17万元，上年结转收入264.66万元。收入预算较上年减少20471.56万元，主要是一般公共预算财政拨款较上年减少3741.74万元，上年结转收入较上年减少16729.82万元。</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（二）支出预算：</w:t>
      </w:r>
      <w:r>
        <w:rPr>
          <w:rFonts w:hint="default" w:ascii="Times New Roman" w:hAnsi="Times New Roman" w:eastAsia="方正仿宋_GBK" w:cs="Times New Roman"/>
          <w:sz w:val="32"/>
          <w:szCs w:val="32"/>
        </w:rPr>
        <w:t>2022年年初预算数18993.83万元，其中：公共安全支出</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万元，教育支出</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万元，社会保障和就业支出245.18万元，卫生健康支出99.94万元，节能环保支出6279.66万元，资源勘探工业信息等支出</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万元，农林水支出12266.22万元，住房保障支出82.83万元，粮油物资储备支出</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灾害防治及应急管理支出20万元。支出预算较上年减少20471.56万元，主要是基本支出预算减少13.4</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万元，项目支出预算减少20458.15万元。</w:t>
      </w:r>
    </w:p>
    <w:p>
      <w:pPr>
        <w:spacing w:line="600"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三、部门预算情况说明</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2022年一般公共预算财政拨款收入18729.17万元，一般公共预算财政拨款支出18729.17万元，比上年减少3741.74万元，其中：基本支出1766.41万元，比上年减少13.4</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元，主要原因是社会保障和就业支出增加13.18万元，主要</w:t>
      </w:r>
      <w:r>
        <w:rPr>
          <w:rFonts w:hint="default" w:ascii="Times New Roman" w:hAnsi="Times New Roman" w:eastAsia="方正仿宋_GBK" w:cs="Times New Roman"/>
          <w:sz w:val="32"/>
        </w:rPr>
        <w:t>用于保障在职人员工资福利及社会保险缴费，退休人员补助等</w:t>
      </w:r>
      <w:r>
        <w:rPr>
          <w:rFonts w:hint="default" w:ascii="Times New Roman" w:hAnsi="Times New Roman" w:eastAsia="方正仿宋_GBK" w:cs="Times New Roman"/>
          <w:sz w:val="32"/>
          <w:szCs w:val="32"/>
        </w:rPr>
        <w:t>，卫生健康支出增加5.64万元，</w:t>
      </w:r>
      <w:r>
        <w:rPr>
          <w:rFonts w:hint="default" w:ascii="Times New Roman" w:hAnsi="Times New Roman" w:eastAsia="方正仿宋_GBK" w:cs="Times New Roman"/>
          <w:sz w:val="32"/>
        </w:rPr>
        <w:t>主要用于在职及退休人员医疗保障等，农林水支出减少34.76万元，主要用于保障部门正常运转的各项商品服务支出；</w:t>
      </w:r>
      <w:r>
        <w:rPr>
          <w:rFonts w:hint="default" w:ascii="Times New Roman" w:hAnsi="Times New Roman" w:eastAsia="方正仿宋_GBK" w:cs="Times New Roman"/>
          <w:sz w:val="32"/>
          <w:szCs w:val="32"/>
        </w:rPr>
        <w:t>住房保障支出减少2.48万元，</w:t>
      </w:r>
      <w:r>
        <w:rPr>
          <w:rFonts w:hint="default" w:ascii="Times New Roman" w:hAnsi="Times New Roman" w:eastAsia="方正仿宋_GBK" w:cs="Times New Roman"/>
          <w:sz w:val="32"/>
        </w:rPr>
        <w:t>主要用于在职人员住房保障；</w:t>
      </w:r>
      <w:r>
        <w:rPr>
          <w:rFonts w:hint="default" w:ascii="Times New Roman" w:hAnsi="Times New Roman" w:eastAsia="方正仿宋_GBK" w:cs="Times New Roman"/>
          <w:sz w:val="32"/>
          <w:szCs w:val="32"/>
        </w:rPr>
        <w:t>项目支出16962.76万元，比上年减少3728.</w:t>
      </w:r>
      <w:r>
        <w:rPr>
          <w:rFonts w:hint="default" w:ascii="Times New Roman" w:hAnsi="Times New Roman" w:eastAsia="方正仿宋_GBK" w:cs="Times New Roman"/>
          <w:sz w:val="32"/>
          <w:szCs w:val="32"/>
          <w:lang w:val="en-US" w:eastAsia="zh-CN"/>
        </w:rPr>
        <w:t>34</w:t>
      </w:r>
      <w:r>
        <w:rPr>
          <w:rFonts w:hint="default" w:ascii="Times New Roman" w:hAnsi="Times New Roman" w:eastAsia="方正仿宋_GBK" w:cs="Times New Roman"/>
          <w:sz w:val="32"/>
          <w:szCs w:val="32"/>
        </w:rPr>
        <w:t>万元，主要原因是节能环保支出减少3941</w:t>
      </w:r>
      <w:r>
        <w:rPr>
          <w:rFonts w:hint="eastAsia"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rPr>
        <w:t>农林水支出减少212.66万元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主要用于</w:t>
      </w:r>
      <w:r>
        <w:rPr>
          <w:rFonts w:hint="default" w:ascii="Times New Roman" w:hAnsi="Times New Roman" w:eastAsia="方正仿宋_GBK" w:cs="Times New Roman"/>
          <w:sz w:val="32"/>
          <w:szCs w:val="32"/>
          <w:u w:val="none"/>
        </w:rPr>
        <w:t>油茶建设、国土绿化、森林资源保护等林业项目支出。</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lang w:eastAsia="zh-CN"/>
        </w:rPr>
        <w:t>酉阳土家族苗族自治县</w:t>
      </w:r>
      <w:r>
        <w:rPr>
          <w:rFonts w:hint="default" w:ascii="Times New Roman" w:hAnsi="Times New Roman" w:eastAsia="方正仿宋_GBK" w:cs="Times New Roman"/>
          <w:sz w:val="32"/>
        </w:rPr>
        <w:t>林业局</w:t>
      </w:r>
      <w:r>
        <w:rPr>
          <w:rFonts w:hint="default" w:ascii="Times New Roman" w:hAnsi="Times New Roman" w:eastAsia="方正仿宋_GBK" w:cs="Times New Roman"/>
          <w:sz w:val="32"/>
          <w:szCs w:val="32"/>
        </w:rPr>
        <w:t xml:space="preserve">2022年未使用政府性基金预算拨款安排的支出，与上年保持一致。 </w:t>
      </w:r>
    </w:p>
    <w:p>
      <w:pPr>
        <w:spacing w:line="600"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四、“三公”经费情况说明</w:t>
      </w:r>
    </w:p>
    <w:p>
      <w:pPr>
        <w:spacing w:line="600" w:lineRule="exact"/>
        <w:ind w:firstLine="6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2022年“三公”经费预算41.13万元，比上年减少2.15万元，其中：因公出国（境）费用0万元，比上年增加0万元；公务接待费15.58万元，比上年减少0.82万元，主要原因是</w:t>
      </w:r>
      <w:r>
        <w:rPr>
          <w:rFonts w:hint="default" w:ascii="Times New Roman" w:hAnsi="Times New Roman" w:eastAsia="方正仿宋_GBK" w:cs="Times New Roman"/>
          <w:sz w:val="32"/>
        </w:rPr>
        <w:t>单位遵循八项规定，厉行节约，俭省开支</w:t>
      </w:r>
      <w:r>
        <w:rPr>
          <w:rFonts w:hint="default" w:ascii="Times New Roman" w:hAnsi="Times New Roman" w:eastAsia="方正仿宋_GBK" w:cs="Times New Roman"/>
          <w:sz w:val="32"/>
          <w:szCs w:val="32"/>
        </w:rPr>
        <w:t>；公务用车运行维护费25.55万元，比上年减少1.3</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color w:val="auto"/>
          <w:sz w:val="32"/>
          <w:szCs w:val="32"/>
          <w:highlight w:val="none"/>
        </w:rPr>
        <w:t>是</w:t>
      </w:r>
      <w:r>
        <w:rPr>
          <w:rFonts w:hint="default" w:ascii="Times New Roman" w:hAnsi="Times New Roman" w:eastAsia="方正仿宋_GBK" w:cs="Times New Roman"/>
          <w:color w:val="auto"/>
          <w:sz w:val="32"/>
          <w:szCs w:val="32"/>
          <w:highlight w:val="none"/>
          <w:lang w:eastAsia="zh-CN"/>
        </w:rPr>
        <w:t>压减三公经费支出、车辆运行维护费下降</w:t>
      </w:r>
      <w:r>
        <w:rPr>
          <w:rFonts w:hint="default" w:ascii="Times New Roman" w:hAnsi="Times New Roman" w:eastAsia="方正仿宋_GBK" w:cs="Times New Roman"/>
          <w:sz w:val="32"/>
          <w:szCs w:val="32"/>
        </w:rPr>
        <w:t>；公务用车购置0万元，比上年减少0万元。</w:t>
      </w:r>
    </w:p>
    <w:p>
      <w:pPr>
        <w:spacing w:line="600"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五、其他重要事项的情况说明</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1.机关运行经费。2022年一般公共预算财政拨款运行经费278.21万元，比上年减少94.39万元，主要原因为单位在编人员变动及</w:t>
      </w:r>
      <w:r>
        <w:rPr>
          <w:rFonts w:hint="default" w:ascii="Times New Roman" w:hAnsi="Times New Roman" w:eastAsia="方正仿宋_GBK" w:cs="Times New Roman"/>
          <w:sz w:val="32"/>
        </w:rPr>
        <w:t>厉行节约，俭省开支</w:t>
      </w:r>
      <w:r>
        <w:rPr>
          <w:rFonts w:hint="default" w:ascii="Times New Roman" w:hAnsi="Times New Roman" w:eastAsia="方正仿宋_GBK" w:cs="Times New Roman"/>
          <w:sz w:val="32"/>
          <w:szCs w:val="32"/>
        </w:rPr>
        <w:t>。主要用于办公费、印刷费、邮电费、物管费、差旅费、会议费、培训费及其他商品和服务支出等。</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2.政府采购情况。</w:t>
      </w:r>
      <w:r>
        <w:rPr>
          <w:rFonts w:hint="default" w:ascii="Times New Roman" w:hAnsi="Times New Roman" w:eastAsia="方正仿宋_GBK" w:cs="Times New Roman"/>
          <w:sz w:val="32"/>
          <w:szCs w:val="32"/>
          <w:u w:val="none"/>
        </w:rPr>
        <w:t>所属各预算单位政府采购预算总额324.5</w:t>
      </w:r>
      <w:r>
        <w:rPr>
          <w:rFonts w:hint="eastAsia"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万元，其中：政府采购货物预算4.5</w:t>
      </w:r>
      <w:r>
        <w:rPr>
          <w:rFonts w:hint="eastAsia"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万元，政府采购工程预算0</w:t>
      </w:r>
      <w:r>
        <w:rPr>
          <w:rFonts w:hint="eastAsia" w:ascii="Times New Roman" w:hAnsi="Times New Roman" w:eastAsia="方正仿宋_GBK" w:cs="Times New Roman"/>
          <w:sz w:val="32"/>
          <w:szCs w:val="32"/>
          <w:u w:val="none"/>
          <w:lang w:val="en-US" w:eastAsia="zh-CN"/>
        </w:rPr>
        <w:t>.00</w:t>
      </w:r>
      <w:r>
        <w:rPr>
          <w:rFonts w:hint="default" w:ascii="Times New Roman" w:hAnsi="Times New Roman" w:eastAsia="方正仿宋_GBK" w:cs="Times New Roman"/>
          <w:sz w:val="32"/>
          <w:szCs w:val="32"/>
          <w:u w:val="none"/>
        </w:rPr>
        <w:t>万元，政府采购服务预算320</w:t>
      </w:r>
      <w:r>
        <w:rPr>
          <w:rFonts w:hint="eastAsia" w:ascii="Times New Roman" w:hAnsi="Times New Roman" w:eastAsia="方正仿宋_GBK" w:cs="Times New Roman"/>
          <w:sz w:val="32"/>
          <w:szCs w:val="32"/>
          <w:u w:val="none"/>
          <w:lang w:val="en-US" w:eastAsia="zh-CN"/>
        </w:rPr>
        <w:t>.00</w:t>
      </w:r>
      <w:r>
        <w:rPr>
          <w:rFonts w:hint="default" w:ascii="Times New Roman" w:hAnsi="Times New Roman" w:eastAsia="方正仿宋_GBK" w:cs="Times New Roman"/>
          <w:sz w:val="32"/>
          <w:szCs w:val="32"/>
          <w:u w:val="none"/>
        </w:rPr>
        <w:t>万元。一般公共预算拨款政府采购324.5</w:t>
      </w:r>
      <w:r>
        <w:rPr>
          <w:rFonts w:hint="eastAsia"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万元，其中：政府采购货物预算4.5</w:t>
      </w:r>
      <w:r>
        <w:rPr>
          <w:rFonts w:hint="eastAsia"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万元，政府采购工程预算0</w:t>
      </w:r>
      <w:r>
        <w:rPr>
          <w:rFonts w:hint="eastAsia" w:ascii="Times New Roman" w:hAnsi="Times New Roman" w:eastAsia="方正仿宋_GBK" w:cs="Times New Roman"/>
          <w:sz w:val="32"/>
          <w:szCs w:val="32"/>
          <w:u w:val="none"/>
          <w:lang w:val="en-US" w:eastAsia="zh-CN"/>
        </w:rPr>
        <w:t>.00</w:t>
      </w:r>
      <w:r>
        <w:rPr>
          <w:rFonts w:hint="default" w:ascii="Times New Roman" w:hAnsi="Times New Roman" w:eastAsia="方正仿宋_GBK" w:cs="Times New Roman"/>
          <w:sz w:val="32"/>
          <w:szCs w:val="32"/>
          <w:u w:val="none"/>
        </w:rPr>
        <w:t>万元，政府采购服务预算320</w:t>
      </w:r>
      <w:r>
        <w:rPr>
          <w:rFonts w:hint="eastAsia" w:ascii="Times New Roman" w:hAnsi="Times New Roman" w:eastAsia="方正仿宋_GBK" w:cs="Times New Roman"/>
          <w:sz w:val="32"/>
          <w:szCs w:val="32"/>
          <w:u w:val="none"/>
          <w:lang w:val="en-US" w:eastAsia="zh-CN"/>
        </w:rPr>
        <w:t>.00</w:t>
      </w:r>
      <w:r>
        <w:rPr>
          <w:rFonts w:hint="default" w:ascii="Times New Roman" w:hAnsi="Times New Roman" w:eastAsia="方正仿宋_GBK" w:cs="Times New Roman"/>
          <w:sz w:val="32"/>
          <w:szCs w:val="32"/>
          <w:u w:val="none"/>
        </w:rPr>
        <w:t>万元。</w:t>
      </w:r>
    </w:p>
    <w:p>
      <w:pPr>
        <w:ind w:left="105" w:leftChars="50" w:firstLine="480" w:firstLineChars="15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3.绩效目标设置情况。2022年项目支出均实行了绩效目标管理，涉及一般公共预算当年财政拨款16962.76万元。</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4.国有资产占有使用情况。截止2021年12月，所属各预算单位共有车辆</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辆，其中一般公务用车0辆，执法执勤用车6辆（其中4辆正办理资产转出移交手续）。</w:t>
      </w:r>
      <w:r>
        <w:rPr>
          <w:rFonts w:hint="default" w:ascii="Times New Roman" w:hAnsi="Times New Roman" w:eastAsia="方正仿宋_GBK" w:cs="Times New Roman"/>
          <w:sz w:val="32"/>
          <w:szCs w:val="32"/>
          <w:u w:val="none"/>
        </w:rPr>
        <w:t>2022年一般公共预算安排购置车辆0辆，其中一般公务用车0辆，执法执勤用车0辆。</w:t>
      </w:r>
    </w:p>
    <w:p>
      <w:pPr>
        <w:pStyle w:val="11"/>
        <w:tabs>
          <w:tab w:val="center" w:pos="4153"/>
          <w:tab w:val="left" w:pos="7275"/>
        </w:tabs>
        <w:spacing w:line="600" w:lineRule="exact"/>
        <w:ind w:firstLine="640"/>
        <w:jc w:val="left"/>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rPr>
        <w:t>六、专业性名词解释</w:t>
      </w:r>
    </w:p>
    <w:p>
      <w:pPr>
        <w:pStyle w:val="11"/>
        <w:tabs>
          <w:tab w:val="center" w:pos="4153"/>
          <w:tab w:val="left" w:pos="7275"/>
        </w:tabs>
        <w:spacing w:line="600" w:lineRule="exact"/>
        <w:ind w:firstLine="64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（一）财政拨款收入：指本年度从本级财政部门取得的财政拨款，包括一般公共预算财政拨款和政府性基金预算财政拨款。</w:t>
      </w:r>
    </w:p>
    <w:p>
      <w:pPr>
        <w:pStyle w:val="11"/>
        <w:tabs>
          <w:tab w:val="center" w:pos="4153"/>
          <w:tab w:val="left" w:pos="7275"/>
        </w:tabs>
        <w:spacing w:line="600" w:lineRule="exact"/>
        <w:ind w:firstLine="64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（二）其他收入：指单位取得的除“财政拨款收入”、“事业收入”、“经营收入”等以外的收入。</w:t>
      </w:r>
    </w:p>
    <w:p>
      <w:pPr>
        <w:pStyle w:val="11"/>
        <w:tabs>
          <w:tab w:val="center" w:pos="4153"/>
          <w:tab w:val="left" w:pos="7275"/>
        </w:tabs>
        <w:spacing w:line="600" w:lineRule="exact"/>
        <w:ind w:firstLine="64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（三）基本支出：指为保障机构正常运转、完成日常工作任务而发生的人员经费和公用经费。</w:t>
      </w:r>
    </w:p>
    <w:p>
      <w:pPr>
        <w:pStyle w:val="11"/>
        <w:tabs>
          <w:tab w:val="center" w:pos="4153"/>
          <w:tab w:val="left" w:pos="7275"/>
        </w:tabs>
        <w:spacing w:line="600" w:lineRule="exact"/>
        <w:ind w:firstLine="64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（四）项目支出：指在基本支出之外为完成特定行政任务和事业发展目标所发生的支出。</w:t>
      </w:r>
    </w:p>
    <w:p>
      <w:pPr>
        <w:ind w:firstLine="640" w:firstLineChars="200"/>
        <w:rPr>
          <w:rFonts w:hint="default" w:ascii="Times New Roman" w:hAnsi="Times New Roman" w:eastAsia="方正仿宋_GBK" w:cs="Times New Roman"/>
          <w:color w:val="000000"/>
          <w:sz w:val="32"/>
        </w:rPr>
      </w:pPr>
      <w:r>
        <w:rPr>
          <w:rFonts w:hint="default" w:ascii="Times New Roman" w:hAnsi="Times New Roman" w:eastAsia="方正仿宋_GBK" w:cs="Times New Roman"/>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default" w:ascii="Times New Roman" w:hAnsi="Times New Roman" w:eastAsia="仿宋_GB2312" w:cs="Times New Roman"/>
          <w:b/>
          <w:sz w:val="32"/>
        </w:rPr>
      </w:pPr>
      <w:r>
        <w:rPr>
          <w:rFonts w:hint="default" w:ascii="Times New Roman" w:hAnsi="Times New Roman" w:eastAsia="方正仿宋_GBK" w:cs="Times New Roman"/>
          <w:b/>
          <w:sz w:val="32"/>
        </w:rPr>
        <w:t>部门预算公开联系人： 熊海涛     联系方式：  023-75552798</w:t>
      </w:r>
    </w:p>
    <w:p>
      <w:pPr>
        <w:ind w:firstLine="640" w:firstLineChars="200"/>
        <w:rPr>
          <w:rFonts w:hint="default" w:ascii="Times New Roman" w:hAnsi="Times New Roman" w:eastAsia="方正仿宋_GBK" w:cs="Times New Roman"/>
          <w:sz w:val="32"/>
          <w:szCs w:val="32"/>
        </w:rPr>
      </w:pPr>
    </w:p>
    <w:sectPr>
      <w:pgSz w:w="16838" w:h="11906" w:orient="landscape"/>
      <w:pgMar w:top="1440" w:right="1440"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ExpandShiftReturn/>
    <w:adjustLineHeightInTable/>
    <w:useFELayout/>
    <w:compatSetting w:name="compatibilityMode" w:uri="http://schemas.microsoft.com/office/word" w:val="12"/>
  </w:compat>
  <w:rsids>
    <w:rsidRoot w:val="00B25CF0"/>
    <w:rsid w:val="000065FF"/>
    <w:rsid w:val="00025D49"/>
    <w:rsid w:val="000B60FE"/>
    <w:rsid w:val="000C4E67"/>
    <w:rsid w:val="000E4CEC"/>
    <w:rsid w:val="000E6986"/>
    <w:rsid w:val="000E7A86"/>
    <w:rsid w:val="00104156"/>
    <w:rsid w:val="001C295B"/>
    <w:rsid w:val="001F62A7"/>
    <w:rsid w:val="00201E27"/>
    <w:rsid w:val="00295D2E"/>
    <w:rsid w:val="002F0B32"/>
    <w:rsid w:val="00312E35"/>
    <w:rsid w:val="00315FF1"/>
    <w:rsid w:val="00326B00"/>
    <w:rsid w:val="00357D5D"/>
    <w:rsid w:val="00366915"/>
    <w:rsid w:val="003C56C2"/>
    <w:rsid w:val="003F3271"/>
    <w:rsid w:val="00412B49"/>
    <w:rsid w:val="0048380D"/>
    <w:rsid w:val="005124F3"/>
    <w:rsid w:val="00562209"/>
    <w:rsid w:val="005A18E0"/>
    <w:rsid w:val="005A5BC6"/>
    <w:rsid w:val="006E66F0"/>
    <w:rsid w:val="00746575"/>
    <w:rsid w:val="00752E43"/>
    <w:rsid w:val="0075644E"/>
    <w:rsid w:val="0076031D"/>
    <w:rsid w:val="00825E43"/>
    <w:rsid w:val="00892B61"/>
    <w:rsid w:val="009027F8"/>
    <w:rsid w:val="009A024E"/>
    <w:rsid w:val="009C0C1E"/>
    <w:rsid w:val="00A85988"/>
    <w:rsid w:val="00A8754E"/>
    <w:rsid w:val="00AB4CBD"/>
    <w:rsid w:val="00AF7912"/>
    <w:rsid w:val="00B25CF0"/>
    <w:rsid w:val="00B67C25"/>
    <w:rsid w:val="00BA4DA2"/>
    <w:rsid w:val="00BA6131"/>
    <w:rsid w:val="00BB210E"/>
    <w:rsid w:val="00BB7769"/>
    <w:rsid w:val="00C264FA"/>
    <w:rsid w:val="00CB5754"/>
    <w:rsid w:val="00CC1EFB"/>
    <w:rsid w:val="00CC6777"/>
    <w:rsid w:val="00D17EA8"/>
    <w:rsid w:val="00D3598B"/>
    <w:rsid w:val="00DB4CAA"/>
    <w:rsid w:val="00DE312C"/>
    <w:rsid w:val="00E10E1B"/>
    <w:rsid w:val="00E16C64"/>
    <w:rsid w:val="00E4250B"/>
    <w:rsid w:val="00E438FD"/>
    <w:rsid w:val="00E83EC4"/>
    <w:rsid w:val="00F07238"/>
    <w:rsid w:val="00F35787"/>
    <w:rsid w:val="00F602BE"/>
    <w:rsid w:val="00FE3041"/>
    <w:rsid w:val="010049A3"/>
    <w:rsid w:val="0FEA5A1D"/>
    <w:rsid w:val="1B7B40B0"/>
    <w:rsid w:val="1FA549D0"/>
    <w:rsid w:val="5A7644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0"/>
    <w:qFormat/>
    <w:uiPriority w:val="0"/>
    <w:pPr>
      <w:snapToGrid w:val="0"/>
      <w:jc w:val="left"/>
    </w:pPr>
    <w:rPr>
      <w:sz w:val="18"/>
      <w:szCs w:val="18"/>
    </w:rPr>
  </w:style>
  <w:style w:type="paragraph" w:styleId="4">
    <w:name w:val="header"/>
    <w:basedOn w:val="1"/>
    <w:link w:val="9"/>
    <w:qFormat/>
    <w:uiPriority w:val="0"/>
    <w:pPr>
      <w:pBdr>
        <w:bottom w:val="single" w:color="auto" w:sz="6" w:space="1"/>
      </w:pBdr>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8">
    <w:name w:val="批注框文本 Char"/>
    <w:link w:val="2"/>
    <w:qFormat/>
    <w:uiPriority w:val="0"/>
    <w:rPr>
      <w:kern w:val="2"/>
      <w:sz w:val="18"/>
      <w:szCs w:val="18"/>
    </w:rPr>
  </w:style>
  <w:style w:type="character" w:customStyle="1" w:styleId="9">
    <w:name w:val="页眉 Char"/>
    <w:link w:val="4"/>
    <w:qFormat/>
    <w:uiPriority w:val="0"/>
    <w:rPr>
      <w:kern w:val="2"/>
      <w:sz w:val="18"/>
      <w:szCs w:val="18"/>
    </w:rPr>
  </w:style>
  <w:style w:type="character" w:customStyle="1" w:styleId="10">
    <w:name w:val="页脚 Char"/>
    <w:link w:val="3"/>
    <w:qFormat/>
    <w:uiPriority w:val="0"/>
    <w:rPr>
      <w:kern w:val="2"/>
      <w:sz w:val="18"/>
      <w:szCs w:val="18"/>
    </w:rPr>
  </w:style>
  <w:style w:type="paragraph" w:styleId="11">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598</Words>
  <Characters>3411</Characters>
  <Lines>28</Lines>
  <Paragraphs>8</Paragraphs>
  <TotalTime>2</TotalTime>
  <ScaleCrop>false</ScaleCrop>
  <LinksUpToDate>false</LinksUpToDate>
  <CharactersWithSpaces>4001</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2021-12-14T03:09:00Z</dcterms:created>
  <dc:creator>Administrator</dc:creator>
  <cp:lastModifiedBy>Administrator</cp:lastModifiedBy>
  <cp:lastPrinted>2018-01-02T08:11:00Z</cp:lastPrinted>
  <dcterms:modified xsi:type="dcterms:W3CDTF">2022-01-24T08:41:48Z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