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560" w:lineRule="exact"/>
        <w:ind w:firstLine="880" w:firstLineChars="200"/>
        <w:jc w:val="center"/>
        <w:textAlignment w:val="auto"/>
        <w:rPr>
          <w:rFonts w:hint="eastAsia" w:ascii="方正小标宋_GBK" w:hAnsi="方正小标宋_GBK" w:eastAsia="方正小标宋_GBK" w:cs="方正小标宋_GBK"/>
          <w:color w:val="000000"/>
          <w:sz w:val="44"/>
          <w:szCs w:val="44"/>
        </w:rPr>
      </w:pPr>
    </w:p>
    <w:p>
      <w:pPr>
        <w:pageBreakBefore w:val="0"/>
        <w:kinsoku/>
        <w:overflowPunct/>
        <w:topLinePunct w:val="0"/>
        <w:autoSpaceDE/>
        <w:autoSpaceDN/>
        <w:bidi w:val="0"/>
        <w:spacing w:line="56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酉阳土家族苗族自治县交通局</w:t>
      </w:r>
    </w:p>
    <w:p>
      <w:pPr>
        <w:pageBreakBefore w:val="0"/>
        <w:kinsoku/>
        <w:overflowPunct/>
        <w:topLinePunct w:val="0"/>
        <w:autoSpaceDE/>
        <w:autoSpaceDN/>
        <w:bidi w:val="0"/>
        <w:spacing w:line="560" w:lineRule="exact"/>
        <w:ind w:firstLine="880" w:firstLineChars="200"/>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3</w:t>
      </w:r>
      <w:r>
        <w:rPr>
          <w:rFonts w:hint="eastAsia" w:ascii="方正小标宋_GBK" w:hAnsi="方正小标宋_GBK" w:eastAsia="方正小标宋_GBK" w:cs="方正小标宋_GBK"/>
          <w:color w:val="000000"/>
          <w:sz w:val="44"/>
          <w:szCs w:val="44"/>
        </w:rPr>
        <w:t>年政府信息公开工作年度报告</w:t>
      </w:r>
    </w:p>
    <w:p>
      <w:pPr>
        <w:pageBreakBefore w:val="0"/>
        <w:kinsoku/>
        <w:overflowPunct/>
        <w:topLinePunct w:val="0"/>
        <w:autoSpaceDE/>
        <w:autoSpaceDN/>
        <w:bidi w:val="0"/>
        <w:spacing w:line="560" w:lineRule="exact"/>
        <w:ind w:firstLine="640" w:firstLineChars="200"/>
        <w:textAlignment w:val="auto"/>
        <w:rPr>
          <w:rFonts w:ascii="Times New Roman" w:hAnsi="Times New Roman"/>
          <w:color w:val="000000"/>
          <w:szCs w:val="32"/>
        </w:rPr>
      </w:pP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eastAsia" w:ascii="方正黑体_GBK" w:hAnsi="方正黑体_GBK" w:eastAsia="方正黑体_GBK" w:cs="方正黑体_GBK"/>
          <w:color w:val="000000"/>
          <w:szCs w:val="32"/>
          <w:lang w:eastAsia="zh-CN"/>
        </w:rPr>
        <w:t>一、</w:t>
      </w:r>
      <w:r>
        <w:rPr>
          <w:rFonts w:hint="eastAsia" w:ascii="方正黑体_GBK" w:hAnsi="方正黑体_GBK" w:eastAsia="方正黑体_GBK" w:cs="方正黑体_GBK"/>
          <w:color w:val="000000"/>
          <w:szCs w:val="32"/>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2023年以来，为深入</w:t>
      </w:r>
      <w:r>
        <w:rPr>
          <w:rFonts w:hint="eastAsia" w:ascii="Times New Roman" w:hAnsi="Times New Roman" w:cs="Times New Roman"/>
          <w:color w:val="000000"/>
          <w:szCs w:val="32"/>
          <w:lang w:val="en-US" w:eastAsia="zh-CN"/>
        </w:rPr>
        <w:t>学习贯彻</w:t>
      </w:r>
      <w:r>
        <w:rPr>
          <w:rFonts w:hint="default" w:ascii="Times New Roman" w:hAnsi="Times New Roman" w:eastAsia="方正仿宋_GBK" w:cs="Times New Roman"/>
          <w:color w:val="000000"/>
          <w:szCs w:val="32"/>
          <w:lang w:val="en-US" w:eastAsia="zh-CN"/>
        </w:rPr>
        <w:t>习近平新时代中国特色社会主义思想，</w:t>
      </w:r>
      <w:r>
        <w:rPr>
          <w:rFonts w:hint="eastAsia" w:ascii="Times New Roman" w:hAnsi="Times New Roman" w:cs="Times New Roman"/>
          <w:color w:val="000000"/>
          <w:szCs w:val="32"/>
          <w:lang w:val="en-US" w:eastAsia="zh-CN"/>
        </w:rPr>
        <w:t>深入贯彻</w:t>
      </w:r>
      <w:r>
        <w:rPr>
          <w:rFonts w:hint="default" w:ascii="Times New Roman" w:hAnsi="Times New Roman" w:eastAsia="方正仿宋_GBK" w:cs="Times New Roman"/>
          <w:color w:val="000000"/>
          <w:szCs w:val="32"/>
          <w:lang w:val="en-US" w:eastAsia="zh-CN"/>
        </w:rPr>
        <w:t>党的二十大精神</w:t>
      </w:r>
      <w:r>
        <w:rPr>
          <w:rFonts w:hint="eastAsia" w:ascii="Times New Roman" w:hAnsi="Times New Roman" w:cs="Times New Roman"/>
          <w:color w:val="000000"/>
          <w:szCs w:val="32"/>
          <w:lang w:val="en-US" w:eastAsia="zh-CN"/>
        </w:rPr>
        <w:t>，贯彻落实</w:t>
      </w:r>
      <w:r>
        <w:rPr>
          <w:rFonts w:hint="default" w:ascii="Times New Roman" w:hAnsi="Times New Roman" w:eastAsia="方正仿宋_GBK" w:cs="Times New Roman"/>
          <w:color w:val="000000"/>
          <w:szCs w:val="32"/>
          <w:lang w:val="en-US" w:eastAsia="zh-CN"/>
        </w:rPr>
        <w:t>《中华人民共和国政府信息公开条例》</w:t>
      </w:r>
      <w:r>
        <w:rPr>
          <w:rFonts w:hint="eastAsia" w:ascii="Times New Roman" w:hAnsi="Times New Roman" w:cs="Times New Roman"/>
          <w:color w:val="000000"/>
          <w:szCs w:val="32"/>
          <w:lang w:val="en-US" w:eastAsia="zh-CN"/>
        </w:rPr>
        <w:t>相关工作要求，按照</w:t>
      </w:r>
      <w:r>
        <w:rPr>
          <w:rFonts w:hint="default" w:ascii="Times New Roman" w:hAnsi="Times New Roman" w:eastAsia="方正仿宋_GBK" w:cs="Times New Roman"/>
          <w:color w:val="000000"/>
          <w:szCs w:val="32"/>
          <w:lang w:val="en-US" w:eastAsia="zh-CN"/>
        </w:rPr>
        <w:t>县委、县政府的统一部署，酉阳县交通局把政府信息公开工作作为一项重要工作来抓，加强组织领导，健全工作机制，认真贯彻各项要求</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val="en-US" w:eastAsia="zh-CN"/>
        </w:rPr>
        <w:t>按照公开、公正、规范、高效、便民的基本要求坚持依法公开、真实公正、讲求实效、利于监督的原则，结合我局工作实际，扎实推进我</w:t>
      </w:r>
      <w:r>
        <w:rPr>
          <w:rFonts w:hint="eastAsia" w:ascii="Times New Roman" w:hAnsi="Times New Roman" w:eastAsia="方正仿宋_GBK" w:cs="Times New Roman"/>
          <w:color w:val="000000"/>
          <w:szCs w:val="32"/>
          <w:lang w:val="en-US" w:eastAsia="zh-CN"/>
        </w:rPr>
        <w:t>局</w:t>
      </w:r>
      <w:r>
        <w:rPr>
          <w:rFonts w:hint="default" w:ascii="Times New Roman" w:hAnsi="Times New Roman" w:eastAsia="方正仿宋_GBK" w:cs="Times New Roman"/>
          <w:color w:val="000000"/>
          <w:szCs w:val="32"/>
          <w:lang w:val="en-US" w:eastAsia="zh-CN"/>
        </w:rPr>
        <w:t>政务公开工作。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szCs w:val="32"/>
          <w:lang w:val="en-US" w:eastAsia="zh-CN"/>
        </w:rPr>
      </w:pPr>
      <w:r>
        <w:rPr>
          <w:rFonts w:hint="eastAsia" w:ascii="方正楷体_GBK" w:hAnsi="方正楷体_GBK" w:eastAsia="方正楷体_GBK" w:cs="方正楷体_GBK"/>
          <w:color w:val="000000"/>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我局严格按照</w:t>
      </w:r>
      <w:r>
        <w:rPr>
          <w:rFonts w:hint="default" w:ascii="Times New Roman" w:hAnsi="Times New Roman" w:eastAsia="方正仿宋_GBK" w:cs="Times New Roman"/>
          <w:color w:val="000000"/>
          <w:szCs w:val="32"/>
          <w:lang w:val="en-US" w:eastAsia="zh-CN"/>
        </w:rPr>
        <w:t>《中华人民共和国政府信息公开条例》</w:t>
      </w:r>
      <w:r>
        <w:rPr>
          <w:rFonts w:hint="eastAsia" w:ascii="Times New Roman" w:hAnsi="Times New Roman" w:cs="Times New Roman"/>
          <w:color w:val="000000"/>
          <w:szCs w:val="32"/>
          <w:lang w:val="en-US" w:eastAsia="zh-CN"/>
        </w:rPr>
        <w:t>要求</w:t>
      </w:r>
      <w:r>
        <w:rPr>
          <w:rFonts w:hint="eastAsia" w:ascii="Times New Roman" w:hAnsi="Times New Roman" w:eastAsia="方正仿宋_GBK" w:cs="Times New Roman"/>
          <w:color w:val="000000"/>
          <w:szCs w:val="32"/>
          <w:lang w:val="en-US" w:eastAsia="zh-CN"/>
        </w:rPr>
        <w:t>，始终坚持</w:t>
      </w:r>
      <w:r>
        <w:rPr>
          <w:rFonts w:hint="default" w:ascii="Times New Roman" w:hAnsi="Times New Roman" w:eastAsia="方正仿宋_GBK" w:cs="Times New Roman"/>
          <w:color w:val="000000"/>
          <w:szCs w:val="32"/>
          <w:lang w:val="en-US" w:eastAsia="zh-CN"/>
        </w:rPr>
        <w:t>“</w:t>
      </w:r>
      <w:r>
        <w:rPr>
          <w:rFonts w:hint="eastAsia" w:ascii="Times New Roman" w:hAnsi="Times New Roman" w:eastAsia="方正仿宋_GBK" w:cs="Times New Roman"/>
          <w:color w:val="000000"/>
          <w:szCs w:val="32"/>
          <w:lang w:val="en-US" w:eastAsia="zh-CN"/>
        </w:rPr>
        <w:t>以公开为常态，不公开为例外</w:t>
      </w:r>
      <w:r>
        <w:rPr>
          <w:rFonts w:hint="default" w:ascii="Times New Roman" w:hAnsi="Times New Roman" w:eastAsia="方正仿宋_GBK" w:cs="Times New Roman"/>
          <w:color w:val="000000"/>
          <w:szCs w:val="32"/>
          <w:lang w:val="en-US" w:eastAsia="zh-CN"/>
        </w:rPr>
        <w:t>”</w:t>
      </w:r>
      <w:r>
        <w:rPr>
          <w:rFonts w:hint="eastAsia" w:ascii="Times New Roman" w:hAnsi="Times New Roman" w:eastAsia="方正仿宋_GBK" w:cs="Times New Roman"/>
          <w:color w:val="000000"/>
          <w:szCs w:val="32"/>
          <w:lang w:val="en-US" w:eastAsia="zh-CN"/>
        </w:rPr>
        <w:t>的原则，做到及时、准确、公开、公正、便民。截至</w:t>
      </w:r>
      <w:r>
        <w:rPr>
          <w:rFonts w:hint="eastAsia" w:ascii="Times New Roman" w:hAnsi="Times New Roman" w:cs="Times New Roman"/>
          <w:color w:val="000000"/>
          <w:szCs w:val="32"/>
          <w:lang w:val="en-US" w:eastAsia="zh-CN"/>
        </w:rPr>
        <w:t>2023年</w:t>
      </w:r>
      <w:r>
        <w:rPr>
          <w:rFonts w:hint="default" w:ascii="Times New Roman" w:hAnsi="Times New Roman" w:eastAsia="方正仿宋_GBK" w:cs="Times New Roman"/>
          <w:color w:val="000000"/>
          <w:szCs w:val="32"/>
          <w:lang w:val="en-US" w:eastAsia="zh-CN"/>
        </w:rPr>
        <w:t>12</w:t>
      </w:r>
      <w:r>
        <w:rPr>
          <w:rFonts w:hint="eastAsia" w:ascii="Times New Roman" w:hAnsi="Times New Roman" w:eastAsia="方正仿宋_GBK" w:cs="Times New Roman"/>
          <w:color w:val="000000"/>
          <w:szCs w:val="32"/>
          <w:lang w:val="en-US" w:eastAsia="zh-CN"/>
        </w:rPr>
        <w:t>月</w:t>
      </w:r>
      <w:r>
        <w:rPr>
          <w:rFonts w:hint="default" w:ascii="Times New Roman" w:hAnsi="Times New Roman" w:eastAsia="方正仿宋_GBK" w:cs="Times New Roman"/>
          <w:color w:val="000000"/>
          <w:szCs w:val="32"/>
          <w:lang w:val="en-US" w:eastAsia="zh-CN"/>
        </w:rPr>
        <w:t>31</w:t>
      </w:r>
      <w:r>
        <w:rPr>
          <w:rFonts w:hint="eastAsia" w:ascii="Times New Roman" w:hAnsi="Times New Roman" w:eastAsia="方正仿宋_GBK" w:cs="Times New Roman"/>
          <w:color w:val="000000"/>
          <w:szCs w:val="32"/>
          <w:lang w:val="en-US" w:eastAsia="zh-CN"/>
        </w:rPr>
        <w:t>日，我局通过政府网站县交通局子站发布规划、行政许可、行政处罚、监督检查、行政权力和公共服务事项、办事指南等网站信息共1077条。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000000"/>
          <w:szCs w:val="32"/>
          <w:lang w:val="en-US" w:eastAsia="zh-CN"/>
        </w:rPr>
      </w:pPr>
      <w:r>
        <w:rPr>
          <w:rFonts w:hint="eastAsia" w:ascii="方正楷体_GBK" w:hAnsi="方正楷体_GBK" w:eastAsia="方正楷体_GBK" w:cs="方正楷体_GBK"/>
          <w:color w:val="000000"/>
          <w:szCs w:val="32"/>
          <w:lang w:val="en-US" w:eastAsia="zh-CN"/>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202</w:t>
      </w:r>
      <w:r>
        <w:rPr>
          <w:rFonts w:hint="eastAsia" w:ascii="Times New Roman" w:hAnsi="Times New Roman" w:eastAsia="方正仿宋_GBK" w:cs="Times New Roman"/>
          <w:color w:val="000000"/>
          <w:szCs w:val="32"/>
          <w:lang w:val="en-US" w:eastAsia="zh-CN"/>
        </w:rPr>
        <w:t>3年，我局受理</w:t>
      </w:r>
      <w:r>
        <w:rPr>
          <w:rFonts w:hint="eastAsia" w:ascii="Times New Roman" w:hAnsi="Times New Roman" w:cs="Times New Roman"/>
          <w:color w:val="000000"/>
          <w:szCs w:val="32"/>
          <w:lang w:val="en-US" w:eastAsia="zh-CN"/>
        </w:rPr>
        <w:t>政府信息</w:t>
      </w:r>
      <w:r>
        <w:rPr>
          <w:rFonts w:hint="eastAsia" w:ascii="Times New Roman" w:hAnsi="Times New Roman" w:eastAsia="方正仿宋_GBK" w:cs="Times New Roman"/>
          <w:color w:val="000000"/>
          <w:szCs w:val="32"/>
          <w:lang w:val="en-US" w:eastAsia="zh-CN"/>
        </w:rPr>
        <w:t>依申请公开</w:t>
      </w:r>
      <w:r>
        <w:rPr>
          <w:rFonts w:hint="eastAsia" w:ascii="Times New Roman" w:hAnsi="Times New Roman" w:cs="Times New Roman"/>
          <w:color w:val="000000"/>
          <w:szCs w:val="32"/>
          <w:lang w:val="en-US" w:eastAsia="zh-CN"/>
        </w:rPr>
        <w:t>3</w:t>
      </w:r>
      <w:r>
        <w:rPr>
          <w:rFonts w:hint="eastAsia" w:ascii="Times New Roman" w:hAnsi="Times New Roman" w:eastAsia="方正仿宋_GBK" w:cs="Times New Roman"/>
          <w:color w:val="000000"/>
          <w:szCs w:val="32"/>
          <w:lang w:val="en-US" w:eastAsia="zh-CN"/>
        </w:rPr>
        <w:t>件</w:t>
      </w:r>
      <w:r>
        <w:rPr>
          <w:rFonts w:hint="eastAsia" w:ascii="Times New Roman" w:hAnsi="Times New Roman" w:cs="Times New Roman"/>
          <w:color w:val="000000"/>
          <w:szCs w:val="32"/>
          <w:lang w:val="en-US" w:eastAsia="zh-CN"/>
        </w:rPr>
        <w:t>，均已经规范办结。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000000"/>
          <w:szCs w:val="32"/>
          <w:lang w:val="en-US" w:eastAsia="zh-CN"/>
        </w:rPr>
      </w:pPr>
      <w:r>
        <w:rPr>
          <w:rFonts w:hint="eastAsia" w:ascii="方正楷体_GBK" w:hAnsi="方正楷体_GBK" w:eastAsia="方正楷体_GBK" w:cs="方正楷体_GBK"/>
          <w:color w:val="000000"/>
          <w:szCs w:val="32"/>
          <w:lang w:val="en-US" w:eastAsia="zh-CN"/>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我局高度重视政府信息公开的管理工作，落实专人负责更新维护，对负责人员进行针对性的培训和辅导，大大提高了政府信息公开的效率。我局注重制度建设，严格落实</w:t>
      </w:r>
      <w:r>
        <w:rPr>
          <w:rFonts w:hint="default" w:ascii="Times New Roman" w:hAnsi="Times New Roman" w:eastAsia="方正仿宋_GBK" w:cs="Times New Roman"/>
          <w:color w:val="000000"/>
          <w:szCs w:val="32"/>
          <w:lang w:val="en-US" w:eastAsia="zh-CN"/>
        </w:rPr>
        <w:t>“</w:t>
      </w:r>
      <w:r>
        <w:rPr>
          <w:rFonts w:hint="eastAsia" w:ascii="Times New Roman" w:hAnsi="Times New Roman" w:eastAsia="方正仿宋_GBK" w:cs="Times New Roman"/>
          <w:color w:val="000000"/>
          <w:szCs w:val="32"/>
          <w:lang w:val="en-US" w:eastAsia="zh-CN"/>
        </w:rPr>
        <w:t>三校三审</w:t>
      </w:r>
      <w:r>
        <w:rPr>
          <w:rFonts w:hint="default" w:ascii="Times New Roman" w:hAnsi="Times New Roman" w:eastAsia="方正仿宋_GBK" w:cs="Times New Roman"/>
          <w:color w:val="000000"/>
          <w:szCs w:val="32"/>
          <w:lang w:val="en-US" w:eastAsia="zh-CN"/>
        </w:rPr>
        <w:t>”</w:t>
      </w:r>
      <w:r>
        <w:rPr>
          <w:rFonts w:hint="eastAsia" w:ascii="Times New Roman" w:hAnsi="Times New Roman" w:eastAsia="方正仿宋_GBK" w:cs="Times New Roman"/>
          <w:color w:val="000000"/>
          <w:szCs w:val="32"/>
          <w:lang w:val="en-US" w:eastAsia="zh-CN"/>
        </w:rPr>
        <w:t>制度和保密审查制度，严格区分主动公开、依申请公开、不予公开工作等信息，并加强对信息公开工作的考核，有效提升了信息公开工作的质量。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000000"/>
          <w:szCs w:val="32"/>
          <w:lang w:val="en-US" w:eastAsia="zh-CN"/>
        </w:rPr>
      </w:pPr>
      <w:r>
        <w:rPr>
          <w:rFonts w:hint="eastAsia" w:ascii="方正楷体_GBK" w:hAnsi="方正楷体_GBK" w:eastAsia="方正楷体_GBK" w:cs="方正楷体_GBK"/>
          <w:color w:val="000000"/>
          <w:szCs w:val="32"/>
          <w:lang w:val="en-US" w:eastAsia="zh-CN"/>
        </w:rPr>
        <w:t>（四）平台建设情况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lang w:val="en-US" w:eastAsia="zh-CN"/>
        </w:rPr>
        <w:t>202</w:t>
      </w:r>
      <w:r>
        <w:rPr>
          <w:rFonts w:hint="eastAsia" w:ascii="Times New Roman" w:hAnsi="Times New Roman" w:eastAsia="方正仿宋_GBK" w:cs="Times New Roman"/>
          <w:color w:val="000000"/>
          <w:szCs w:val="32"/>
          <w:lang w:val="en-US" w:eastAsia="zh-CN"/>
        </w:rPr>
        <w:t>3年，县交通局将政府网站县交通局子站作为政府信息公开的重要平台和途径，同时充分利用县交通综合大楼宣传栏、公开信箱回复、酉诉即办平台、民呼我为平台等方式拓展主动公开的渠道和方式，全年回复公开信箱17条，网络问</w:t>
      </w:r>
      <w:r>
        <w:rPr>
          <w:rFonts w:hint="eastAsia" w:ascii="Times New Roman" w:hAnsi="Times New Roman" w:eastAsia="方正仿宋_GBK" w:cs="Times New Roman"/>
          <w:color w:val="000000"/>
          <w:szCs w:val="32"/>
        </w:rPr>
        <w:t>政</w:t>
      </w:r>
      <w:r>
        <w:rPr>
          <w:rFonts w:hint="eastAsia" w:ascii="Times New Roman" w:hAnsi="Times New Roman" w:eastAsia="方正仿宋_GBK" w:cs="Times New Roman"/>
          <w:color w:val="000000"/>
          <w:szCs w:val="32"/>
          <w:lang w:val="en-US" w:eastAsia="zh-CN"/>
        </w:rPr>
        <w:t>20</w:t>
      </w:r>
      <w:r>
        <w:rPr>
          <w:rFonts w:hint="eastAsia" w:ascii="Times New Roman" w:hAnsi="Times New Roman" w:eastAsia="方正仿宋_GBK" w:cs="Times New Roman"/>
          <w:color w:val="000000"/>
          <w:szCs w:val="32"/>
        </w:rPr>
        <w:t>件，酉诉即办</w:t>
      </w:r>
      <w:r>
        <w:rPr>
          <w:rFonts w:hint="eastAsia" w:ascii="Times New Roman" w:hAnsi="Times New Roman" w:eastAsia="方正仿宋_GBK" w:cs="Times New Roman"/>
          <w:color w:val="000000"/>
          <w:szCs w:val="32"/>
          <w:lang w:val="en-US" w:eastAsia="zh-CN"/>
        </w:rPr>
        <w:t>66</w:t>
      </w:r>
      <w:r>
        <w:rPr>
          <w:rFonts w:hint="eastAsia" w:ascii="Times New Roman" w:hAnsi="Times New Roman" w:eastAsia="方正仿宋_GBK" w:cs="Times New Roman"/>
          <w:color w:val="000000"/>
          <w:szCs w:val="32"/>
        </w:rPr>
        <w:t>件</w:t>
      </w:r>
      <w:r>
        <w:rPr>
          <w:rFonts w:hint="eastAsia" w:ascii="Times New Roman" w:hAnsi="Times New Roman" w:eastAsia="方正仿宋_GBK" w:cs="Times New Roman"/>
          <w:color w:val="000000"/>
          <w:szCs w:val="32"/>
          <w:lang w:eastAsia="zh-CN"/>
        </w:rPr>
        <w:t>，民呼我为</w:t>
      </w:r>
      <w:r>
        <w:rPr>
          <w:rFonts w:hint="eastAsia" w:ascii="Times New Roman" w:hAnsi="Times New Roman" w:cs="Times New Roman"/>
          <w:color w:val="000000"/>
          <w:szCs w:val="32"/>
          <w:lang w:val="en-US" w:eastAsia="zh-CN"/>
        </w:rPr>
        <w:t>298</w:t>
      </w:r>
      <w:r>
        <w:rPr>
          <w:rFonts w:hint="eastAsia" w:ascii="Times New Roman" w:hAnsi="Times New Roman" w:eastAsia="方正仿宋_GBK" w:cs="Times New Roman"/>
          <w:color w:val="000000"/>
          <w:szCs w:val="32"/>
          <w:lang w:val="en-US" w:eastAsia="zh-CN"/>
        </w:rPr>
        <w:t>件</w:t>
      </w:r>
      <w:r>
        <w:rPr>
          <w:rFonts w:hint="eastAsia" w:ascii="Times New Roman" w:hAnsi="Times New Roman" w:eastAsia="方正仿宋_GBK" w:cs="Times New Roman"/>
          <w:color w:val="00000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000000"/>
          <w:szCs w:val="32"/>
          <w:lang w:val="en-US" w:eastAsia="zh-CN"/>
        </w:rPr>
      </w:pPr>
      <w:r>
        <w:rPr>
          <w:rFonts w:hint="eastAsia" w:ascii="方正楷体_GBK" w:hAnsi="方正楷体_GBK" w:eastAsia="方正楷体_GBK" w:cs="方正楷体_GBK"/>
          <w:color w:val="000000"/>
          <w:szCs w:val="32"/>
          <w:lang w:val="en-US" w:eastAsia="zh-CN"/>
        </w:rPr>
        <w:t>（五）监督保障情况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我局强化监督保障机制，</w:t>
      </w:r>
      <w:r>
        <w:rPr>
          <w:rFonts w:hint="eastAsia" w:ascii="Times New Roman" w:hAnsi="Times New Roman" w:eastAsia="方正仿宋_GBK" w:cs="Times New Roman"/>
          <w:color w:val="000000"/>
          <w:szCs w:val="32"/>
          <w:lang w:eastAsia="zh-CN"/>
        </w:rPr>
        <w:t>在充分落实“三校三审”制度的同时，</w:t>
      </w:r>
      <w:r>
        <w:rPr>
          <w:rFonts w:hint="eastAsia" w:ascii="Times New Roman" w:hAnsi="Times New Roman" w:eastAsia="方正仿宋_GBK" w:cs="Times New Roman"/>
          <w:color w:val="000000"/>
          <w:szCs w:val="32"/>
        </w:rPr>
        <w:t>将政务公开情况作为交通系统领导干部工作考核的重要内容。</w:t>
      </w:r>
      <w:r>
        <w:rPr>
          <w:rFonts w:hint="eastAsia" w:ascii="Times New Roman" w:hAnsi="Times New Roman" w:eastAsia="方正仿宋_GBK" w:cs="Times New Roman"/>
          <w:color w:val="000000"/>
          <w:szCs w:val="32"/>
          <w:lang w:eastAsia="zh-CN"/>
        </w:rPr>
        <w:t>我局落实专人负责，</w:t>
      </w:r>
      <w:r>
        <w:rPr>
          <w:rFonts w:hint="eastAsia" w:ascii="Times New Roman" w:hAnsi="Times New Roman" w:eastAsia="方正仿宋_GBK" w:cs="Times New Roman"/>
          <w:color w:val="000000"/>
          <w:szCs w:val="32"/>
        </w:rPr>
        <w:t>积极组织相关人员参加政府信息公开工作相关培训。建立长效管理机制</w:t>
      </w:r>
      <w:r>
        <w:rPr>
          <w:rFonts w:hint="eastAsia" w:ascii="Times New Roman" w:hAnsi="Times New Roman" w:eastAsia="方正仿宋_GBK" w:cs="Times New Roman"/>
          <w:color w:val="000000"/>
          <w:szCs w:val="32"/>
          <w:lang w:eastAsia="zh-CN"/>
        </w:rPr>
        <w:t>，</w:t>
      </w:r>
      <w:r>
        <w:rPr>
          <w:rFonts w:hint="eastAsia" w:ascii="Times New Roman" w:hAnsi="Times New Roman" w:eastAsia="方正仿宋_GBK" w:cs="Times New Roman"/>
          <w:color w:val="000000"/>
          <w:szCs w:val="32"/>
        </w:rPr>
        <w:t>鼓励</w:t>
      </w:r>
      <w:r>
        <w:rPr>
          <w:rFonts w:hint="eastAsia" w:ascii="Times New Roman" w:hAnsi="Times New Roman" w:eastAsia="方正仿宋_GBK" w:cs="Times New Roman"/>
          <w:color w:val="000000"/>
          <w:szCs w:val="32"/>
          <w:lang w:eastAsia="zh-CN"/>
        </w:rPr>
        <w:t>群众和全体</w:t>
      </w:r>
      <w:r>
        <w:rPr>
          <w:rFonts w:hint="eastAsia" w:ascii="Times New Roman" w:hAnsi="Times New Roman" w:eastAsia="方正仿宋_GBK" w:cs="Times New Roman"/>
          <w:color w:val="000000"/>
          <w:szCs w:val="32"/>
        </w:rPr>
        <w:t>干部职工积极参与政府公开信息发布的监督，更好地服务政府、社会和群众。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二、主动公开政府信息情况</w:t>
      </w:r>
    </w:p>
    <w:tbl>
      <w:tblPr>
        <w:tblStyle w:val="4"/>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信息内容</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本年制发件数</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本年废止件数</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szCs w:val="20"/>
              </w:rPr>
            </w:pPr>
            <w:r>
              <w:rPr>
                <w:rFonts w:hint="eastAsia" w:ascii="Times New Roman" w:hAnsi="Times New Roman" w:eastAsia="宋体" w:cs="宋体"/>
                <w:kern w:val="0"/>
                <w:sz w:val="20"/>
                <w:szCs w:val="20"/>
                <w:lang w:bidi="ar"/>
              </w:rPr>
              <w:t>规章</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eastAsia" w:ascii="Times New Roman" w:hAnsi="Times New Roman" w:eastAsia="宋体"/>
                <w:szCs w:val="20"/>
                <w:lang w:val="en-US" w:eastAsia="zh-CN"/>
              </w:rPr>
            </w:pPr>
            <w:r>
              <w:rPr>
                <w:rFonts w:hint="eastAsia" w:ascii="Times New Roman" w:hAnsi="Times New Roman" w:eastAsia="宋体" w:cs="宋体"/>
                <w:kern w:val="0"/>
                <w:sz w:val="20"/>
                <w:szCs w:val="20"/>
                <w:lang w:bidi="ar"/>
              </w:rPr>
              <w:t>　　</w:t>
            </w:r>
            <w:r>
              <w:rPr>
                <w:rFonts w:hint="eastAsia" w:ascii="Times New Roman" w:hAnsi="Times New Roman" w:eastAsia="宋体" w:cs="宋体"/>
                <w:kern w:val="0"/>
                <w:sz w:val="20"/>
                <w:szCs w:val="20"/>
                <w:lang w:val="en-US" w:eastAsia="zh-CN" w:bidi="ar"/>
              </w:rPr>
              <w:t>0</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eastAsia" w:ascii="Times New Roman" w:hAnsi="Times New Roman" w:eastAsia="宋体"/>
                <w:szCs w:val="20"/>
                <w:lang w:val="en-US" w:eastAsia="zh-CN"/>
              </w:rPr>
            </w:pPr>
            <w:r>
              <w:rPr>
                <w:rFonts w:hint="eastAsia" w:ascii="Times New Roman" w:hAnsi="Times New Roman" w:eastAsia="宋体" w:cs="宋体"/>
                <w:kern w:val="0"/>
                <w:sz w:val="20"/>
                <w:szCs w:val="20"/>
                <w:lang w:bidi="ar"/>
              </w:rPr>
              <w:t> 　</w:t>
            </w:r>
            <w:r>
              <w:rPr>
                <w:rFonts w:hint="eastAsia" w:ascii="Times New Roman" w:hAnsi="Times New Roman" w:eastAsia="宋体" w:cs="宋体"/>
                <w:kern w:val="0"/>
                <w:sz w:val="20"/>
                <w:szCs w:val="20"/>
                <w:lang w:val="en-US" w:eastAsia="zh-CN" w:bidi="ar"/>
              </w:rPr>
              <w:t>0</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eastAsia" w:ascii="Times New Roman" w:hAnsi="Times New Roman" w:eastAsia="等线"/>
                <w:szCs w:val="20"/>
                <w:lang w:val="en-US" w:eastAsia="zh-CN"/>
              </w:rPr>
            </w:pPr>
            <w:r>
              <w:rPr>
                <w:rFonts w:ascii="Times New Roman" w:hAnsi="Times New Roman" w:eastAsia="等线" w:cs="Calibri"/>
                <w:kern w:val="0"/>
                <w:sz w:val="21"/>
                <w:szCs w:val="21"/>
                <w:lang w:bidi="ar"/>
              </w:rPr>
              <w:t> </w:t>
            </w:r>
            <w:r>
              <w:rPr>
                <w:rFonts w:hint="eastAsia" w:ascii="Times New Roman" w:hAnsi="Times New Roman" w:eastAsia="等线"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szCs w:val="20"/>
              </w:rPr>
            </w:pPr>
            <w:r>
              <w:rPr>
                <w:rFonts w:hint="eastAsia" w:ascii="Times New Roman" w:hAnsi="Times New Roman" w:eastAsia="宋体" w:cs="宋体"/>
                <w:kern w:val="0"/>
                <w:sz w:val="20"/>
                <w:szCs w:val="20"/>
                <w:lang w:bidi="ar"/>
              </w:rPr>
              <w:t>行政规范性文件</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eastAsia" w:ascii="Times New Roman" w:hAnsi="Times New Roman" w:eastAsia="宋体"/>
                <w:szCs w:val="20"/>
                <w:lang w:val="en-US" w:eastAsia="zh-CN"/>
              </w:rPr>
            </w:pPr>
            <w:r>
              <w:rPr>
                <w:rFonts w:hint="eastAsia" w:ascii="Times New Roman" w:hAnsi="Times New Roman" w:eastAsia="宋体" w:cs="宋体"/>
                <w:kern w:val="0"/>
                <w:sz w:val="20"/>
                <w:szCs w:val="20"/>
                <w:lang w:bidi="ar"/>
              </w:rPr>
              <w:t>　　</w:t>
            </w:r>
            <w:r>
              <w:rPr>
                <w:rFonts w:hint="eastAsia" w:ascii="Times New Roman" w:hAnsi="Times New Roman" w:eastAsia="宋体" w:cs="宋体"/>
                <w:kern w:val="0"/>
                <w:sz w:val="20"/>
                <w:szCs w:val="20"/>
                <w:lang w:val="en-US" w:eastAsia="zh-CN" w:bidi="ar"/>
              </w:rPr>
              <w:t>0</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eastAsia" w:ascii="Times New Roman" w:hAnsi="Times New Roman" w:eastAsia="宋体"/>
                <w:szCs w:val="20"/>
                <w:lang w:val="en-US" w:eastAsia="zh-CN"/>
              </w:rPr>
            </w:pPr>
            <w:r>
              <w:rPr>
                <w:rFonts w:hint="eastAsia" w:ascii="Times New Roman" w:hAnsi="Times New Roman" w:eastAsia="宋体" w:cs="宋体"/>
                <w:kern w:val="0"/>
                <w:sz w:val="20"/>
                <w:szCs w:val="20"/>
                <w:lang w:bidi="ar"/>
              </w:rPr>
              <w:t> 　</w:t>
            </w:r>
            <w:r>
              <w:rPr>
                <w:rFonts w:hint="eastAsia" w:ascii="Times New Roman" w:hAnsi="Times New Roman" w:eastAsia="宋体" w:cs="宋体"/>
                <w:kern w:val="0"/>
                <w:sz w:val="20"/>
                <w:szCs w:val="20"/>
                <w:lang w:val="en-US" w:eastAsia="zh-CN" w:bidi="ar"/>
              </w:rPr>
              <w:t>0</w:t>
            </w:r>
          </w:p>
        </w:tc>
        <w:tc>
          <w:tcPr>
            <w:tcW w:w="2435"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eastAsia" w:ascii="Times New Roman" w:hAnsi="Times New Roman" w:eastAsia="等线"/>
                <w:szCs w:val="20"/>
                <w:lang w:val="en-US" w:eastAsia="zh-CN"/>
              </w:rPr>
            </w:pPr>
            <w:r>
              <w:rPr>
                <w:rFonts w:ascii="Times New Roman" w:hAnsi="Times New Roman" w:eastAsia="等线" w:cs="Calibri"/>
                <w:kern w:val="0"/>
                <w:sz w:val="21"/>
                <w:szCs w:val="21"/>
                <w:lang w:bidi="ar"/>
              </w:rPr>
              <w:t> </w:t>
            </w:r>
            <w:r>
              <w:rPr>
                <w:rFonts w:hint="eastAsia" w:ascii="Times New Roman" w:hAnsi="Times New Roman" w:eastAsia="等线"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信息内容</w:t>
            </w:r>
          </w:p>
        </w:tc>
        <w:tc>
          <w:tcPr>
            <w:tcW w:w="7305" w:type="dxa"/>
            <w:gridSpan w:val="3"/>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szCs w:val="20"/>
              </w:rPr>
            </w:pPr>
            <w:r>
              <w:rPr>
                <w:rFonts w:hint="eastAsia" w:ascii="Times New Roman" w:hAnsi="Times New Roman" w:eastAsia="宋体" w:cs="宋体"/>
                <w:kern w:val="0"/>
                <w:sz w:val="20"/>
                <w:szCs w:val="20"/>
                <w:lang w:bidi="ar"/>
              </w:rPr>
              <w:t>行政许可</w:t>
            </w:r>
          </w:p>
        </w:tc>
        <w:tc>
          <w:tcPr>
            <w:tcW w:w="7305" w:type="dxa"/>
            <w:gridSpan w:val="3"/>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default" w:ascii="Times New Roman" w:hAnsi="Times New Roman" w:eastAsia="等线"/>
                <w:szCs w:val="20"/>
                <w:lang w:val="en-US" w:eastAsia="zh-CN"/>
              </w:rPr>
            </w:pPr>
            <w:r>
              <w:rPr>
                <w:rFonts w:ascii="Times New Roman" w:hAnsi="Times New Roman" w:eastAsia="等线" w:cs="Calibri"/>
                <w:kern w:val="0"/>
                <w:sz w:val="21"/>
                <w:szCs w:val="21"/>
                <w:lang w:bidi="ar"/>
              </w:rPr>
              <w:t> </w:t>
            </w:r>
            <w:r>
              <w:rPr>
                <w:rFonts w:hint="eastAsia" w:ascii="Times New Roman" w:hAnsi="Times New Roman" w:eastAsia="等线" w:cs="Calibri"/>
                <w:kern w:val="0"/>
                <w:sz w:val="21"/>
                <w:szCs w:val="21"/>
                <w:lang w:val="en-US" w:eastAsia="zh-CN" w:bidi="ar"/>
              </w:rPr>
              <w:t xml:space="preserve"> 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信息内容</w:t>
            </w:r>
          </w:p>
        </w:tc>
        <w:tc>
          <w:tcPr>
            <w:tcW w:w="7305" w:type="dxa"/>
            <w:gridSpan w:val="3"/>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szCs w:val="20"/>
              </w:rPr>
            </w:pPr>
            <w:r>
              <w:rPr>
                <w:rFonts w:hint="eastAsia" w:ascii="Times New Roman" w:hAnsi="Times New Roman" w:eastAsia="宋体" w:cs="宋体"/>
                <w:kern w:val="0"/>
                <w:sz w:val="20"/>
                <w:szCs w:val="20"/>
                <w:lang w:bidi="ar"/>
              </w:rPr>
              <w:t>行政处罚</w:t>
            </w:r>
          </w:p>
        </w:tc>
        <w:tc>
          <w:tcPr>
            <w:tcW w:w="7305" w:type="dxa"/>
            <w:gridSpan w:val="3"/>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default" w:ascii="Times New Roman" w:hAnsi="Times New Roman" w:eastAsia="宋体"/>
                <w:szCs w:val="20"/>
                <w:lang w:val="en-US" w:eastAsia="zh-CN"/>
              </w:rPr>
            </w:pPr>
            <w:r>
              <w:rPr>
                <w:rFonts w:hint="eastAsia" w:ascii="Times New Roman" w:hAnsi="Times New Roman" w:eastAsia="宋体" w:cs="宋体"/>
                <w:kern w:val="0"/>
                <w:sz w:val="20"/>
                <w:szCs w:val="20"/>
                <w:lang w:bidi="ar"/>
              </w:rPr>
              <w:t>　</w:t>
            </w:r>
            <w:r>
              <w:rPr>
                <w:rFonts w:hint="eastAsia" w:ascii="Times New Roman" w:hAnsi="Times New Roman" w:eastAsia="宋体" w:cs="宋体"/>
                <w:kern w:val="0"/>
                <w:sz w:val="20"/>
                <w:szCs w:val="20"/>
                <w:lang w:val="en-US" w:eastAsia="zh-CN" w:bidi="ar"/>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szCs w:val="20"/>
              </w:rPr>
            </w:pPr>
            <w:r>
              <w:rPr>
                <w:rFonts w:hint="eastAsia" w:ascii="Times New Roman" w:hAnsi="Times New Roman" w:eastAsia="宋体" w:cs="宋体"/>
                <w:kern w:val="0"/>
                <w:sz w:val="20"/>
                <w:szCs w:val="20"/>
                <w:lang w:bidi="ar"/>
              </w:rPr>
              <w:t>行政强制</w:t>
            </w:r>
          </w:p>
        </w:tc>
        <w:tc>
          <w:tcPr>
            <w:tcW w:w="7305" w:type="dxa"/>
            <w:gridSpan w:val="3"/>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hint="default" w:ascii="Times New Roman" w:hAnsi="Times New Roman" w:eastAsia="宋体"/>
                <w:szCs w:val="20"/>
                <w:lang w:val="en-US" w:eastAsia="zh-CN"/>
              </w:rPr>
            </w:pPr>
            <w:r>
              <w:rPr>
                <w:rFonts w:hint="eastAsia" w:ascii="Times New Roman" w:hAnsi="Times New Roman" w:eastAsia="宋体" w:cs="宋体"/>
                <w:kern w:val="0"/>
                <w:sz w:val="20"/>
                <w:szCs w:val="20"/>
                <w:lang w:bidi="ar"/>
              </w:rPr>
              <w:t>　</w:t>
            </w:r>
            <w:r>
              <w:rPr>
                <w:rFonts w:hint="eastAsia" w:ascii="Times New Roman" w:hAnsi="Times New Roman" w:eastAsia="宋体" w:cs="宋体"/>
                <w:kern w:val="0"/>
                <w:sz w:val="20"/>
                <w:szCs w:val="20"/>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信息内容</w:t>
            </w:r>
          </w:p>
        </w:tc>
        <w:tc>
          <w:tcPr>
            <w:tcW w:w="7305" w:type="dxa"/>
            <w:gridSpan w:val="3"/>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szCs w:val="20"/>
              </w:rPr>
            </w:pPr>
            <w:r>
              <w:rPr>
                <w:rFonts w:hint="eastAsia" w:ascii="Times New Roman" w:hAnsi="Times New Roman" w:eastAsia="宋体" w:cs="宋体"/>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szCs w:val="20"/>
              </w:rPr>
            </w:pPr>
            <w:r>
              <w:rPr>
                <w:rFonts w:hint="eastAsia" w:ascii="Times New Roman" w:hAnsi="Times New Roman" w:eastAsia="宋体" w:cs="宋体"/>
                <w:kern w:val="0"/>
                <w:sz w:val="20"/>
                <w:szCs w:val="20"/>
                <w:lang w:bidi="ar"/>
              </w:rPr>
              <w:t>行政事业性收费</w:t>
            </w:r>
          </w:p>
        </w:tc>
        <w:tc>
          <w:tcPr>
            <w:tcW w:w="7305" w:type="dxa"/>
            <w:gridSpan w:val="3"/>
            <w:shd w:val="clear" w:color="auto" w:fill="FFFFFF"/>
            <w:noWrap w:val="0"/>
            <w:tcMar>
              <w:left w:w="57" w:type="dxa"/>
              <w:right w:w="57" w:type="dxa"/>
            </w:tcMar>
            <w:vAlign w:val="center"/>
          </w:tcPr>
          <w:p>
            <w:pPr>
              <w:pageBreakBefore w:val="0"/>
              <w:kinsoku/>
              <w:overflowPunct/>
              <w:topLinePunct w:val="0"/>
              <w:autoSpaceDE/>
              <w:autoSpaceDN/>
              <w:bidi w:val="0"/>
              <w:spacing w:line="560" w:lineRule="exact"/>
              <w:ind w:firstLine="200" w:firstLineChars="100"/>
              <w:textAlignment w:val="auto"/>
              <w:rPr>
                <w:rFonts w:hint="default" w:ascii="Times New Roman" w:hAnsi="Times New Roman" w:eastAsia="方正仿宋_GBK"/>
                <w:sz w:val="24"/>
                <w:szCs w:val="24"/>
                <w:lang w:val="en-US" w:eastAsia="zh-CN"/>
              </w:rPr>
            </w:pPr>
            <w:r>
              <w:rPr>
                <w:rFonts w:hint="eastAsia" w:ascii="Times New Roman" w:hAnsi="Times New Roman" w:eastAsia="宋体" w:cs="宋体"/>
                <w:kern w:val="0"/>
                <w:sz w:val="20"/>
                <w:szCs w:val="20"/>
                <w:lang w:val="en-US" w:eastAsia="zh-CN" w:bidi="ar"/>
              </w:rPr>
              <w:t>9.9198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三、收到和处理政府信息公开申请情况</w:t>
      </w:r>
    </w:p>
    <w:tbl>
      <w:tblPr>
        <w:tblStyle w:val="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restart"/>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ascii="Times New Roman" w:hAnsi="Times New Roman" w:eastAsia="楷体" w:cs="楷体"/>
                <w:color w:val="000000"/>
                <w:kern w:val="0"/>
                <w:sz w:val="20"/>
                <w:szCs w:val="20"/>
                <w:lang w:bidi="ar"/>
              </w:rPr>
              <w:t>（本列数据的勾稽关系为：第一项加第二项之和，等于第三项加第四项之和）</w:t>
            </w:r>
          </w:p>
        </w:tc>
        <w:tc>
          <w:tcPr>
            <w:tcW w:w="4817" w:type="dxa"/>
            <w:gridSpan w:val="7"/>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88"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自然人</w:t>
            </w:r>
          </w:p>
        </w:tc>
        <w:tc>
          <w:tcPr>
            <w:tcW w:w="3440" w:type="dxa"/>
            <w:gridSpan w:val="5"/>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法人或其他组织</w:t>
            </w:r>
          </w:p>
        </w:tc>
        <w:tc>
          <w:tcPr>
            <w:tcW w:w="689"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8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商业</w:t>
            </w:r>
          </w:p>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企业</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科研</w:t>
            </w:r>
          </w:p>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机构</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社会公益组织</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法律服务机构</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其他</w:t>
            </w:r>
          </w:p>
        </w:tc>
        <w:tc>
          <w:tcPr>
            <w:tcW w:w="689"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一、本年新收政府信息公开申请数量</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hint="eastAsia" w:ascii="Times New Roman" w:hAnsi="Times New Roman" w:eastAsia="等线" w:cs="Calibri"/>
                <w:color w:val="000000"/>
                <w:kern w:val="0"/>
                <w:sz w:val="20"/>
                <w:szCs w:val="20"/>
                <w:lang w:val="en-US" w:eastAsia="zh-CN" w:bidi="ar"/>
              </w:rPr>
              <w:t>2</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hint="eastAsia" w:ascii="Times New Roman" w:hAnsi="Times New Roman" w:eastAsia="等线" w:cs="Calibri"/>
                <w:color w:val="000000"/>
                <w:kern w:val="0"/>
                <w:sz w:val="20"/>
                <w:szCs w:val="20"/>
                <w:lang w:val="en-US" w:eastAsia="zh-CN" w:bidi="ar"/>
              </w:rPr>
              <w:t>1</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二、上年结转政府信息公开申请数量</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三、本年度办理结果</w:t>
            </w:r>
          </w:p>
        </w:tc>
        <w:tc>
          <w:tcPr>
            <w:tcW w:w="4163" w:type="dxa"/>
            <w:gridSpan w:val="2"/>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（一）予以公开</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1</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hint="eastAsia" w:ascii="Times New Roman" w:hAnsi="Times New Roman" w:eastAsia="等线" w:cs="Calibri"/>
                <w:color w:val="000000"/>
                <w:kern w:val="0"/>
                <w:sz w:val="20"/>
                <w:szCs w:val="20"/>
                <w:lang w:val="en-US" w:eastAsia="zh-CN" w:bidi="ar"/>
              </w:rPr>
              <w:t>1</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hint="eastAsia" w:ascii="Times New Roman" w:hAnsi="Times New Roman" w:eastAsia="等线" w:cs="Calibri"/>
                <w:color w:val="000000"/>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4163" w:type="dxa"/>
            <w:gridSpan w:val="2"/>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（二）部分公开</w:t>
            </w:r>
            <w:r>
              <w:rPr>
                <w:rFonts w:ascii="Times New Roman" w:hAnsi="Times New Roman" w:eastAsia="楷体" w:cs="楷体"/>
                <w:color w:val="000000"/>
                <w:kern w:val="0"/>
                <w:sz w:val="20"/>
                <w:szCs w:val="20"/>
                <w:lang w:bidi="ar"/>
              </w:rPr>
              <w:t>（区分处理的，只计这一情形，不计其他情形）</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1</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hint="eastAsia" w:ascii="Times New Roman" w:hAnsi="Times New Roman" w:eastAsia="等线" w:cs="Calibri"/>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（三）不予公开</w:t>
            </w: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1.属于国家秘密</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2.其他法律行政法规禁止公开</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3.危及“三安全一稳定”</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4.保护第三方合法权益</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5.属于三类内部事务信息</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6.属于四类过程性信息</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7.属于行政执法案卷</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8.属于行政查询事项</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（四）无法提供</w:t>
            </w: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1.本机关不掌握相关政府信息</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2.没有现成信息需要另行制作</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3.补正后申请内容仍不明确</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（五）不予处理</w:t>
            </w: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1.信访举报投诉类申请</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2.重复申请</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3.要求提供公开出版物</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4.无正当理由大量反复申请</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eastAsia="方正仿宋_GBK" w:cs="Times New Roman"/>
                <w:color w:val="000000"/>
                <w:kern w:val="2"/>
                <w:sz w:val="32"/>
                <w:szCs w:val="20"/>
                <w:lang w:val="en-US" w:eastAsia="zh-CN" w:bidi="ar-SA"/>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s="Times New Roman"/>
                <w:color w:val="000000"/>
                <w:kern w:val="2"/>
                <w:sz w:val="32"/>
                <w:szCs w:val="20"/>
                <w:lang w:val="en-US" w:eastAsia="zh-CN" w:bidi="ar-SA"/>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5.要求行政机关确认或重新出具已获取信息</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restart"/>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（六）其他处理</w:t>
            </w:r>
          </w:p>
        </w:tc>
        <w:tc>
          <w:tcPr>
            <w:tcW w:w="3220"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1.申请人无正当理由逾期不补正、行政机关不再处理其政府信息公开申请</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2.申请人逾期未按收费通知要求缴纳费用、行政机关不再处理其政府信息公开申请</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943"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3220"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3.其他</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4163" w:type="dxa"/>
            <w:gridSpan w:val="2"/>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（七）总计</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hint="eastAsia" w:ascii="Times New Roman" w:hAnsi="Times New Roman" w:eastAsia="等线" w:cs="Calibri"/>
                <w:color w:val="000000"/>
                <w:kern w:val="0"/>
                <w:sz w:val="20"/>
                <w:szCs w:val="20"/>
                <w:lang w:val="en-US" w:eastAsia="zh-CN" w:bidi="ar"/>
              </w:rPr>
              <w:t>2</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1</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9" w:type="dxa"/>
            <w:noWrap w:val="0"/>
            <w:tcMar>
              <w:left w:w="57" w:type="dxa"/>
              <w:right w:w="57" w:type="dxa"/>
            </w:tcMar>
            <w:vAlign w:val="top"/>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left"/>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四、结转下年度继续办理</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等线"/>
                <w:color w:val="000000"/>
                <w:szCs w:val="20"/>
                <w:lang w:val="en-US" w:eastAsia="zh-CN"/>
              </w:rPr>
            </w:pPr>
            <w:r>
              <w:rPr>
                <w:rFonts w:ascii="Times New Roman" w:hAnsi="Times New Roman" w:eastAsia="等线" w:cs="Calibri"/>
                <w:color w:val="000000"/>
                <w:kern w:val="0"/>
                <w:sz w:val="20"/>
                <w:szCs w:val="20"/>
                <w:lang w:bidi="ar"/>
              </w:rPr>
              <w:t> </w:t>
            </w:r>
            <w:r>
              <w:rPr>
                <w:rFonts w:hint="eastAsia" w:ascii="Times New Roman" w:hAnsi="Times New Roman" w:eastAsia="等线" w:cs="Calibri"/>
                <w:color w:val="000000"/>
                <w:kern w:val="0"/>
                <w:sz w:val="20"/>
                <w:szCs w:val="20"/>
                <w:lang w:val="en-US" w:eastAsia="zh-CN" w:bidi="ar"/>
              </w:rPr>
              <w:t>0</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8" w:type="dxa"/>
            <w:noWrap w:val="0"/>
            <w:tcMar>
              <w:left w:w="57" w:type="dxa"/>
              <w:right w:w="57"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等线" w:cs="Calibri"/>
                <w:color w:val="000000"/>
                <w:kern w:val="0"/>
                <w:sz w:val="20"/>
                <w:szCs w:val="20"/>
                <w:lang w:val="en-US" w:eastAsia="zh-CN" w:bidi="ar"/>
              </w:rPr>
              <w:t>0</w:t>
            </w:r>
            <w:r>
              <w:rPr>
                <w:rFonts w:ascii="Times New Roman" w:hAnsi="Times New Roman" w:eastAsia="等线" w:cs="Calibri"/>
                <w:color w:val="000000"/>
                <w:kern w:val="0"/>
                <w:sz w:val="20"/>
                <w:szCs w:val="20"/>
                <w:lang w:bidi="ar"/>
              </w:rPr>
              <w:t> </w:t>
            </w:r>
          </w:p>
        </w:tc>
        <w:tc>
          <w:tcPr>
            <w:tcW w:w="689" w:type="dxa"/>
            <w:noWrap w:val="0"/>
            <w:tcMar>
              <w:left w:w="57" w:type="dxa"/>
              <w:right w:w="57" w:type="dxa"/>
            </w:tcMar>
            <w:vAlign w:val="top"/>
          </w:tcPr>
          <w:p>
            <w:pPr>
              <w:pageBreakBefore w:val="0"/>
              <w:kinsoku/>
              <w:overflowPunct/>
              <w:topLinePunct w:val="0"/>
              <w:autoSpaceDE/>
              <w:autoSpaceDN/>
              <w:bidi w:val="0"/>
              <w:spacing w:line="560" w:lineRule="exact"/>
              <w:ind w:firstLine="0" w:firstLineChars="0"/>
              <w:textAlignment w:val="auto"/>
              <w:rPr>
                <w:rFonts w:hint="eastAsia" w:ascii="Times New Roman" w:hAnsi="Times New Roman" w:eastAsia="方正仿宋_GBK"/>
                <w:color w:val="000000"/>
                <w:sz w:val="24"/>
                <w:szCs w:val="24"/>
                <w:lang w:val="en-US" w:eastAsia="zh-CN"/>
              </w:rPr>
            </w:pPr>
            <w:r>
              <w:rPr>
                <w:rFonts w:hint="eastAsia" w:ascii="Times New Roman" w:hAnsi="Times New Roman"/>
                <w:color w:val="00000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四、政府信息公开行政复议、行政诉讼情况</w:t>
      </w:r>
    </w:p>
    <w:tbl>
      <w:tblPr>
        <w:tblStyle w:val="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245" w:type="dxa"/>
            <w:gridSpan w:val="5"/>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行政复议</w:t>
            </w:r>
          </w:p>
        </w:tc>
        <w:tc>
          <w:tcPr>
            <w:tcW w:w="6503" w:type="dxa"/>
            <w:gridSpan w:val="10"/>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restart"/>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结果维持</w:t>
            </w:r>
          </w:p>
        </w:tc>
        <w:tc>
          <w:tcPr>
            <w:tcW w:w="649" w:type="dxa"/>
            <w:vMerge w:val="restart"/>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结果</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纠正</w:t>
            </w:r>
          </w:p>
        </w:tc>
        <w:tc>
          <w:tcPr>
            <w:tcW w:w="649" w:type="dxa"/>
            <w:vMerge w:val="restart"/>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其他</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结果</w:t>
            </w:r>
          </w:p>
        </w:tc>
        <w:tc>
          <w:tcPr>
            <w:tcW w:w="649" w:type="dxa"/>
            <w:vMerge w:val="restart"/>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尚未</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审结</w:t>
            </w:r>
          </w:p>
        </w:tc>
        <w:tc>
          <w:tcPr>
            <w:tcW w:w="649" w:type="dxa"/>
            <w:vMerge w:val="restart"/>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总计</w:t>
            </w:r>
          </w:p>
        </w:tc>
        <w:tc>
          <w:tcPr>
            <w:tcW w:w="3248" w:type="dxa"/>
            <w:gridSpan w:val="5"/>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未经复议直接起诉</w:t>
            </w:r>
          </w:p>
        </w:tc>
        <w:tc>
          <w:tcPr>
            <w:tcW w:w="3255" w:type="dxa"/>
            <w:gridSpan w:val="5"/>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49" w:type="dxa"/>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49" w:type="dxa"/>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49" w:type="dxa"/>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49" w:type="dxa"/>
            <w:vMerge w:val="continue"/>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ascii="Times New Roman" w:hAnsi="Times New Roman"/>
                <w:color w:val="000000"/>
                <w:sz w:val="24"/>
                <w:szCs w:val="24"/>
              </w:rPr>
            </w:pP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结果</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维持</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结果</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纠正</w:t>
            </w:r>
          </w:p>
        </w:tc>
        <w:tc>
          <w:tcPr>
            <w:tcW w:w="650"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其他</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结果</w:t>
            </w:r>
          </w:p>
        </w:tc>
        <w:tc>
          <w:tcPr>
            <w:tcW w:w="650"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尚未</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审结</w:t>
            </w:r>
          </w:p>
        </w:tc>
        <w:tc>
          <w:tcPr>
            <w:tcW w:w="650"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总计</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结果</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维持</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结果</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纠正</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其他</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结果</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尚未</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审结</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宋体"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黑体" w:cs="黑体"/>
                <w:color w:val="000000"/>
                <w:kern w:val="0"/>
                <w:sz w:val="20"/>
                <w:szCs w:val="20"/>
                <w:lang w:val="en-US" w:eastAsia="zh-CN" w:bidi="ar"/>
              </w:rPr>
              <w:t>0</w:t>
            </w:r>
            <w:r>
              <w:rPr>
                <w:rFonts w:hint="eastAsia" w:ascii="Times New Roman" w:hAnsi="Times New Roman" w:eastAsia="黑体" w:cs="黑体"/>
                <w:color w:val="000000"/>
                <w:kern w:val="0"/>
                <w:sz w:val="20"/>
                <w:szCs w:val="20"/>
                <w:lang w:bidi="ar"/>
              </w:rPr>
              <w:t> </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黑体" w:cs="黑体"/>
                <w:color w:val="000000"/>
                <w:kern w:val="0"/>
                <w:sz w:val="20"/>
                <w:szCs w:val="20"/>
                <w:lang w:val="en-US" w:eastAsia="zh-CN" w:bidi="ar"/>
              </w:rPr>
              <w:t>0</w:t>
            </w:r>
            <w:r>
              <w:rPr>
                <w:rFonts w:hint="eastAsia" w:ascii="Times New Roman" w:hAnsi="Times New Roman" w:eastAsia="黑体" w:cs="黑体"/>
                <w:color w:val="000000"/>
                <w:kern w:val="0"/>
                <w:sz w:val="20"/>
                <w:szCs w:val="20"/>
                <w:lang w:bidi="ar"/>
              </w:rPr>
              <w:t> </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黑体" w:cs="黑体"/>
                <w:color w:val="000000"/>
                <w:kern w:val="0"/>
                <w:sz w:val="20"/>
                <w:szCs w:val="20"/>
                <w:lang w:val="en-US" w:eastAsia="zh-CN" w:bidi="ar"/>
              </w:rPr>
              <w:t>0</w:t>
            </w:r>
            <w:r>
              <w:rPr>
                <w:rFonts w:hint="eastAsia" w:ascii="Times New Roman" w:hAnsi="Times New Roman" w:eastAsia="黑体" w:cs="黑体"/>
                <w:color w:val="000000"/>
                <w:kern w:val="0"/>
                <w:sz w:val="20"/>
                <w:szCs w:val="20"/>
                <w:lang w:bidi="ar"/>
              </w:rPr>
              <w:t> </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49"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50"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50"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黑体" w:cs="黑体"/>
                <w:color w:val="000000"/>
                <w:kern w:val="0"/>
                <w:sz w:val="20"/>
                <w:szCs w:val="20"/>
                <w:lang w:val="en-US" w:eastAsia="zh-CN" w:bidi="ar"/>
              </w:rPr>
              <w:t>0</w:t>
            </w:r>
            <w:r>
              <w:rPr>
                <w:rFonts w:hint="eastAsia" w:ascii="Times New Roman" w:hAnsi="Times New Roman" w:eastAsia="黑体" w:cs="黑体"/>
                <w:color w:val="000000"/>
                <w:kern w:val="0"/>
                <w:sz w:val="20"/>
                <w:szCs w:val="20"/>
                <w:lang w:bidi="ar"/>
              </w:rPr>
              <w:t> </w:t>
            </w:r>
          </w:p>
        </w:tc>
        <w:tc>
          <w:tcPr>
            <w:tcW w:w="650"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ascii="Times New Roman" w:hAnsi="Times New Roman"/>
                <w:color w:val="000000"/>
                <w:szCs w:val="20"/>
              </w:rPr>
            </w:pPr>
            <w:r>
              <w:rPr>
                <w:rFonts w:hint="eastAsia" w:ascii="Times New Roman" w:hAnsi="Times New Roman" w:eastAsia="黑体" w:cs="黑体"/>
                <w:color w:val="000000"/>
                <w:kern w:val="0"/>
                <w:sz w:val="20"/>
                <w:szCs w:val="20"/>
                <w:lang w:val="en-US" w:eastAsia="zh-CN" w:bidi="ar"/>
              </w:rPr>
              <w:t>0</w:t>
            </w:r>
            <w:r>
              <w:rPr>
                <w:rFonts w:hint="eastAsia" w:ascii="Times New Roman" w:hAnsi="Times New Roman" w:eastAsia="黑体" w:cs="黑体"/>
                <w:color w:val="000000"/>
                <w:kern w:val="0"/>
                <w:sz w:val="20"/>
                <w:szCs w:val="20"/>
                <w:lang w:bidi="ar"/>
              </w:rPr>
              <w:t> </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51" w:type="dxa"/>
            <w:noWrap w:val="0"/>
            <w:tcMar>
              <w:left w:w="108" w:type="dxa"/>
              <w:right w:w="108" w:type="dxa"/>
            </w:tcMar>
            <w:vAlign w:val="center"/>
          </w:tcPr>
          <w:p>
            <w:pPr>
              <w:pageBreakBefore w:val="0"/>
              <w:widowControl/>
              <w:kinsoku/>
              <w:overflowPunct/>
              <w:topLinePunct w:val="0"/>
              <w:autoSpaceDE/>
              <w:autoSpaceDN/>
              <w:bidi w:val="0"/>
              <w:spacing w:line="560" w:lineRule="exact"/>
              <w:ind w:firstLine="0" w:firstLineChars="0"/>
              <w:jc w:val="center"/>
              <w:textAlignment w:val="auto"/>
              <w:rPr>
                <w:rFonts w:hint="eastAsia" w:ascii="Times New Roman" w:hAnsi="Times New Roman" w:eastAsia="黑体"/>
                <w:color w:val="000000"/>
                <w:szCs w:val="20"/>
                <w:lang w:val="en-US" w:eastAsia="zh-CN"/>
              </w:rPr>
            </w:pPr>
            <w:r>
              <w:rPr>
                <w:rFonts w:hint="eastAsia" w:ascii="Times New Roman" w:hAnsi="Times New Roman" w:eastAsia="黑体" w:cs="黑体"/>
                <w:color w:val="000000"/>
                <w:kern w:val="0"/>
                <w:sz w:val="20"/>
                <w:szCs w:val="20"/>
                <w:lang w:bidi="ar"/>
              </w:rPr>
              <w:t> </w:t>
            </w:r>
            <w:r>
              <w:rPr>
                <w:rFonts w:hint="eastAsia" w:ascii="Times New Roman" w:hAnsi="Times New Roman" w:eastAsia="黑体" w:cs="黑体"/>
                <w:color w:val="000000"/>
                <w:kern w:val="0"/>
                <w:sz w:val="20"/>
                <w:szCs w:val="20"/>
                <w:lang w:val="en-US" w:eastAsia="zh-CN" w:bidi="ar"/>
              </w:rPr>
              <w:t>0</w:t>
            </w:r>
          </w:p>
        </w:tc>
        <w:tc>
          <w:tcPr>
            <w:tcW w:w="651" w:type="dxa"/>
            <w:noWrap w:val="0"/>
            <w:tcMar>
              <w:left w:w="108" w:type="dxa"/>
              <w:right w:w="108" w:type="dxa"/>
            </w:tcMar>
            <w:vAlign w:val="center"/>
          </w:tcPr>
          <w:p>
            <w:pPr>
              <w:pageBreakBefore w:val="0"/>
              <w:kinsoku/>
              <w:overflowPunct/>
              <w:topLinePunct w:val="0"/>
              <w:autoSpaceDE/>
              <w:autoSpaceDN/>
              <w:bidi w:val="0"/>
              <w:spacing w:line="560" w:lineRule="exact"/>
              <w:ind w:firstLine="0" w:firstLineChars="0"/>
              <w:textAlignment w:val="auto"/>
              <w:rPr>
                <w:rFonts w:hint="eastAsia" w:ascii="Times New Roman" w:hAnsi="Times New Roman" w:eastAsia="方正仿宋_GBK"/>
                <w:color w:val="000000"/>
                <w:sz w:val="24"/>
                <w:szCs w:val="24"/>
                <w:lang w:val="en-US" w:eastAsia="zh-CN"/>
              </w:rPr>
            </w:pPr>
            <w:r>
              <w:rPr>
                <w:rFonts w:hint="eastAsia" w:ascii="Times New Roman" w:hAnsi="Times New Roman"/>
                <w:color w:val="000000"/>
                <w:sz w:val="24"/>
                <w:szCs w:val="24"/>
                <w:lang w:val="en-US" w:eastAsia="zh-CN"/>
              </w:rPr>
              <w:t>0</w:t>
            </w:r>
          </w:p>
        </w:tc>
      </w:tr>
    </w:tbl>
    <w:p>
      <w:pPr>
        <w:pStyle w:val="2"/>
        <w:pageBreakBefore w:val="0"/>
        <w:numPr>
          <w:ilvl w:val="0"/>
          <w:numId w:val="0"/>
        </w:numPr>
        <w:kinsoku/>
        <w:overflowPunct/>
        <w:topLinePunct w:val="0"/>
        <w:autoSpaceDE/>
        <w:autoSpaceDN/>
        <w:bidi w:val="0"/>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val="en-US" w:eastAsia="zh-CN"/>
        </w:rPr>
        <w:t>五、</w:t>
      </w:r>
      <w:r>
        <w:rPr>
          <w:rFonts w:hint="eastAsia" w:ascii="方正黑体_GBK" w:hAnsi="方正黑体_GBK" w:eastAsia="方正黑体_GBK" w:cs="方正黑体_GBK"/>
          <w:color w:val="000000"/>
          <w:szCs w:val="32"/>
          <w:lang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lang w:val="en-US" w:eastAsia="zh-CN"/>
        </w:rPr>
        <w:t>（一）2023年存在的问题</w:t>
      </w:r>
      <w:r>
        <w:rPr>
          <w:rFonts w:hint="eastAsia" w:ascii="方正楷体_GBK" w:hAnsi="方正楷体_GBK" w:eastAsia="方正楷体_GBK" w:cs="方正楷体_GBK"/>
          <w:color w:val="000000"/>
          <w:szCs w:val="32"/>
          <w:lang w:val="en-US" w:eastAsia="zh-CN"/>
        </w:rPr>
        <w:t>。</w:t>
      </w:r>
      <w:r>
        <w:rPr>
          <w:rFonts w:hint="default" w:ascii="Times New Roman" w:hAnsi="Times New Roman" w:eastAsia="方正仿宋_GBK" w:cs="Times New Roman"/>
          <w:color w:val="000000"/>
          <w:szCs w:val="32"/>
          <w:lang w:eastAsia="zh-CN"/>
        </w:rPr>
        <w:t>一</w:t>
      </w:r>
      <w:r>
        <w:rPr>
          <w:rFonts w:hint="default" w:ascii="Times New Roman" w:hAnsi="Times New Roman" w:eastAsia="方正仿宋_GBK" w:cs="Times New Roman"/>
          <w:color w:val="000000"/>
          <w:szCs w:val="32"/>
        </w:rPr>
        <w:t>是信息更新的及时性较差</w:t>
      </w:r>
      <w:r>
        <w:rPr>
          <w:rFonts w:hint="eastAsia" w:ascii="Times New Roman" w:hAnsi="Times New Roman" w:cs="Times New Roman"/>
          <w:color w:val="000000"/>
          <w:szCs w:val="32"/>
          <w:lang w:eastAsia="zh-CN"/>
        </w:rPr>
        <w:t>，</w:t>
      </w:r>
      <w:r>
        <w:rPr>
          <w:rFonts w:hint="default" w:ascii="Times New Roman" w:hAnsi="Times New Roman" w:eastAsia="方正仿宋_GBK" w:cs="Times New Roman"/>
          <w:color w:val="000000"/>
          <w:szCs w:val="32"/>
          <w:lang w:eastAsia="zh-CN"/>
        </w:rPr>
        <w:t>信息获取渠道单一，内部协调调度不及时</w:t>
      </w:r>
      <w:r>
        <w:rPr>
          <w:rFonts w:hint="eastAsia" w:ascii="Times New Roman" w:hAnsi="Times New Roman" w:cs="Times New Roman"/>
          <w:color w:val="000000"/>
          <w:szCs w:val="32"/>
          <w:lang w:eastAsia="zh-CN"/>
        </w:rPr>
        <w:t>；二是</w:t>
      </w:r>
      <w:r>
        <w:rPr>
          <w:rFonts w:hint="default" w:ascii="Times New Roman" w:hAnsi="Times New Roman" w:eastAsia="方正仿宋_GBK" w:cs="Times New Roman"/>
          <w:color w:val="000000"/>
          <w:szCs w:val="32"/>
        </w:rPr>
        <w:t>工作人员专业化有待继续加强，业务熟悉程度低更新较慢，总体政策理解把控业务水平还需继续提升</w:t>
      </w:r>
      <w:r>
        <w:rPr>
          <w:rFonts w:hint="eastAsia" w:ascii="Times New Roman" w:hAnsi="Times New Roman" w:cs="Times New Roman"/>
          <w:color w:val="000000"/>
          <w:szCs w:val="32"/>
          <w:lang w:eastAsia="zh-CN"/>
        </w:rPr>
        <w:t>；三</w:t>
      </w:r>
      <w:r>
        <w:rPr>
          <w:rFonts w:hint="default" w:ascii="Times New Roman" w:hAnsi="Times New Roman" w:eastAsia="方正仿宋_GBK" w:cs="Times New Roman"/>
          <w:color w:val="000000"/>
          <w:szCs w:val="32"/>
        </w:rPr>
        <w:t>是缺乏</w:t>
      </w:r>
      <w:r>
        <w:rPr>
          <w:rFonts w:hint="default" w:ascii="Times New Roman" w:hAnsi="Times New Roman" w:eastAsia="方正仿宋_GBK" w:cs="Times New Roman"/>
          <w:color w:val="000000"/>
          <w:szCs w:val="32"/>
          <w:lang w:eastAsia="zh-CN"/>
        </w:rPr>
        <w:t>参考和</w:t>
      </w:r>
      <w:r>
        <w:rPr>
          <w:rFonts w:hint="default" w:ascii="Times New Roman" w:hAnsi="Times New Roman" w:eastAsia="方正仿宋_GBK" w:cs="Times New Roman"/>
          <w:color w:val="000000"/>
          <w:szCs w:val="32"/>
        </w:rPr>
        <w:t>借鉴</w:t>
      </w:r>
      <w:r>
        <w:rPr>
          <w:rFonts w:hint="default" w:ascii="Times New Roman" w:hAnsi="Times New Roman" w:eastAsia="方正仿宋_GBK" w:cs="Times New Roman"/>
          <w:color w:val="000000"/>
          <w:szCs w:val="32"/>
          <w:lang w:eastAsia="zh-CN"/>
        </w:rPr>
        <w:t>，我局</w:t>
      </w:r>
      <w:r>
        <w:rPr>
          <w:rFonts w:hint="default" w:ascii="Times New Roman" w:hAnsi="Times New Roman" w:eastAsia="方正仿宋_GBK" w:cs="Times New Roman"/>
          <w:color w:val="000000"/>
          <w:szCs w:val="32"/>
        </w:rPr>
        <w:t>政务公开</w:t>
      </w:r>
      <w:r>
        <w:rPr>
          <w:rFonts w:hint="default" w:ascii="Times New Roman" w:hAnsi="Times New Roman" w:eastAsia="方正仿宋_GBK" w:cs="Times New Roman"/>
          <w:color w:val="000000"/>
          <w:szCs w:val="32"/>
          <w:lang w:eastAsia="zh-CN"/>
        </w:rPr>
        <w:t>工作</w:t>
      </w:r>
      <w:r>
        <w:rPr>
          <w:rFonts w:hint="default" w:ascii="Times New Roman" w:hAnsi="Times New Roman" w:eastAsia="方正仿宋_GBK" w:cs="Times New Roman"/>
          <w:color w:val="000000"/>
          <w:szCs w:val="32"/>
        </w:rPr>
        <w:t>经验</w:t>
      </w:r>
      <w:r>
        <w:rPr>
          <w:rFonts w:hint="default" w:ascii="Times New Roman" w:hAnsi="Times New Roman" w:eastAsia="方正仿宋_GBK" w:cs="Times New Roman"/>
          <w:color w:val="000000"/>
          <w:szCs w:val="32"/>
          <w:lang w:eastAsia="zh-CN"/>
        </w:rPr>
        <w:t>不足，缺乏同优秀单位之间的工作</w:t>
      </w:r>
      <w:r>
        <w:rPr>
          <w:rFonts w:hint="default" w:ascii="Times New Roman" w:hAnsi="Times New Roman" w:eastAsia="方正仿宋_GBK" w:cs="Times New Roman"/>
          <w:color w:val="000000"/>
          <w:szCs w:val="32"/>
        </w:rPr>
        <w:t>交流</w:t>
      </w:r>
      <w:r>
        <w:rPr>
          <w:rFonts w:hint="default" w:ascii="Times New Roman" w:hAnsi="Times New Roman" w:eastAsia="方正仿宋_GBK" w:cs="Times New Roman"/>
          <w:color w:val="000000"/>
          <w:szCs w:val="32"/>
          <w:lang w:eastAsia="zh-CN"/>
        </w:rPr>
        <w:t>和沟通</w:t>
      </w:r>
      <w:r>
        <w:rPr>
          <w:rFonts w:hint="default" w:ascii="Times New Roman" w:hAnsi="Times New Roman" w:eastAsia="方正仿宋_GBK" w:cs="Times New Roman"/>
          <w:color w:val="00000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lang w:val="en-US" w:eastAsia="zh-CN"/>
        </w:rPr>
        <w:t>（二）2024年改进工作措施</w:t>
      </w:r>
      <w:r>
        <w:rPr>
          <w:rFonts w:hint="eastAsia" w:ascii="方正楷体_GBK" w:hAnsi="方正楷体_GBK" w:eastAsia="方正楷体_GBK" w:cs="方正楷体_GBK"/>
          <w:color w:val="000000"/>
          <w:szCs w:val="32"/>
          <w:lang w:val="en-US" w:eastAsia="zh-CN"/>
        </w:rPr>
        <w:t>。</w:t>
      </w:r>
      <w:r>
        <w:rPr>
          <w:rFonts w:hint="default" w:ascii="Times New Roman" w:hAnsi="Times New Roman" w:eastAsia="方正仿宋_GBK" w:cs="Times New Roman"/>
          <w:color w:val="000000"/>
          <w:szCs w:val="32"/>
        </w:rPr>
        <w:t>一是信息公开内容</w:t>
      </w:r>
      <w:r>
        <w:rPr>
          <w:rFonts w:hint="default" w:ascii="Times New Roman" w:hAnsi="Times New Roman" w:eastAsia="方正仿宋_GBK" w:cs="Times New Roman"/>
          <w:color w:val="000000"/>
          <w:szCs w:val="32"/>
          <w:lang w:eastAsia="zh-CN"/>
        </w:rPr>
        <w:t>及时发布，加强本单位内部的协调，督促各单位科室及时提供可发布、应发布的政务信息，并且</w:t>
      </w:r>
      <w:r>
        <w:rPr>
          <w:rFonts w:hint="default" w:ascii="Times New Roman" w:hAnsi="Times New Roman" w:eastAsia="方正仿宋_GBK" w:cs="Times New Roman"/>
          <w:color w:val="000000"/>
          <w:szCs w:val="32"/>
        </w:rPr>
        <w:t>增加信息获取渠道和途径，及时收集全系统的日常工作的文字和图像信息，及时进行整理</w:t>
      </w:r>
      <w:r>
        <w:rPr>
          <w:rFonts w:hint="default" w:ascii="Times New Roman" w:hAnsi="Times New Roman" w:eastAsia="方正仿宋_GBK" w:cs="Times New Roman"/>
          <w:color w:val="000000"/>
          <w:szCs w:val="32"/>
          <w:lang w:eastAsia="zh-CN"/>
        </w:rPr>
        <w:t>发布</w:t>
      </w:r>
      <w:r>
        <w:rPr>
          <w:rFonts w:hint="eastAsia" w:ascii="Times New Roman" w:hAnsi="Times New Roman" w:cs="Times New Roman"/>
          <w:color w:val="000000"/>
          <w:szCs w:val="32"/>
          <w:lang w:eastAsia="zh-CN"/>
        </w:rPr>
        <w:t>；二是</w:t>
      </w:r>
      <w:r>
        <w:rPr>
          <w:rFonts w:hint="default" w:ascii="Times New Roman" w:hAnsi="Times New Roman" w:eastAsia="方正仿宋_GBK" w:cs="Times New Roman"/>
          <w:color w:val="000000"/>
          <w:szCs w:val="32"/>
          <w:lang w:eastAsia="zh-CN"/>
        </w:rPr>
        <w:t>组织</w:t>
      </w:r>
      <w:r>
        <w:rPr>
          <w:rFonts w:hint="default" w:ascii="Times New Roman" w:hAnsi="Times New Roman" w:eastAsia="方正仿宋_GBK" w:cs="Times New Roman"/>
          <w:color w:val="000000"/>
          <w:szCs w:val="32"/>
        </w:rPr>
        <w:t>我局全体干部职工要认真学习党中央、国务院关于政务公开的相关规定</w:t>
      </w:r>
      <w:r>
        <w:rPr>
          <w:rFonts w:hint="default" w:ascii="Times New Roman" w:hAnsi="Times New Roman" w:eastAsia="方正仿宋_GBK" w:cs="Times New Roman"/>
          <w:color w:val="000000"/>
          <w:szCs w:val="32"/>
          <w:lang w:eastAsia="zh-CN"/>
        </w:rPr>
        <w:t>，在提高内容质量的同时，做好</w:t>
      </w:r>
      <w:r>
        <w:rPr>
          <w:rFonts w:hint="default" w:ascii="Times New Roman" w:hAnsi="Times New Roman" w:eastAsia="方正仿宋_GBK" w:cs="Times New Roman"/>
          <w:color w:val="000000"/>
          <w:szCs w:val="32"/>
        </w:rPr>
        <w:t>政务信息公开人员的专业能力和熟练程度</w:t>
      </w:r>
      <w:r>
        <w:rPr>
          <w:rFonts w:hint="default" w:ascii="Times New Roman" w:hAnsi="Times New Roman" w:eastAsia="方正仿宋_GBK" w:cs="Times New Roman"/>
          <w:color w:val="000000"/>
          <w:szCs w:val="32"/>
          <w:lang w:eastAsia="zh-CN"/>
        </w:rPr>
        <w:t>的培训</w:t>
      </w:r>
      <w:r>
        <w:rPr>
          <w:rFonts w:hint="default" w:ascii="Times New Roman" w:hAnsi="Times New Roman" w:eastAsia="方正仿宋_GBK" w:cs="Times New Roman"/>
          <w:color w:val="000000"/>
          <w:szCs w:val="32"/>
        </w:rPr>
        <w:t>，调整充实人员队伍</w:t>
      </w:r>
      <w:r>
        <w:rPr>
          <w:rFonts w:hint="eastAsia" w:ascii="Times New Roman" w:hAnsi="Times New Roman" w:cs="Times New Roman"/>
          <w:color w:val="000000"/>
          <w:szCs w:val="32"/>
          <w:lang w:eastAsia="zh-CN"/>
        </w:rPr>
        <w:t>；三</w:t>
      </w:r>
      <w:r>
        <w:rPr>
          <w:rFonts w:hint="default" w:ascii="Times New Roman" w:hAnsi="Times New Roman" w:eastAsia="方正仿宋_GBK" w:cs="Times New Roman"/>
          <w:color w:val="000000"/>
          <w:szCs w:val="32"/>
        </w:rPr>
        <w:t>是吸取优秀的政务信息公开案例的经验，</w:t>
      </w:r>
      <w:r>
        <w:rPr>
          <w:rFonts w:hint="eastAsia" w:ascii="Times New Roman" w:hAnsi="Times New Roman" w:cs="Times New Roman"/>
          <w:color w:val="000000"/>
          <w:szCs w:val="32"/>
          <w:lang w:eastAsia="zh-CN"/>
        </w:rPr>
        <w:t>借鉴其他单位信息公开的优秀案例，</w:t>
      </w:r>
      <w:r>
        <w:rPr>
          <w:rFonts w:hint="default" w:ascii="Times New Roman" w:hAnsi="Times New Roman" w:eastAsia="方正仿宋_GBK" w:cs="Times New Roman"/>
          <w:color w:val="000000"/>
          <w:szCs w:val="32"/>
        </w:rPr>
        <w:t>提高我局政务信息公开水平</w:t>
      </w:r>
      <w:r>
        <w:rPr>
          <w:rFonts w:hint="eastAsia" w:ascii="Times New Roman" w:hAnsi="Times New Roman" w:cs="Times New Roman"/>
          <w:color w:val="000000"/>
          <w:szCs w:val="32"/>
          <w:lang w:eastAsia="zh-CN"/>
        </w:rPr>
        <w:t>。并</w:t>
      </w:r>
      <w:r>
        <w:rPr>
          <w:rFonts w:hint="default" w:ascii="Times New Roman" w:hAnsi="Times New Roman" w:eastAsia="方正仿宋_GBK" w:cs="Times New Roman"/>
          <w:color w:val="000000"/>
          <w:szCs w:val="32"/>
          <w:lang w:eastAsia="zh-CN"/>
        </w:rPr>
        <w:t>对以往发布内容查漏补缺，发现问题及时改正</w:t>
      </w:r>
      <w:r>
        <w:rPr>
          <w:rFonts w:hint="default" w:ascii="Times New Roman" w:hAnsi="Times New Roman" w:eastAsia="方正仿宋_GBK" w:cs="Times New Roman"/>
          <w:color w:val="00000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Cs w:val="32"/>
          <w:lang w:val="en-US" w:eastAsia="zh-CN"/>
        </w:rPr>
      </w:pPr>
      <w:r>
        <w:rPr>
          <w:rFonts w:hint="eastAsia" w:ascii="方正黑体_GBK" w:hAnsi="方正黑体_GBK" w:eastAsia="方正黑体_GBK" w:cs="方正黑体_GBK"/>
          <w:color w:val="000000"/>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w:t>
      </w:r>
      <w:r>
        <w:rPr>
          <w:rFonts w:hint="eastAsia" w:ascii="Times New Roman" w:hAnsi="Times New Roman" w:eastAsia="方正仿宋_GBK" w:cs="Times New Roman"/>
          <w:color w:val="000000"/>
          <w:szCs w:val="32"/>
        </w:rPr>
        <w:t>单位严格落实</w:t>
      </w:r>
      <w:r>
        <w:rPr>
          <w:rFonts w:hint="eastAsia"/>
          <w:color w:val="000000"/>
          <w:szCs w:val="32"/>
        </w:rPr>
        <w:t>《中华人民共和国政府信息公开条例》</w:t>
      </w:r>
      <w:r>
        <w:rPr>
          <w:rFonts w:hint="eastAsia"/>
          <w:color w:val="000000"/>
          <w:szCs w:val="32"/>
          <w:lang w:eastAsia="zh-CN"/>
        </w:rPr>
        <w:t>要求</w:t>
      </w:r>
      <w:r>
        <w:rPr>
          <w:rFonts w:hint="eastAsia" w:ascii="Times New Roman" w:hAnsi="Times New Roman" w:eastAsia="方正仿宋_GBK" w:cs="Times New Roman"/>
          <w:color w:val="000000"/>
          <w:szCs w:val="32"/>
        </w:rPr>
        <w:t>，完成政务公开各项工作。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本机关全年未发出收费通知书，未收取信息处理费。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mFiZjdlYzBjZTlmYTIyOWU5ZTQ5ZjM1MGViNzcifQ=="/>
  </w:docVars>
  <w:rsids>
    <w:rsidRoot w:val="4A5A049B"/>
    <w:rsid w:val="0AF1064D"/>
    <w:rsid w:val="17AA0A04"/>
    <w:rsid w:val="19BE1E67"/>
    <w:rsid w:val="20DF542D"/>
    <w:rsid w:val="2844263F"/>
    <w:rsid w:val="2CBA7CAF"/>
    <w:rsid w:val="332D4273"/>
    <w:rsid w:val="34AC5582"/>
    <w:rsid w:val="384A50A8"/>
    <w:rsid w:val="399F729C"/>
    <w:rsid w:val="444156C8"/>
    <w:rsid w:val="4A5A049B"/>
    <w:rsid w:val="54B3589D"/>
    <w:rsid w:val="551D7DC5"/>
    <w:rsid w:val="582E113A"/>
    <w:rsid w:val="629E7A04"/>
    <w:rsid w:val="6FF95D3E"/>
    <w:rsid w:val="7432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line="560" w:lineRule="exact"/>
      <w:ind w:firstLine="880" w:firstLineChars="200"/>
      <w:jc w:val="both"/>
      <w:outlineLvl w:val="0"/>
    </w:pPr>
    <w:rPr>
      <w:rFonts w:ascii="Times New Roman" w:hAnsi="Times New Roman" w:eastAsia="方正仿宋_GBK"/>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2024-01-08T08:37:00Z</dcterms:created>
  <dc:creator>࿆</dc:creator>
  <cp:lastModifiedBy>登高沐寒</cp:lastModifiedBy>
  <dcterms:modified xsi:type="dcterms:W3CDTF">2024-01-22T03:08:38Z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D6162A6C609943A1A57D8DD3E4405FFD_11</vt:lpwstr>
  </property>
</Properties>
</file>