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65D4D">
      <w:pPr>
        <w:keepNext w:val="0"/>
        <w:keepLines w:val="0"/>
        <w:pageBreakBefore w:val="0"/>
        <w:widowControl w:val="0"/>
        <w:kinsoku/>
        <w:wordWrap/>
        <w:overflowPunct/>
        <w:topLinePunct w:val="0"/>
        <w:bidi w:val="0"/>
        <w:adjustRightInd/>
        <w:snapToGrid w:val="0"/>
        <w:spacing w:line="600" w:lineRule="atLeas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酉阳自治县</w:t>
      </w:r>
      <w:r>
        <w:rPr>
          <w:rFonts w:hint="default" w:ascii="Times New Roman" w:hAnsi="Times New Roman" w:eastAsia="方正小标宋_GBK" w:cs="Times New Roman"/>
          <w:sz w:val="44"/>
          <w:szCs w:val="44"/>
        </w:rPr>
        <w:t>经</w:t>
      </w:r>
      <w:r>
        <w:rPr>
          <w:rFonts w:hint="default" w:ascii="Times New Roman" w:hAnsi="Times New Roman" w:eastAsia="方正小标宋_GBK" w:cs="Times New Roman"/>
          <w:sz w:val="44"/>
          <w:szCs w:val="44"/>
          <w:lang w:eastAsia="zh-CN"/>
        </w:rPr>
        <w:t>信</w:t>
      </w:r>
      <w:r>
        <w:rPr>
          <w:rFonts w:hint="default" w:ascii="Times New Roman" w:hAnsi="Times New Roman" w:eastAsia="方正小标宋_GBK" w:cs="Times New Roman"/>
          <w:sz w:val="44"/>
          <w:szCs w:val="44"/>
        </w:rPr>
        <w:t>系统安全生产治本攻坚</w:t>
      </w:r>
    </w:p>
    <w:p w14:paraId="090BC276">
      <w:pPr>
        <w:keepNext w:val="0"/>
        <w:keepLines w:val="0"/>
        <w:pageBreakBefore w:val="0"/>
        <w:widowControl w:val="0"/>
        <w:kinsoku/>
        <w:wordWrap/>
        <w:overflowPunct/>
        <w:topLinePunct w:val="0"/>
        <w:bidi w:val="0"/>
        <w:adjustRightInd/>
        <w:snapToGrid w:val="0"/>
        <w:spacing w:line="600" w:lineRule="atLeast"/>
        <w:jc w:val="center"/>
        <w:textAlignment w:val="auto"/>
        <w:rPr>
          <w:rFonts w:hint="default" w:ascii="Times New Roman" w:hAnsi="Times New Roman" w:eastAsia="方正小标宋_GBK" w:cs="Times New Roman"/>
          <w:sz w:val="44"/>
          <w:szCs w:val="44"/>
        </w:rPr>
      </w:pPr>
      <w:bookmarkStart w:id="0" w:name="_Toc386507860_WPSOffice_Level1"/>
      <w:r>
        <w:rPr>
          <w:rFonts w:hint="default" w:ascii="Times New Roman" w:hAnsi="Times New Roman" w:eastAsia="方正小标宋_GBK" w:cs="Times New Roman"/>
          <w:sz w:val="44"/>
          <w:szCs w:val="44"/>
        </w:rPr>
        <w:t>三年行动方案（2024—2026年）</w:t>
      </w:r>
      <w:bookmarkEnd w:id="0"/>
    </w:p>
    <w:p w14:paraId="5ADDF5A4">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420" w:firstLineChars="200"/>
        <w:jc w:val="center"/>
        <w:textAlignment w:val="auto"/>
        <w:rPr>
          <w:rFonts w:hint="default" w:ascii="Times New Roman" w:hAnsi="Times New Roman" w:cs="Times New Roman"/>
          <w:szCs w:val="32"/>
        </w:rPr>
      </w:pPr>
    </w:p>
    <w:p w14:paraId="7C872231">
      <w:pPr>
        <w:keepNext w:val="0"/>
        <w:keepLines w:val="0"/>
        <w:pageBreakBefore w:val="0"/>
        <w:widowControl w:val="0"/>
        <w:kinsoku/>
        <w:wordWrap/>
        <w:overflowPunct/>
        <w:topLinePunct w:val="0"/>
        <w:bidi w:val="0"/>
        <w:adjustRightInd/>
        <w:spacing w:line="600" w:lineRule="atLeast"/>
        <w:ind w:firstLine="640" w:firstLineChars="200"/>
        <w:jc w:val="both"/>
        <w:textAlignment w:val="auto"/>
        <w:rPr>
          <w:rFonts w:hint="default" w:ascii="Times New Roman" w:hAnsi="Times New Roman" w:eastAsia="方正仿宋_GBK" w:cs="Times New Roman"/>
          <w:spacing w:val="-20"/>
          <w:sz w:val="32"/>
          <w:szCs w:val="32"/>
          <w:lang w:eastAsia="zh-CN"/>
        </w:rPr>
      </w:pPr>
      <w:r>
        <w:rPr>
          <w:rFonts w:hint="default" w:ascii="Times New Roman" w:hAnsi="Times New Roman" w:eastAsia="方正仿宋_GBK" w:cs="Times New Roman"/>
          <w:sz w:val="32"/>
          <w:szCs w:val="32"/>
        </w:rPr>
        <w:t>为认真贯彻落实</w:t>
      </w:r>
      <w:r>
        <w:rPr>
          <w:rFonts w:hint="eastAsia" w:ascii="Times New Roman" w:hAnsi="Times New Roman" w:eastAsia="方正仿宋_GBK" w:cs="Times New Roman"/>
          <w:sz w:val="32"/>
          <w:szCs w:val="32"/>
          <w:lang w:eastAsia="zh-CN"/>
        </w:rPr>
        <w:t>习近平总书记关于安全生产工作的重要指示精神</w:t>
      </w:r>
      <w:r>
        <w:rPr>
          <w:rFonts w:hint="default" w:ascii="Times New Roman" w:hAnsi="Times New Roman" w:eastAsia="方正仿宋_GBK" w:cs="Times New Roman"/>
          <w:sz w:val="32"/>
          <w:szCs w:val="32"/>
        </w:rPr>
        <w:t>，进一步夯实</w:t>
      </w:r>
      <w:r>
        <w:rPr>
          <w:rFonts w:hint="default" w:ascii="Times New Roman" w:hAnsi="Times New Roman" w:eastAsia="方正仿宋_GBK" w:cs="Times New Roman"/>
          <w:sz w:val="32"/>
          <w:szCs w:val="32"/>
          <w:lang w:eastAsia="zh-CN"/>
        </w:rPr>
        <w:t>经信行业</w:t>
      </w:r>
      <w:r>
        <w:rPr>
          <w:rFonts w:hint="default" w:ascii="Times New Roman" w:hAnsi="Times New Roman" w:eastAsia="方正仿宋_GBK" w:cs="Times New Roman"/>
          <w:sz w:val="32"/>
          <w:szCs w:val="32"/>
        </w:rPr>
        <w:t>安全生产基础，坚决防范遏制较大及以上生产安全事故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《重庆市经济信息系统安全生</w:t>
      </w:r>
      <w:bookmarkStart w:id="7" w:name="_GoBack"/>
      <w:bookmarkEnd w:id="7"/>
      <w:r>
        <w:rPr>
          <w:rFonts w:hint="default" w:ascii="Times New Roman" w:hAnsi="Times New Roman" w:eastAsia="方正仿宋_GBK" w:cs="Times New Roman"/>
          <w:sz w:val="32"/>
          <w:szCs w:val="32"/>
          <w:lang w:eastAsia="zh-CN"/>
        </w:rPr>
        <w:t>产治本攻坚三年行动方案》（</w:t>
      </w:r>
      <w:r>
        <w:rPr>
          <w:rFonts w:hint="default" w:ascii="Times New Roman" w:hAnsi="Times New Roman" w:eastAsia="方正仿宋_GBK" w:cs="Times New Roman"/>
          <w:sz w:val="32"/>
          <w:szCs w:val="32"/>
          <w:lang w:val="en-US" w:eastAsia="zh-CN"/>
        </w:rPr>
        <w:t>2024－2026年</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color w:val="auto"/>
          <w:sz w:val="32"/>
          <w:szCs w:val="32"/>
          <w:lang w:eastAsia="zh-CN"/>
        </w:rPr>
        <w:t>《酉阳土家族苗族自治县安全生产委员会办公室关于制定安全生产治本攻坚三年行动实施方案子方案的通知》（</w:t>
      </w:r>
      <w:r>
        <w:rPr>
          <w:rFonts w:hint="default" w:ascii="Times New Roman" w:hAnsi="Times New Roman" w:eastAsia="方正仿宋_GBK" w:cs="Times New Roman"/>
          <w:spacing w:val="-20"/>
          <w:sz w:val="32"/>
          <w:szCs w:val="32"/>
        </w:rPr>
        <w:t>酉阳安委办函〔2024〕</w:t>
      </w:r>
      <w:r>
        <w:rPr>
          <w:rFonts w:hint="default" w:ascii="Times New Roman" w:hAnsi="Times New Roman" w:eastAsia="方正仿宋_GBK" w:cs="Times New Roman"/>
          <w:spacing w:val="-20"/>
          <w:sz w:val="32"/>
          <w:szCs w:val="32"/>
          <w:lang w:val="en-US" w:eastAsia="zh-CN"/>
        </w:rPr>
        <w:t>9</w:t>
      </w:r>
      <w:r>
        <w:rPr>
          <w:rFonts w:hint="default" w:ascii="Times New Roman" w:hAnsi="Times New Roman" w:eastAsia="方正仿宋_GBK" w:cs="Times New Roman"/>
          <w:spacing w:val="-20"/>
          <w:sz w:val="32"/>
          <w:szCs w:val="32"/>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spacing w:val="-20"/>
          <w:sz w:val="32"/>
          <w:szCs w:val="32"/>
          <w:lang w:eastAsia="zh-CN"/>
        </w:rPr>
        <w:t>要求，结合本行业实际，特制定本方案。</w:t>
      </w:r>
    </w:p>
    <w:p w14:paraId="6E0B2143">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黑体_GBK" w:cs="Times New Roman"/>
          <w:sz w:val="32"/>
          <w:szCs w:val="32"/>
        </w:rPr>
      </w:pPr>
      <w:bookmarkStart w:id="1" w:name="_Toc1863531559_WPSOffice_Level1"/>
      <w:bookmarkStart w:id="2" w:name="_Toc1714638282_WPSOffice_Level1"/>
      <w:r>
        <w:rPr>
          <w:rFonts w:hint="default" w:ascii="Times New Roman" w:hAnsi="Times New Roman" w:eastAsia="方正黑体_GBK" w:cs="Times New Roman"/>
          <w:sz w:val="32"/>
          <w:szCs w:val="32"/>
        </w:rPr>
        <w:t>一、工作目标</w:t>
      </w:r>
      <w:bookmarkEnd w:id="1"/>
      <w:bookmarkEnd w:id="2"/>
    </w:p>
    <w:p w14:paraId="299CB479">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以习近平新时代中国特色社会主义思想为指导，以实现安全生产“防较大、降一般、压总量”为目标，</w:t>
      </w:r>
      <w:r>
        <w:rPr>
          <w:rFonts w:hint="default" w:ascii="Times New Roman" w:hAnsi="Times New Roman" w:eastAsia="方正仿宋_GBK" w:cs="Times New Roman"/>
          <w:sz w:val="32"/>
          <w:szCs w:val="32"/>
          <w:lang w:eastAsia="zh-CN"/>
        </w:rPr>
        <w:t>以</w:t>
      </w:r>
      <w:r>
        <w:rPr>
          <w:rFonts w:hint="default" w:ascii="Times New Roman" w:hAnsi="Times New Roman" w:eastAsia="方正仿宋_GBK" w:cs="Times New Roman"/>
          <w:sz w:val="32"/>
          <w:szCs w:val="32"/>
        </w:rPr>
        <w:t>落实落细安全生产十五条硬措施</w:t>
      </w:r>
      <w:r>
        <w:rPr>
          <w:rFonts w:hint="default" w:ascii="Times New Roman" w:hAnsi="Times New Roman" w:eastAsia="方正仿宋_GBK" w:cs="Times New Roman"/>
          <w:sz w:val="32"/>
          <w:szCs w:val="32"/>
          <w:lang w:eastAsia="zh-CN"/>
        </w:rPr>
        <w:t>为抓手</w:t>
      </w:r>
      <w:r>
        <w:rPr>
          <w:rFonts w:hint="default" w:ascii="Times New Roman" w:hAnsi="Times New Roman" w:eastAsia="方正仿宋_GBK" w:cs="Times New Roman"/>
          <w:sz w:val="32"/>
          <w:szCs w:val="32"/>
        </w:rPr>
        <w:t>，在安全理念、安全责任、安全监管</w:t>
      </w:r>
      <w:r>
        <w:rPr>
          <w:rFonts w:hint="default" w:ascii="Times New Roman" w:hAnsi="Times New Roman" w:eastAsia="方正仿宋_GBK" w:cs="Times New Roman"/>
          <w:sz w:val="32"/>
          <w:szCs w:val="32"/>
          <w:lang w:eastAsia="zh-CN"/>
        </w:rPr>
        <w:t>等方面</w:t>
      </w:r>
      <w:r>
        <w:rPr>
          <w:rFonts w:hint="default" w:ascii="Times New Roman" w:hAnsi="Times New Roman" w:eastAsia="方正仿宋_GBK" w:cs="Times New Roman"/>
          <w:sz w:val="32"/>
          <w:szCs w:val="32"/>
        </w:rPr>
        <w:t>补短板、强弱项，深入开展</w:t>
      </w:r>
      <w:r>
        <w:rPr>
          <w:rFonts w:hint="default" w:ascii="Times New Roman" w:hAnsi="Times New Roman" w:eastAsia="方正仿宋_GBK" w:cs="Times New Roman"/>
          <w:sz w:val="32"/>
          <w:szCs w:val="32"/>
          <w:lang w:eastAsia="zh-CN"/>
        </w:rPr>
        <w:t>电力、城镇燃气、民爆储存、通讯、充（换）站等行业</w:t>
      </w:r>
      <w:r>
        <w:rPr>
          <w:rFonts w:hint="default" w:ascii="Times New Roman" w:hAnsi="Times New Roman" w:eastAsia="方正仿宋_GBK" w:cs="Times New Roman"/>
          <w:sz w:val="32"/>
          <w:szCs w:val="32"/>
        </w:rPr>
        <w:t>安全生产治本攻坚</w:t>
      </w:r>
      <w:r>
        <w:rPr>
          <w:rFonts w:hint="default" w:ascii="Times New Roman" w:hAnsi="Times New Roman" w:eastAsia="方正仿宋_GBK" w:cs="Times New Roman"/>
          <w:sz w:val="32"/>
          <w:szCs w:val="32"/>
          <w:lang w:eastAsia="zh-CN"/>
        </w:rPr>
        <w:t>三年专项行动，</w:t>
      </w:r>
      <w:r>
        <w:rPr>
          <w:rFonts w:hint="default" w:ascii="Times New Roman" w:hAnsi="Times New Roman" w:eastAsia="方正仿宋_GBK" w:cs="Times New Roman"/>
          <w:sz w:val="32"/>
          <w:szCs w:val="32"/>
        </w:rPr>
        <w:t>进一步强化统筹发展和安全的理念，健全安全生产责任体系和安全规章制度，</w:t>
      </w:r>
      <w:r>
        <w:rPr>
          <w:rFonts w:hint="default" w:ascii="Times New Roman" w:hAnsi="Times New Roman" w:eastAsia="方正仿宋_GBK" w:cs="Times New Roman"/>
          <w:kern w:val="0"/>
          <w:sz w:val="32"/>
          <w:szCs w:val="32"/>
        </w:rPr>
        <w:t>提高本质安全水平和从业人员素质，</w:t>
      </w:r>
      <w:r>
        <w:rPr>
          <w:rFonts w:hint="default" w:ascii="Times New Roman" w:hAnsi="Times New Roman" w:eastAsia="方正仿宋_GBK" w:cs="Times New Roman"/>
          <w:sz w:val="32"/>
          <w:szCs w:val="32"/>
        </w:rPr>
        <w:t>增强消减重大安全风险、消除重大安全事故隐患的能力。</w:t>
      </w:r>
      <w:r>
        <w:rPr>
          <w:rFonts w:hint="default" w:ascii="Times New Roman" w:hAnsi="Times New Roman" w:eastAsia="方正仿宋_GBK" w:cs="Times New Roman"/>
          <w:kern w:val="0"/>
          <w:sz w:val="32"/>
          <w:szCs w:val="32"/>
        </w:rPr>
        <w:t>企业主体责任、</w:t>
      </w:r>
      <w:r>
        <w:rPr>
          <w:rFonts w:hint="default" w:ascii="Times New Roman" w:hAnsi="Times New Roman" w:eastAsia="方正仿宋_GBK" w:cs="Times New Roman"/>
          <w:sz w:val="32"/>
          <w:szCs w:val="32"/>
        </w:rPr>
        <w:t>“日周月”安全隐患排查制、“两单两卡”制、</w:t>
      </w:r>
      <w:r>
        <w:rPr>
          <w:rFonts w:hint="default" w:ascii="Times New Roman" w:hAnsi="Times New Roman" w:eastAsia="方正仿宋_GBK" w:cs="Times New Roman"/>
          <w:kern w:val="0"/>
          <w:sz w:val="32"/>
          <w:szCs w:val="32"/>
        </w:rPr>
        <w:t>安全风险分级管控和隐患排查治理双重预防机制落实并取得显著实效</w:t>
      </w:r>
      <w:r>
        <w:rPr>
          <w:rFonts w:hint="default" w:ascii="Times New Roman" w:hAnsi="Times New Roman" w:eastAsia="方正仿宋_GBK" w:cs="Times New Roman"/>
          <w:kern w:val="0"/>
          <w:sz w:val="32"/>
          <w:szCs w:val="32"/>
          <w:shd w:val="clear" w:color="auto" w:fill="FFFFFF"/>
          <w:lang w:bidi="ar"/>
        </w:rPr>
        <w:t>，一线岗位从业人员的安全操作行为进一步规范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2024年，</w:t>
      </w:r>
      <w:r>
        <w:rPr>
          <w:rFonts w:hint="default" w:ascii="Times New Roman" w:hAnsi="Times New Roman" w:eastAsia="方正仿宋_GBK" w:cs="Times New Roman"/>
          <w:sz w:val="32"/>
          <w:szCs w:val="32"/>
          <w:lang w:eastAsia="zh-CN"/>
        </w:rPr>
        <w:t>巩固</w:t>
      </w:r>
      <w:r>
        <w:rPr>
          <w:rFonts w:hint="default" w:ascii="Times New Roman" w:hAnsi="Times New Roman" w:eastAsia="方正仿宋_GBK" w:cs="Times New Roman"/>
          <w:sz w:val="32"/>
          <w:szCs w:val="32"/>
        </w:rPr>
        <w:t>民爆行业安全生产标准化建设</w:t>
      </w:r>
      <w:r>
        <w:rPr>
          <w:rFonts w:hint="default" w:ascii="Times New Roman" w:hAnsi="Times New Roman" w:eastAsia="方正仿宋_GBK" w:cs="Times New Roman"/>
          <w:sz w:val="32"/>
          <w:szCs w:val="32"/>
          <w:lang w:eastAsia="zh-CN"/>
        </w:rPr>
        <w:t>成果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健全并落实</w:t>
      </w:r>
      <w:r>
        <w:rPr>
          <w:rFonts w:hint="default" w:ascii="Times New Roman" w:hAnsi="Times New Roman" w:eastAsia="方正仿宋_GBK" w:cs="Times New Roman"/>
          <w:kern w:val="0"/>
          <w:sz w:val="32"/>
          <w:szCs w:val="32"/>
          <w:lang w:eastAsia="zh-CN"/>
        </w:rPr>
        <w:t>电力、城镇燃气、通讯等重点</w:t>
      </w:r>
      <w:r>
        <w:rPr>
          <w:rFonts w:hint="default" w:ascii="Times New Roman" w:hAnsi="Times New Roman" w:eastAsia="方正仿宋_GBK" w:cs="Times New Roman"/>
          <w:kern w:val="0"/>
          <w:sz w:val="32"/>
          <w:szCs w:val="32"/>
        </w:rPr>
        <w:t>企业全员安全生产责任制，基本消除2023年及以前排查发现的重大事故隐患存量；2025年，持续巩固深化全员安全生产责任制，</w:t>
      </w:r>
      <w:r>
        <w:rPr>
          <w:rFonts w:hint="default" w:ascii="Times New Roman" w:hAnsi="Times New Roman" w:eastAsia="方正仿宋_GBK" w:cs="Times New Roman"/>
          <w:kern w:val="0"/>
          <w:sz w:val="32"/>
          <w:szCs w:val="32"/>
          <w:lang w:eastAsia="zh-CN"/>
        </w:rPr>
        <w:t>建立健全除险固安安全制度，</w:t>
      </w:r>
      <w:r>
        <w:rPr>
          <w:rFonts w:hint="default" w:ascii="Times New Roman" w:hAnsi="Times New Roman" w:eastAsia="方正仿宋_GBK" w:cs="Times New Roman"/>
          <w:kern w:val="0"/>
          <w:sz w:val="32"/>
          <w:szCs w:val="32"/>
        </w:rPr>
        <w:t>有效遏制重大事故隐患增量；2026年，形成重大事故隐患动态清零常态化机制。</w:t>
      </w:r>
      <w:r>
        <w:rPr>
          <w:rFonts w:hint="default" w:ascii="Times New Roman" w:hAnsi="Times New Roman" w:eastAsia="方正仿宋_GBK" w:cs="Times New Roman"/>
          <w:sz w:val="32"/>
          <w:szCs w:val="32"/>
          <w:lang w:eastAsia="zh-CN"/>
        </w:rPr>
        <w:t>实现</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eastAsia="zh-CN"/>
        </w:rPr>
        <w:t>县经信行业</w:t>
      </w:r>
      <w:r>
        <w:rPr>
          <w:rFonts w:hint="default" w:ascii="Times New Roman" w:hAnsi="Times New Roman" w:eastAsia="方正仿宋_GBK" w:cs="Times New Roman"/>
          <w:sz w:val="32"/>
          <w:szCs w:val="32"/>
        </w:rPr>
        <w:t>安全生产形势持续保持稳定向好</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有效遏制较大及以上生产安全事故发生。</w:t>
      </w:r>
    </w:p>
    <w:p w14:paraId="2F795F0B">
      <w:pPr>
        <w:keepNext w:val="0"/>
        <w:keepLines w:val="0"/>
        <w:pageBreakBefore w:val="0"/>
        <w:widowControl w:val="0"/>
        <w:pBdr>
          <w:top w:val="none" w:color="auto" w:sz="0" w:space="1"/>
          <w:left w:val="none" w:color="auto" w:sz="0" w:space="4"/>
          <w:bottom w:val="none" w:color="FF0000" w:sz="0" w:space="1"/>
          <w:right w:val="none" w:color="auto" w:sz="0" w:space="4"/>
        </w:pBdr>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黑体_GBK" w:cs="Times New Roman"/>
          <w:sz w:val="32"/>
          <w:szCs w:val="32"/>
        </w:rPr>
      </w:pPr>
      <w:bookmarkStart w:id="3" w:name="_Toc906919803_WPSOffice_Level1"/>
      <w:bookmarkStart w:id="4" w:name="_Toc1136995539_WPSOffice_Level1"/>
      <w:r>
        <w:rPr>
          <w:rFonts w:hint="default" w:ascii="Times New Roman" w:hAnsi="Times New Roman" w:eastAsia="方正黑体_GBK" w:cs="Times New Roman"/>
          <w:sz w:val="32"/>
          <w:szCs w:val="32"/>
        </w:rPr>
        <w:t>二、主要任务</w:t>
      </w:r>
      <w:bookmarkEnd w:id="3"/>
      <w:bookmarkEnd w:id="4"/>
    </w:p>
    <w:p w14:paraId="760B076A">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（一）</w:t>
      </w:r>
      <w:r>
        <w:rPr>
          <w:rFonts w:hint="default" w:ascii="Times New Roman" w:hAnsi="Times New Roman" w:eastAsia="方正楷体_GBK" w:cs="Times New Roman"/>
          <w:kern w:val="0"/>
          <w:sz w:val="32"/>
          <w:szCs w:val="32"/>
          <w:lang w:eastAsia="zh-CN" w:bidi="ar"/>
        </w:rPr>
        <w:t>全面加强</w:t>
      </w:r>
      <w:r>
        <w:rPr>
          <w:rFonts w:hint="default" w:ascii="Times New Roman" w:hAnsi="Times New Roman" w:eastAsia="方正楷体_GBK" w:cs="Times New Roman"/>
          <w:kern w:val="0"/>
          <w:sz w:val="32"/>
          <w:szCs w:val="32"/>
          <w:lang w:bidi="ar"/>
        </w:rPr>
        <w:t>民用爆炸物品安全监管</w:t>
      </w:r>
    </w:p>
    <w:p w14:paraId="67AE56D1">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开展重大事故隐患判定标准提升工作。总结民爆行业重大事故隐患专项排查整治2023行动经验做法，</w:t>
      </w:r>
      <w:r>
        <w:rPr>
          <w:rFonts w:hint="default" w:ascii="Times New Roman" w:hAnsi="Times New Roman" w:eastAsia="方正仿宋_GBK" w:cs="Times New Roman"/>
          <w:sz w:val="32"/>
          <w:szCs w:val="32"/>
          <w:lang w:eastAsia="zh-CN"/>
        </w:rPr>
        <w:t>加大</w:t>
      </w:r>
      <w:r>
        <w:rPr>
          <w:rFonts w:hint="default" w:ascii="Times New Roman" w:hAnsi="Times New Roman" w:eastAsia="方正仿宋_GBK" w:cs="Times New Roman"/>
          <w:sz w:val="32"/>
          <w:szCs w:val="32"/>
        </w:rPr>
        <w:t>《民用爆炸物品重大事故隐患判定标准》宣贯力度，并将《民用爆炸物品重大事故隐患判定标准》纳入行业监管和企业管理重要内容，提升重大事故隐患排查工作质量。</w:t>
      </w:r>
    </w:p>
    <w:p w14:paraId="66F97DBA">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开展重大事故隐患排查整治工作。</w:t>
      </w:r>
      <w:r>
        <w:rPr>
          <w:rFonts w:hint="default" w:ascii="Times New Roman" w:hAnsi="Times New Roman" w:eastAsia="方正仿宋_GBK" w:cs="Times New Roman"/>
          <w:sz w:val="32"/>
          <w:szCs w:val="32"/>
          <w:lang w:eastAsia="zh-CN"/>
        </w:rPr>
        <w:t>坚持主要负责人每月至少</w:t>
      </w:r>
      <w:r>
        <w:rPr>
          <w:rFonts w:hint="default" w:ascii="Times New Roman" w:hAnsi="Times New Roman" w:eastAsia="方正仿宋_GBK" w:cs="Times New Roman"/>
          <w:sz w:val="32"/>
          <w:szCs w:val="32"/>
          <w:lang w:val="en-US" w:eastAsia="zh-CN"/>
        </w:rPr>
        <w:t>1次，分管负责人每周1次</w:t>
      </w:r>
      <w:r>
        <w:rPr>
          <w:rFonts w:hint="default" w:ascii="Times New Roman" w:hAnsi="Times New Roman" w:eastAsia="方正仿宋_GBK" w:cs="Times New Roman"/>
          <w:sz w:val="32"/>
          <w:szCs w:val="32"/>
        </w:rPr>
        <w:t>带队对本单位重大事故隐患排查整治情况开展检查</w:t>
      </w:r>
      <w:r>
        <w:rPr>
          <w:rFonts w:hint="default" w:ascii="Times New Roman" w:hAnsi="Times New Roman" w:eastAsia="方正仿宋_GBK" w:cs="Times New Roman"/>
          <w:sz w:val="32"/>
          <w:szCs w:val="32"/>
          <w:lang w:eastAsia="zh-CN"/>
        </w:rPr>
        <w:t>，压实安全生产责任，落实全员安全生产责任</w:t>
      </w:r>
      <w:r>
        <w:rPr>
          <w:rFonts w:hint="default" w:ascii="Times New Roman" w:hAnsi="Times New Roman" w:eastAsia="方正仿宋_GBK" w:cs="Times New Roman"/>
          <w:sz w:val="32"/>
          <w:szCs w:val="32"/>
        </w:rPr>
        <w:t>。紧盯重点场所和环节，严厉整治“四超”（超员、超量、超时、超产）、“三违法”（违章操作、违章指挥、违反劳动纪律）、雷管库内拆箱分零等行为，持续开展民爆行业安全生产重大事故隐患专项排查整治，推动重大事故隐患动态清零。</w:t>
      </w:r>
    </w:p>
    <w:p w14:paraId="5F326915">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推进民爆行业数字化转型</w:t>
      </w:r>
      <w:r>
        <w:rPr>
          <w:rFonts w:hint="default" w:ascii="Times New Roman" w:hAnsi="Times New Roman" w:eastAsia="方正仿宋_GBK" w:cs="Times New Roman"/>
          <w:sz w:val="32"/>
          <w:szCs w:val="32"/>
        </w:rPr>
        <w:t>。推进工业互联网在民爆行业规模化应用，探索5G通信、工业互联网、大数据、人工智能等数字新技术在民爆</w:t>
      </w:r>
      <w:r>
        <w:rPr>
          <w:rFonts w:hint="default" w:ascii="Times New Roman" w:hAnsi="Times New Roman" w:eastAsia="方正仿宋_GBK" w:cs="Times New Roman"/>
          <w:sz w:val="32"/>
          <w:szCs w:val="32"/>
          <w:lang w:eastAsia="zh-CN"/>
        </w:rPr>
        <w:t>销售</w:t>
      </w:r>
      <w:r>
        <w:rPr>
          <w:rFonts w:hint="default" w:ascii="Times New Roman" w:hAnsi="Times New Roman" w:eastAsia="方正仿宋_GBK" w:cs="Times New Roman"/>
          <w:sz w:val="32"/>
          <w:szCs w:val="32"/>
        </w:rPr>
        <w:t>储存过程控制环节的深入应用，提升企业安全生产感知、监测、预警、处置和评估能力</w:t>
      </w:r>
      <w:r>
        <w:rPr>
          <w:rFonts w:hint="default" w:ascii="Times New Roman" w:hAnsi="Times New Roman" w:eastAsia="方正仿宋_GBK" w:cs="Times New Roman"/>
          <w:sz w:val="32"/>
          <w:szCs w:val="32"/>
          <w:lang w:eastAsia="zh-CN"/>
        </w:rPr>
        <w:t>，实现远程和现场监督管理</w:t>
      </w:r>
      <w:r>
        <w:rPr>
          <w:rFonts w:hint="default" w:ascii="Times New Roman" w:hAnsi="Times New Roman" w:eastAsia="方正仿宋_GBK" w:cs="Times New Roman"/>
          <w:sz w:val="32"/>
          <w:szCs w:val="32"/>
        </w:rPr>
        <w:t xml:space="preserve">。 </w:t>
      </w:r>
    </w:p>
    <w:p w14:paraId="00D19868">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提升安全监管能力和水平。</w:t>
      </w:r>
      <w:r>
        <w:rPr>
          <w:rFonts w:hint="default" w:ascii="Times New Roman" w:hAnsi="Times New Roman" w:eastAsia="方正仿宋_GBK" w:cs="Times New Roman"/>
          <w:sz w:val="32"/>
          <w:szCs w:val="32"/>
          <w:lang w:eastAsia="zh-CN"/>
        </w:rPr>
        <w:t>按照“检查、整改、复查”执法三部曲和“首查必罚”的要求，</w:t>
      </w:r>
      <w:r>
        <w:rPr>
          <w:rFonts w:hint="default" w:ascii="Times New Roman" w:hAnsi="Times New Roman" w:eastAsia="方正仿宋_GBK" w:cs="Times New Roman"/>
          <w:sz w:val="32"/>
          <w:szCs w:val="32"/>
        </w:rPr>
        <w:t>严厉打击民爆行业违法违规</w:t>
      </w:r>
      <w:r>
        <w:rPr>
          <w:rFonts w:hint="default" w:ascii="Times New Roman" w:hAnsi="Times New Roman" w:eastAsia="方正仿宋_GBK" w:cs="Times New Roman"/>
          <w:sz w:val="32"/>
          <w:szCs w:val="32"/>
          <w:lang w:eastAsia="zh-CN"/>
        </w:rPr>
        <w:t>销售储存</w:t>
      </w:r>
      <w:r>
        <w:rPr>
          <w:rFonts w:hint="default" w:ascii="Times New Roman" w:hAnsi="Times New Roman" w:eastAsia="方正仿宋_GBK" w:cs="Times New Roman"/>
          <w:sz w:val="32"/>
          <w:szCs w:val="32"/>
        </w:rPr>
        <w:t>行为</w:t>
      </w:r>
      <w:r>
        <w:rPr>
          <w:rFonts w:hint="default" w:ascii="Times New Roman" w:hAnsi="Times New Roman" w:eastAsia="方正仿宋_GBK" w:cs="Times New Roman"/>
          <w:sz w:val="32"/>
          <w:szCs w:val="32"/>
          <w:lang w:eastAsia="zh-CN"/>
        </w:rPr>
        <w:t>。按照安全生产“一岗双责”制度要求，安全检查全覆盖，隐患整治全彻底，闭环管理见实效。</w:t>
      </w:r>
    </w:p>
    <w:p w14:paraId="5EC81AEF">
      <w:pPr>
        <w:keepNext w:val="0"/>
        <w:keepLines w:val="0"/>
        <w:pageBreakBefore w:val="0"/>
        <w:widowControl w:val="0"/>
        <w:pBdr>
          <w:top w:val="none" w:color="auto" w:sz="0" w:space="1"/>
          <w:left w:val="none" w:color="auto" w:sz="0" w:space="4"/>
          <w:bottom w:val="none" w:color="FF0000" w:sz="0" w:space="1"/>
          <w:right w:val="none" w:color="auto" w:sz="0" w:space="4"/>
        </w:pBdr>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提升民爆企业安全生产管理水平。</w:t>
      </w:r>
      <w:r>
        <w:rPr>
          <w:rFonts w:hint="default" w:ascii="Times New Roman" w:hAnsi="Times New Roman" w:eastAsia="方正仿宋_GBK" w:cs="Times New Roman"/>
          <w:sz w:val="32"/>
          <w:szCs w:val="32"/>
          <w:lang w:eastAsia="zh-CN"/>
        </w:rPr>
        <w:t>企业落实安全主体责任，建立健全安全规章制度，强化日周月隐患排查整治，创建企业标准化建设，加大安全培训教育力度，提高应急处突能力和水平。</w:t>
      </w:r>
      <w:r>
        <w:rPr>
          <w:rFonts w:hint="default" w:ascii="Times New Roman" w:hAnsi="Times New Roman" w:eastAsia="方正仿宋_GBK" w:cs="Times New Roman"/>
          <w:sz w:val="32"/>
          <w:szCs w:val="32"/>
        </w:rPr>
        <w:t>督促民爆企业主要负责人增强落实安全生产主体责任的自觉性和主动性，加强从业人员安全生产教育培训。聚焦从业人员疏散逃生避险意识能力提升，推动民爆生产销售企业每半年至少组织一次疏散逃生演练。</w:t>
      </w:r>
      <w:r>
        <w:rPr>
          <w:rFonts w:hint="default" w:ascii="Times New Roman" w:hAnsi="Times New Roman" w:eastAsia="方正仿宋_GBK" w:cs="Times New Roman"/>
          <w:sz w:val="32"/>
          <w:szCs w:val="32"/>
          <w:lang w:eastAsia="zh-CN"/>
        </w:rPr>
        <w:t>巩固民爆销售企业一级标准化建设成果，弘扬企业安全文化，加大安全经费投入，夯实安全生产基础。</w:t>
      </w:r>
    </w:p>
    <w:p w14:paraId="6F1ED5D2">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eastAsia="zh-CN" w:bidi="ar"/>
        </w:rPr>
      </w:pPr>
      <w:r>
        <w:rPr>
          <w:rFonts w:hint="default" w:ascii="Times New Roman" w:hAnsi="Times New Roman" w:eastAsia="方正楷体_GBK" w:cs="Times New Roman"/>
          <w:kern w:val="0"/>
          <w:sz w:val="32"/>
          <w:szCs w:val="32"/>
          <w:lang w:bidi="ar"/>
        </w:rPr>
        <w:t>（</w:t>
      </w:r>
      <w:r>
        <w:rPr>
          <w:rFonts w:hint="default" w:ascii="Times New Roman" w:hAnsi="Times New Roman" w:eastAsia="方正楷体_GBK" w:cs="Times New Roman"/>
          <w:kern w:val="0"/>
          <w:sz w:val="32"/>
          <w:szCs w:val="32"/>
          <w:lang w:eastAsia="zh-CN" w:bidi="ar"/>
        </w:rPr>
        <w:t>二</w:t>
      </w:r>
      <w:r>
        <w:rPr>
          <w:rFonts w:hint="default" w:ascii="Times New Roman" w:hAnsi="Times New Roman" w:eastAsia="方正楷体_GBK" w:cs="Times New Roman"/>
          <w:kern w:val="0"/>
          <w:sz w:val="32"/>
          <w:szCs w:val="32"/>
          <w:lang w:bidi="ar"/>
        </w:rPr>
        <w:t>）</w:t>
      </w:r>
      <w:r>
        <w:rPr>
          <w:rFonts w:hint="default" w:ascii="Times New Roman" w:hAnsi="Times New Roman" w:eastAsia="方正楷体_GBK" w:cs="Times New Roman"/>
          <w:kern w:val="0"/>
          <w:sz w:val="32"/>
          <w:szCs w:val="32"/>
          <w:lang w:eastAsia="zh-CN" w:bidi="ar"/>
        </w:rPr>
        <w:t>全面加强</w:t>
      </w:r>
      <w:r>
        <w:rPr>
          <w:rFonts w:hint="default" w:ascii="Times New Roman" w:hAnsi="Times New Roman" w:eastAsia="方正楷体_GBK" w:cs="Times New Roman"/>
          <w:kern w:val="0"/>
          <w:sz w:val="32"/>
          <w:szCs w:val="32"/>
          <w:lang w:bidi="ar"/>
        </w:rPr>
        <w:t>电力</w:t>
      </w:r>
      <w:r>
        <w:rPr>
          <w:rFonts w:hint="default" w:ascii="Times New Roman" w:hAnsi="Times New Roman" w:eastAsia="方正楷体_GBK" w:cs="Times New Roman"/>
          <w:kern w:val="0"/>
          <w:sz w:val="32"/>
          <w:szCs w:val="32"/>
          <w:lang w:eastAsia="zh-CN" w:bidi="ar"/>
        </w:rPr>
        <w:t>安全监管</w:t>
      </w:r>
    </w:p>
    <w:p w14:paraId="53A104F9">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做好电网稳定运行工作。</w:t>
      </w:r>
      <w:r>
        <w:rPr>
          <w:rFonts w:hint="default" w:ascii="Times New Roman" w:hAnsi="Times New Roman" w:eastAsia="方正仿宋_GBK" w:cs="Times New Roman"/>
          <w:sz w:val="32"/>
          <w:szCs w:val="32"/>
          <w:lang w:eastAsia="zh-CN"/>
        </w:rPr>
        <w:t>一是充分利用无人机等先进技术设备开展电力线路巡察工作，规范清理树（竹）障碍，确保输电通道畅通。二是充分调动人、财、物等所有资源要素，对电力设施设备开展检查工作，严厉打击第三方外力破坏行为。三是制定供电设施设备年度检修计划，优化检修工期和方案，</w:t>
      </w:r>
      <w:r>
        <w:rPr>
          <w:rFonts w:hint="default" w:ascii="Times New Roman" w:hAnsi="Times New Roman" w:eastAsia="方正仿宋_GBK" w:cs="Times New Roman"/>
          <w:sz w:val="32"/>
          <w:szCs w:val="32"/>
        </w:rPr>
        <w:t>充分利用电网负荷低谷时段开展临停检修。</w:t>
      </w:r>
      <w:r>
        <w:rPr>
          <w:rFonts w:hint="default" w:ascii="Times New Roman" w:hAnsi="Times New Roman" w:eastAsia="方正仿宋_GBK" w:cs="Times New Roman"/>
          <w:sz w:val="32"/>
          <w:szCs w:val="32"/>
          <w:lang w:eastAsia="zh-CN"/>
        </w:rPr>
        <w:t>四是制定用电安全培训教育计划，分期开展用电安全知识培训与考试，严把行业准入考试和岗前培训。五是优化宣传方式，拓宽宣传渠道，开展用电安全知识“五进”活动。六是制定大面积停电预案，</w:t>
      </w:r>
      <w:r>
        <w:rPr>
          <w:rFonts w:hint="default" w:ascii="Times New Roman" w:hAnsi="Times New Roman" w:eastAsia="方正仿宋_GBK" w:cs="Times New Roman"/>
          <w:sz w:val="32"/>
          <w:szCs w:val="32"/>
        </w:rPr>
        <w:t>组织开展大面积停电事件应急演练，高效、快速处置电网大面积停电事件，减少损失和影响。</w:t>
      </w:r>
      <w:r>
        <w:rPr>
          <w:rFonts w:hint="default" w:ascii="Times New Roman" w:hAnsi="Times New Roman" w:eastAsia="方正仿宋_GBK" w:cs="Times New Roman"/>
          <w:sz w:val="32"/>
          <w:szCs w:val="32"/>
          <w:lang w:eastAsia="zh-CN"/>
        </w:rPr>
        <w:t>七是</w:t>
      </w:r>
      <w:r>
        <w:rPr>
          <w:rFonts w:hint="default" w:ascii="Times New Roman" w:hAnsi="Times New Roman" w:eastAsia="方正仿宋_GBK" w:cs="Times New Roman"/>
          <w:sz w:val="32"/>
          <w:szCs w:val="32"/>
        </w:rPr>
        <w:t>科学制定负荷管理预案，开展节约用电行动，供需两侧发力确保电力供需平衡、电网安全运行。</w:t>
      </w:r>
    </w:p>
    <w:p w14:paraId="1AD293C3">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eastAsia="zh-CN"/>
        </w:rPr>
        <w:t>做好电力项目安全监管。一是加强学习国网电力反违章</w:t>
      </w:r>
      <w:r>
        <w:rPr>
          <w:rFonts w:hint="default" w:ascii="Times New Roman" w:hAnsi="Times New Roman" w:eastAsia="方正仿宋_GBK" w:cs="Times New Roman"/>
          <w:sz w:val="32"/>
          <w:szCs w:val="32"/>
          <w:lang w:val="en-US" w:eastAsia="zh-CN"/>
        </w:rPr>
        <w:t>103条内容，深入剖析原因，总结经验教训，指导项目施工实践。二是推行电力农配网和基建项目远程操控监管，注重作业前、作业中、作业后的过程监管，严格执行电力行业技术规范。三是加强安全培训，坚持持证上岗，安全负责人和现场管理人员在岗、在位、在状态。四是坚持安全生产“三同时”制度，实行线上监管和现场管理相结合。</w:t>
      </w:r>
    </w:p>
    <w:p w14:paraId="37C78D77">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落实供电企业安全主体责任。</w:t>
      </w:r>
      <w:r>
        <w:rPr>
          <w:rFonts w:hint="default" w:ascii="Times New Roman" w:hAnsi="Times New Roman" w:eastAsia="方正仿宋_GBK" w:cs="Times New Roman"/>
          <w:sz w:val="32"/>
          <w:szCs w:val="32"/>
          <w:lang w:eastAsia="zh-CN"/>
        </w:rPr>
        <w:t>一是建立健全领导履职制度，深化领导干部“</w:t>
      </w:r>
      <w:r>
        <w:rPr>
          <w:rFonts w:hint="default" w:ascii="Times New Roman" w:hAnsi="Times New Roman" w:eastAsia="方正仿宋_GBK" w:cs="Times New Roman"/>
          <w:sz w:val="32"/>
          <w:szCs w:val="32"/>
          <w:lang w:val="en-US" w:eastAsia="zh-CN"/>
        </w:rPr>
        <w:t>351</w:t>
      </w:r>
      <w:r>
        <w:rPr>
          <w:rFonts w:hint="default" w:ascii="Times New Roman" w:hAnsi="Times New Roman" w:eastAsia="方正仿宋_GBK" w:cs="Times New Roman"/>
          <w:sz w:val="32"/>
          <w:szCs w:val="32"/>
          <w:lang w:eastAsia="zh-CN"/>
        </w:rPr>
        <w:t>”工作机制，确保领导干部履职到位。二是坚持安全生产周例会，分析、解决电网运行和项目建设过程中的难点、堵点问题。三是建立安全生产“日周月”隐患排查制度，拉网式排查，铁腕式整治，实现安全生产隐患排查治理闭环管理。四是全面落实全员安全生产责任制，推行安全生产“两单两卡”制度，创建企业安全生产标准化建设。五是做好迎峰度夏、度冬等电力平衡调度工作。六是建立安全生产举报奖励制度，严格逗硬奖惩。七是切实做好树障清理和防止外力破坏工作，深入开展电力春夏秋冬安全生产专项行动。</w:t>
      </w:r>
    </w:p>
    <w:p w14:paraId="0084BDA7">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w:t>
      </w:r>
      <w:r>
        <w:rPr>
          <w:rFonts w:hint="default" w:ascii="Times New Roman" w:hAnsi="Times New Roman" w:eastAsia="方正楷体_GBK" w:cs="Times New Roman"/>
          <w:kern w:val="0"/>
          <w:sz w:val="32"/>
          <w:szCs w:val="32"/>
          <w:lang w:eastAsia="zh-CN" w:bidi="ar"/>
        </w:rPr>
        <w:t>三</w:t>
      </w:r>
      <w:r>
        <w:rPr>
          <w:rFonts w:hint="default" w:ascii="Times New Roman" w:hAnsi="Times New Roman" w:eastAsia="方正楷体_GBK" w:cs="Times New Roman"/>
          <w:kern w:val="0"/>
          <w:sz w:val="32"/>
          <w:szCs w:val="32"/>
          <w:lang w:bidi="ar"/>
        </w:rPr>
        <w:t>）全面加强城镇燃气油气安全管理</w:t>
      </w:r>
    </w:p>
    <w:p w14:paraId="6DA58321">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rPr>
        <w:t>9.</w:t>
      </w:r>
      <w:r>
        <w:rPr>
          <w:rFonts w:hint="default" w:ascii="Times New Roman" w:hAnsi="Times New Roman" w:eastAsia="方正仿宋_GBK" w:cs="Times New Roman"/>
          <w:kern w:val="0"/>
          <w:sz w:val="32"/>
          <w:szCs w:val="32"/>
        </w:rPr>
        <w:t>持续推进燃气油气安全专项整治。</w:t>
      </w:r>
      <w:r>
        <w:rPr>
          <w:rFonts w:hint="default" w:ascii="Times New Roman" w:hAnsi="Times New Roman" w:eastAsia="方正仿宋_GBK" w:cs="Times New Roman"/>
          <w:sz w:val="32"/>
          <w:szCs w:val="32"/>
        </w:rPr>
        <w:t>按照《重庆市城镇燃气油气安全专项整治工作方案》《重庆市城镇燃气油气安全专项整治经信系统专项方案》安排和要求，发挥城镇燃气安全专项整治工作专班作用，做好召集人，加强城镇燃气安全专项整治统筹协调，推动专项整治走深走实，</w:t>
      </w:r>
      <w:r>
        <w:rPr>
          <w:rFonts w:hint="default" w:ascii="Times New Roman" w:hAnsi="Times New Roman" w:eastAsia="方正仿宋_GBK" w:cs="Times New Roman"/>
          <w:kern w:val="0"/>
          <w:sz w:val="32"/>
          <w:szCs w:val="32"/>
          <w:lang w:val="en" w:bidi="ar"/>
        </w:rPr>
        <w:t>既整治设施设备环境的“硬伤”，更补上制度管理和从业人员素质的“软肋”</w:t>
      </w:r>
      <w:r>
        <w:rPr>
          <w:rFonts w:hint="default" w:ascii="Times New Roman" w:hAnsi="Times New Roman" w:eastAsia="方正仿宋_GBK" w:cs="Times New Roman"/>
          <w:sz w:val="32"/>
          <w:szCs w:val="32"/>
        </w:rPr>
        <w:t>。</w:t>
      </w:r>
    </w:p>
    <w:p w14:paraId="444C6DC8">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kern w:val="0"/>
          <w:sz w:val="32"/>
          <w:szCs w:val="32"/>
          <w:lang w:val="en-US" w:eastAsia="zh-CN" w:bidi="ar"/>
        </w:rPr>
        <w:t>10.</w:t>
      </w:r>
      <w:r>
        <w:rPr>
          <w:rFonts w:hint="default" w:ascii="Times New Roman" w:hAnsi="Times New Roman" w:eastAsia="方正仿宋_GBK" w:cs="Times New Roman"/>
          <w:kern w:val="0"/>
          <w:sz w:val="32"/>
          <w:szCs w:val="32"/>
          <w:lang w:val="en" w:bidi="ar"/>
        </w:rPr>
        <w:t>加快建立城镇燃气油气安全长效机制。</w:t>
      </w:r>
      <w:r>
        <w:rPr>
          <w:rFonts w:hint="default" w:ascii="Times New Roman" w:hAnsi="Times New Roman" w:eastAsia="方正仿宋_GBK" w:cs="Times New Roman"/>
          <w:sz w:val="32"/>
          <w:szCs w:val="32"/>
        </w:rPr>
        <w:t>对“大起底”排查、全链条整治的城镇燃气安全风险隐患和燃气具及配件市场治理，组织开展“回头看”再整治再复核，从源头严控增量安全隐患。从共性问题和突出隐患入手，研究制定有效措施并推动落实，持续</w:t>
      </w:r>
      <w:r>
        <w:rPr>
          <w:rFonts w:hint="default" w:ascii="Times New Roman" w:hAnsi="Times New Roman" w:eastAsia="方正仿宋_GBK" w:cs="Times New Roman"/>
          <w:kern w:val="0"/>
          <w:sz w:val="32"/>
          <w:szCs w:val="32"/>
          <w:lang w:val="en" w:bidi="ar"/>
        </w:rPr>
        <w:t>推动城镇燃气油气安全向事前预防转型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lang w:val="en" w:bidi="ar"/>
        </w:rPr>
        <w:t>着力破解燃气油气安全深层次矛盾问题，</w:t>
      </w:r>
      <w:r>
        <w:rPr>
          <w:rFonts w:hint="default" w:ascii="Times New Roman" w:hAnsi="Times New Roman" w:eastAsia="方正仿宋_GBK" w:cs="Times New Roman"/>
          <w:sz w:val="32"/>
          <w:szCs w:val="32"/>
        </w:rPr>
        <w:t>加快构建城镇燃气油气风险管控和隐患排查治理双重预防机制</w:t>
      </w:r>
      <w:r>
        <w:rPr>
          <w:rFonts w:hint="default" w:ascii="Times New Roman" w:hAnsi="Times New Roman" w:eastAsia="方正仿宋_GBK" w:cs="Times New Roman"/>
          <w:kern w:val="0"/>
          <w:sz w:val="32"/>
          <w:szCs w:val="32"/>
          <w:lang w:val="en" w:bidi="ar"/>
        </w:rPr>
        <w:t>。</w:t>
      </w:r>
    </w:p>
    <w:p w14:paraId="46F8BE02">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提升城镇燃气油气行业本质安全水平。</w:t>
      </w:r>
      <w:r>
        <w:rPr>
          <w:rFonts w:hint="default" w:ascii="Times New Roman" w:hAnsi="Times New Roman" w:eastAsia="方正仿宋_GBK" w:cs="Times New Roman"/>
          <w:kern w:val="0"/>
          <w:sz w:val="32"/>
          <w:szCs w:val="32"/>
        </w:rPr>
        <w:t>统筹推进城镇燃气管道等老化更新改造、城镇老旧小区改造等工作，加快更新改造老化和有隐患的城市燃气市政管道、庭院管道、立管、厂站设施及用户设施</w:t>
      </w:r>
      <w:r>
        <w:rPr>
          <w:rFonts w:hint="default" w:ascii="Times New Roman" w:hAnsi="Times New Roman" w:eastAsia="方正仿宋_GBK" w:cs="Times New Roman"/>
          <w:sz w:val="32"/>
          <w:szCs w:val="32"/>
        </w:rPr>
        <w:t>；推动燃气安全数字化建设，加强物联网、大数据、人工智能等新一代信息技术在燃气油气管理中的应用，提高监测感知、风险研判、隐患整治等事前预防水平</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 xml:space="preserve">加大燃气市场整顿整合力度，落实国家严进、严管、重罚的燃气安全管理机制，提升本质安全水平；贯彻落实城镇燃气经营重大事故隐患判定标准，规范事故隐患管理，提升隐患排查整治质量；加强燃气经营企业主要负责人和一线岗位从业人员培训教育，推动餐饮等单位主要负责人、从业人员安全培训，加强燃气安全知识“五进”，着力提升燃气领域企业和公众安全意识。 </w:t>
      </w:r>
    </w:p>
    <w:p w14:paraId="74CBC3C7">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全面</w:t>
      </w:r>
      <w:r>
        <w:rPr>
          <w:rFonts w:hint="eastAsia" w:ascii="方正楷体_GBK" w:hAnsi="方正楷体_GBK" w:eastAsia="方正楷体_GBK" w:cs="方正楷体_GBK"/>
          <w:sz w:val="32"/>
          <w:szCs w:val="32"/>
        </w:rPr>
        <w:t>加强电动汽车充换电行业安全管理</w:t>
      </w:r>
    </w:p>
    <w:p w14:paraId="3C61D777">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加强电动汽车充换电行业责任体系建设。进一步规范电动汽车换电、充电设施建设及运营安全监管，落实好充换电基础设施安全生产属地管理责任。督促指导各</w:t>
      </w:r>
      <w:r>
        <w:rPr>
          <w:rFonts w:hint="default" w:ascii="Times New Roman" w:hAnsi="Times New Roman" w:eastAsia="方正仿宋_GBK" w:cs="Times New Roman"/>
          <w:sz w:val="32"/>
          <w:szCs w:val="32"/>
          <w:lang w:eastAsia="zh-CN"/>
        </w:rPr>
        <w:t>乡镇、街道</w:t>
      </w:r>
      <w:r>
        <w:rPr>
          <w:rFonts w:hint="default" w:ascii="Times New Roman" w:hAnsi="Times New Roman" w:eastAsia="方正仿宋_GBK" w:cs="Times New Roman"/>
          <w:sz w:val="32"/>
          <w:szCs w:val="32"/>
        </w:rPr>
        <w:t>做好本辖区内充换电设施安全监管工作，定期开展安全隐患排查，落实组织机构和责任、细化目标任务、明确检查步骤和工作要求，及时发现并消除事故隐患。</w:t>
      </w:r>
    </w:p>
    <w:p w14:paraId="110BA4CF">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rPr>
        <w:t>强化电动汽车充换电行业数字化安全监管。</w:t>
      </w:r>
      <w:r>
        <w:rPr>
          <w:rFonts w:hint="default" w:ascii="Times New Roman" w:hAnsi="Times New Roman" w:eastAsia="方正仿宋_GBK" w:cs="Times New Roman"/>
          <w:sz w:val="32"/>
          <w:szCs w:val="32"/>
          <w:lang w:eastAsia="zh-CN"/>
        </w:rPr>
        <w:t>逐步</w:t>
      </w:r>
      <w:r>
        <w:rPr>
          <w:rFonts w:hint="default" w:ascii="Times New Roman" w:hAnsi="Times New Roman" w:eastAsia="方正仿宋_GBK" w:cs="Times New Roman"/>
          <w:sz w:val="32"/>
          <w:szCs w:val="32"/>
        </w:rPr>
        <w:t>推动全</w:t>
      </w:r>
      <w:r>
        <w:rPr>
          <w:rFonts w:hint="default" w:ascii="Times New Roman" w:hAnsi="Times New Roman" w:eastAsia="方正仿宋_GBK" w:cs="Times New Roman"/>
          <w:sz w:val="32"/>
          <w:szCs w:val="32"/>
          <w:lang w:eastAsia="zh-CN"/>
        </w:rPr>
        <w:t>县</w:t>
      </w:r>
      <w:r>
        <w:rPr>
          <w:rFonts w:hint="default" w:ascii="Times New Roman" w:hAnsi="Times New Roman" w:eastAsia="方正仿宋_GBK" w:cs="Times New Roman"/>
          <w:sz w:val="32"/>
          <w:szCs w:val="32"/>
        </w:rPr>
        <w:t>充换电设施接入市级新能源汽车与充电基础设施监测平台（以下简称“市级监测平台”），加强对电动汽车充换电设施运行监测管理，</w:t>
      </w:r>
      <w:r>
        <w:rPr>
          <w:rFonts w:hint="default" w:ascii="Times New Roman" w:hAnsi="Times New Roman" w:eastAsia="方正仿宋_GBK" w:cs="Times New Roman"/>
          <w:sz w:val="32"/>
          <w:szCs w:val="32"/>
          <w:lang w:eastAsia="zh-CN"/>
        </w:rPr>
        <w:t>配合市级</w:t>
      </w:r>
      <w:r>
        <w:rPr>
          <w:rFonts w:hint="default" w:ascii="Times New Roman" w:hAnsi="Times New Roman" w:eastAsia="方正仿宋_GBK" w:cs="Times New Roman"/>
          <w:sz w:val="32"/>
          <w:szCs w:val="32"/>
        </w:rPr>
        <w:t>应用大数据监管等新型监管方式，</w:t>
      </w:r>
      <w:r>
        <w:rPr>
          <w:rFonts w:hint="default" w:ascii="Times New Roman" w:hAnsi="Times New Roman" w:eastAsia="方正仿宋_GBK" w:cs="Times New Roman"/>
          <w:sz w:val="32"/>
          <w:szCs w:val="32"/>
          <w:lang w:eastAsia="zh-CN"/>
        </w:rPr>
        <w:t>配合</w:t>
      </w:r>
      <w:r>
        <w:rPr>
          <w:rFonts w:hint="default" w:ascii="Times New Roman" w:hAnsi="Times New Roman" w:eastAsia="方正仿宋_GBK" w:cs="Times New Roman"/>
          <w:sz w:val="32"/>
          <w:szCs w:val="32"/>
        </w:rPr>
        <w:t>市级监测平台充换电过程监控与报警处理、充换电信息安全防御等功能；通过线上线下结合，督促公共快充站、换电站等运营企业做到24小时人员值守，开展隐患排查、智能运维等精细化巡检。</w:t>
      </w:r>
    </w:p>
    <w:p w14:paraId="2434933F">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提升电动汽车充换电建设运营企业安全生产管理水平。加强充换电基础设施投资建设过程中安全管理，督促充换电建设运营企业落实成立安全生产组织领导机构，建立健全安全生产制度，定期开展安全生产教育培训，实施安全风险管控与隐患排查治理，优化完善企业级充换电设施安全监控系统，开展日常巡检维护，落实全员安全生产责任制等工作。</w:t>
      </w:r>
    </w:p>
    <w:p w14:paraId="3B351C36">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eastAsia="zh-CN" w:bidi="ar"/>
        </w:rPr>
      </w:pPr>
      <w:r>
        <w:rPr>
          <w:rFonts w:hint="default" w:ascii="Times New Roman" w:hAnsi="Times New Roman" w:eastAsia="方正楷体_GBK" w:cs="Times New Roman"/>
          <w:kern w:val="0"/>
          <w:sz w:val="32"/>
          <w:szCs w:val="32"/>
          <w:lang w:bidi="ar"/>
        </w:rPr>
        <w:t>（五）</w:t>
      </w:r>
      <w:r>
        <w:rPr>
          <w:rFonts w:hint="default" w:ascii="Times New Roman" w:hAnsi="Times New Roman" w:eastAsia="方正楷体_GBK" w:cs="Times New Roman"/>
          <w:kern w:val="0"/>
          <w:sz w:val="32"/>
          <w:szCs w:val="32"/>
          <w:lang w:eastAsia="zh-CN" w:bidi="ar"/>
        </w:rPr>
        <w:t>全面加强通讯行业安全监管</w:t>
      </w:r>
    </w:p>
    <w:p w14:paraId="2E3BFA5F">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val="en" w:eastAsia="zh-CN"/>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 w:eastAsia="zh-CN"/>
        </w:rPr>
        <w:t>开展重大隐患事故清零行动。2024年年底前，基础电信企业要对通信建设工程安全、通信网络运行安全等重点内容进行风险隐患自查自纠全覆盖，基本消除2023年及以前排查发现的较大及以上安全事故隐患存量，严格控制安全事故隐患增量，做到检查、整改、验收闭环管理，确保整改落实取得实效。</w:t>
      </w:r>
    </w:p>
    <w:p w14:paraId="56E6EFA1">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开展信息通信行业系统安全能力提升行动。强化通信建设工程管理，加强安全生产责任细化管理，督促勘察、设计、施工、监理等单位严格按照法律法规和技术标准要求开展工作。提升网络运行综合保护能力，严格落实网络架构保护措施和“四防”要求，推动建立电信企业网络运行安全考核体系。加大通信杆线安全治理力度，逐步有序推动</w:t>
      </w:r>
      <w:r>
        <w:rPr>
          <w:rFonts w:hint="default" w:ascii="Times New Roman" w:hAnsi="Times New Roman" w:eastAsia="方正仿宋_GBK" w:cs="Times New Roman"/>
          <w:sz w:val="32"/>
          <w:szCs w:val="32"/>
          <w:lang w:val="en-US" w:eastAsia="zh-CN"/>
        </w:rPr>
        <w:t>全县</w:t>
      </w:r>
      <w:r>
        <w:rPr>
          <w:rFonts w:hint="default" w:ascii="Times New Roman" w:hAnsi="Times New Roman" w:eastAsia="方正仿宋_GBK" w:cs="Times New Roman"/>
          <w:sz w:val="32"/>
          <w:szCs w:val="32"/>
        </w:rPr>
        <w:t>农村区域通信杆线整治工作。</w:t>
      </w:r>
    </w:p>
    <w:p w14:paraId="35F28676">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rPr>
        <w:t>开展行业企业安全生产标准化行动。持续健全电信网络运行安全生产标准化管理体系和制度体系。以落实企业一线岗位从业人员安全生产责任制“两单两卡”为重点，建立健全企业全员岗位安全生产责任制，强化企业主要负责人，安全生产管理机构及安全生产管理人员，具体岗位及其从业人员的责任，全面落实安全风险分级管控和隐患排查治理双重预防机制。</w:t>
      </w:r>
    </w:p>
    <w:p w14:paraId="62FC2320">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rPr>
        <w:t>开展通信建设施工数字智治行动。总结通信建设施工现场管理难点、关键点，探索利用数字化手段，加强通信建设施工现场安全监测能力</w:t>
      </w:r>
      <w:r>
        <w:rPr>
          <w:rFonts w:hint="default" w:ascii="Times New Roman" w:hAnsi="Times New Roman" w:eastAsia="方正仿宋_GBK" w:cs="Times New Roman"/>
          <w:sz w:val="32"/>
          <w:szCs w:val="32"/>
          <w:lang w:eastAsia="zh-CN"/>
        </w:rPr>
        <w:t>。</w:t>
      </w:r>
    </w:p>
    <w:p w14:paraId="6376D09B">
      <w:pPr>
        <w:keepNext w:val="0"/>
        <w:keepLines w:val="0"/>
        <w:pageBreakBefore w:val="0"/>
        <w:widowControl w:val="0"/>
        <w:kinsoku/>
        <w:wordWrap/>
        <w:overflowPunct/>
        <w:topLinePunct w:val="0"/>
        <w:bidi w:val="0"/>
        <w:adjustRightInd/>
        <w:spacing w:line="600" w:lineRule="atLeas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开展企业员工安全素质提升行动。聚焦“人人讲安全、个个会应急”，持续开展安全生产月、消防宣传月等宣传活动。每年至少组织开展1次疏散逃生演练，切实提升从业人员疏散逃生自救意识、避险能力以及应急处置能力。</w:t>
      </w:r>
    </w:p>
    <w:p w14:paraId="32EB6DEA">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eastAsia="zh-CN" w:bidi="ar"/>
        </w:rPr>
        <w:t>（六）</w:t>
      </w:r>
      <w:r>
        <w:rPr>
          <w:rFonts w:hint="default" w:ascii="Times New Roman" w:hAnsi="Times New Roman" w:eastAsia="方正楷体_GBK" w:cs="Times New Roman"/>
          <w:kern w:val="0"/>
          <w:sz w:val="32"/>
          <w:szCs w:val="32"/>
          <w:lang w:bidi="ar"/>
        </w:rPr>
        <w:t>进一步规范其他安全行业领域安全管理</w:t>
      </w:r>
    </w:p>
    <w:p w14:paraId="220FE180">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做好职责范围内工业园区安全监管，综合指导工业园区安全生产工作。加强无线电监测网技术设施安全监督检查工作，督促市无线电监测站落实安全生产主体责任，认真开展安全生产自检自查工作，进一步加强安全隐患排查整治。加强食盐定点生产企业食盐生产和政府储备盐仓储环节安全监督管理，督促隐患及时整改到位。</w:t>
      </w:r>
      <w:r>
        <w:rPr>
          <w:rFonts w:hint="default" w:ascii="Times New Roman" w:hAnsi="Times New Roman" w:eastAsia="方正仿宋_GBK" w:cs="Times New Roman"/>
          <w:bCs/>
          <w:kern w:val="0"/>
          <w:sz w:val="32"/>
          <w:szCs w:val="32"/>
          <w:shd w:val="clear" w:color="auto" w:fill="FFFFFF"/>
          <w:lang w:bidi="ar"/>
        </w:rPr>
        <w:t>认真开展职责范围内核准项目安全监督管理，对新核准的工业项目开展安全隐患全面排查，会同应急管理部门督促项目业主严格落实“三同时”制度，确保项目安全顺利实施。</w:t>
      </w:r>
    </w:p>
    <w:p w14:paraId="59DBA5DA">
      <w:pPr>
        <w:keepNext w:val="0"/>
        <w:keepLines w:val="0"/>
        <w:pageBreakBefore w:val="0"/>
        <w:widowControl w:val="0"/>
        <w:suppressAutoHyphens/>
        <w:kinsoku/>
        <w:wordWrap/>
        <w:overflowPunct/>
        <w:topLinePunct w:val="0"/>
        <w:bidi w:val="0"/>
        <w:adjustRightInd/>
        <w:spacing w:line="600" w:lineRule="atLeast"/>
        <w:ind w:firstLine="640" w:firstLineChars="200"/>
        <w:textAlignment w:val="auto"/>
        <w:rPr>
          <w:rFonts w:hint="default" w:ascii="Times New Roman" w:hAnsi="Times New Roman" w:eastAsia="方正楷体_GBK" w:cs="Times New Roman"/>
          <w:kern w:val="0"/>
          <w:sz w:val="32"/>
          <w:szCs w:val="32"/>
          <w:lang w:bidi="ar"/>
        </w:rPr>
      </w:pPr>
      <w:r>
        <w:rPr>
          <w:rFonts w:hint="default" w:ascii="Times New Roman" w:hAnsi="Times New Roman" w:eastAsia="方正楷体_GBK" w:cs="Times New Roman"/>
          <w:kern w:val="0"/>
          <w:sz w:val="32"/>
          <w:szCs w:val="32"/>
          <w:lang w:bidi="ar"/>
        </w:rPr>
        <w:t>（</w:t>
      </w:r>
      <w:r>
        <w:rPr>
          <w:rFonts w:hint="eastAsia" w:ascii="Times New Roman" w:hAnsi="Times New Roman" w:eastAsia="方正楷体_GBK" w:cs="Times New Roman"/>
          <w:kern w:val="0"/>
          <w:sz w:val="32"/>
          <w:szCs w:val="32"/>
          <w:lang w:val="en-US" w:eastAsia="zh-CN" w:bidi="ar"/>
        </w:rPr>
        <w:t>七</w:t>
      </w:r>
      <w:r>
        <w:rPr>
          <w:rFonts w:hint="default" w:ascii="Times New Roman" w:hAnsi="Times New Roman" w:eastAsia="方正楷体_GBK" w:cs="Times New Roman"/>
          <w:kern w:val="0"/>
          <w:sz w:val="32"/>
          <w:szCs w:val="32"/>
          <w:lang w:bidi="ar"/>
        </w:rPr>
        <w:t>）坚持依法严格治理</w:t>
      </w:r>
    </w:p>
    <w:p w14:paraId="7C4FEB0C">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val="en-US" w:eastAsia="zh-CN"/>
        </w:rPr>
        <w:t>21.</w:t>
      </w:r>
      <w:r>
        <w:rPr>
          <w:rFonts w:hint="default" w:ascii="Times New Roman" w:hAnsi="Times New Roman" w:eastAsia="方正仿宋_GBK" w:cs="Times New Roman"/>
          <w:kern w:val="0"/>
          <w:sz w:val="32"/>
          <w:szCs w:val="32"/>
        </w:rPr>
        <w:t>提升监管执法效能。</w:t>
      </w:r>
      <w:r>
        <w:rPr>
          <w:rFonts w:hint="default" w:ascii="Times New Roman" w:hAnsi="Times New Roman" w:eastAsia="方正仿宋_GBK" w:cs="Times New Roman"/>
          <w:sz w:val="32"/>
          <w:szCs w:val="32"/>
        </w:rPr>
        <w:t>聚焦城镇燃气、民爆、电力运行等重点行业领域，</w:t>
      </w:r>
      <w:r>
        <w:rPr>
          <w:rFonts w:hint="default" w:ascii="Times New Roman" w:hAnsi="Times New Roman" w:eastAsia="方正仿宋_GBK" w:cs="Times New Roman"/>
          <w:kern w:val="0"/>
          <w:sz w:val="32"/>
          <w:szCs w:val="32"/>
        </w:rPr>
        <w:t>加大推广“互联网+执法”应用力度，推动现场执法检查和线上巡查执法有机结合，提高执法效能。加大对企业主要负责人履职行为的监督执法力度，依法采取联合惩戒、“一案双罚”等措施，严厉查处安全生产违法行为。综合运用“四不两直”、明查暗访、交叉排查等方式，聚焦重大事故隐患排查整治，深入推进精准执法，坚持“有案必查、一案双查、三责同追、四不放过”，严肃事故调查。对无需审批备案但具有较大安全风险的生产经营活动，要完善“双随机”抽查检查工作机制，严防小施工、小作业惹大事。</w:t>
      </w:r>
    </w:p>
    <w:p w14:paraId="5E180DB9">
      <w:pPr>
        <w:keepNext w:val="0"/>
        <w:keepLines w:val="0"/>
        <w:pageBreakBefore w:val="0"/>
        <w:widowControl w:val="0"/>
        <w:kinsoku/>
        <w:wordWrap/>
        <w:overflowPunct/>
        <w:topLinePunct w:val="0"/>
        <w:autoSpaceDE w:val="0"/>
        <w:autoSpaceDN w:val="0"/>
        <w:bidi w:val="0"/>
        <w:adjustRightInd/>
        <w:spacing w:line="600" w:lineRule="atLeas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黑体_GBK" w:cs="Times New Roman"/>
          <w:sz w:val="32"/>
          <w:szCs w:val="32"/>
        </w:rPr>
        <w:t xml:space="preserve"> </w:t>
      </w:r>
      <w:bookmarkStart w:id="5" w:name="_Toc647651398_WPSOffice_Level1"/>
      <w:bookmarkStart w:id="6" w:name="_Toc1342932880_WPSOffice_Level1"/>
      <w:r>
        <w:rPr>
          <w:rFonts w:hint="default" w:ascii="Times New Roman" w:hAnsi="Times New Roman" w:eastAsia="方正黑体_GBK" w:cs="Times New Roman"/>
          <w:sz w:val="32"/>
          <w:szCs w:val="32"/>
        </w:rPr>
        <w:t>三、保障措施</w:t>
      </w:r>
      <w:bookmarkEnd w:id="5"/>
      <w:bookmarkEnd w:id="6"/>
    </w:p>
    <w:p w14:paraId="5C5D7C7A">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lang w:bidi="ar"/>
        </w:rPr>
        <w:t>（一）加强组织领导。</w:t>
      </w:r>
      <w:r>
        <w:rPr>
          <w:rFonts w:hint="default" w:ascii="Times New Roman" w:hAnsi="Times New Roman" w:eastAsia="方正仿宋_GBK" w:cs="Times New Roman"/>
          <w:sz w:val="32"/>
          <w:szCs w:val="32"/>
          <w:lang w:eastAsia="zh-CN"/>
        </w:rPr>
        <w:t>机关各科室、企业</w:t>
      </w:r>
      <w:r>
        <w:rPr>
          <w:rFonts w:hint="default" w:ascii="Times New Roman" w:hAnsi="Times New Roman" w:eastAsia="方正仿宋_GBK" w:cs="Times New Roman"/>
          <w:sz w:val="32"/>
          <w:szCs w:val="32"/>
        </w:rPr>
        <w:t>要积极动员部署，推动</w:t>
      </w:r>
      <w:r>
        <w:rPr>
          <w:rFonts w:hint="default" w:ascii="Times New Roman" w:hAnsi="Times New Roman" w:eastAsia="方正仿宋_GBK" w:cs="Times New Roman"/>
          <w:kern w:val="0"/>
          <w:sz w:val="32"/>
          <w:szCs w:val="32"/>
        </w:rPr>
        <w:t>安全生产治本攻坚三年行动</w:t>
      </w:r>
      <w:r>
        <w:rPr>
          <w:rFonts w:hint="default" w:ascii="Times New Roman" w:hAnsi="Times New Roman" w:eastAsia="方正仿宋_GBK" w:cs="Times New Roman"/>
          <w:sz w:val="32"/>
          <w:szCs w:val="32"/>
        </w:rPr>
        <w:t>有序开展。要</w:t>
      </w:r>
      <w:r>
        <w:rPr>
          <w:rFonts w:hint="default" w:ascii="Times New Roman" w:hAnsi="Times New Roman" w:eastAsia="方正仿宋_GBK" w:cs="Times New Roman"/>
          <w:bCs/>
          <w:kern w:val="0"/>
          <w:sz w:val="32"/>
          <w:szCs w:val="32"/>
          <w:shd w:val="clear" w:color="auto" w:fill="FFFFFF"/>
          <w:lang w:bidi="ar"/>
        </w:rPr>
        <w:t>制定领导干部责任清单和年度重点任务清单，</w:t>
      </w:r>
      <w:r>
        <w:rPr>
          <w:rFonts w:hint="default" w:ascii="Times New Roman" w:hAnsi="Times New Roman" w:eastAsia="方正仿宋_GBK" w:cs="Times New Roman"/>
          <w:kern w:val="0"/>
          <w:sz w:val="32"/>
          <w:szCs w:val="32"/>
        </w:rPr>
        <w:t>明确责任分工和工作目标。</w:t>
      </w:r>
      <w:r>
        <w:rPr>
          <w:rFonts w:hint="default" w:ascii="Times New Roman" w:hAnsi="Times New Roman" w:eastAsia="方正仿宋_GBK" w:cs="Times New Roman"/>
          <w:sz w:val="32"/>
          <w:szCs w:val="32"/>
        </w:rPr>
        <w:t>要结合实际制定符合</w:t>
      </w:r>
      <w:r>
        <w:rPr>
          <w:rFonts w:hint="default" w:ascii="Times New Roman" w:hAnsi="Times New Roman" w:eastAsia="方正仿宋_GBK" w:cs="Times New Roman"/>
          <w:sz w:val="32"/>
          <w:szCs w:val="32"/>
          <w:lang w:eastAsia="zh-CN"/>
        </w:rPr>
        <w:t>本行业</w:t>
      </w:r>
      <w:r>
        <w:rPr>
          <w:rFonts w:hint="default" w:ascii="Times New Roman" w:hAnsi="Times New Roman" w:eastAsia="方正仿宋_GBK" w:cs="Times New Roman"/>
          <w:sz w:val="32"/>
          <w:szCs w:val="32"/>
        </w:rPr>
        <w:t>发展现状的行动计划，推动治本攻坚行动不断向纵深推进，督促安全监管行业企业落实主体责任，积极落实各项重要任务和工作目标。 </w:t>
      </w:r>
    </w:p>
    <w:p w14:paraId="6C54DB6B">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kern w:val="0"/>
          <w:sz w:val="32"/>
          <w:szCs w:val="32"/>
          <w:lang w:bidi="ar"/>
        </w:rPr>
        <w:t>（二）开展工作晾晒。</w:t>
      </w:r>
      <w:r>
        <w:rPr>
          <w:rFonts w:hint="default" w:ascii="Times New Roman" w:hAnsi="Times New Roman" w:eastAsia="方正仿宋_GBK" w:cs="Times New Roman"/>
          <w:sz w:val="32"/>
          <w:szCs w:val="32"/>
        </w:rPr>
        <w:t>聚焦重点行业领域、重点企业安全生产治本攻坚三年行动工作开展情况及存在的突出安全隐患或问题，通过组织召开会议、印发文件、内部通报等方式，晾晒工作成绩和曝光隐患问题，强化正面典型引导，促进安全生产治本攻坚工作常态落实与交流互鉴。</w:t>
      </w:r>
    </w:p>
    <w:p w14:paraId="3A5A99F9">
      <w:pPr>
        <w:keepNext w:val="0"/>
        <w:keepLines w:val="0"/>
        <w:pageBreakBefore w:val="0"/>
        <w:widowControl w:val="0"/>
        <w:kinsoku/>
        <w:wordWrap/>
        <w:overflowPunct/>
        <w:topLinePunct w:val="0"/>
        <w:bidi w:val="0"/>
        <w:adjustRightInd/>
        <w:spacing w:line="600" w:lineRule="atLeas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kern w:val="0"/>
          <w:sz w:val="32"/>
          <w:szCs w:val="32"/>
          <w:lang w:bidi="ar"/>
        </w:rPr>
        <w:t>（三）推动落实责任。</w:t>
      </w:r>
      <w:r>
        <w:rPr>
          <w:rFonts w:hint="default" w:ascii="Times New Roman" w:hAnsi="Times New Roman" w:eastAsia="方正仿宋_GBK" w:cs="Times New Roman"/>
          <w:sz w:val="32"/>
          <w:szCs w:val="32"/>
          <w:lang w:eastAsia="zh-CN"/>
        </w:rPr>
        <w:t>县政府</w:t>
      </w:r>
      <w:r>
        <w:rPr>
          <w:rFonts w:hint="default" w:ascii="Times New Roman" w:hAnsi="Times New Roman" w:eastAsia="方正楷体_GBK" w:cs="Times New Roman"/>
          <w:kern w:val="0"/>
          <w:sz w:val="32"/>
          <w:szCs w:val="32"/>
          <w:lang w:eastAsia="zh-CN" w:bidi="ar"/>
        </w:rPr>
        <w:t>、</w:t>
      </w:r>
      <w:r>
        <w:rPr>
          <w:rFonts w:hint="default" w:ascii="Times New Roman" w:hAnsi="Times New Roman" w:eastAsia="方正仿宋_GBK" w:cs="Times New Roman"/>
          <w:sz w:val="32"/>
          <w:szCs w:val="32"/>
        </w:rPr>
        <w:t>市经济信息委将强化有关工作的检查、督导力度，加大“四不两直”、明查暗访等检查力度，</w:t>
      </w:r>
      <w:r>
        <w:rPr>
          <w:rFonts w:hint="default" w:ascii="Times New Roman" w:hAnsi="Times New Roman" w:eastAsia="方正仿宋_GBK" w:cs="Times New Roman"/>
          <w:sz w:val="32"/>
          <w:szCs w:val="32"/>
          <w:lang w:eastAsia="zh-CN"/>
        </w:rPr>
        <w:t>定期通报相关情况，实行追责问责</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机关各科室、有关企业</w:t>
      </w:r>
      <w:r>
        <w:rPr>
          <w:rFonts w:hint="default" w:ascii="Times New Roman" w:hAnsi="Times New Roman" w:eastAsia="方正仿宋_GBK" w:cs="Times New Roman"/>
          <w:sz w:val="32"/>
          <w:szCs w:val="32"/>
          <w:lang w:val="en-US" w:eastAsia="zh-CN"/>
        </w:rPr>
        <w:t>要</w:t>
      </w:r>
      <w:r>
        <w:rPr>
          <w:rFonts w:hint="default" w:ascii="Times New Roman" w:hAnsi="Times New Roman" w:eastAsia="方正仿宋_GBK" w:cs="Times New Roman"/>
          <w:sz w:val="32"/>
          <w:szCs w:val="32"/>
          <w:lang w:eastAsia="zh-CN"/>
        </w:rPr>
        <w:t>高度</w:t>
      </w:r>
      <w:r>
        <w:rPr>
          <w:rFonts w:hint="default" w:ascii="Times New Roman" w:hAnsi="Times New Roman" w:eastAsia="方正仿宋_GBK" w:cs="Times New Roman"/>
          <w:sz w:val="32"/>
          <w:szCs w:val="32"/>
          <w:lang w:val="en-US" w:eastAsia="zh-CN"/>
        </w:rPr>
        <w:t>重视</w:t>
      </w:r>
      <w:r>
        <w:rPr>
          <w:rFonts w:hint="default" w:ascii="Times New Roman" w:hAnsi="Times New Roman" w:eastAsia="方正仿宋_GBK" w:cs="Times New Roman"/>
          <w:sz w:val="32"/>
          <w:szCs w:val="32"/>
          <w:lang w:eastAsia="zh-CN"/>
        </w:rPr>
        <w:t>，做实做细该项工作，</w:t>
      </w:r>
      <w:r>
        <w:rPr>
          <w:rFonts w:hint="default" w:ascii="Times New Roman" w:hAnsi="Times New Roman" w:eastAsia="方正仿宋_GBK" w:cs="Times New Roman"/>
          <w:sz w:val="32"/>
          <w:szCs w:val="32"/>
        </w:rPr>
        <w:t>对因工作推进不力而发生重大事故、造成重大损失或社会影响的，将严肃追究有关人员的责任</w:t>
      </w:r>
      <w:r>
        <w:rPr>
          <w:rFonts w:hint="default" w:ascii="Times New Roman" w:hAnsi="Times New Roman" w:eastAsia="方正仿宋_GBK" w:cs="Times New Roman"/>
          <w:kern w:val="0"/>
          <w:sz w:val="32"/>
          <w:szCs w:val="32"/>
        </w:rPr>
        <w:t>。</w:t>
      </w:r>
    </w:p>
    <w:p w14:paraId="6E78F40D">
      <w:pPr>
        <w:keepNext w:val="0"/>
        <w:keepLines w:val="0"/>
        <w:pageBreakBefore w:val="0"/>
        <w:widowControl w:val="0"/>
        <w:kinsoku/>
        <w:wordWrap/>
        <w:overflowPunct/>
        <w:topLinePunct w:val="0"/>
        <w:bidi w:val="0"/>
        <w:adjustRightInd/>
        <w:snapToGrid w:val="0"/>
        <w:spacing w:line="600" w:lineRule="atLeast"/>
        <w:jc w:val="center"/>
        <w:textAlignment w:val="auto"/>
        <w:rPr>
          <w:rFonts w:hint="default" w:ascii="Times New Roman" w:hAnsi="Times New Roman" w:eastAsia="方正仿宋_GBK" w:cs="Times New Roman"/>
          <w:kern w:val="0"/>
          <w:sz w:val="32"/>
          <w:szCs w:val="32"/>
          <w:lang w:val="en-US" w:eastAsia="zh-CN"/>
        </w:rPr>
      </w:pPr>
    </w:p>
    <w:p w14:paraId="4E674ED0">
      <w:pPr>
        <w:keepNext w:val="0"/>
        <w:keepLines w:val="0"/>
        <w:pageBreakBefore w:val="0"/>
        <w:widowControl w:val="0"/>
        <w:kinsoku/>
        <w:wordWrap/>
        <w:overflowPunct/>
        <w:topLinePunct w:val="0"/>
        <w:bidi w:val="0"/>
        <w:adjustRightInd/>
        <w:snapToGrid w:val="0"/>
        <w:spacing w:line="600" w:lineRule="atLeas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rPr>
        <w:t>附：</w:t>
      </w:r>
      <w:r>
        <w:rPr>
          <w:rFonts w:hint="default" w:ascii="Times New Roman" w:hAnsi="Times New Roman" w:eastAsia="方正仿宋_GBK" w:cs="Times New Roman"/>
          <w:sz w:val="32"/>
          <w:szCs w:val="32"/>
          <w:lang w:val="en-US" w:eastAsia="zh-CN"/>
        </w:rPr>
        <w:t>经信行业</w:t>
      </w:r>
      <w:r>
        <w:rPr>
          <w:rFonts w:hint="default" w:ascii="Times New Roman" w:hAnsi="Times New Roman" w:eastAsia="方正仿宋_GBK" w:cs="Times New Roman"/>
          <w:sz w:val="32"/>
          <w:szCs w:val="32"/>
        </w:rPr>
        <w:t>安全生产治本攻坚三年行动重点任务清单</w:t>
      </w:r>
    </w:p>
    <w:p w14:paraId="3D933557">
      <w:pPr>
        <w:pStyle w:val="2"/>
        <w:rPr>
          <w:rFonts w:hint="default" w:ascii="Times New Roman" w:hAnsi="Times New Roman" w:eastAsia="方正仿宋_GBK" w:cs="Times New Roman"/>
          <w:sz w:val="32"/>
          <w:szCs w:val="32"/>
        </w:rPr>
      </w:pPr>
    </w:p>
    <w:p w14:paraId="6D12B7E7">
      <w:pPr>
        <w:rPr>
          <w:rFonts w:hint="default" w:ascii="Times New Roman" w:hAnsi="Times New Roman" w:eastAsia="方正仿宋_GBK" w:cs="Times New Roman"/>
          <w:sz w:val="32"/>
          <w:szCs w:val="32"/>
        </w:rPr>
      </w:pPr>
    </w:p>
    <w:p w14:paraId="33E62F4E">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firstLine="0" w:firstLineChars="0"/>
        <w:jc w:val="right"/>
        <w:textAlignment w:val="auto"/>
        <w:outlineLvl w:val="9"/>
        <w:rPr>
          <w:rFonts w:hint="default" w:ascii="Times New Roman" w:hAnsi="Times New Roman" w:eastAsia="方正仿宋_GBK" w:cs="Times New Roman"/>
          <w:sz w:val="32"/>
          <w:szCs w:val="32"/>
        </w:rPr>
      </w:pPr>
    </w:p>
    <w:p w14:paraId="70759571">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酉阳土家族苗族自治县经济和信息化委员会</w:t>
      </w:r>
    </w:p>
    <w:p w14:paraId="2F743598">
      <w:pPr>
        <w:keepNext w:val="0"/>
        <w:keepLines w:val="0"/>
        <w:pageBreakBefore w:val="0"/>
        <w:widowControl w:val="0"/>
        <w:kinsoku/>
        <w:wordWrap/>
        <w:overflowPunct/>
        <w:topLinePunct w:val="0"/>
        <w:autoSpaceDE/>
        <w:autoSpaceDN/>
        <w:bidi w:val="0"/>
        <w:adjustRightInd/>
        <w:snapToGrid/>
        <w:spacing w:after="0" w:line="240" w:lineRule="auto"/>
        <w:ind w:firstLine="0" w:firstLineChars="0"/>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sz w:val="32"/>
          <w:szCs w:val="32"/>
          <w:lang w:val="en-US" w:eastAsia="zh-CN"/>
        </w:rPr>
        <w:t xml:space="preserve">　　　　　　　　　　　　 2024年4月17日  </w:t>
      </w:r>
    </w:p>
    <w:p w14:paraId="68A038B0">
      <w:pPr>
        <w:adjustRightInd w:val="0"/>
        <w:snapToGrid w:val="0"/>
        <w:spacing w:beforeLines="0" w:afterLines="0" w:line="578" w:lineRule="atLeast"/>
        <w:jc w:val="both"/>
        <w:rPr>
          <w:rFonts w:hint="default" w:ascii="Times New Roman" w:hAnsi="Times New Roman" w:eastAsia="方正仿宋_GBK" w:cs="Times New Roman"/>
          <w:color w:val="0000FF"/>
          <w:sz w:val="32"/>
          <w:szCs w:val="32"/>
        </w:rPr>
      </w:pPr>
    </w:p>
    <w:p w14:paraId="40E17FBA">
      <w:pPr>
        <w:keepNext w:val="0"/>
        <w:keepLines w:val="0"/>
        <w:pageBreakBefore w:val="0"/>
        <w:widowControl w:val="0"/>
        <w:kinsoku/>
        <w:wordWrap/>
        <w:overflowPunct/>
        <w:topLinePunct w:val="0"/>
        <w:autoSpaceDE/>
        <w:autoSpaceDN/>
        <w:bidi w:val="0"/>
        <w:adjustRightInd w:val="0"/>
        <w:snapToGrid w:val="0"/>
        <w:spacing w:beforeLines="0" w:afterLines="0" w:line="600" w:lineRule="exact"/>
        <w:jc w:val="center"/>
        <w:textAlignment w:val="auto"/>
        <w:rPr>
          <w:rFonts w:hint="default" w:ascii="Times New Roman" w:hAnsi="Times New Roman" w:eastAsia="方正小标宋_GBK" w:cs="Times New Roman"/>
          <w:color w:val="auto"/>
          <w:sz w:val="44"/>
          <w:szCs w:val="44"/>
        </w:rPr>
      </w:pPr>
    </w:p>
    <w:p w14:paraId="189EAE3D">
      <w:pPr>
        <w:pStyle w:val="21"/>
        <w:rPr>
          <w:rFonts w:hint="default" w:ascii="Times New Roman" w:hAnsi="Times New Roman" w:cs="Times New Roman"/>
        </w:rPr>
      </w:pPr>
    </w:p>
    <w:p w14:paraId="453F66DF">
      <w:pPr>
        <w:pStyle w:val="21"/>
        <w:rPr>
          <w:rFonts w:hint="default" w:ascii="Times New Roman" w:hAnsi="Times New Roman" w:cs="Times New Roman"/>
        </w:rPr>
      </w:pPr>
    </w:p>
    <w:p w14:paraId="5D7533E2">
      <w:pPr>
        <w:pStyle w:val="21"/>
        <w:rPr>
          <w:rFonts w:hint="default" w:ascii="Times New Roman" w:hAnsi="Times New Roman" w:cs="Times New Roman"/>
        </w:rPr>
      </w:pPr>
    </w:p>
    <w:p w14:paraId="322EFD25">
      <w:pPr>
        <w:pStyle w:val="21"/>
        <w:rPr>
          <w:rFonts w:hint="default" w:ascii="Times New Roman" w:hAnsi="Times New Roman" w:cs="Times New Roman"/>
        </w:rPr>
      </w:pPr>
    </w:p>
    <w:p w14:paraId="2A68D539">
      <w:pPr>
        <w:pStyle w:val="21"/>
        <w:rPr>
          <w:rFonts w:hint="default" w:ascii="Times New Roman" w:hAnsi="Times New Roman" w:cs="Times New Roman"/>
        </w:rPr>
      </w:pPr>
    </w:p>
    <w:p w14:paraId="3FA7CCC7">
      <w:pPr>
        <w:pStyle w:val="21"/>
        <w:rPr>
          <w:rFonts w:hint="default" w:ascii="Times New Roman" w:hAnsi="Times New Roman" w:cs="Times New Roman"/>
        </w:rPr>
      </w:pPr>
    </w:p>
    <w:p w14:paraId="22A3980E">
      <w:pPr>
        <w:pStyle w:val="21"/>
        <w:rPr>
          <w:rFonts w:hint="default" w:ascii="Times New Roman" w:hAnsi="Times New Roman" w:cs="Times New Roman"/>
        </w:rPr>
      </w:pPr>
    </w:p>
    <w:p w14:paraId="25726CF9">
      <w:pPr>
        <w:pStyle w:val="21"/>
        <w:rPr>
          <w:rFonts w:hint="default" w:ascii="Times New Roman" w:hAnsi="Times New Roman" w:cs="Times New Roman"/>
        </w:rPr>
      </w:pPr>
    </w:p>
    <w:p w14:paraId="4538FE42">
      <w:pPr>
        <w:pStyle w:val="21"/>
        <w:rPr>
          <w:rFonts w:hint="default" w:ascii="Times New Roman" w:hAnsi="Times New Roman" w:cs="Times New Roman"/>
        </w:rPr>
      </w:pPr>
    </w:p>
    <w:p w14:paraId="6031EEBF">
      <w:pPr>
        <w:pStyle w:val="21"/>
        <w:rPr>
          <w:rFonts w:hint="default" w:ascii="Times New Roman" w:hAnsi="Times New Roman" w:cs="Times New Roman"/>
        </w:rPr>
      </w:pPr>
    </w:p>
    <w:p w14:paraId="634F9D2E">
      <w:pPr>
        <w:pStyle w:val="21"/>
        <w:rPr>
          <w:rFonts w:hint="default" w:ascii="Times New Roman" w:hAnsi="Times New Roman" w:cs="Times New Roman"/>
        </w:rPr>
      </w:pPr>
    </w:p>
    <w:p w14:paraId="38A58183">
      <w:pPr>
        <w:pStyle w:val="21"/>
        <w:rPr>
          <w:rFonts w:hint="default" w:ascii="Times New Roman" w:hAnsi="Times New Roman" w:cs="Times New Roman"/>
        </w:rPr>
      </w:pPr>
    </w:p>
    <w:p w14:paraId="6F63AC1A">
      <w:pPr>
        <w:pStyle w:val="21"/>
        <w:rPr>
          <w:rFonts w:hint="default" w:ascii="Times New Roman" w:hAnsi="Times New Roman" w:cs="Times New Roman"/>
        </w:rPr>
      </w:pPr>
    </w:p>
    <w:p w14:paraId="6BE454D0">
      <w:pPr>
        <w:pStyle w:val="21"/>
        <w:rPr>
          <w:rFonts w:hint="default" w:ascii="Times New Roman" w:hAnsi="Times New Roman" w:cs="Times New Roman"/>
        </w:rPr>
      </w:pPr>
    </w:p>
    <w:p w14:paraId="75986631">
      <w:pPr>
        <w:pStyle w:val="21"/>
        <w:rPr>
          <w:rFonts w:hint="default" w:ascii="Times New Roman" w:hAnsi="Times New Roman" w:cs="Times New Roman"/>
        </w:rPr>
      </w:pPr>
    </w:p>
    <w:p w14:paraId="6A4D5C2F">
      <w:pPr>
        <w:pStyle w:val="21"/>
        <w:rPr>
          <w:rFonts w:hint="default" w:ascii="Times New Roman" w:hAnsi="Times New Roman" w:cs="Times New Roman"/>
        </w:rPr>
      </w:pPr>
    </w:p>
    <w:p w14:paraId="536A020E">
      <w:pPr>
        <w:pStyle w:val="21"/>
        <w:rPr>
          <w:rFonts w:hint="default" w:ascii="Times New Roman" w:hAnsi="Times New Roman" w:cs="Times New Roman"/>
        </w:rPr>
      </w:pPr>
    </w:p>
    <w:p w14:paraId="1C1A3E92">
      <w:pPr>
        <w:pStyle w:val="21"/>
        <w:rPr>
          <w:rFonts w:hint="default" w:ascii="Times New Roman" w:hAnsi="Times New Roman" w:cs="Times New Roman"/>
        </w:rPr>
      </w:pPr>
    </w:p>
    <w:p w14:paraId="584D8B85">
      <w:pPr>
        <w:pStyle w:val="21"/>
        <w:rPr>
          <w:rFonts w:hint="default" w:ascii="Times New Roman" w:hAnsi="Times New Roman" w:cs="Times New Roman"/>
        </w:rPr>
      </w:pPr>
    </w:p>
    <w:p w14:paraId="1F12FEC0">
      <w:pPr>
        <w:pStyle w:val="21"/>
        <w:rPr>
          <w:rFonts w:hint="default" w:ascii="Times New Roman" w:hAnsi="Times New Roman" w:cs="Times New Roman"/>
        </w:rPr>
      </w:pPr>
    </w:p>
    <w:p w14:paraId="6580EE62">
      <w:pPr>
        <w:pStyle w:val="21"/>
        <w:rPr>
          <w:rFonts w:hint="default" w:ascii="Times New Roman" w:hAnsi="Times New Roman" w:cs="Times New Roman"/>
        </w:rPr>
      </w:pPr>
    </w:p>
    <w:p w14:paraId="3AF162C7">
      <w:pPr>
        <w:pStyle w:val="21"/>
        <w:rPr>
          <w:rFonts w:hint="default" w:ascii="Times New Roman" w:hAnsi="Times New Roman" w:cs="Times New Roman"/>
        </w:rPr>
      </w:pPr>
    </w:p>
    <w:p w14:paraId="06FFA0C0">
      <w:pPr>
        <w:pStyle w:val="21"/>
        <w:rPr>
          <w:rFonts w:hint="default" w:ascii="Times New Roman" w:hAnsi="Times New Roman" w:cs="Times New Roman"/>
        </w:rPr>
      </w:pPr>
    </w:p>
    <w:p w14:paraId="16D45842">
      <w:pPr>
        <w:pStyle w:val="21"/>
        <w:rPr>
          <w:rFonts w:hint="default" w:ascii="Times New Roman" w:hAnsi="Times New Roman" w:cs="Times New Roman"/>
        </w:rPr>
      </w:pPr>
    </w:p>
    <w:p w14:paraId="494A0F86">
      <w:pPr>
        <w:pStyle w:val="21"/>
        <w:rPr>
          <w:rFonts w:hint="default" w:ascii="Times New Roman" w:hAnsi="Times New Roman" w:cs="Times New Roman"/>
        </w:rPr>
      </w:pPr>
    </w:p>
    <w:p w14:paraId="22954D9C">
      <w:pPr>
        <w:pStyle w:val="21"/>
        <w:rPr>
          <w:rFonts w:hint="default" w:ascii="Times New Roman" w:hAnsi="Times New Roman" w:cs="Times New Roman"/>
        </w:rPr>
      </w:pPr>
    </w:p>
    <w:p w14:paraId="544C0658">
      <w:pPr>
        <w:pStyle w:val="21"/>
        <w:rPr>
          <w:rFonts w:hint="default" w:ascii="Times New Roman" w:hAnsi="Times New Roman" w:cs="Times New Roman"/>
        </w:rPr>
      </w:pPr>
    </w:p>
    <w:p w14:paraId="15A30B46">
      <w:pPr>
        <w:pStyle w:val="21"/>
        <w:keepNext w:val="0"/>
        <w:keepLines w:val="0"/>
        <w:pageBreakBefore w:val="0"/>
        <w:widowControl/>
        <w:pBdr>
          <w:top w:val="single" w:color="auto" w:sz="4" w:space="0"/>
          <w:bottom w:val="single" w:color="auto" w:sz="4" w:space="0"/>
        </w:pBdr>
        <w:kinsoku/>
        <w:wordWrap/>
        <w:overflowPunct/>
        <w:topLinePunct w:val="0"/>
        <w:autoSpaceDE/>
        <w:autoSpaceDN/>
        <w:bidi w:val="0"/>
        <w:adjustRightInd/>
        <w:snapToGrid w:val="0"/>
        <w:spacing w:before="0" w:beforeAutospacing="0" w:afterAutospacing="0" w:line="560" w:lineRule="exact"/>
        <w:jc w:val="both"/>
        <w:textAlignment w:val="baseline"/>
        <w:rPr>
          <w:rFonts w:hint="default" w:ascii="Times New Roman" w:hAnsi="Times New Roman" w:eastAsia="方正仿宋_GBK" w:cs="Times New Roman"/>
          <w:b w:val="0"/>
          <w:i w:val="0"/>
          <w:caps w:val="0"/>
          <w:color w:val="000000"/>
          <w:spacing w:val="-20"/>
          <w:w w:val="90"/>
          <w:sz w:val="30"/>
          <w:szCs w:val="30"/>
          <w:lang w:val="en-US" w:eastAsia="zh-CN"/>
        </w:rPr>
      </w:pPr>
      <w:r>
        <w:rPr>
          <w:rFonts w:hint="default" w:ascii="Times New Roman" w:hAnsi="Times New Roman" w:eastAsia="方正仿宋_GBK" w:cs="Times New Roman"/>
          <w:b w:val="0"/>
          <w:i w:val="0"/>
          <w:caps w:val="0"/>
          <w:color w:val="000000"/>
          <w:spacing w:val="-20"/>
          <w:w w:val="90"/>
          <w:sz w:val="30"/>
          <w:szCs w:val="30"/>
          <w:lang w:val="en-US" w:eastAsia="zh-CN"/>
        </w:rPr>
        <w:t>酉阳土家族苗族自治县经济和信息化委员会办公室              2024年4月17日印发</w:t>
      </w:r>
    </w:p>
    <w:p w14:paraId="56B14FCE">
      <w:pPr>
        <w:pStyle w:val="2"/>
        <w:rPr>
          <w:rFonts w:hint="default"/>
        </w:rPr>
        <w:sectPr>
          <w:footerReference r:id="rId3" w:type="default"/>
          <w:pgSz w:w="11906" w:h="16838"/>
          <w:pgMar w:top="1270" w:right="1689" w:bottom="1270" w:left="1689" w:header="851" w:footer="992" w:gutter="0"/>
          <w:pgNumType w:fmt="numberInDash"/>
          <w:cols w:space="0" w:num="1"/>
          <w:rtlGutter w:val="0"/>
          <w:docGrid w:type="lines" w:linePitch="312" w:charSpace="0"/>
        </w:sectPr>
      </w:pPr>
    </w:p>
    <w:p w14:paraId="25906D96">
      <w:pPr>
        <w:snapToGrid w:val="0"/>
        <w:spacing w:line="594" w:lineRule="exact"/>
        <w:jc w:val="lef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08C4C806">
      <w:pPr>
        <w:snapToGrid w:val="0"/>
        <w:spacing w:line="594" w:lineRule="exact"/>
        <w:jc w:val="center"/>
        <w:rPr>
          <w:rFonts w:hint="default" w:ascii="Times New Roman" w:hAnsi="Times New Roman" w:cs="Times New Roman"/>
        </w:rPr>
      </w:pPr>
      <w:r>
        <w:rPr>
          <w:rFonts w:hint="default" w:ascii="Times New Roman" w:hAnsi="Times New Roman" w:eastAsia="方正小标宋_GBK" w:cs="Times New Roman"/>
          <w:spacing w:val="-11"/>
          <w:sz w:val="44"/>
          <w:szCs w:val="44"/>
          <w:lang w:val="en-US" w:eastAsia="zh-CN"/>
        </w:rPr>
        <w:t>经信行业</w:t>
      </w:r>
      <w:r>
        <w:rPr>
          <w:rFonts w:hint="default" w:ascii="Times New Roman" w:hAnsi="Times New Roman" w:eastAsia="方正小标宋_GBK" w:cs="Times New Roman"/>
          <w:spacing w:val="-11"/>
          <w:sz w:val="44"/>
          <w:szCs w:val="44"/>
        </w:rPr>
        <w:t>安全生产治本攻坚三年行动重点任务清单</w:t>
      </w:r>
    </w:p>
    <w:tbl>
      <w:tblPr>
        <w:tblStyle w:val="16"/>
        <w:tblW w:w="13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2129"/>
        <w:gridCol w:w="5509"/>
        <w:gridCol w:w="1635"/>
        <w:gridCol w:w="2927"/>
      </w:tblGrid>
      <w:tr w14:paraId="5957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blHeader/>
          <w:jc w:val="center"/>
        </w:trPr>
        <w:tc>
          <w:tcPr>
            <w:tcW w:w="1564" w:type="dxa"/>
            <w:noWrap w:val="0"/>
            <w:vAlign w:val="center"/>
          </w:tcPr>
          <w:p w14:paraId="1DF37644">
            <w:pPr>
              <w:pStyle w:val="13"/>
              <w:wordWrap w:val="0"/>
              <w:spacing w:line="4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行动名称</w:t>
            </w:r>
          </w:p>
        </w:tc>
        <w:tc>
          <w:tcPr>
            <w:tcW w:w="7638" w:type="dxa"/>
            <w:gridSpan w:val="2"/>
            <w:noWrap w:val="0"/>
            <w:vAlign w:val="center"/>
          </w:tcPr>
          <w:p w14:paraId="24B0008A">
            <w:pPr>
              <w:pStyle w:val="13"/>
              <w:wordWrap w:val="0"/>
              <w:spacing w:line="4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重点任务</w:t>
            </w:r>
          </w:p>
        </w:tc>
        <w:tc>
          <w:tcPr>
            <w:tcW w:w="1635" w:type="dxa"/>
            <w:noWrap w:val="0"/>
            <w:vAlign w:val="center"/>
          </w:tcPr>
          <w:p w14:paraId="396BECD1">
            <w:pPr>
              <w:pStyle w:val="13"/>
              <w:wordWrap w:val="0"/>
              <w:spacing w:line="400" w:lineRule="exact"/>
              <w:jc w:val="cente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完成时间</w:t>
            </w:r>
          </w:p>
        </w:tc>
        <w:tc>
          <w:tcPr>
            <w:tcW w:w="2927" w:type="dxa"/>
            <w:noWrap w:val="0"/>
            <w:vAlign w:val="center"/>
          </w:tcPr>
          <w:p w14:paraId="18AF4ED1">
            <w:pPr>
              <w:pStyle w:val="13"/>
              <w:wordWrap w:val="0"/>
              <w:spacing w:line="400" w:lineRule="exact"/>
              <w:jc w:val="center"/>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责任</w:t>
            </w:r>
            <w:r>
              <w:rPr>
                <w:rFonts w:hint="default" w:ascii="Times New Roman" w:hAnsi="Times New Roman" w:eastAsia="方正黑体_GBK" w:cs="Times New Roman"/>
                <w:sz w:val="32"/>
                <w:szCs w:val="32"/>
                <w:lang w:val="en-US" w:eastAsia="zh-CN"/>
              </w:rPr>
              <w:t>科室（企业）</w:t>
            </w:r>
          </w:p>
        </w:tc>
      </w:tr>
      <w:tr w14:paraId="72AA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jc w:val="center"/>
        </w:trPr>
        <w:tc>
          <w:tcPr>
            <w:tcW w:w="1564" w:type="dxa"/>
            <w:noWrap w:val="0"/>
            <w:vAlign w:val="center"/>
          </w:tcPr>
          <w:p w14:paraId="13C0EED8">
            <w:pPr>
              <w:pStyle w:val="13"/>
              <w:wordWrap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一、开展重大安全风险源头管控行动</w:t>
            </w:r>
          </w:p>
        </w:tc>
        <w:tc>
          <w:tcPr>
            <w:tcW w:w="2129" w:type="dxa"/>
            <w:noWrap w:val="0"/>
            <w:vAlign w:val="center"/>
          </w:tcPr>
          <w:p w14:paraId="5C404C65">
            <w:pPr>
              <w:pStyle w:val="13"/>
              <w:wordWrap w:val="0"/>
              <w:spacing w:line="3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1.强化重大安全风险源头管控。</w:t>
            </w:r>
          </w:p>
        </w:tc>
        <w:tc>
          <w:tcPr>
            <w:tcW w:w="5509" w:type="dxa"/>
            <w:noWrap w:val="0"/>
            <w:vAlign w:val="center"/>
          </w:tcPr>
          <w:p w14:paraId="175AD2B8">
            <w:pPr>
              <w:pStyle w:val="13"/>
              <w:wordWrap w:val="0"/>
              <w:spacing w:line="30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严格按照行业发展规划，审批（备案）工程项目，建立完善安全风险评估会商机制，严格安全准入。</w:t>
            </w:r>
          </w:p>
        </w:tc>
        <w:tc>
          <w:tcPr>
            <w:tcW w:w="1635" w:type="dxa"/>
            <w:noWrap w:val="0"/>
            <w:vAlign w:val="center"/>
          </w:tcPr>
          <w:p w14:paraId="0DB79399">
            <w:pPr>
              <w:pStyle w:val="13"/>
              <w:wordWrap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noWrap w:val="0"/>
            <w:vAlign w:val="center"/>
          </w:tcPr>
          <w:p w14:paraId="743EA71A">
            <w:pPr>
              <w:pStyle w:val="13"/>
              <w:wordWrap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政策法规科</w:t>
            </w:r>
          </w:p>
        </w:tc>
      </w:tr>
      <w:tr w14:paraId="2E93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64" w:type="dxa"/>
            <w:vMerge w:val="restart"/>
            <w:noWrap w:val="0"/>
            <w:vAlign w:val="center"/>
          </w:tcPr>
          <w:p w14:paraId="6CE2D177">
            <w:pPr>
              <w:pStyle w:val="13"/>
              <w:wordWrap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二、开展重大事故隐患动态清零行动</w:t>
            </w:r>
          </w:p>
        </w:tc>
        <w:tc>
          <w:tcPr>
            <w:tcW w:w="2129" w:type="dxa"/>
            <w:vMerge w:val="restart"/>
            <w:noWrap w:val="0"/>
            <w:vAlign w:val="center"/>
          </w:tcPr>
          <w:p w14:paraId="689DC10A">
            <w:pPr>
              <w:pStyle w:val="13"/>
              <w:wordWrap w:val="0"/>
              <w:spacing w:line="3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2.健全完善生产经营单位重大事故隐患自查自改常态化机制。</w:t>
            </w:r>
          </w:p>
        </w:tc>
        <w:tc>
          <w:tcPr>
            <w:tcW w:w="5509" w:type="dxa"/>
            <w:noWrap w:val="0"/>
            <w:vAlign w:val="center"/>
          </w:tcPr>
          <w:p w14:paraId="0A39EFB6">
            <w:pPr>
              <w:spacing w:line="30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生产经营单位要在开展重大事故隐患判断标准培训的同时，全面开展重大事故隐患自查自改，并建立台账。</w:t>
            </w:r>
          </w:p>
        </w:tc>
        <w:tc>
          <w:tcPr>
            <w:tcW w:w="1635" w:type="dxa"/>
            <w:noWrap w:val="0"/>
            <w:vAlign w:val="center"/>
          </w:tcPr>
          <w:p w14:paraId="526BE467">
            <w:pPr>
              <w:pStyle w:val="13"/>
              <w:wordWrap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2024年6月底前</w:t>
            </w:r>
          </w:p>
        </w:tc>
        <w:tc>
          <w:tcPr>
            <w:tcW w:w="2927" w:type="dxa"/>
            <w:vMerge w:val="restart"/>
            <w:noWrap w:val="0"/>
            <w:vAlign w:val="center"/>
          </w:tcPr>
          <w:p w14:paraId="7BCD934C">
            <w:pPr>
              <w:pStyle w:val="13"/>
              <w:wordWrap w:val="0"/>
              <w:spacing w:line="30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电力、城镇燃气、通讯、民爆、充电桩经营企业、食盐专营企业</w:t>
            </w:r>
          </w:p>
        </w:tc>
      </w:tr>
      <w:tr w14:paraId="3A5D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564" w:type="dxa"/>
            <w:vMerge w:val="continue"/>
            <w:noWrap w:val="0"/>
            <w:vAlign w:val="center"/>
          </w:tcPr>
          <w:p w14:paraId="45E036E8">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564DB40E">
            <w:pPr>
              <w:pStyle w:val="13"/>
              <w:wordWrap w:val="0"/>
              <w:spacing w:line="300" w:lineRule="exact"/>
              <w:rPr>
                <w:rFonts w:hint="default" w:ascii="Times New Roman" w:hAnsi="Times New Roman" w:eastAsia="方正仿宋_GBK" w:cs="Times New Roman"/>
              </w:rPr>
            </w:pPr>
          </w:p>
        </w:tc>
        <w:tc>
          <w:tcPr>
            <w:tcW w:w="5509" w:type="dxa"/>
            <w:noWrap w:val="0"/>
            <w:vAlign w:val="center"/>
          </w:tcPr>
          <w:p w14:paraId="71B08062">
            <w:pPr>
              <w:spacing w:line="30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严格落实班组日排查、部门周排查、厂长月排查的“日周月”隐患排查制度，生产经营单位主要负责人每季度带队对本单位重大事故隐患排查整治情况至少开展1次检查（高危行业领域每月至少1次）。</w:t>
            </w:r>
          </w:p>
        </w:tc>
        <w:tc>
          <w:tcPr>
            <w:tcW w:w="1635" w:type="dxa"/>
            <w:noWrap w:val="0"/>
            <w:vAlign w:val="center"/>
          </w:tcPr>
          <w:p w14:paraId="495FD8E1">
            <w:pPr>
              <w:pStyle w:val="13"/>
              <w:wordWrap w:val="0"/>
              <w:spacing w:line="30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vMerge w:val="continue"/>
            <w:noWrap w:val="0"/>
            <w:vAlign w:val="center"/>
          </w:tcPr>
          <w:p w14:paraId="3F317F02">
            <w:pPr>
              <w:pStyle w:val="13"/>
              <w:wordWrap w:val="0"/>
              <w:spacing w:line="300" w:lineRule="exact"/>
              <w:rPr>
                <w:rFonts w:hint="default" w:ascii="Times New Roman" w:hAnsi="Times New Roman" w:eastAsia="方正仿宋_GBK" w:cs="Times New Roman"/>
                <w:lang w:val="en-US"/>
              </w:rPr>
            </w:pPr>
          </w:p>
        </w:tc>
      </w:tr>
      <w:tr w14:paraId="747B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564" w:type="dxa"/>
            <w:vMerge w:val="continue"/>
            <w:noWrap w:val="0"/>
            <w:vAlign w:val="center"/>
          </w:tcPr>
          <w:p w14:paraId="01DA9936">
            <w:pPr>
              <w:pStyle w:val="13"/>
              <w:wordWrap w:val="0"/>
              <w:spacing w:line="300" w:lineRule="exact"/>
              <w:rPr>
                <w:rFonts w:hint="default" w:ascii="Times New Roman" w:hAnsi="Times New Roman" w:eastAsia="方正仿宋_GBK" w:cs="Times New Roman"/>
              </w:rPr>
            </w:pPr>
          </w:p>
        </w:tc>
        <w:tc>
          <w:tcPr>
            <w:tcW w:w="2129" w:type="dxa"/>
            <w:vMerge w:val="restart"/>
            <w:noWrap w:val="0"/>
            <w:vAlign w:val="center"/>
          </w:tcPr>
          <w:p w14:paraId="0869F6D0">
            <w:pPr>
              <w:pStyle w:val="13"/>
              <w:wordWrap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3.建立重大事故隐患督办销号等制度。</w:t>
            </w:r>
          </w:p>
        </w:tc>
        <w:tc>
          <w:tcPr>
            <w:tcW w:w="5509" w:type="dxa"/>
            <w:noWrap w:val="0"/>
            <w:vAlign w:val="center"/>
          </w:tcPr>
          <w:p w14:paraId="4E7129B0">
            <w:pPr>
              <w:spacing w:line="36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统计上报重大事故隐患，分类整改。消除2023年及以前排查发现的重大事故隐患存量。</w:t>
            </w:r>
          </w:p>
        </w:tc>
        <w:tc>
          <w:tcPr>
            <w:tcW w:w="1635" w:type="dxa"/>
            <w:noWrap w:val="0"/>
            <w:vAlign w:val="center"/>
          </w:tcPr>
          <w:p w14:paraId="256F7659">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w:t>
            </w:r>
          </w:p>
        </w:tc>
        <w:tc>
          <w:tcPr>
            <w:tcW w:w="2927" w:type="dxa"/>
            <w:noWrap w:val="0"/>
            <w:vAlign w:val="center"/>
          </w:tcPr>
          <w:p w14:paraId="3FF76888">
            <w:pPr>
              <w:pStyle w:val="13"/>
              <w:tabs>
                <w:tab w:val="clear" w:pos="916"/>
                <w:tab w:val="clear" w:pos="2748"/>
                <w:tab w:val="clear" w:pos="4580"/>
                <w:tab w:val="clear" w:pos="6412"/>
                <w:tab w:val="clear" w:pos="8244"/>
                <w:tab w:val="clear" w:pos="10076"/>
                <w:tab w:val="clear" w:pos="11908"/>
                <w:tab w:val="clear" w:pos="13740"/>
              </w:tabs>
              <w:wordWrap w:val="0"/>
              <w:spacing w:line="36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应急管理科</w:t>
            </w:r>
          </w:p>
        </w:tc>
      </w:tr>
      <w:tr w14:paraId="3D3A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564" w:type="dxa"/>
            <w:vMerge w:val="continue"/>
            <w:noWrap w:val="0"/>
            <w:vAlign w:val="center"/>
          </w:tcPr>
          <w:p w14:paraId="088AF4F1">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14696CA6">
            <w:pPr>
              <w:pStyle w:val="13"/>
              <w:wordWrap w:val="0"/>
              <w:spacing w:line="360" w:lineRule="exact"/>
              <w:rPr>
                <w:rFonts w:hint="default" w:ascii="Times New Roman" w:hAnsi="Times New Roman" w:eastAsia="方正仿宋_GBK" w:cs="Times New Roman"/>
              </w:rPr>
            </w:pPr>
          </w:p>
        </w:tc>
        <w:tc>
          <w:tcPr>
            <w:tcW w:w="5509" w:type="dxa"/>
            <w:noWrap w:val="0"/>
            <w:vAlign w:val="center"/>
          </w:tcPr>
          <w:p w14:paraId="7A3406F0">
            <w:pPr>
              <w:spacing w:line="36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有效遏制重大事故隐患增量。形成重大事故隐患动态清零的常态化机制。</w:t>
            </w:r>
          </w:p>
        </w:tc>
        <w:tc>
          <w:tcPr>
            <w:tcW w:w="1635" w:type="dxa"/>
            <w:noWrap w:val="0"/>
            <w:vAlign w:val="center"/>
          </w:tcPr>
          <w:p w14:paraId="1CD9B94C">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年</w:t>
            </w:r>
          </w:p>
        </w:tc>
        <w:tc>
          <w:tcPr>
            <w:tcW w:w="2927" w:type="dxa"/>
            <w:noWrap w:val="0"/>
            <w:vAlign w:val="center"/>
          </w:tcPr>
          <w:p w14:paraId="62FBDCBA">
            <w:pPr>
              <w:pStyle w:val="13"/>
              <w:wordWrap w:val="0"/>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信息产业科、燃气油气科、应急管理科、综合管理科、经济运行科</w:t>
            </w:r>
          </w:p>
        </w:tc>
      </w:tr>
      <w:tr w14:paraId="4E4A6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 w:hRule="atLeast"/>
          <w:jc w:val="center"/>
        </w:trPr>
        <w:tc>
          <w:tcPr>
            <w:tcW w:w="1564" w:type="dxa"/>
            <w:vMerge w:val="restart"/>
            <w:noWrap w:val="0"/>
            <w:vAlign w:val="center"/>
          </w:tcPr>
          <w:p w14:paraId="03C7232A">
            <w:pPr>
              <w:spacing w:line="300" w:lineRule="exact"/>
              <w:jc w:val="left"/>
              <w:rPr>
                <w:rFonts w:hint="default" w:ascii="Times New Roman" w:hAnsi="Times New Roman" w:cs="Times New Roman"/>
                <w:kern w:val="0"/>
                <w:sz w:val="24"/>
                <w:szCs w:val="24"/>
                <w:lang w:bidi="ar"/>
              </w:rPr>
            </w:pPr>
            <w:r>
              <w:rPr>
                <w:rFonts w:hint="default" w:ascii="Times New Roman" w:hAnsi="Times New Roman" w:cs="Times New Roman"/>
                <w:kern w:val="0"/>
                <w:sz w:val="24"/>
                <w:szCs w:val="24"/>
                <w:lang w:bidi="ar"/>
              </w:rPr>
              <w:t>三、开展生产经营单位安全管理体系建设行动</w:t>
            </w:r>
          </w:p>
        </w:tc>
        <w:tc>
          <w:tcPr>
            <w:tcW w:w="2129" w:type="dxa"/>
            <w:vMerge w:val="restart"/>
            <w:noWrap w:val="0"/>
            <w:vAlign w:val="center"/>
          </w:tcPr>
          <w:p w14:paraId="62DCF700">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4.务实推进安全生产标准化建设。</w:t>
            </w:r>
          </w:p>
        </w:tc>
        <w:tc>
          <w:tcPr>
            <w:tcW w:w="5509" w:type="dxa"/>
            <w:noWrap w:val="0"/>
            <w:vAlign w:val="center"/>
          </w:tcPr>
          <w:p w14:paraId="579FFAF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将员工知识掌握程度、操作能力及操作规范等纳入评价的重要内容，杜绝“资料达标”，实现民爆销售企业二级标准化达标率达到100%。</w:t>
            </w:r>
          </w:p>
        </w:tc>
        <w:tc>
          <w:tcPr>
            <w:tcW w:w="1635" w:type="dxa"/>
            <w:noWrap w:val="0"/>
            <w:vAlign w:val="center"/>
          </w:tcPr>
          <w:p w14:paraId="5841E93C">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w:t>
            </w:r>
          </w:p>
        </w:tc>
        <w:tc>
          <w:tcPr>
            <w:tcW w:w="2927" w:type="dxa"/>
            <w:noWrap w:val="0"/>
            <w:vAlign w:val="center"/>
          </w:tcPr>
          <w:p w14:paraId="49A6583B">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民爆销售企业</w:t>
            </w:r>
            <w:r>
              <w:rPr>
                <w:rFonts w:hint="default" w:ascii="Times New Roman" w:hAnsi="Times New Roman" w:eastAsia="方正仿宋_GBK" w:cs="Times New Roman"/>
              </w:rPr>
              <w:t xml:space="preserve"> </w:t>
            </w:r>
          </w:p>
        </w:tc>
      </w:tr>
      <w:tr w14:paraId="0A87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1" w:hRule="atLeast"/>
          <w:jc w:val="center"/>
        </w:trPr>
        <w:tc>
          <w:tcPr>
            <w:tcW w:w="1564" w:type="dxa"/>
            <w:vMerge w:val="continue"/>
            <w:noWrap w:val="0"/>
            <w:vAlign w:val="center"/>
          </w:tcPr>
          <w:p w14:paraId="43E0B8AD">
            <w:pPr>
              <w:spacing w:line="300" w:lineRule="exact"/>
              <w:jc w:val="left"/>
              <w:rPr>
                <w:rFonts w:hint="default" w:ascii="Times New Roman" w:hAnsi="Times New Roman" w:cs="Times New Roman"/>
                <w:sz w:val="24"/>
                <w:szCs w:val="24"/>
              </w:rPr>
            </w:pPr>
          </w:p>
        </w:tc>
        <w:tc>
          <w:tcPr>
            <w:tcW w:w="2129" w:type="dxa"/>
            <w:vMerge w:val="continue"/>
            <w:noWrap w:val="0"/>
            <w:vAlign w:val="center"/>
          </w:tcPr>
          <w:p w14:paraId="2EF75BE8">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73E4599C">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巩固深化企业安全生产标准化建设成果。持续推进电力、电信城镇燃气安全生产标准建设创建工作。</w:t>
            </w:r>
          </w:p>
        </w:tc>
        <w:tc>
          <w:tcPr>
            <w:tcW w:w="1635" w:type="dxa"/>
            <w:noWrap w:val="0"/>
            <w:vAlign w:val="center"/>
          </w:tcPr>
          <w:p w14:paraId="6B9B02F4">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noWrap w:val="0"/>
            <w:vAlign w:val="center"/>
          </w:tcPr>
          <w:p w14:paraId="0D5CDDB1">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各科室、各企业</w:t>
            </w:r>
          </w:p>
        </w:tc>
      </w:tr>
      <w:tr w14:paraId="160E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jc w:val="center"/>
        </w:trPr>
        <w:tc>
          <w:tcPr>
            <w:tcW w:w="1564" w:type="dxa"/>
            <w:vMerge w:val="continue"/>
            <w:noWrap w:val="0"/>
            <w:vAlign w:val="center"/>
          </w:tcPr>
          <w:p w14:paraId="76FFD7CE">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74FE4CC4">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5.推进全员安全生产责任制全面落实。</w:t>
            </w:r>
          </w:p>
        </w:tc>
        <w:tc>
          <w:tcPr>
            <w:tcW w:w="5509" w:type="dxa"/>
            <w:noWrap w:val="0"/>
            <w:vAlign w:val="center"/>
          </w:tcPr>
          <w:p w14:paraId="772B7A20">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健全并落实企业全员安全生产责任制。持续巩固深化全员安全生产责任制。</w:t>
            </w:r>
          </w:p>
        </w:tc>
        <w:tc>
          <w:tcPr>
            <w:tcW w:w="1635" w:type="dxa"/>
            <w:noWrap w:val="0"/>
            <w:vAlign w:val="center"/>
          </w:tcPr>
          <w:p w14:paraId="273B699D">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noWrap w:val="0"/>
            <w:vAlign w:val="center"/>
          </w:tcPr>
          <w:p w14:paraId="4FC31FF0">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p>
        </w:tc>
      </w:tr>
      <w:tr w14:paraId="362C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0" w:hRule="atLeast"/>
          <w:jc w:val="center"/>
        </w:trPr>
        <w:tc>
          <w:tcPr>
            <w:tcW w:w="1564" w:type="dxa"/>
            <w:vMerge w:val="restart"/>
            <w:noWrap w:val="0"/>
            <w:vAlign w:val="center"/>
          </w:tcPr>
          <w:p w14:paraId="2EA4ACC6">
            <w:pPr>
              <w:pStyle w:val="13"/>
              <w:wordWrap w:val="0"/>
              <w:spacing w:line="300" w:lineRule="exact"/>
              <w:rPr>
                <w:rFonts w:hint="default" w:ascii="Times New Roman" w:hAnsi="Times New Roman" w:eastAsia="方正仿宋_GBK" w:cs="Times New Roman"/>
              </w:rPr>
            </w:pPr>
            <w:r>
              <w:rPr>
                <w:rFonts w:hint="default" w:ascii="Times New Roman" w:hAnsi="Times New Roman" w:eastAsia="方正仿宋_GBK" w:cs="Times New Roman"/>
              </w:rPr>
              <w:t>四、开展企业全员安全能力提升行动</w:t>
            </w:r>
          </w:p>
        </w:tc>
        <w:tc>
          <w:tcPr>
            <w:tcW w:w="2129" w:type="dxa"/>
            <w:noWrap w:val="0"/>
            <w:vAlign w:val="center"/>
          </w:tcPr>
          <w:p w14:paraId="1ACC6CF5">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6.开展生产经营单位主要负责人及其他负责人安全生产履职能力提升培训。</w:t>
            </w:r>
          </w:p>
        </w:tc>
        <w:tc>
          <w:tcPr>
            <w:tcW w:w="5509" w:type="dxa"/>
            <w:noWrap w:val="0"/>
            <w:vAlign w:val="center"/>
          </w:tcPr>
          <w:p w14:paraId="5033884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重点企业开展1次履职能力提升、强化、巩固全覆盖培训、</w:t>
            </w:r>
          </w:p>
        </w:tc>
        <w:tc>
          <w:tcPr>
            <w:tcW w:w="1635" w:type="dxa"/>
            <w:noWrap w:val="0"/>
            <w:vAlign w:val="center"/>
          </w:tcPr>
          <w:p w14:paraId="287D322C">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年</w:t>
            </w:r>
          </w:p>
        </w:tc>
        <w:tc>
          <w:tcPr>
            <w:tcW w:w="2927" w:type="dxa"/>
            <w:noWrap w:val="0"/>
            <w:vAlign w:val="center"/>
          </w:tcPr>
          <w:p w14:paraId="6327304C">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p>
        </w:tc>
      </w:tr>
      <w:tr w14:paraId="1A09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564" w:type="dxa"/>
            <w:vMerge w:val="continue"/>
            <w:noWrap w:val="0"/>
            <w:vAlign w:val="center"/>
          </w:tcPr>
          <w:p w14:paraId="36235450">
            <w:pPr>
              <w:pStyle w:val="13"/>
              <w:wordWrap w:val="0"/>
              <w:spacing w:line="300" w:lineRule="exact"/>
              <w:rPr>
                <w:rFonts w:hint="default" w:ascii="Times New Roman" w:hAnsi="Times New Roman" w:eastAsia="方正仿宋_GBK" w:cs="Times New Roman"/>
              </w:rPr>
            </w:pPr>
          </w:p>
        </w:tc>
        <w:tc>
          <w:tcPr>
            <w:tcW w:w="2129" w:type="dxa"/>
            <w:vMerge w:val="restart"/>
            <w:noWrap w:val="0"/>
            <w:vAlign w:val="center"/>
          </w:tcPr>
          <w:p w14:paraId="4F3EB916">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7.开展生产经营单位从业人员安全技能培训。</w:t>
            </w:r>
          </w:p>
        </w:tc>
        <w:tc>
          <w:tcPr>
            <w:tcW w:w="5509" w:type="dxa"/>
            <w:noWrap w:val="0"/>
            <w:vAlign w:val="center"/>
          </w:tcPr>
          <w:p w14:paraId="6A1A49AB">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按照培训有关规定，围绕生产经营单位从业人员岗位安全风险、安全职责、应急处置技能，结合重大事故隐患判定标准等内容全面开展安全技能培训。</w:t>
            </w:r>
          </w:p>
        </w:tc>
        <w:tc>
          <w:tcPr>
            <w:tcW w:w="1635" w:type="dxa"/>
            <w:vMerge w:val="restart"/>
            <w:noWrap w:val="0"/>
            <w:vAlign w:val="center"/>
          </w:tcPr>
          <w:p w14:paraId="3FBCC2E7">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w:t>
            </w:r>
          </w:p>
        </w:tc>
        <w:tc>
          <w:tcPr>
            <w:tcW w:w="2927" w:type="dxa"/>
            <w:noWrap w:val="0"/>
            <w:vAlign w:val="center"/>
          </w:tcPr>
          <w:p w14:paraId="354EAC25">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rPr>
              <w:t xml:space="preserve"> </w:t>
            </w:r>
            <w:r>
              <w:rPr>
                <w:rFonts w:hint="default" w:ascii="Times New Roman" w:hAnsi="Times New Roman" w:eastAsia="方正仿宋_GBK" w:cs="Times New Roman"/>
                <w:lang w:val="en-US" w:eastAsia="zh-CN"/>
              </w:rPr>
              <w:t>各企业</w:t>
            </w:r>
          </w:p>
        </w:tc>
      </w:tr>
      <w:tr w14:paraId="3A6E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1564" w:type="dxa"/>
            <w:vMerge w:val="continue"/>
            <w:noWrap w:val="0"/>
            <w:vAlign w:val="center"/>
          </w:tcPr>
          <w:p w14:paraId="33E73041">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63F90966">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6FB6A09E">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开展企业特种作业人员持证上岗专项整治，推进特种作业人员全面持证上岗。</w:t>
            </w:r>
          </w:p>
        </w:tc>
        <w:tc>
          <w:tcPr>
            <w:tcW w:w="1635" w:type="dxa"/>
            <w:vMerge w:val="continue"/>
            <w:noWrap w:val="0"/>
            <w:vAlign w:val="center"/>
          </w:tcPr>
          <w:p w14:paraId="202583AB">
            <w:pPr>
              <w:pStyle w:val="13"/>
              <w:wordWrap w:val="0"/>
              <w:spacing w:line="340" w:lineRule="exact"/>
              <w:jc w:val="center"/>
              <w:rPr>
                <w:rFonts w:hint="default" w:ascii="Times New Roman" w:hAnsi="Times New Roman" w:eastAsia="方正仿宋_GBK" w:cs="Times New Roman"/>
              </w:rPr>
            </w:pPr>
          </w:p>
        </w:tc>
        <w:tc>
          <w:tcPr>
            <w:tcW w:w="2927" w:type="dxa"/>
            <w:noWrap w:val="0"/>
            <w:vAlign w:val="center"/>
          </w:tcPr>
          <w:p w14:paraId="6AF36A25">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p>
        </w:tc>
      </w:tr>
      <w:tr w14:paraId="4FBD5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1564" w:type="dxa"/>
            <w:vMerge w:val="continue"/>
            <w:noWrap w:val="0"/>
            <w:vAlign w:val="center"/>
          </w:tcPr>
          <w:p w14:paraId="0D9189D5">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65D327DE">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229A75A3">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高危行业在岗和新入职人员培训考核合格率达到100%。</w:t>
            </w:r>
          </w:p>
        </w:tc>
        <w:tc>
          <w:tcPr>
            <w:tcW w:w="1635" w:type="dxa"/>
            <w:noWrap w:val="0"/>
            <w:vAlign w:val="center"/>
          </w:tcPr>
          <w:p w14:paraId="28278B0E">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noWrap w:val="0"/>
            <w:vAlign w:val="center"/>
          </w:tcPr>
          <w:p w14:paraId="573B5559">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p>
        </w:tc>
      </w:tr>
      <w:tr w14:paraId="5371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1564" w:type="dxa"/>
            <w:vMerge w:val="continue"/>
            <w:noWrap w:val="0"/>
            <w:vAlign w:val="center"/>
          </w:tcPr>
          <w:p w14:paraId="5F51C6BE">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7B2F9635">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63AC981D">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生产经营单位每年至少组织开展1次疏散逃生演练（高危行业领域每半年至少1次），并形成常态化机制。</w:t>
            </w:r>
          </w:p>
        </w:tc>
        <w:tc>
          <w:tcPr>
            <w:tcW w:w="1635" w:type="dxa"/>
            <w:noWrap w:val="0"/>
            <w:vAlign w:val="center"/>
          </w:tcPr>
          <w:p w14:paraId="62B5DB02">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noWrap w:val="0"/>
            <w:vAlign w:val="center"/>
          </w:tcPr>
          <w:p w14:paraId="1DB5658D">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p>
        </w:tc>
      </w:tr>
      <w:tr w14:paraId="75DA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1564" w:type="dxa"/>
            <w:vMerge w:val="continue"/>
            <w:noWrap w:val="0"/>
            <w:vAlign w:val="center"/>
          </w:tcPr>
          <w:p w14:paraId="0C76E79C">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6CE9DD7E">
            <w:pPr>
              <w:pStyle w:val="13"/>
              <w:wordWrap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8.开展领导干部统筹发展和安全能力提升培训。</w:t>
            </w:r>
          </w:p>
        </w:tc>
        <w:tc>
          <w:tcPr>
            <w:tcW w:w="5509" w:type="dxa"/>
            <w:noWrap w:val="0"/>
            <w:vAlign w:val="center"/>
          </w:tcPr>
          <w:p w14:paraId="22248C1D">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持续开展安全培训工作。</w:t>
            </w:r>
          </w:p>
        </w:tc>
        <w:tc>
          <w:tcPr>
            <w:tcW w:w="1635" w:type="dxa"/>
            <w:noWrap w:val="0"/>
            <w:vAlign w:val="center"/>
          </w:tcPr>
          <w:p w14:paraId="1FF20AF0">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2025年</w:t>
            </w:r>
          </w:p>
        </w:tc>
        <w:tc>
          <w:tcPr>
            <w:tcW w:w="2927" w:type="dxa"/>
            <w:noWrap w:val="0"/>
            <w:vAlign w:val="center"/>
          </w:tcPr>
          <w:p w14:paraId="35709A28">
            <w:pPr>
              <w:pStyle w:val="13"/>
              <w:wordWrap w:val="0"/>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有关科室和企业</w:t>
            </w:r>
          </w:p>
        </w:tc>
      </w:tr>
      <w:tr w14:paraId="35CC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atLeast"/>
          <w:jc w:val="center"/>
        </w:trPr>
        <w:tc>
          <w:tcPr>
            <w:tcW w:w="1564" w:type="dxa"/>
            <w:vMerge w:val="continue"/>
            <w:noWrap w:val="0"/>
            <w:vAlign w:val="center"/>
          </w:tcPr>
          <w:p w14:paraId="76B58818">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4B27EAFB">
            <w:pPr>
              <w:pStyle w:val="13"/>
              <w:wordWrap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9.开展安全监管执法人员能力提升培训。</w:t>
            </w:r>
          </w:p>
        </w:tc>
        <w:tc>
          <w:tcPr>
            <w:tcW w:w="5509" w:type="dxa"/>
            <w:noWrap w:val="0"/>
            <w:vAlign w:val="center"/>
          </w:tcPr>
          <w:p w14:paraId="128871F5">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开展安全监管执法培训，提升监管执法能力。</w:t>
            </w:r>
          </w:p>
        </w:tc>
        <w:tc>
          <w:tcPr>
            <w:tcW w:w="1635" w:type="dxa"/>
            <w:noWrap w:val="0"/>
            <w:vAlign w:val="center"/>
          </w:tcPr>
          <w:p w14:paraId="454AA265">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noWrap w:val="0"/>
            <w:vAlign w:val="center"/>
          </w:tcPr>
          <w:p w14:paraId="3CBBA43F">
            <w:pPr>
              <w:pStyle w:val="13"/>
              <w:wordWrap w:val="0"/>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政策法规科</w:t>
            </w:r>
          </w:p>
        </w:tc>
      </w:tr>
      <w:tr w14:paraId="0E26E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jc w:val="center"/>
        </w:trPr>
        <w:tc>
          <w:tcPr>
            <w:tcW w:w="1564" w:type="dxa"/>
            <w:vMerge w:val="continue"/>
            <w:noWrap w:val="0"/>
            <w:vAlign w:val="center"/>
          </w:tcPr>
          <w:p w14:paraId="4CBB2ADC">
            <w:pPr>
              <w:pStyle w:val="13"/>
              <w:wordWrap w:val="0"/>
              <w:spacing w:line="300" w:lineRule="exact"/>
              <w:rPr>
                <w:rFonts w:hint="default" w:ascii="Times New Roman" w:hAnsi="Times New Roman" w:eastAsia="方正仿宋_GBK" w:cs="Times New Roman"/>
              </w:rPr>
            </w:pPr>
          </w:p>
        </w:tc>
        <w:tc>
          <w:tcPr>
            <w:tcW w:w="2129" w:type="dxa"/>
            <w:vMerge w:val="restart"/>
            <w:noWrap w:val="0"/>
            <w:vAlign w:val="center"/>
          </w:tcPr>
          <w:p w14:paraId="7B6D5388">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10.完善安全生产行政执法体系。</w:t>
            </w:r>
          </w:p>
        </w:tc>
        <w:tc>
          <w:tcPr>
            <w:tcW w:w="5509" w:type="dxa"/>
            <w:noWrap w:val="0"/>
            <w:vAlign w:val="center"/>
          </w:tcPr>
          <w:p w14:paraId="3D32BCD0">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开展安全生产监管监察执法统计、执法考核和典型案例报送。</w:t>
            </w:r>
          </w:p>
        </w:tc>
        <w:tc>
          <w:tcPr>
            <w:tcW w:w="1635" w:type="dxa"/>
            <w:noWrap w:val="0"/>
            <w:vAlign w:val="center"/>
          </w:tcPr>
          <w:p w14:paraId="1E154C52">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w:t>
            </w:r>
          </w:p>
        </w:tc>
        <w:tc>
          <w:tcPr>
            <w:tcW w:w="2927" w:type="dxa"/>
            <w:noWrap w:val="0"/>
            <w:vAlign w:val="center"/>
          </w:tcPr>
          <w:p w14:paraId="2CD141B4">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政策法规科</w:t>
            </w:r>
          </w:p>
          <w:p w14:paraId="2C4C66C3">
            <w:pPr>
              <w:pStyle w:val="13"/>
              <w:wordWrap w:val="0"/>
              <w:spacing w:line="340" w:lineRule="exact"/>
              <w:rPr>
                <w:rFonts w:hint="default" w:ascii="Times New Roman" w:hAnsi="Times New Roman" w:eastAsia="方正仿宋_GBK" w:cs="Times New Roman"/>
              </w:rPr>
            </w:pPr>
          </w:p>
        </w:tc>
      </w:tr>
      <w:tr w14:paraId="756E3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64" w:type="dxa"/>
            <w:vMerge w:val="continue"/>
            <w:noWrap w:val="0"/>
            <w:vAlign w:val="center"/>
          </w:tcPr>
          <w:p w14:paraId="26019DC2">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251BBF04">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3EAA0822">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加强安全生产行政执法人员执法装备配备，行政执法装备达标率100%。</w:t>
            </w:r>
          </w:p>
        </w:tc>
        <w:tc>
          <w:tcPr>
            <w:tcW w:w="1635" w:type="dxa"/>
            <w:noWrap w:val="0"/>
            <w:vAlign w:val="center"/>
          </w:tcPr>
          <w:p w14:paraId="2669FFE8">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2025年</w:t>
            </w:r>
          </w:p>
        </w:tc>
        <w:tc>
          <w:tcPr>
            <w:tcW w:w="2927" w:type="dxa"/>
            <w:noWrap w:val="0"/>
            <w:vAlign w:val="center"/>
          </w:tcPr>
          <w:p w14:paraId="78930F5A">
            <w:pPr>
              <w:pStyle w:val="13"/>
              <w:wordWrap w:val="0"/>
              <w:spacing w:line="340" w:lineRule="exact"/>
              <w:rPr>
                <w:rFonts w:hint="default" w:ascii="Times New Roman" w:hAnsi="Times New Roman" w:eastAsia="方正仿宋_GBK" w:cs="Times New Roman"/>
                <w:lang w:eastAsia="zh-CN"/>
              </w:rPr>
            </w:pPr>
            <w:r>
              <w:rPr>
                <w:rFonts w:hint="default" w:ascii="Times New Roman" w:hAnsi="Times New Roman" w:eastAsia="方正仿宋_GBK" w:cs="Times New Roman"/>
                <w:lang w:val="en-US" w:eastAsia="zh-CN"/>
              </w:rPr>
              <w:t>办公室</w:t>
            </w:r>
          </w:p>
        </w:tc>
      </w:tr>
      <w:tr w14:paraId="453A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jc w:val="center"/>
        </w:trPr>
        <w:tc>
          <w:tcPr>
            <w:tcW w:w="1564" w:type="dxa"/>
            <w:vMerge w:val="continue"/>
            <w:noWrap w:val="0"/>
            <w:vAlign w:val="center"/>
          </w:tcPr>
          <w:p w14:paraId="520D40A6">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6BE5ACE2">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11.加大监管执法力度。</w:t>
            </w:r>
          </w:p>
        </w:tc>
        <w:tc>
          <w:tcPr>
            <w:tcW w:w="5509" w:type="dxa"/>
            <w:noWrap w:val="0"/>
            <w:vAlign w:val="center"/>
          </w:tcPr>
          <w:p w14:paraId="395A432A">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开展重大事故隐患排查整治，提高执法数量和总量。</w:t>
            </w:r>
          </w:p>
        </w:tc>
        <w:tc>
          <w:tcPr>
            <w:tcW w:w="1635" w:type="dxa"/>
            <w:noWrap w:val="0"/>
            <w:vAlign w:val="center"/>
          </w:tcPr>
          <w:p w14:paraId="283FD7F3">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noWrap w:val="0"/>
            <w:vAlign w:val="center"/>
          </w:tcPr>
          <w:p w14:paraId="734B4CE4">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机关各科室</w:t>
            </w:r>
          </w:p>
        </w:tc>
      </w:tr>
      <w:tr w14:paraId="751D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564" w:type="dxa"/>
            <w:vMerge w:val="continue"/>
            <w:noWrap w:val="0"/>
            <w:vAlign w:val="center"/>
          </w:tcPr>
          <w:p w14:paraId="4F08A457">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38C75A0D">
            <w:pPr>
              <w:pStyle w:val="13"/>
              <w:wordWrap w:val="0"/>
              <w:spacing w:line="340" w:lineRule="exact"/>
              <w:jc w:val="both"/>
              <w:rPr>
                <w:rFonts w:hint="default" w:ascii="Times New Roman" w:hAnsi="Times New Roman" w:eastAsia="方正仿宋_GBK" w:cs="Times New Roman"/>
                <w:color w:val="FF0000"/>
              </w:rPr>
            </w:pPr>
            <w:r>
              <w:rPr>
                <w:rFonts w:hint="default" w:ascii="Times New Roman" w:hAnsi="Times New Roman" w:eastAsia="方正仿宋_GBK" w:cs="Times New Roman"/>
              </w:rPr>
              <w:t>12.完善举报奖励制度。</w:t>
            </w:r>
          </w:p>
        </w:tc>
        <w:tc>
          <w:tcPr>
            <w:tcW w:w="5509" w:type="dxa"/>
            <w:noWrap w:val="0"/>
            <w:vAlign w:val="center"/>
          </w:tcPr>
          <w:p w14:paraId="723D90C7">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建立安全生产举报奖励制度。</w:t>
            </w:r>
          </w:p>
        </w:tc>
        <w:tc>
          <w:tcPr>
            <w:tcW w:w="1635" w:type="dxa"/>
            <w:noWrap w:val="0"/>
            <w:vAlign w:val="center"/>
          </w:tcPr>
          <w:p w14:paraId="24BA128B">
            <w:pPr>
              <w:pStyle w:val="13"/>
              <w:wordWrap w:val="0"/>
              <w:spacing w:line="340" w:lineRule="exact"/>
              <w:jc w:val="center"/>
              <w:rPr>
                <w:rFonts w:hint="default" w:ascii="Times New Roman" w:hAnsi="Times New Roman" w:eastAsia="方正仿宋_GBK" w:cs="Times New Roman"/>
                <w:color w:val="FF0000"/>
              </w:rPr>
            </w:pPr>
            <w:r>
              <w:rPr>
                <w:rFonts w:hint="default" w:ascii="Times New Roman" w:hAnsi="Times New Roman" w:eastAsia="方正仿宋_GBK" w:cs="Times New Roman"/>
              </w:rPr>
              <w:t>长期坚持</w:t>
            </w:r>
          </w:p>
        </w:tc>
        <w:tc>
          <w:tcPr>
            <w:tcW w:w="2927" w:type="dxa"/>
            <w:noWrap w:val="0"/>
            <w:vAlign w:val="center"/>
          </w:tcPr>
          <w:p w14:paraId="6150B306">
            <w:pPr>
              <w:pStyle w:val="13"/>
              <w:wordWrap w:val="0"/>
              <w:spacing w:line="340" w:lineRule="exact"/>
              <w:rPr>
                <w:rFonts w:hint="default" w:ascii="Times New Roman" w:hAnsi="Times New Roman" w:eastAsia="方正仿宋_GBK" w:cs="Times New Roman"/>
                <w:color w:val="FF0000"/>
                <w:lang w:val="en-US"/>
              </w:rPr>
            </w:pPr>
            <w:r>
              <w:rPr>
                <w:rFonts w:hint="default" w:ascii="Times New Roman" w:hAnsi="Times New Roman" w:eastAsia="方正仿宋_GBK" w:cs="Times New Roman"/>
                <w:lang w:val="en-US" w:eastAsia="zh-CN"/>
              </w:rPr>
              <w:t>机关各科室、有关各企业</w:t>
            </w:r>
          </w:p>
        </w:tc>
      </w:tr>
      <w:tr w14:paraId="23BF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564" w:type="dxa"/>
            <w:vMerge w:val="continue"/>
            <w:noWrap w:val="0"/>
            <w:vAlign w:val="center"/>
          </w:tcPr>
          <w:p w14:paraId="42704BD9">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12EF6740">
            <w:pPr>
              <w:pStyle w:val="13"/>
              <w:wordWrap w:val="0"/>
              <w:spacing w:line="34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13.切实提升基层应急管理能力。</w:t>
            </w:r>
          </w:p>
        </w:tc>
        <w:tc>
          <w:tcPr>
            <w:tcW w:w="5509" w:type="dxa"/>
            <w:noWrap w:val="0"/>
            <w:vAlign w:val="center"/>
          </w:tcPr>
          <w:p w14:paraId="190476E7">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组建应急救援队伍，提高快速响应和先期处置能力。</w:t>
            </w:r>
          </w:p>
        </w:tc>
        <w:tc>
          <w:tcPr>
            <w:tcW w:w="1635" w:type="dxa"/>
            <w:noWrap w:val="0"/>
            <w:vAlign w:val="center"/>
          </w:tcPr>
          <w:p w14:paraId="4185AFE6">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2025年</w:t>
            </w:r>
          </w:p>
        </w:tc>
        <w:tc>
          <w:tcPr>
            <w:tcW w:w="2927" w:type="dxa"/>
            <w:noWrap w:val="0"/>
            <w:vAlign w:val="center"/>
          </w:tcPr>
          <w:p w14:paraId="02E9CADD">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各企业</w:t>
            </w:r>
          </w:p>
        </w:tc>
      </w:tr>
      <w:tr w14:paraId="25FF8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1564" w:type="dxa"/>
            <w:vMerge w:val="continue"/>
            <w:noWrap w:val="0"/>
            <w:vAlign w:val="center"/>
          </w:tcPr>
          <w:p w14:paraId="18861E37">
            <w:pPr>
              <w:pStyle w:val="13"/>
              <w:wordWrap w:val="0"/>
              <w:spacing w:line="300" w:lineRule="exact"/>
              <w:rPr>
                <w:rFonts w:hint="default" w:ascii="Times New Roman" w:hAnsi="Times New Roman" w:eastAsia="方正仿宋_GBK" w:cs="Times New Roman"/>
              </w:rPr>
            </w:pPr>
          </w:p>
        </w:tc>
        <w:tc>
          <w:tcPr>
            <w:tcW w:w="2129" w:type="dxa"/>
            <w:noWrap w:val="0"/>
            <w:vAlign w:val="center"/>
          </w:tcPr>
          <w:p w14:paraId="0F77AA75">
            <w:pPr>
              <w:pStyle w:val="13"/>
              <w:wordWrap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.推进保险业与安全生产良性互动。</w:t>
            </w:r>
          </w:p>
        </w:tc>
        <w:tc>
          <w:tcPr>
            <w:tcW w:w="5509" w:type="dxa"/>
            <w:noWrap w:val="0"/>
            <w:vAlign w:val="center"/>
          </w:tcPr>
          <w:p w14:paraId="39E8FBA0">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推动保险机构积极参与高危行业领域企业安全培训、安全咨询、重大事故隐患排查整治等工作。</w:t>
            </w:r>
          </w:p>
        </w:tc>
        <w:tc>
          <w:tcPr>
            <w:tcW w:w="1635" w:type="dxa"/>
            <w:noWrap w:val="0"/>
            <w:vAlign w:val="center"/>
          </w:tcPr>
          <w:p w14:paraId="13A001F8">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长期坚持</w:t>
            </w:r>
          </w:p>
        </w:tc>
        <w:tc>
          <w:tcPr>
            <w:tcW w:w="2927" w:type="dxa"/>
            <w:noWrap w:val="0"/>
            <w:vAlign w:val="center"/>
          </w:tcPr>
          <w:p w14:paraId="78A3179C">
            <w:pPr>
              <w:pStyle w:val="13"/>
              <w:wordWrap w:val="0"/>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各企业</w:t>
            </w:r>
            <w:r>
              <w:rPr>
                <w:rFonts w:hint="default" w:ascii="Times New Roman" w:hAnsi="Times New Roman" w:eastAsia="方正仿宋_GBK" w:cs="Times New Roman"/>
              </w:rPr>
              <w:t xml:space="preserve"> </w:t>
            </w:r>
          </w:p>
        </w:tc>
      </w:tr>
      <w:tr w14:paraId="3F9C0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1564" w:type="dxa"/>
            <w:vMerge w:val="restart"/>
            <w:noWrap w:val="0"/>
            <w:vAlign w:val="center"/>
          </w:tcPr>
          <w:p w14:paraId="4BD13556">
            <w:pPr>
              <w:spacing w:line="300" w:lineRule="exact"/>
              <w:rPr>
                <w:rFonts w:hint="default" w:ascii="Times New Roman" w:hAnsi="Times New Roman" w:cs="Times New Roman"/>
                <w:sz w:val="24"/>
                <w:szCs w:val="24"/>
              </w:rPr>
            </w:pPr>
            <w:r>
              <w:rPr>
                <w:rFonts w:hint="default" w:ascii="Times New Roman" w:hAnsi="Times New Roman" w:cs="Times New Roman"/>
                <w:sz w:val="24"/>
                <w:szCs w:val="24"/>
              </w:rPr>
              <w:t>六、开展数字整体智治能力提升行动</w:t>
            </w:r>
          </w:p>
        </w:tc>
        <w:tc>
          <w:tcPr>
            <w:tcW w:w="2129" w:type="dxa"/>
            <w:vMerge w:val="restart"/>
            <w:noWrap w:val="0"/>
            <w:vAlign w:val="center"/>
          </w:tcPr>
          <w:p w14:paraId="5BA03980">
            <w:pPr>
              <w:pStyle w:val="13"/>
              <w:wordWrap w:val="0"/>
              <w:spacing w:line="36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.推进数字应急综合应用建设。</w:t>
            </w:r>
          </w:p>
        </w:tc>
        <w:tc>
          <w:tcPr>
            <w:tcW w:w="5509" w:type="dxa"/>
            <w:noWrap w:val="0"/>
            <w:vAlign w:val="center"/>
          </w:tcPr>
          <w:p w14:paraId="05EEEEDD">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配合县应急局建成数字应急底座，推动建设安全生产防控、应急指挥救援等8大应用专题生态体系，初步建成“数字应急”数据仓、应急指挥智救、危险化学品全链条监管、九小场所监管、工贸企业安全监管等应用场景。</w:t>
            </w:r>
          </w:p>
        </w:tc>
        <w:tc>
          <w:tcPr>
            <w:tcW w:w="1635" w:type="dxa"/>
            <w:noWrap w:val="0"/>
            <w:vAlign w:val="center"/>
          </w:tcPr>
          <w:p w14:paraId="13DEC2EE">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2024年</w:t>
            </w:r>
          </w:p>
        </w:tc>
        <w:tc>
          <w:tcPr>
            <w:tcW w:w="2927" w:type="dxa"/>
            <w:noWrap w:val="0"/>
            <w:vAlign w:val="center"/>
          </w:tcPr>
          <w:p w14:paraId="06F96E23">
            <w:pPr>
              <w:pStyle w:val="13"/>
              <w:wordWrap w:val="0"/>
              <w:spacing w:line="36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大数据科、信息产业科</w:t>
            </w:r>
          </w:p>
        </w:tc>
      </w:tr>
      <w:tr w14:paraId="77D8B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1564" w:type="dxa"/>
            <w:vMerge w:val="continue"/>
            <w:noWrap w:val="0"/>
            <w:vAlign w:val="center"/>
          </w:tcPr>
          <w:p w14:paraId="611F02EC">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2F0248F8">
            <w:pPr>
              <w:pStyle w:val="13"/>
              <w:wordWrap w:val="0"/>
              <w:spacing w:line="360" w:lineRule="exact"/>
              <w:rPr>
                <w:rFonts w:hint="default" w:ascii="Times New Roman" w:hAnsi="Times New Roman" w:eastAsia="方正仿宋_GBK" w:cs="Times New Roman"/>
              </w:rPr>
            </w:pPr>
          </w:p>
        </w:tc>
        <w:tc>
          <w:tcPr>
            <w:tcW w:w="5509" w:type="dxa"/>
            <w:noWrap w:val="0"/>
            <w:vAlign w:val="center"/>
          </w:tcPr>
          <w:p w14:paraId="49B7E9CF">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配合县应急局实现应急感知监测体系全面覆盖、数据资源与能力组件全面完善、基础感知设备设施全面铺设、业务应用生态体系全面成形，市域安全“可感、可视、可统、可防、可救”。</w:t>
            </w:r>
          </w:p>
        </w:tc>
        <w:tc>
          <w:tcPr>
            <w:tcW w:w="1635" w:type="dxa"/>
            <w:noWrap w:val="0"/>
            <w:vAlign w:val="center"/>
          </w:tcPr>
          <w:p w14:paraId="30C336BF">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2025年</w:t>
            </w:r>
          </w:p>
        </w:tc>
        <w:tc>
          <w:tcPr>
            <w:tcW w:w="2927" w:type="dxa"/>
            <w:noWrap w:val="0"/>
            <w:vAlign w:val="center"/>
          </w:tcPr>
          <w:p w14:paraId="32DE0561">
            <w:pPr>
              <w:pStyle w:val="13"/>
              <w:wordWrap w:val="0"/>
              <w:spacing w:line="360" w:lineRule="exact"/>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大数据科、信息产业科</w:t>
            </w:r>
          </w:p>
        </w:tc>
      </w:tr>
      <w:tr w14:paraId="51AEC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1564" w:type="dxa"/>
            <w:vMerge w:val="continue"/>
            <w:noWrap w:val="0"/>
            <w:vAlign w:val="center"/>
          </w:tcPr>
          <w:p w14:paraId="3422C6F7">
            <w:pPr>
              <w:pStyle w:val="13"/>
              <w:wordWrap w:val="0"/>
              <w:spacing w:line="300" w:lineRule="exact"/>
              <w:rPr>
                <w:rFonts w:hint="default" w:ascii="Times New Roman" w:hAnsi="Times New Roman" w:eastAsia="方正仿宋_GBK" w:cs="Times New Roman"/>
              </w:rPr>
            </w:pPr>
          </w:p>
        </w:tc>
        <w:tc>
          <w:tcPr>
            <w:tcW w:w="2129" w:type="dxa"/>
            <w:vMerge w:val="continue"/>
            <w:noWrap w:val="0"/>
            <w:vAlign w:val="center"/>
          </w:tcPr>
          <w:p w14:paraId="4F2B1F34">
            <w:pPr>
              <w:pStyle w:val="13"/>
              <w:wordWrap w:val="0"/>
              <w:spacing w:line="360" w:lineRule="exact"/>
              <w:rPr>
                <w:rFonts w:hint="default" w:ascii="Times New Roman" w:hAnsi="Times New Roman" w:eastAsia="方正仿宋_GBK" w:cs="Times New Roman"/>
              </w:rPr>
            </w:pPr>
          </w:p>
        </w:tc>
        <w:tc>
          <w:tcPr>
            <w:tcW w:w="5509" w:type="dxa"/>
            <w:noWrap w:val="0"/>
            <w:vAlign w:val="center"/>
          </w:tcPr>
          <w:p w14:paraId="68F3EC9E">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配合县应急局进一步完善系统功能，补齐城市安全体征，完善智能算法，保障数字应急智能、高效、实用</w:t>
            </w:r>
          </w:p>
        </w:tc>
        <w:tc>
          <w:tcPr>
            <w:tcW w:w="1635" w:type="dxa"/>
            <w:noWrap w:val="0"/>
            <w:vAlign w:val="center"/>
          </w:tcPr>
          <w:p w14:paraId="2A9BA1AF">
            <w:pPr>
              <w:pStyle w:val="13"/>
              <w:wordWrap w:val="0"/>
              <w:spacing w:line="36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noWrap w:val="0"/>
            <w:vAlign w:val="center"/>
          </w:tcPr>
          <w:p w14:paraId="32637EF9">
            <w:pPr>
              <w:pStyle w:val="13"/>
              <w:wordWrap w:val="0"/>
              <w:spacing w:line="360" w:lineRule="exact"/>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大数据科、信息产业科</w:t>
            </w:r>
          </w:p>
        </w:tc>
      </w:tr>
      <w:tr w14:paraId="72A0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jc w:val="center"/>
        </w:trPr>
        <w:tc>
          <w:tcPr>
            <w:tcW w:w="1564" w:type="dxa"/>
            <w:vMerge w:val="continue"/>
            <w:noWrap w:val="0"/>
            <w:vAlign w:val="center"/>
          </w:tcPr>
          <w:p w14:paraId="5B2EF4ED">
            <w:pPr>
              <w:pStyle w:val="13"/>
              <w:wordWrap w:val="0"/>
              <w:spacing w:line="340" w:lineRule="exact"/>
              <w:rPr>
                <w:rFonts w:hint="default" w:ascii="Times New Roman" w:hAnsi="Times New Roman" w:eastAsia="方正仿宋_GBK" w:cs="Times New Roman"/>
              </w:rPr>
            </w:pPr>
          </w:p>
        </w:tc>
        <w:tc>
          <w:tcPr>
            <w:tcW w:w="2129" w:type="dxa"/>
            <w:noWrap w:val="0"/>
            <w:vAlign w:val="center"/>
          </w:tcPr>
          <w:p w14:paraId="5186A876">
            <w:pPr>
              <w:pStyle w:val="13"/>
              <w:wordWrap w:val="0"/>
              <w:spacing w:line="400" w:lineRule="exact"/>
              <w:jc w:val="both"/>
              <w:rPr>
                <w:rFonts w:hint="default" w:ascii="Times New Roman" w:hAnsi="Times New Roman" w:eastAsia="方正仿宋_GBK" w:cs="Times New Roman"/>
              </w:rPr>
            </w:pPr>
            <w:r>
              <w:rPr>
                <w:rFonts w:hint="default" w:ascii="Times New Roman" w:hAnsi="Times New Roman" w:eastAsia="方正仿宋_GBK" w:cs="Times New Roman"/>
              </w:rPr>
              <w:t>1</w:t>
            </w:r>
            <w:r>
              <w:rPr>
                <w:rFonts w:hint="default" w:ascii="Times New Roman" w:hAnsi="Times New Roman" w:eastAsia="方正仿宋_GBK" w:cs="Times New Roman"/>
                <w:lang w:val="en-US" w:eastAsia="zh-CN"/>
              </w:rPr>
              <w:t>6</w:t>
            </w:r>
            <w:r>
              <w:rPr>
                <w:rFonts w:hint="default" w:ascii="Times New Roman" w:hAnsi="Times New Roman" w:eastAsia="方正仿宋_GBK" w:cs="Times New Roman"/>
              </w:rPr>
              <w:t>.加强安全生产风险监测预警管控能力建设。</w:t>
            </w:r>
          </w:p>
        </w:tc>
        <w:tc>
          <w:tcPr>
            <w:tcW w:w="5509" w:type="dxa"/>
            <w:noWrap w:val="0"/>
            <w:vAlign w:val="center"/>
          </w:tcPr>
          <w:p w14:paraId="1E2F4FB9">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在电力、民爆、通讯、城镇燃气等领域推广企业安全风险监测预警系统。</w:t>
            </w:r>
          </w:p>
        </w:tc>
        <w:tc>
          <w:tcPr>
            <w:tcW w:w="1635" w:type="dxa"/>
            <w:noWrap w:val="0"/>
            <w:vAlign w:val="center"/>
          </w:tcPr>
          <w:p w14:paraId="1493FE2D">
            <w:pPr>
              <w:pStyle w:val="13"/>
              <w:wordWrap w:val="0"/>
              <w:spacing w:line="40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2025年</w:t>
            </w:r>
          </w:p>
        </w:tc>
        <w:tc>
          <w:tcPr>
            <w:tcW w:w="2927" w:type="dxa"/>
            <w:noWrap w:val="0"/>
            <w:vAlign w:val="center"/>
          </w:tcPr>
          <w:p w14:paraId="54504780">
            <w:pPr>
              <w:pStyle w:val="13"/>
              <w:wordWrap w:val="0"/>
              <w:spacing w:line="400" w:lineRule="exact"/>
              <w:rPr>
                <w:rFonts w:hint="default" w:ascii="Times New Roman" w:hAnsi="Times New Roman" w:eastAsia="方正仿宋_GBK" w:cs="Times New Roman"/>
                <w:color w:val="auto"/>
                <w:lang w:val="en-US" w:eastAsia="zh-CN"/>
              </w:rPr>
            </w:pPr>
            <w:r>
              <w:rPr>
                <w:rFonts w:hint="default" w:ascii="Times New Roman" w:hAnsi="Times New Roman" w:eastAsia="方正仿宋_GBK" w:cs="Times New Roman"/>
                <w:color w:val="auto"/>
                <w:lang w:val="en-US" w:eastAsia="zh-CN"/>
              </w:rPr>
              <w:t>应急管理科、燃气油气科、信息产业科</w:t>
            </w:r>
          </w:p>
        </w:tc>
      </w:tr>
      <w:tr w14:paraId="0254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jc w:val="center"/>
        </w:trPr>
        <w:tc>
          <w:tcPr>
            <w:tcW w:w="1564" w:type="dxa"/>
            <w:vMerge w:val="restart"/>
            <w:noWrap w:val="0"/>
            <w:vAlign w:val="center"/>
          </w:tcPr>
          <w:p w14:paraId="3F6B9CC0">
            <w:pPr>
              <w:pStyle w:val="13"/>
              <w:wordWrap w:val="0"/>
              <w:spacing w:line="340" w:lineRule="exact"/>
              <w:rPr>
                <w:rFonts w:hint="default" w:ascii="Times New Roman" w:hAnsi="Times New Roman" w:eastAsia="方正仿宋_GBK" w:cs="Times New Roman"/>
              </w:rPr>
            </w:pPr>
            <w:r>
              <w:rPr>
                <w:rFonts w:hint="default" w:ascii="Times New Roman" w:hAnsi="Times New Roman" w:eastAsia="方正仿宋_GBK" w:cs="Times New Roman"/>
              </w:rPr>
              <w:t>七、开展安全工程治理行动</w:t>
            </w:r>
          </w:p>
        </w:tc>
        <w:tc>
          <w:tcPr>
            <w:tcW w:w="2129" w:type="dxa"/>
            <w:vMerge w:val="restart"/>
            <w:noWrap w:val="0"/>
            <w:vAlign w:val="center"/>
          </w:tcPr>
          <w:p w14:paraId="22DFCDB4">
            <w:pPr>
              <w:tabs>
                <w:tab w:val="left" w:pos="1399"/>
              </w:tabs>
              <w:spacing w:line="340" w:lineRule="exact"/>
              <w:rPr>
                <w:rFonts w:hint="default" w:ascii="Times New Roman" w:hAnsi="Times New Roman" w:cs="Times New Roman"/>
                <w:sz w:val="24"/>
                <w:szCs w:val="24"/>
              </w:rPr>
            </w:pPr>
            <w:r>
              <w:rPr>
                <w:rFonts w:hint="default" w:ascii="Times New Roman" w:hAnsi="Times New Roman" w:cs="Times New Roman"/>
                <w:kern w:val="0"/>
                <w:sz w:val="24"/>
                <w:szCs w:val="24"/>
                <w:lang w:val="en-US" w:eastAsia="zh-CN" w:bidi="ar"/>
              </w:rPr>
              <w:t>17</w:t>
            </w:r>
            <w:r>
              <w:rPr>
                <w:rFonts w:hint="default" w:ascii="Times New Roman" w:hAnsi="Times New Roman" w:cs="Times New Roman"/>
                <w:kern w:val="0"/>
                <w:sz w:val="24"/>
                <w:szCs w:val="24"/>
                <w:lang w:bidi="ar"/>
              </w:rPr>
              <w:t>.深化燃气安全专项整治。</w:t>
            </w:r>
          </w:p>
        </w:tc>
        <w:tc>
          <w:tcPr>
            <w:tcW w:w="5509" w:type="dxa"/>
            <w:noWrap w:val="0"/>
            <w:vAlign w:val="center"/>
          </w:tcPr>
          <w:p w14:paraId="08563A27">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以燃气管道“带病运行”专项治理为重点，围绕“问题气”“问题瓶”“问题阀”“问题软管”“问题管网”“问题环境”，对燃气经营企业等进行全覆盖排查整治。</w:t>
            </w:r>
          </w:p>
        </w:tc>
        <w:tc>
          <w:tcPr>
            <w:tcW w:w="1635" w:type="dxa"/>
            <w:noWrap w:val="0"/>
            <w:vAlign w:val="center"/>
          </w:tcPr>
          <w:p w14:paraId="1A8F1552">
            <w:pPr>
              <w:pStyle w:val="13"/>
              <w:wordWrap w:val="0"/>
              <w:spacing w:line="34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长期坚持</w:t>
            </w:r>
          </w:p>
        </w:tc>
        <w:tc>
          <w:tcPr>
            <w:tcW w:w="2927" w:type="dxa"/>
            <w:vMerge w:val="restart"/>
            <w:noWrap w:val="0"/>
            <w:vAlign w:val="center"/>
          </w:tcPr>
          <w:p w14:paraId="2F69B852">
            <w:pPr>
              <w:pStyle w:val="13"/>
              <w:wordWrap w:val="0"/>
              <w:spacing w:line="340" w:lineRule="exact"/>
              <w:rPr>
                <w:rFonts w:hint="default" w:ascii="Times New Roman" w:hAnsi="Times New Roman" w:eastAsia="方正仿宋_GBK" w:cs="Times New Roman"/>
                <w:color w:val="auto"/>
              </w:rPr>
            </w:pPr>
            <w:r>
              <w:rPr>
                <w:rFonts w:hint="default" w:ascii="Times New Roman" w:hAnsi="Times New Roman" w:eastAsia="方正仿宋_GBK" w:cs="Times New Roman"/>
                <w:color w:val="auto"/>
                <w:lang w:val="en-US" w:eastAsia="zh-CN"/>
              </w:rPr>
              <w:t>燃气油气科</w:t>
            </w:r>
          </w:p>
        </w:tc>
      </w:tr>
      <w:tr w14:paraId="1868A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1564" w:type="dxa"/>
            <w:vMerge w:val="continue"/>
            <w:noWrap w:val="0"/>
            <w:vAlign w:val="center"/>
          </w:tcPr>
          <w:p w14:paraId="5034CB4E">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4A85D5CF">
            <w:pPr>
              <w:tabs>
                <w:tab w:val="left" w:pos="1399"/>
              </w:tabs>
              <w:spacing w:line="340" w:lineRule="exact"/>
              <w:rPr>
                <w:rFonts w:hint="default" w:ascii="Times New Roman" w:hAnsi="Times New Roman" w:cs="Times New Roman"/>
                <w:sz w:val="24"/>
                <w:szCs w:val="24"/>
              </w:rPr>
            </w:pPr>
          </w:p>
        </w:tc>
        <w:tc>
          <w:tcPr>
            <w:tcW w:w="5509" w:type="dxa"/>
            <w:noWrap w:val="0"/>
            <w:vAlign w:val="center"/>
          </w:tcPr>
          <w:p w14:paraId="68169FE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全面起底整治交叉、穿越、占压、间距不足、老旧破损管线“带病运行”等风险隐患。切实做好城镇老旧燃气管道管网更新改造、餐饮等单位用户和地下空间燃气安全排查整治、燃气安全数字化等工作。</w:t>
            </w:r>
          </w:p>
        </w:tc>
        <w:tc>
          <w:tcPr>
            <w:tcW w:w="1635" w:type="dxa"/>
            <w:noWrap w:val="0"/>
            <w:vAlign w:val="center"/>
          </w:tcPr>
          <w:p w14:paraId="4D80876F">
            <w:pPr>
              <w:pStyle w:val="13"/>
              <w:wordWrap w:val="0"/>
              <w:spacing w:line="340" w:lineRule="exact"/>
              <w:jc w:val="center"/>
              <w:rPr>
                <w:rFonts w:hint="default" w:ascii="Times New Roman" w:hAnsi="Times New Roman" w:eastAsia="方正仿宋_GBK" w:cs="Times New Roman"/>
                <w:color w:val="auto"/>
              </w:rPr>
            </w:pPr>
            <w:r>
              <w:rPr>
                <w:rFonts w:hint="default" w:ascii="Times New Roman" w:hAnsi="Times New Roman" w:eastAsia="方正仿宋_GBK" w:cs="Times New Roman"/>
                <w:color w:val="auto"/>
              </w:rPr>
              <w:t>长期坚持</w:t>
            </w:r>
          </w:p>
        </w:tc>
        <w:tc>
          <w:tcPr>
            <w:tcW w:w="2927" w:type="dxa"/>
            <w:vMerge w:val="continue"/>
            <w:noWrap w:val="0"/>
            <w:vAlign w:val="center"/>
          </w:tcPr>
          <w:p w14:paraId="697B8785">
            <w:pPr>
              <w:pStyle w:val="13"/>
              <w:wordWrap w:val="0"/>
              <w:spacing w:line="340" w:lineRule="exact"/>
              <w:rPr>
                <w:rFonts w:hint="default" w:ascii="Times New Roman" w:hAnsi="Times New Roman" w:eastAsia="方正仿宋_GBK" w:cs="Times New Roman"/>
                <w:color w:val="0000FF"/>
              </w:rPr>
            </w:pPr>
          </w:p>
        </w:tc>
      </w:tr>
      <w:tr w14:paraId="4BC3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1564" w:type="dxa"/>
            <w:vMerge w:val="continue"/>
            <w:noWrap w:val="0"/>
            <w:vAlign w:val="center"/>
          </w:tcPr>
          <w:p w14:paraId="4796920C">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69B98792">
            <w:pPr>
              <w:tabs>
                <w:tab w:val="left" w:pos="1399"/>
              </w:tabs>
              <w:spacing w:line="340" w:lineRule="exact"/>
              <w:rPr>
                <w:rFonts w:hint="default" w:ascii="Times New Roman" w:hAnsi="Times New Roman" w:cs="Times New Roman"/>
                <w:sz w:val="24"/>
                <w:szCs w:val="24"/>
              </w:rPr>
            </w:pPr>
          </w:p>
        </w:tc>
        <w:tc>
          <w:tcPr>
            <w:tcW w:w="5509" w:type="dxa"/>
            <w:noWrap w:val="0"/>
            <w:vAlign w:val="center"/>
          </w:tcPr>
          <w:p w14:paraId="56FB4FCB">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推动燃气安全监管智能化建设。</w:t>
            </w:r>
          </w:p>
        </w:tc>
        <w:tc>
          <w:tcPr>
            <w:tcW w:w="1635" w:type="dxa"/>
            <w:noWrap w:val="0"/>
            <w:vAlign w:val="center"/>
          </w:tcPr>
          <w:p w14:paraId="17B88F17">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vMerge w:val="continue"/>
            <w:noWrap w:val="0"/>
            <w:vAlign w:val="center"/>
          </w:tcPr>
          <w:p w14:paraId="596859E6">
            <w:pPr>
              <w:pStyle w:val="13"/>
              <w:wordWrap w:val="0"/>
              <w:spacing w:line="340" w:lineRule="exact"/>
              <w:rPr>
                <w:rFonts w:hint="default" w:ascii="Times New Roman" w:hAnsi="Times New Roman" w:eastAsia="方正仿宋_GBK" w:cs="Times New Roman"/>
              </w:rPr>
            </w:pPr>
          </w:p>
        </w:tc>
      </w:tr>
      <w:tr w14:paraId="319C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1564" w:type="dxa"/>
            <w:vMerge w:val="continue"/>
            <w:noWrap w:val="0"/>
            <w:vAlign w:val="center"/>
          </w:tcPr>
          <w:p w14:paraId="25229E8B">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3052D5D6">
            <w:pPr>
              <w:tabs>
                <w:tab w:val="left" w:pos="1399"/>
              </w:tabs>
              <w:spacing w:line="340" w:lineRule="exact"/>
              <w:rPr>
                <w:rFonts w:hint="default" w:ascii="Times New Roman" w:hAnsi="Times New Roman" w:cs="Times New Roman"/>
                <w:sz w:val="24"/>
                <w:szCs w:val="24"/>
              </w:rPr>
            </w:pPr>
          </w:p>
        </w:tc>
        <w:tc>
          <w:tcPr>
            <w:tcW w:w="5509" w:type="dxa"/>
            <w:noWrap w:val="0"/>
            <w:vAlign w:val="center"/>
          </w:tcPr>
          <w:p w14:paraId="5C2718C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完善燃气经营许可管理制度和相关法规标准，建立严进、严管、重罚的燃气市场管理机制，推动燃气安全向事前预防转型。</w:t>
            </w:r>
          </w:p>
        </w:tc>
        <w:tc>
          <w:tcPr>
            <w:tcW w:w="1635" w:type="dxa"/>
            <w:noWrap w:val="0"/>
            <w:vAlign w:val="center"/>
          </w:tcPr>
          <w:p w14:paraId="3A219F7D">
            <w:pPr>
              <w:pStyle w:val="13"/>
              <w:wordWrap w:val="0"/>
              <w:spacing w:line="3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2026年</w:t>
            </w:r>
          </w:p>
        </w:tc>
        <w:tc>
          <w:tcPr>
            <w:tcW w:w="2927" w:type="dxa"/>
            <w:vMerge w:val="continue"/>
            <w:noWrap w:val="0"/>
            <w:vAlign w:val="center"/>
          </w:tcPr>
          <w:p w14:paraId="2469992F">
            <w:pPr>
              <w:pStyle w:val="13"/>
              <w:wordWrap w:val="0"/>
              <w:spacing w:line="340" w:lineRule="exact"/>
              <w:rPr>
                <w:rFonts w:hint="default" w:ascii="Times New Roman" w:hAnsi="Times New Roman" w:eastAsia="方正仿宋_GBK" w:cs="Times New Roman"/>
              </w:rPr>
            </w:pPr>
          </w:p>
        </w:tc>
      </w:tr>
      <w:tr w14:paraId="67FC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1564" w:type="dxa"/>
            <w:vMerge w:val="restart"/>
            <w:noWrap w:val="0"/>
            <w:vAlign w:val="center"/>
          </w:tcPr>
          <w:p w14:paraId="77EDF56E">
            <w:pPr>
              <w:spacing w:line="340" w:lineRule="exact"/>
              <w:rPr>
                <w:rFonts w:hint="default" w:ascii="Times New Roman" w:hAnsi="Times New Roman" w:cs="Times New Roman"/>
                <w:sz w:val="24"/>
                <w:szCs w:val="24"/>
              </w:rPr>
            </w:pPr>
          </w:p>
        </w:tc>
        <w:tc>
          <w:tcPr>
            <w:tcW w:w="2129" w:type="dxa"/>
            <w:noWrap w:val="0"/>
            <w:vAlign w:val="center"/>
          </w:tcPr>
          <w:p w14:paraId="410F019D">
            <w:pPr>
              <w:pStyle w:val="13"/>
              <w:wordWrap w:val="0"/>
              <w:spacing w:line="340" w:lineRule="exact"/>
              <w:jc w:val="both"/>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18.</w:t>
            </w:r>
            <w:r>
              <w:rPr>
                <w:rFonts w:hint="default" w:ascii="Times New Roman" w:hAnsi="Times New Roman" w:eastAsia="方正仿宋_GBK" w:cs="Times New Roman"/>
                <w:sz w:val="24"/>
              </w:rPr>
              <w:t>开展信息通信行业系统安全能力提升行动。</w:t>
            </w:r>
          </w:p>
        </w:tc>
        <w:tc>
          <w:tcPr>
            <w:tcW w:w="5509" w:type="dxa"/>
            <w:noWrap w:val="0"/>
            <w:vAlign w:val="center"/>
          </w:tcPr>
          <w:p w14:paraId="0F52D9A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强化通信建设工程管理，加强安全生产责任细化管理，督促勘察、设计、施工、监理等单位严格按照法律法规和技术标准要求开展工作。提升网络运行综合保护能力，严格落实网络架构保护措施和“四防”要求，推动建立电信企业网络运行安全考核体系。加大通信杆线安全治理力度，制定农村区域通信杆线整治实施方案，逐步有序推动全市农村区域通信杆线整治工作。</w:t>
            </w:r>
          </w:p>
        </w:tc>
        <w:tc>
          <w:tcPr>
            <w:tcW w:w="1635" w:type="dxa"/>
            <w:noWrap w:val="0"/>
            <w:vAlign w:val="center"/>
          </w:tcPr>
          <w:p w14:paraId="44F541E6">
            <w:pPr>
              <w:pStyle w:val="13"/>
              <w:wordWrap w:val="0"/>
              <w:spacing w:line="34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2026</w:t>
            </w:r>
          </w:p>
        </w:tc>
        <w:tc>
          <w:tcPr>
            <w:tcW w:w="2927" w:type="dxa"/>
            <w:noWrap w:val="0"/>
            <w:vAlign w:val="center"/>
          </w:tcPr>
          <w:p w14:paraId="29598C0F">
            <w:pPr>
              <w:pStyle w:val="13"/>
              <w:wordWrap w:val="0"/>
              <w:spacing w:line="340" w:lineRule="exact"/>
              <w:rPr>
                <w:rFonts w:hint="default" w:ascii="Times New Roman" w:hAnsi="Times New Roman" w:eastAsia="方正仿宋_GBK" w:cs="Times New Roman"/>
                <w:lang w:val="en-US"/>
              </w:rPr>
            </w:pPr>
            <w:r>
              <w:rPr>
                <w:rFonts w:hint="default" w:ascii="Times New Roman" w:hAnsi="Times New Roman" w:eastAsia="方正仿宋_GBK" w:cs="Times New Roman"/>
                <w:color w:val="auto"/>
                <w:lang w:val="en-US" w:eastAsia="zh-CN"/>
              </w:rPr>
              <w:t>信息产业科、通讯企业</w:t>
            </w:r>
          </w:p>
        </w:tc>
      </w:tr>
      <w:tr w14:paraId="7525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564" w:type="dxa"/>
            <w:vMerge w:val="continue"/>
            <w:noWrap w:val="0"/>
            <w:vAlign w:val="center"/>
          </w:tcPr>
          <w:p w14:paraId="04658739">
            <w:pPr>
              <w:pStyle w:val="13"/>
              <w:wordWrap w:val="0"/>
              <w:spacing w:line="340" w:lineRule="exact"/>
              <w:rPr>
                <w:rFonts w:hint="default" w:ascii="Times New Roman" w:hAnsi="Times New Roman" w:eastAsia="方正仿宋_GBK" w:cs="Times New Roman"/>
              </w:rPr>
            </w:pPr>
          </w:p>
        </w:tc>
        <w:tc>
          <w:tcPr>
            <w:tcW w:w="2129" w:type="dxa"/>
            <w:vMerge w:val="restart"/>
            <w:noWrap w:val="0"/>
            <w:vAlign w:val="center"/>
          </w:tcPr>
          <w:p w14:paraId="7A081CE8">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19.开展电力行业专项整治行动</w:t>
            </w:r>
          </w:p>
        </w:tc>
        <w:tc>
          <w:tcPr>
            <w:tcW w:w="5509" w:type="dxa"/>
            <w:noWrap w:val="0"/>
            <w:vAlign w:val="center"/>
          </w:tcPr>
          <w:p w14:paraId="4D720C9E">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建立健全树竹障碍常态化清理机制，有计划有步骤开展树竹障碍清理活动。</w:t>
            </w:r>
          </w:p>
        </w:tc>
        <w:tc>
          <w:tcPr>
            <w:tcW w:w="1635" w:type="dxa"/>
            <w:vMerge w:val="restart"/>
            <w:noWrap w:val="0"/>
            <w:vAlign w:val="center"/>
          </w:tcPr>
          <w:p w14:paraId="694BBBF7">
            <w:pPr>
              <w:pStyle w:val="13"/>
              <w:wordWrap w:val="0"/>
              <w:spacing w:line="34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长期坚持</w:t>
            </w:r>
          </w:p>
          <w:p w14:paraId="25FA5D7E">
            <w:pPr>
              <w:pStyle w:val="13"/>
              <w:wordWrap w:val="0"/>
              <w:spacing w:line="340" w:lineRule="exact"/>
              <w:jc w:val="center"/>
              <w:rPr>
                <w:rFonts w:hint="default" w:ascii="Times New Roman" w:hAnsi="Times New Roman" w:eastAsia="方正仿宋_GBK" w:cs="Times New Roman"/>
                <w:lang w:val="en-US" w:eastAsia="zh-CN"/>
              </w:rPr>
            </w:pPr>
          </w:p>
        </w:tc>
        <w:tc>
          <w:tcPr>
            <w:tcW w:w="2927" w:type="dxa"/>
            <w:vMerge w:val="restart"/>
            <w:noWrap w:val="0"/>
            <w:vAlign w:val="center"/>
          </w:tcPr>
          <w:p w14:paraId="1FD6EC4B">
            <w:pPr>
              <w:pStyle w:val="13"/>
              <w:tabs>
                <w:tab w:val="clear" w:pos="916"/>
                <w:tab w:val="clear" w:pos="2748"/>
                <w:tab w:val="clear" w:pos="4580"/>
                <w:tab w:val="clear" w:pos="6412"/>
                <w:tab w:val="clear" w:pos="8244"/>
                <w:tab w:val="clear" w:pos="10076"/>
                <w:tab w:val="clear" w:pos="11908"/>
                <w:tab w:val="clear" w:pos="13740"/>
              </w:tabs>
              <w:wordWrap w:val="0"/>
              <w:spacing w:line="34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应急管理科、供电企业</w:t>
            </w:r>
          </w:p>
        </w:tc>
      </w:tr>
      <w:tr w14:paraId="1D0A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564" w:type="dxa"/>
            <w:vMerge w:val="continue"/>
            <w:noWrap w:val="0"/>
            <w:vAlign w:val="center"/>
          </w:tcPr>
          <w:p w14:paraId="2A810BB6">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1F4B8B5D">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07D81ED6">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实现远程监控电力配网、基建项目工程安全监管，切实开展反违章整治行动，严格执行电力行业技术规范要求。</w:t>
            </w:r>
          </w:p>
        </w:tc>
        <w:tc>
          <w:tcPr>
            <w:tcW w:w="1635" w:type="dxa"/>
            <w:vMerge w:val="continue"/>
            <w:noWrap w:val="0"/>
            <w:vAlign w:val="center"/>
          </w:tcPr>
          <w:p w14:paraId="485AB79E">
            <w:pPr>
              <w:pStyle w:val="13"/>
              <w:wordWrap w:val="0"/>
              <w:spacing w:line="340" w:lineRule="exact"/>
              <w:jc w:val="center"/>
              <w:rPr>
                <w:rFonts w:hint="default" w:ascii="Times New Roman" w:hAnsi="Times New Roman" w:eastAsia="方正仿宋_GBK" w:cs="Times New Roman"/>
              </w:rPr>
            </w:pPr>
          </w:p>
        </w:tc>
        <w:tc>
          <w:tcPr>
            <w:tcW w:w="2927" w:type="dxa"/>
            <w:vMerge w:val="continue"/>
            <w:noWrap w:val="0"/>
            <w:vAlign w:val="center"/>
          </w:tcPr>
          <w:p w14:paraId="04275588">
            <w:pPr>
              <w:pStyle w:val="13"/>
              <w:wordWrap w:val="0"/>
              <w:spacing w:line="340" w:lineRule="exact"/>
              <w:rPr>
                <w:rFonts w:hint="default" w:ascii="Times New Roman" w:hAnsi="Times New Roman" w:eastAsia="方正仿宋_GBK" w:cs="Times New Roman"/>
              </w:rPr>
            </w:pPr>
          </w:p>
        </w:tc>
      </w:tr>
      <w:tr w14:paraId="135F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564" w:type="dxa"/>
            <w:vMerge w:val="continue"/>
            <w:noWrap w:val="0"/>
            <w:vAlign w:val="center"/>
          </w:tcPr>
          <w:p w14:paraId="2CD618E7">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3F12A865">
            <w:pPr>
              <w:pStyle w:val="13"/>
              <w:wordWrap w:val="0"/>
              <w:spacing w:line="340" w:lineRule="exact"/>
              <w:rPr>
                <w:rFonts w:hint="default" w:ascii="Times New Roman" w:hAnsi="Times New Roman" w:eastAsia="方正仿宋_GBK" w:cs="Times New Roman"/>
              </w:rPr>
            </w:pPr>
          </w:p>
        </w:tc>
        <w:tc>
          <w:tcPr>
            <w:tcW w:w="5509" w:type="dxa"/>
            <w:noWrap w:val="0"/>
            <w:vAlign w:val="center"/>
          </w:tcPr>
          <w:p w14:paraId="37674C7D">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严厉打击第三方电力外破行为，保护电力设施设备。</w:t>
            </w:r>
          </w:p>
        </w:tc>
        <w:tc>
          <w:tcPr>
            <w:tcW w:w="1635" w:type="dxa"/>
            <w:vMerge w:val="continue"/>
            <w:noWrap w:val="0"/>
            <w:vAlign w:val="center"/>
          </w:tcPr>
          <w:p w14:paraId="671B2994">
            <w:pPr>
              <w:pStyle w:val="13"/>
              <w:wordWrap w:val="0"/>
              <w:spacing w:line="340" w:lineRule="exact"/>
              <w:jc w:val="center"/>
              <w:rPr>
                <w:rFonts w:hint="default" w:ascii="Times New Roman" w:hAnsi="Times New Roman" w:eastAsia="方正仿宋_GBK" w:cs="Times New Roman"/>
                <w:lang w:val="en-US" w:eastAsia="zh-CN"/>
              </w:rPr>
            </w:pPr>
          </w:p>
        </w:tc>
        <w:tc>
          <w:tcPr>
            <w:tcW w:w="2927" w:type="dxa"/>
            <w:vMerge w:val="continue"/>
            <w:noWrap w:val="0"/>
            <w:vAlign w:val="center"/>
          </w:tcPr>
          <w:p w14:paraId="0DF0AD6A">
            <w:pPr>
              <w:pStyle w:val="13"/>
              <w:wordWrap w:val="0"/>
              <w:spacing w:line="340" w:lineRule="exact"/>
              <w:rPr>
                <w:rFonts w:hint="default" w:ascii="Times New Roman" w:hAnsi="Times New Roman" w:eastAsia="方正仿宋_GBK" w:cs="Times New Roman"/>
              </w:rPr>
            </w:pPr>
          </w:p>
        </w:tc>
      </w:tr>
      <w:tr w14:paraId="5BC2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1564" w:type="dxa"/>
            <w:vMerge w:val="continue"/>
            <w:noWrap w:val="0"/>
            <w:vAlign w:val="center"/>
          </w:tcPr>
          <w:p w14:paraId="41E00CE3">
            <w:pPr>
              <w:pStyle w:val="13"/>
              <w:wordWrap w:val="0"/>
              <w:spacing w:line="340" w:lineRule="exact"/>
              <w:rPr>
                <w:rFonts w:hint="default" w:ascii="Times New Roman" w:hAnsi="Times New Roman" w:eastAsia="方正仿宋_GBK" w:cs="Times New Roman"/>
              </w:rPr>
            </w:pPr>
          </w:p>
        </w:tc>
        <w:tc>
          <w:tcPr>
            <w:tcW w:w="2129" w:type="dxa"/>
            <w:vMerge w:val="restart"/>
            <w:noWrap w:val="0"/>
            <w:vAlign w:val="center"/>
          </w:tcPr>
          <w:p w14:paraId="02862287">
            <w:pPr>
              <w:pStyle w:val="13"/>
              <w:wordWrap w:val="0"/>
              <w:spacing w:line="340" w:lineRule="exact"/>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20.开展民爆行业安全专项整治行动</w:t>
            </w:r>
          </w:p>
        </w:tc>
        <w:tc>
          <w:tcPr>
            <w:tcW w:w="5509" w:type="dxa"/>
            <w:noWrap w:val="0"/>
            <w:vAlign w:val="center"/>
          </w:tcPr>
          <w:p w14:paraId="1C024F01">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深化“严查四超”“打非治违”专项整治行动，持续开展“日周月”安全隐患排查整治，彻查彻治安全隐患。</w:t>
            </w:r>
          </w:p>
        </w:tc>
        <w:tc>
          <w:tcPr>
            <w:tcW w:w="1635" w:type="dxa"/>
            <w:vMerge w:val="restart"/>
            <w:noWrap w:val="0"/>
            <w:vAlign w:val="center"/>
          </w:tcPr>
          <w:p w14:paraId="03F53F26">
            <w:pPr>
              <w:pStyle w:val="13"/>
              <w:wordWrap w:val="0"/>
              <w:spacing w:line="340" w:lineRule="exact"/>
              <w:jc w:val="center"/>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长期坚持</w:t>
            </w:r>
          </w:p>
          <w:p w14:paraId="2BCFDC11">
            <w:pPr>
              <w:pStyle w:val="13"/>
              <w:wordWrap w:val="0"/>
              <w:spacing w:line="340" w:lineRule="exact"/>
              <w:jc w:val="center"/>
              <w:rPr>
                <w:rFonts w:hint="default" w:ascii="Times New Roman" w:hAnsi="Times New Roman" w:eastAsia="方正仿宋_GBK" w:cs="Times New Roman"/>
                <w:lang w:val="en-US" w:eastAsia="zh-CN"/>
              </w:rPr>
            </w:pPr>
          </w:p>
        </w:tc>
        <w:tc>
          <w:tcPr>
            <w:tcW w:w="2927" w:type="dxa"/>
            <w:vMerge w:val="restart"/>
            <w:noWrap w:val="0"/>
            <w:vAlign w:val="center"/>
          </w:tcPr>
          <w:p w14:paraId="6FD82695">
            <w:pPr>
              <w:pStyle w:val="13"/>
              <w:wordWrap w:val="0"/>
              <w:spacing w:line="340" w:lineRule="exact"/>
              <w:rPr>
                <w:rFonts w:hint="default" w:ascii="Times New Roman" w:hAnsi="Times New Roman" w:eastAsia="方正仿宋_GBK" w:cs="Times New Roman"/>
                <w:lang w:val="en-US"/>
              </w:rPr>
            </w:pPr>
            <w:r>
              <w:rPr>
                <w:rFonts w:hint="default" w:ascii="Times New Roman" w:hAnsi="Times New Roman" w:eastAsia="方正仿宋_GBK" w:cs="Times New Roman"/>
                <w:lang w:val="en-US" w:eastAsia="zh-CN"/>
              </w:rPr>
              <w:t>应急管理科、民爆公司</w:t>
            </w:r>
          </w:p>
        </w:tc>
      </w:tr>
      <w:tr w14:paraId="20398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564" w:type="dxa"/>
            <w:vMerge w:val="continue"/>
            <w:noWrap w:val="0"/>
            <w:vAlign w:val="center"/>
          </w:tcPr>
          <w:p w14:paraId="1DFF018A">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520912F4">
            <w:pPr>
              <w:pStyle w:val="13"/>
              <w:wordWrap w:val="0"/>
              <w:spacing w:line="340" w:lineRule="exact"/>
              <w:rPr>
                <w:rFonts w:hint="default" w:ascii="Times New Roman" w:hAnsi="Times New Roman" w:eastAsia="方正仿宋_GBK" w:cs="Times New Roman"/>
                <w:lang w:val="en-US" w:eastAsia="zh-CN"/>
              </w:rPr>
            </w:pPr>
          </w:p>
        </w:tc>
        <w:tc>
          <w:tcPr>
            <w:tcW w:w="5509" w:type="dxa"/>
            <w:noWrap w:val="0"/>
            <w:vAlign w:val="center"/>
          </w:tcPr>
          <w:p w14:paraId="390C6B50">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督促民爆销售企业及时、足额提取安全生产费用，规范安全生产费用使用，增强隐患整改效果。</w:t>
            </w:r>
          </w:p>
        </w:tc>
        <w:tc>
          <w:tcPr>
            <w:tcW w:w="1635" w:type="dxa"/>
            <w:vMerge w:val="continue"/>
            <w:noWrap w:val="0"/>
            <w:vAlign w:val="center"/>
          </w:tcPr>
          <w:p w14:paraId="08EEECB1">
            <w:pPr>
              <w:pStyle w:val="13"/>
              <w:wordWrap w:val="0"/>
              <w:spacing w:line="340" w:lineRule="exact"/>
              <w:jc w:val="center"/>
              <w:rPr>
                <w:rFonts w:hint="default" w:ascii="Times New Roman" w:hAnsi="Times New Roman" w:eastAsia="方正仿宋_GBK" w:cs="Times New Roman"/>
                <w:lang w:val="en-US" w:eastAsia="zh-CN"/>
              </w:rPr>
            </w:pPr>
          </w:p>
        </w:tc>
        <w:tc>
          <w:tcPr>
            <w:tcW w:w="2927" w:type="dxa"/>
            <w:vMerge w:val="continue"/>
            <w:noWrap w:val="0"/>
            <w:vAlign w:val="center"/>
          </w:tcPr>
          <w:p w14:paraId="10F4C21B">
            <w:pPr>
              <w:pStyle w:val="13"/>
              <w:wordWrap w:val="0"/>
              <w:spacing w:line="340" w:lineRule="exact"/>
              <w:rPr>
                <w:rFonts w:hint="default" w:ascii="Times New Roman" w:hAnsi="Times New Roman" w:eastAsia="方正仿宋_GBK" w:cs="Times New Roman"/>
              </w:rPr>
            </w:pPr>
          </w:p>
        </w:tc>
      </w:tr>
      <w:tr w14:paraId="55D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jc w:val="center"/>
        </w:trPr>
        <w:tc>
          <w:tcPr>
            <w:tcW w:w="1564" w:type="dxa"/>
            <w:vMerge w:val="continue"/>
            <w:noWrap w:val="0"/>
            <w:vAlign w:val="center"/>
          </w:tcPr>
          <w:p w14:paraId="0290EBAD">
            <w:pPr>
              <w:pStyle w:val="13"/>
              <w:wordWrap w:val="0"/>
              <w:spacing w:line="340" w:lineRule="exact"/>
              <w:rPr>
                <w:rFonts w:hint="default" w:ascii="Times New Roman" w:hAnsi="Times New Roman" w:eastAsia="方正仿宋_GBK" w:cs="Times New Roman"/>
              </w:rPr>
            </w:pPr>
          </w:p>
        </w:tc>
        <w:tc>
          <w:tcPr>
            <w:tcW w:w="2129" w:type="dxa"/>
            <w:vMerge w:val="continue"/>
            <w:noWrap w:val="0"/>
            <w:vAlign w:val="center"/>
          </w:tcPr>
          <w:p w14:paraId="739FD5C4">
            <w:pPr>
              <w:pStyle w:val="13"/>
              <w:wordWrap w:val="0"/>
              <w:spacing w:line="340" w:lineRule="exact"/>
              <w:rPr>
                <w:rFonts w:hint="default" w:ascii="Times New Roman" w:hAnsi="Times New Roman" w:eastAsia="方正仿宋_GBK" w:cs="Times New Roman"/>
                <w:lang w:val="en-US" w:eastAsia="zh-CN"/>
              </w:rPr>
            </w:pPr>
          </w:p>
        </w:tc>
        <w:tc>
          <w:tcPr>
            <w:tcW w:w="5509" w:type="dxa"/>
            <w:noWrap w:val="0"/>
            <w:vAlign w:val="center"/>
          </w:tcPr>
          <w:p w14:paraId="7AA0E0E9">
            <w:pPr>
              <w:spacing w:line="340" w:lineRule="exact"/>
              <w:jc w:val="lef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kern w:val="0"/>
                <w:sz w:val="24"/>
                <w:szCs w:val="22"/>
                <w:lang w:val="en-US" w:eastAsia="zh-CN" w:bidi="ar-SA"/>
              </w:rPr>
              <w:t>持续推进民爆行业“工业互联网+安全生产”行动计划，推动民爆销售企业数字化转型，提高安全监管信息化水平和企业本质安全水平。</w:t>
            </w:r>
          </w:p>
        </w:tc>
        <w:tc>
          <w:tcPr>
            <w:tcW w:w="1635" w:type="dxa"/>
            <w:vMerge w:val="continue"/>
            <w:noWrap w:val="0"/>
            <w:vAlign w:val="center"/>
          </w:tcPr>
          <w:p w14:paraId="514C70BB">
            <w:pPr>
              <w:pStyle w:val="13"/>
              <w:wordWrap w:val="0"/>
              <w:spacing w:line="340" w:lineRule="exact"/>
              <w:jc w:val="center"/>
              <w:rPr>
                <w:rFonts w:hint="default" w:ascii="Times New Roman" w:hAnsi="Times New Roman" w:eastAsia="方正仿宋_GBK" w:cs="Times New Roman"/>
                <w:lang w:val="en-US" w:eastAsia="zh-CN"/>
              </w:rPr>
            </w:pPr>
          </w:p>
        </w:tc>
        <w:tc>
          <w:tcPr>
            <w:tcW w:w="2927" w:type="dxa"/>
            <w:vMerge w:val="continue"/>
            <w:noWrap w:val="0"/>
            <w:vAlign w:val="center"/>
          </w:tcPr>
          <w:p w14:paraId="354DAB12">
            <w:pPr>
              <w:pStyle w:val="13"/>
              <w:wordWrap w:val="0"/>
              <w:spacing w:line="340" w:lineRule="exact"/>
              <w:rPr>
                <w:rFonts w:hint="default" w:ascii="Times New Roman" w:hAnsi="Times New Roman" w:eastAsia="方正仿宋_GBK" w:cs="Times New Roman"/>
              </w:rPr>
            </w:pPr>
          </w:p>
        </w:tc>
      </w:tr>
      <w:tr w14:paraId="7E67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1564" w:type="dxa"/>
            <w:noWrap w:val="0"/>
            <w:vAlign w:val="center"/>
          </w:tcPr>
          <w:p w14:paraId="4458AE26">
            <w:pPr>
              <w:spacing w:line="340" w:lineRule="exact"/>
              <w:rPr>
                <w:rFonts w:hint="default" w:ascii="Times New Roman" w:hAnsi="Times New Roman" w:cs="Times New Roman" w:eastAsiaTheme="minorEastAsia"/>
                <w:kern w:val="2"/>
                <w:sz w:val="24"/>
                <w:szCs w:val="24"/>
                <w:lang w:val="en-US" w:eastAsia="zh-CN" w:bidi="ar-SA"/>
              </w:rPr>
            </w:pPr>
            <w:r>
              <w:rPr>
                <w:rFonts w:hint="default" w:ascii="Times New Roman" w:hAnsi="Times New Roman" w:cs="Times New Roman"/>
                <w:sz w:val="24"/>
                <w:szCs w:val="24"/>
              </w:rPr>
              <w:t>八、开展全民安全素质提升行动</w:t>
            </w:r>
          </w:p>
        </w:tc>
        <w:tc>
          <w:tcPr>
            <w:tcW w:w="2129" w:type="dxa"/>
            <w:noWrap w:val="0"/>
            <w:vAlign w:val="center"/>
          </w:tcPr>
          <w:p w14:paraId="787FC476">
            <w:pPr>
              <w:pStyle w:val="13"/>
              <w:wordWrap w:val="0"/>
              <w:spacing w:line="340" w:lineRule="exact"/>
              <w:jc w:val="both"/>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rPr>
              <w:t>2</w:t>
            </w:r>
            <w:r>
              <w:rPr>
                <w:rFonts w:hint="default" w:ascii="Times New Roman" w:hAnsi="Times New Roman" w:eastAsia="方正仿宋_GBK" w:cs="Times New Roman"/>
                <w:lang w:val="en-US" w:eastAsia="zh-CN"/>
              </w:rPr>
              <w:t>1</w:t>
            </w:r>
            <w:r>
              <w:rPr>
                <w:rFonts w:hint="default" w:ascii="Times New Roman" w:hAnsi="Times New Roman" w:eastAsia="方正仿宋_GBK" w:cs="Times New Roman"/>
              </w:rPr>
              <w:t>.强力推进安全宣传教育。</w:t>
            </w:r>
          </w:p>
        </w:tc>
        <w:tc>
          <w:tcPr>
            <w:tcW w:w="5509" w:type="dxa"/>
            <w:noWrap w:val="0"/>
            <w:vAlign w:val="center"/>
          </w:tcPr>
          <w:p w14:paraId="0363E5C8">
            <w:pPr>
              <w:spacing w:line="340" w:lineRule="exact"/>
              <w:rPr>
                <w:rFonts w:hint="default" w:ascii="Times New Roman" w:hAnsi="Times New Roman" w:cs="Times New Roman" w:eastAsiaTheme="minorEastAsia"/>
                <w:kern w:val="2"/>
                <w:sz w:val="24"/>
                <w:szCs w:val="24"/>
                <w:lang w:val="en-US" w:eastAsia="zh-CN" w:bidi="ar-SA"/>
              </w:rPr>
            </w:pPr>
            <w:r>
              <w:rPr>
                <w:rFonts w:hint="default" w:ascii="Times New Roman" w:hAnsi="Times New Roman" w:eastAsia="方正仿宋_GBK" w:cs="Times New Roman"/>
                <w:kern w:val="0"/>
                <w:sz w:val="24"/>
                <w:szCs w:val="22"/>
                <w:lang w:val="en-US" w:eastAsia="zh-CN" w:bidi="ar-SA"/>
              </w:rPr>
              <w:t>开展电力、城镇燃气等安全知识“五进”宣传活动。</w:t>
            </w:r>
          </w:p>
        </w:tc>
        <w:tc>
          <w:tcPr>
            <w:tcW w:w="1635" w:type="dxa"/>
            <w:noWrap w:val="0"/>
            <w:vAlign w:val="center"/>
          </w:tcPr>
          <w:p w14:paraId="37C7D0BF">
            <w:pPr>
              <w:pStyle w:val="13"/>
              <w:wordWrap w:val="0"/>
              <w:spacing w:line="340" w:lineRule="exact"/>
              <w:jc w:val="center"/>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lang w:val="en-US" w:eastAsia="zh-CN"/>
              </w:rPr>
              <w:t>长期坚持</w:t>
            </w:r>
          </w:p>
        </w:tc>
        <w:tc>
          <w:tcPr>
            <w:tcW w:w="2927" w:type="dxa"/>
            <w:noWrap w:val="0"/>
            <w:vAlign w:val="center"/>
          </w:tcPr>
          <w:p w14:paraId="60AD69BD">
            <w:pPr>
              <w:pStyle w:val="13"/>
              <w:wordWrap w:val="0"/>
              <w:spacing w:line="340" w:lineRule="exact"/>
              <w:rPr>
                <w:rFonts w:hint="default" w:ascii="Times New Roman" w:hAnsi="Times New Roman" w:eastAsia="方正仿宋_GBK" w:cs="Times New Roman"/>
                <w:kern w:val="0"/>
                <w:sz w:val="24"/>
                <w:szCs w:val="22"/>
                <w:lang w:val="en-US" w:eastAsia="zh-CN" w:bidi="ar-SA"/>
              </w:rPr>
            </w:pPr>
            <w:r>
              <w:rPr>
                <w:rFonts w:hint="default" w:ascii="Times New Roman" w:hAnsi="Times New Roman" w:eastAsia="方正仿宋_GBK" w:cs="Times New Roman"/>
                <w:lang w:val="en-US" w:eastAsia="zh-CN"/>
              </w:rPr>
              <w:t>供电企业、民生天然气、液化气充装站、瓶装供应点等</w:t>
            </w:r>
          </w:p>
        </w:tc>
      </w:tr>
    </w:tbl>
    <w:p w14:paraId="1210DBA9">
      <w:pPr>
        <w:pStyle w:val="2"/>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备注：各企业指电力、民爆、城镇燃气、通讯、投资备案企业、职责范围内的规上工业企业</w:t>
      </w:r>
    </w:p>
    <w:p w14:paraId="362298E0">
      <w:pPr>
        <w:rPr>
          <w:rFonts w:hint="default" w:ascii="Times New Roman" w:hAnsi="Times New Roman" w:cs="Times New Roman"/>
          <w:lang w:val="en-US" w:eastAsia="zh-CN"/>
        </w:rPr>
      </w:pPr>
    </w:p>
    <w:p w14:paraId="538B7404">
      <w:pPr>
        <w:rPr>
          <w:rFonts w:hint="default" w:ascii="Times New Roman" w:hAnsi="Times New Roman" w:eastAsia="方正仿宋_GBK" w:cs="Times New Roman"/>
          <w:sz w:val="32"/>
          <w:szCs w:val="32"/>
        </w:rPr>
      </w:pPr>
    </w:p>
    <w:p w14:paraId="0FCA7FF9">
      <w:pPr>
        <w:tabs>
          <w:tab w:val="left" w:pos="3630"/>
        </w:tabs>
        <w:rPr>
          <w:rFonts w:hint="default" w:ascii="Times New Roman" w:hAnsi="Times New Roman" w:eastAsia="方正仿宋_GBK" w:cs="Times New Roman"/>
          <w:sz w:val="32"/>
          <w:szCs w:val="32"/>
        </w:rPr>
      </w:pPr>
    </w:p>
    <w:p w14:paraId="2C380A30">
      <w:pPr>
        <w:pStyle w:val="2"/>
        <w:jc w:val="both"/>
        <w:rPr>
          <w:rFonts w:hint="default" w:ascii="Times New Roman" w:hAnsi="Times New Roman" w:cs="Times New Roman"/>
        </w:rPr>
      </w:pPr>
    </w:p>
    <w:p w14:paraId="2CCF83C0">
      <w:pPr>
        <w:pStyle w:val="23"/>
        <w:ind w:left="0" w:leftChars="0" w:firstLine="0" w:firstLineChars="0"/>
        <w:rPr>
          <w:rFonts w:hint="default" w:ascii="Times New Roman" w:hAnsi="Times New Roman" w:cs="Times New Roman"/>
          <w:lang w:eastAsia="zh-CN"/>
        </w:rPr>
      </w:pPr>
    </w:p>
    <w:sectPr>
      <w:pgSz w:w="16838" w:h="11906" w:orient="landscape"/>
      <w:pgMar w:top="1689" w:right="1270" w:bottom="1689" w:left="127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2CB9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C32159">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31C32159">
                    <w:pPr>
                      <w:pStyle w:val="8"/>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OTY1NTY3NmI1Y2NlZjI2NTI1NWQ4ZGI0MmUxM2MifQ=="/>
  </w:docVars>
  <w:rsids>
    <w:rsidRoot w:val="28CC4AD6"/>
    <w:rsid w:val="001F5E77"/>
    <w:rsid w:val="004E4AD3"/>
    <w:rsid w:val="005B6D1B"/>
    <w:rsid w:val="00945A6B"/>
    <w:rsid w:val="00E80EAB"/>
    <w:rsid w:val="00EC7872"/>
    <w:rsid w:val="0220547E"/>
    <w:rsid w:val="02BD2EA4"/>
    <w:rsid w:val="02E06167"/>
    <w:rsid w:val="04156076"/>
    <w:rsid w:val="04C638CF"/>
    <w:rsid w:val="053D1AC9"/>
    <w:rsid w:val="056E4B0E"/>
    <w:rsid w:val="05967FE9"/>
    <w:rsid w:val="06380AFE"/>
    <w:rsid w:val="08893442"/>
    <w:rsid w:val="08996DBA"/>
    <w:rsid w:val="0922092D"/>
    <w:rsid w:val="0A884ADB"/>
    <w:rsid w:val="0C3949AC"/>
    <w:rsid w:val="0DC716B8"/>
    <w:rsid w:val="0DD337EF"/>
    <w:rsid w:val="0FD83B49"/>
    <w:rsid w:val="10085B1C"/>
    <w:rsid w:val="107B505C"/>
    <w:rsid w:val="10F20DDB"/>
    <w:rsid w:val="11BA4A50"/>
    <w:rsid w:val="12886E60"/>
    <w:rsid w:val="15037A2F"/>
    <w:rsid w:val="199B6D96"/>
    <w:rsid w:val="1A5C06E5"/>
    <w:rsid w:val="1E5516E7"/>
    <w:rsid w:val="1FA96C3C"/>
    <w:rsid w:val="1FF27754"/>
    <w:rsid w:val="1FF44BB0"/>
    <w:rsid w:val="21440E79"/>
    <w:rsid w:val="23E66964"/>
    <w:rsid w:val="25275C2E"/>
    <w:rsid w:val="28CC4AD6"/>
    <w:rsid w:val="2A134397"/>
    <w:rsid w:val="2BAA34F0"/>
    <w:rsid w:val="2D7E2861"/>
    <w:rsid w:val="2F0F18A6"/>
    <w:rsid w:val="2F120750"/>
    <w:rsid w:val="325E4F99"/>
    <w:rsid w:val="32AF0D4B"/>
    <w:rsid w:val="332126F9"/>
    <w:rsid w:val="33FC7A56"/>
    <w:rsid w:val="399107E1"/>
    <w:rsid w:val="3AD41C51"/>
    <w:rsid w:val="3B026924"/>
    <w:rsid w:val="3F842750"/>
    <w:rsid w:val="3FE01E08"/>
    <w:rsid w:val="409076AB"/>
    <w:rsid w:val="42C33681"/>
    <w:rsid w:val="45884B7B"/>
    <w:rsid w:val="4769672E"/>
    <w:rsid w:val="4C0129D7"/>
    <w:rsid w:val="4C994D38"/>
    <w:rsid w:val="4CF745FD"/>
    <w:rsid w:val="4D504C76"/>
    <w:rsid w:val="4D6D7FB1"/>
    <w:rsid w:val="4E3B30EA"/>
    <w:rsid w:val="502E5555"/>
    <w:rsid w:val="506B3A6F"/>
    <w:rsid w:val="523837B6"/>
    <w:rsid w:val="52CC1E48"/>
    <w:rsid w:val="549474DF"/>
    <w:rsid w:val="556A4D15"/>
    <w:rsid w:val="569F706D"/>
    <w:rsid w:val="57F94C56"/>
    <w:rsid w:val="597948E4"/>
    <w:rsid w:val="5C133181"/>
    <w:rsid w:val="5D6D20F8"/>
    <w:rsid w:val="5E616E3A"/>
    <w:rsid w:val="5E624F52"/>
    <w:rsid w:val="5E763B20"/>
    <w:rsid w:val="5F4C3312"/>
    <w:rsid w:val="606522B3"/>
    <w:rsid w:val="63990396"/>
    <w:rsid w:val="646C40CD"/>
    <w:rsid w:val="674F4790"/>
    <w:rsid w:val="67527A92"/>
    <w:rsid w:val="68E80BF1"/>
    <w:rsid w:val="6ACD4147"/>
    <w:rsid w:val="6B5F771F"/>
    <w:rsid w:val="6B8303F3"/>
    <w:rsid w:val="6BD0630B"/>
    <w:rsid w:val="6C411B68"/>
    <w:rsid w:val="6D842836"/>
    <w:rsid w:val="6E181D71"/>
    <w:rsid w:val="6FCD7A7D"/>
    <w:rsid w:val="708C4BE3"/>
    <w:rsid w:val="71DB1135"/>
    <w:rsid w:val="72BA00C5"/>
    <w:rsid w:val="73335C5D"/>
    <w:rsid w:val="734417A6"/>
    <w:rsid w:val="74A774F0"/>
    <w:rsid w:val="74F61C32"/>
    <w:rsid w:val="76C919A5"/>
    <w:rsid w:val="77CC6D51"/>
    <w:rsid w:val="78DA340B"/>
    <w:rsid w:val="79235F12"/>
    <w:rsid w:val="7CE0415E"/>
    <w:rsid w:val="7F0864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60" w:lineRule="atLeast"/>
      <w:ind w:firstLine="0" w:firstLineChars="0"/>
      <w:jc w:val="center"/>
      <w:outlineLvl w:val="0"/>
    </w:pPr>
    <w:rPr>
      <w:rFonts w:ascii="Times New Roman" w:hAnsi="Times New Roman" w:eastAsia="方正小标宋_GBK"/>
      <w:bCs/>
      <w:kern w:val="44"/>
      <w:sz w:val="44"/>
      <w:szCs w:val="44"/>
    </w:rPr>
  </w:style>
  <w:style w:type="paragraph" w:styleId="3">
    <w:name w:val="heading 3"/>
    <w:basedOn w:val="1"/>
    <w:next w:val="1"/>
    <w:link w:val="27"/>
    <w:unhideWhenUsed/>
    <w:qFormat/>
    <w:uiPriority w:val="0"/>
    <w:pPr>
      <w:spacing w:beforeAutospacing="1" w:afterAutospacing="1"/>
      <w:jc w:val="left"/>
      <w:outlineLvl w:val="2"/>
    </w:pPr>
    <w:rPr>
      <w:rFonts w:hint="eastAsia" w:ascii="宋体" w:hAnsi="宋体"/>
      <w:kern w:val="0"/>
      <w:sz w:val="27"/>
      <w:szCs w:val="27"/>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style>
  <w:style w:type="paragraph" w:styleId="5">
    <w:name w:val="Body Text"/>
    <w:basedOn w:val="1"/>
    <w:next w:val="1"/>
    <w:qFormat/>
    <w:uiPriority w:val="0"/>
    <w:pPr>
      <w:spacing w:after="120"/>
    </w:pPr>
    <w:rPr>
      <w:rFonts w:ascii="Calibri" w:hAnsi="Calibri" w:eastAsia="方正仿宋_GBK"/>
      <w:kern w:val="0"/>
      <w:sz w:val="32"/>
    </w:rPr>
  </w:style>
  <w:style w:type="paragraph" w:styleId="6">
    <w:name w:val="toc 5"/>
    <w:basedOn w:val="1"/>
    <w:next w:val="1"/>
    <w:qFormat/>
    <w:uiPriority w:val="0"/>
    <w:pPr>
      <w:ind w:left="800" w:leftChars="800"/>
    </w:pPr>
    <w:rPr>
      <w:sz w:val="32"/>
    </w:rPr>
  </w:style>
  <w:style w:type="paragraph" w:styleId="7">
    <w:name w:val="Balloon Text"/>
    <w:basedOn w:val="1"/>
    <w:link w:val="24"/>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widowControl/>
      <w:spacing w:after="100" w:line="259" w:lineRule="auto"/>
      <w:jc w:val="left"/>
    </w:pPr>
    <w:rPr>
      <w:rFonts w:ascii="方正仿宋_GBK" w:hAnsi="Calibri" w:eastAsia="方正仿宋_GBK" w:cs="Times New Roman"/>
      <w:b/>
      <w:kern w:val="0"/>
      <w:sz w:val="32"/>
      <w:szCs w:val="32"/>
      <w:lang w:val="en-US" w:eastAsia="zh-CN" w:bidi="ar-SA"/>
    </w:rPr>
  </w:style>
  <w:style w:type="paragraph" w:styleId="12">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14">
    <w:name w:val="Normal (Web)"/>
    <w:basedOn w:val="1"/>
    <w:qFormat/>
    <w:uiPriority w:val="0"/>
    <w:pPr>
      <w:spacing w:beforeAutospacing="1" w:afterAutospacing="1"/>
      <w:jc w:val="left"/>
    </w:pPr>
    <w:rPr>
      <w:rFonts w:ascii="Calibri" w:hAnsi="Calibri" w:eastAsia="宋体"/>
      <w:kern w:val="0"/>
      <w:sz w:val="24"/>
    </w:rPr>
  </w:style>
  <w:style w:type="paragraph" w:styleId="15">
    <w:name w:val="Body Text First Indent"/>
    <w:basedOn w:val="5"/>
    <w:qFormat/>
    <w:uiPriority w:val="0"/>
    <w:pPr>
      <w:ind w:firstLine="420" w:firstLineChars="100"/>
    </w:pPr>
  </w:style>
  <w:style w:type="table" w:styleId="17">
    <w:name w:val="Table Grid"/>
    <w:basedOn w:val="16"/>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0"/>
    <w:rPr>
      <w:b/>
    </w:rPr>
  </w:style>
  <w:style w:type="character" w:styleId="20">
    <w:name w:val="page number"/>
    <w:basedOn w:val="18"/>
    <w:qFormat/>
    <w:uiPriority w:val="0"/>
  </w:style>
  <w:style w:type="paragraph" w:customStyle="1" w:styleId="21">
    <w:name w:val="默认"/>
    <w:qFormat/>
    <w:uiPriority w:val="0"/>
    <w:rPr>
      <w:rFonts w:ascii="Helvetica" w:hAnsi="Helvetica" w:eastAsia="Helvetica" w:cs="Helvetica"/>
      <w:color w:val="000000"/>
      <w:sz w:val="22"/>
      <w:szCs w:val="22"/>
      <w:lang w:val="en-US" w:eastAsia="zh-CN" w:bidi="ar-SA"/>
    </w:rPr>
  </w:style>
  <w:style w:type="paragraph" w:customStyle="1" w:styleId="22">
    <w:name w:val="Default"/>
    <w:next w:val="1"/>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3">
    <w:name w:val="UserStyle_0"/>
    <w:basedOn w:val="1"/>
    <w:qFormat/>
    <w:uiPriority w:val="0"/>
    <w:pPr>
      <w:ind w:firstLine="200" w:firstLineChars="200"/>
    </w:pPr>
    <w:rPr>
      <w:rFonts w:ascii="Calibri" w:hAnsi="Calibri" w:eastAsia="宋体" w:cs="Times New Roman"/>
      <w:color w:val="000000"/>
      <w:szCs w:val="21"/>
    </w:rPr>
  </w:style>
  <w:style w:type="character" w:customStyle="1" w:styleId="24">
    <w:name w:val="批注框文本 Char"/>
    <w:link w:val="7"/>
    <w:qFormat/>
    <w:uiPriority w:val="0"/>
    <w:rPr>
      <w:rFonts w:ascii="Calibri" w:hAnsi="Calibri"/>
      <w:kern w:val="2"/>
      <w:sz w:val="18"/>
      <w:szCs w:val="18"/>
    </w:rPr>
  </w:style>
  <w:style w:type="character" w:customStyle="1" w:styleId="25">
    <w:name w:val="NormalCharacter"/>
    <w:link w:val="26"/>
    <w:semiHidden/>
    <w:qFormat/>
    <w:uiPriority w:val="0"/>
    <w:rPr>
      <w:kern w:val="0"/>
      <w:sz w:val="20"/>
      <w:szCs w:val="20"/>
    </w:rPr>
  </w:style>
  <w:style w:type="paragraph" w:customStyle="1" w:styleId="26">
    <w:name w:val="UserStyle_32"/>
    <w:basedOn w:val="1"/>
    <w:link w:val="25"/>
    <w:qFormat/>
    <w:uiPriority w:val="0"/>
    <w:pPr>
      <w:spacing w:after="160" w:line="240" w:lineRule="exact"/>
      <w:jc w:val="left"/>
    </w:pPr>
    <w:rPr>
      <w:kern w:val="0"/>
      <w:sz w:val="20"/>
      <w:szCs w:val="20"/>
    </w:rPr>
  </w:style>
  <w:style w:type="character" w:customStyle="1" w:styleId="27">
    <w:name w:val="标题 3 Char"/>
    <w:link w:val="3"/>
    <w:qFormat/>
    <w:uiPriority w:val="0"/>
    <w:rPr>
      <w:rFonts w:ascii="宋体" w:hAnsi="宋体"/>
      <w:sz w:val="27"/>
      <w:szCs w:val="27"/>
    </w:rPr>
  </w:style>
  <w:style w:type="paragraph" w:customStyle="1" w:styleId="28">
    <w:name w:val="标题 11"/>
    <w:basedOn w:val="1"/>
    <w:next w:val="1"/>
    <w:qFormat/>
    <w:uiPriority w:val="0"/>
    <w:pPr>
      <w:spacing w:before="1" w:after="0"/>
      <w:ind w:left="155" w:firstLine="0"/>
      <w:outlineLvl w:val="0"/>
    </w:pPr>
    <w:rPr>
      <w:rFonts w:ascii="宋体" w:hAnsi="宋体"/>
      <w:sz w:val="32"/>
      <w:szCs w:val="32"/>
    </w:rPr>
  </w:style>
  <w:style w:type="paragraph" w:customStyle="1" w:styleId="29">
    <w:name w:val="列表段落"/>
    <w:basedOn w:val="1"/>
    <w:qFormat/>
    <w:uiPriority w:val="0"/>
    <w:pPr>
      <w:ind w:firstLine="0"/>
    </w:pPr>
    <w:rPr>
      <w:rFonts w:ascii="Calibri" w:hAnsi="Calibri"/>
      <w:szCs w:val="22"/>
    </w:rPr>
  </w:style>
  <w:style w:type="character" w:customStyle="1" w:styleId="30">
    <w:name w:val="Internet 链接"/>
    <w:basedOn w:val="31"/>
    <w:qFormat/>
    <w:uiPriority w:val="0"/>
    <w:rPr>
      <w:color w:val="0000FF"/>
      <w:u w:val="single"/>
    </w:rPr>
  </w:style>
  <w:style w:type="character" w:customStyle="1" w:styleId="31">
    <w:name w:val="默认段落字体1"/>
    <w:qFormat/>
    <w:uiPriority w:val="0"/>
  </w:style>
  <w:style w:type="paragraph" w:customStyle="1" w:styleId="32">
    <w:name w:val="PlainText"/>
    <w:basedOn w:val="1"/>
    <w:qFormat/>
    <w:uiPriority w:val="0"/>
    <w:pPr>
      <w:suppressAutoHyphens/>
      <w:textAlignment w:val="baseline"/>
    </w:pPr>
    <w:rPr>
      <w:rFonts w:ascii="宋体" w:hAnsi="Courier New" w:eastAsia="方正仿宋_GBK"/>
      <w:sz w:val="32"/>
    </w:rPr>
  </w:style>
  <w:style w:type="character" w:customStyle="1" w:styleId="33">
    <w:name w:val="ca-1"/>
    <w:basedOn w:val="18"/>
    <w:qFormat/>
    <w:uiPriority w:val="0"/>
  </w:style>
  <w:style w:type="paragraph" w:customStyle="1" w:styleId="34">
    <w:name w:val="BodyText1I2"/>
    <w:qFormat/>
    <w:uiPriority w:val="0"/>
    <w:pPr>
      <w:widowControl w:val="0"/>
      <w:ind w:left="200" w:leftChars="200" w:firstLine="200" w:firstLineChars="200"/>
      <w:jc w:val="both"/>
    </w:pPr>
    <w:rPr>
      <w:rFonts w:ascii="Calibri" w:hAnsi="Calibri"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5173</Words>
  <Characters>5261</Characters>
  <Lines>3</Lines>
  <Paragraphs>1</Paragraphs>
  <TotalTime>1</TotalTime>
  <ScaleCrop>false</ScaleCrop>
  <LinksUpToDate>false</LinksUpToDate>
  <CharactersWithSpaces>5297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2022-04-12T07:10:00Z</dcterms:created>
  <dc:creator>Administrator</dc:creator>
  <cp:lastModifiedBy>温星星</cp:lastModifiedBy>
  <cp:lastPrinted>2024-03-13T07:20:00Z</cp:lastPrinted>
  <dcterms:modified xsi:type="dcterms:W3CDTF">2025-03-19T06:25:24Z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118817402BA04F7B93B0D4639DBCA90B_13</vt:lpwstr>
  </property>
  <property fmtid="{D5CDD505-2E9C-101B-9397-08002B2CF9AE}" pid="4" name="KSOTemplateDocerSaveRecord">
    <vt:lpwstr>eyJoZGlkIjoiZDRlMTI0ZmZkNWVkNDk2ZTg4NWYwOTQyMjQxMmY4NGEiLCJ1c2VySWQiOiIxMzIzODcwMDMzIn0=</vt:lpwstr>
  </property>
</Properties>
</file>