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重庆市酉阳土家族苗族自治县规划和自然资源局桃花源所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酉阳土家族苗族自治县规划和自然资源局桃花源所为县规划和自然资源局管理的副科级公益一类财政全额拨款法人事业单位，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收、支与2023年度相比，减少249.57万元，下降85.7%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default" w:ascii="Times New Roman" w:hAnsi="Times New Roman" w:eastAsia="方正仿宋_GBK"/>
          <w:sz w:val="32"/>
          <w:szCs w:val="32"/>
          <w:shd w:val="clear" w:color="auto" w:fill="FFFFFF"/>
        </w:rPr>
        <w:t>收、支</w:t>
      </w:r>
      <w:r>
        <w:rPr>
          <w:rFonts w:hint="eastAsia" w:ascii="Times New Roman" w:hAnsi="Times New Roman" w:eastAsia="方正仿宋_GBK"/>
          <w:sz w:val="32"/>
          <w:szCs w:val="32"/>
          <w:shd w:val="clear" w:color="auto" w:fill="FFFFFF"/>
          <w:lang w:val="en-US" w:eastAsia="zh-CN"/>
        </w:rPr>
        <w:t>减少。</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与2023年度相比，减少249.57万元，下降85.7%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default" w:ascii="Times New Roman" w:hAnsi="Times New Roman" w:eastAsia="方正仿宋_GBK"/>
          <w:sz w:val="32"/>
          <w:szCs w:val="32"/>
          <w:shd w:val="clear" w:color="auto" w:fill="FFFFFF"/>
        </w:rPr>
        <w:t>收</w:t>
      </w:r>
      <w:r>
        <w:rPr>
          <w:rFonts w:hint="eastAsia" w:ascii="Times New Roman" w:hAnsi="Times New Roman" w:eastAsia="方正仿宋_GBK"/>
          <w:sz w:val="32"/>
          <w:szCs w:val="32"/>
          <w:shd w:val="clear" w:color="auto" w:fill="FFFFFF"/>
          <w:lang w:val="en-US" w:eastAsia="zh-CN"/>
        </w:rPr>
        <w:t>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与2023年度相比，减少249.57万元，下降85.7%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default" w:ascii="Times New Roman" w:hAnsi="Times New Roman" w:eastAsia="方正仿宋_GBK"/>
          <w:sz w:val="32"/>
          <w:szCs w:val="32"/>
          <w:shd w:val="clear" w:color="auto" w:fill="FFFFFF"/>
        </w:rPr>
        <w:t>支</w:t>
      </w:r>
      <w:r>
        <w:rPr>
          <w:rFonts w:hint="eastAsia" w:ascii="Times New Roman" w:hAnsi="Times New Roman" w:eastAsia="方正仿宋_GBK"/>
          <w:sz w:val="32"/>
          <w:szCs w:val="32"/>
          <w:shd w:val="clear" w:color="auto" w:fill="FFFFFF"/>
          <w:lang w:val="en-US" w:eastAsia="zh-CN"/>
        </w:rPr>
        <w:t>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财政拨款收、支总计各减少249.57万元，下降85.7%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default" w:ascii="Times New Roman" w:hAnsi="Times New Roman" w:eastAsia="方正仿宋_GBK"/>
          <w:sz w:val="32"/>
          <w:szCs w:val="32"/>
          <w:shd w:val="clear" w:color="auto" w:fill="FFFFFF"/>
        </w:rPr>
        <w:t>收、支</w:t>
      </w:r>
      <w:r>
        <w:rPr>
          <w:rFonts w:hint="eastAsia" w:ascii="Times New Roman" w:hAnsi="Times New Roman" w:eastAsia="方正仿宋_GBK"/>
          <w:sz w:val="32"/>
          <w:szCs w:val="32"/>
          <w:shd w:val="clear" w:color="auto" w:fill="FFFFFF"/>
          <w:lang w:val="en-US" w:eastAsia="zh-CN"/>
        </w:rPr>
        <w:t>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与2023年度相比，减少249.57万元，下降85.7%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default" w:ascii="Times New Roman" w:hAnsi="Times New Roman" w:eastAsia="方正仿宋_GBK"/>
          <w:sz w:val="32"/>
          <w:szCs w:val="32"/>
          <w:shd w:val="clear" w:color="auto" w:fill="FFFFFF"/>
        </w:rPr>
        <w:t>收</w:t>
      </w:r>
      <w:r>
        <w:rPr>
          <w:rFonts w:hint="eastAsia" w:ascii="Times New Roman" w:hAnsi="Times New Roman" w:eastAsia="方正仿宋_GBK"/>
          <w:sz w:val="32"/>
          <w:szCs w:val="32"/>
          <w:shd w:val="clear" w:color="auto" w:fill="FFFFFF"/>
          <w:lang w:val="en-US" w:eastAsia="zh-CN"/>
        </w:rPr>
        <w:t>入减少。</w:t>
      </w:r>
      <w:r>
        <w:rPr>
          <w:rFonts w:hint="default" w:ascii="Times New Roman" w:hAnsi="Times New Roman" w:eastAsia="方正仿宋_GBK"/>
          <w:sz w:val="32"/>
          <w:szCs w:val="32"/>
          <w:shd w:val="clear" w:color="auto" w:fill="FFFFFF"/>
        </w:rPr>
        <w:t>较年初预算数增加3.79万元，增长10.0%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与2023年度相比，减少249.57万元，下降85.7%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eastAsia" w:ascii="Times New Roman" w:hAnsi="Times New Roman" w:eastAsia="方正仿宋_GBK"/>
          <w:sz w:val="32"/>
          <w:szCs w:val="32"/>
          <w:shd w:val="clear" w:color="auto" w:fill="FFFFFF"/>
          <w:lang w:val="en-US" w:eastAsia="zh-CN"/>
        </w:rPr>
        <w:t>支出减少。</w:t>
      </w:r>
      <w:r>
        <w:rPr>
          <w:rFonts w:hint="default" w:ascii="Times New Roman" w:hAnsi="Times New Roman" w:eastAsia="方正仿宋_GBK"/>
          <w:sz w:val="32"/>
          <w:szCs w:val="32"/>
          <w:shd w:val="clear" w:color="auto" w:fill="FFFFFF"/>
        </w:rPr>
        <w:t>较年初预算数增加3.79万元，增长10.0%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较年初预算数增加1.81万元，增长46.5%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较年初预算数增加0.11万元，增长5.8%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因本年度调进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人，人员经费增加，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val="en-US" w:eastAsia="zh-CN"/>
        </w:rPr>
        <w:t>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较年初预算数增加0.14万元，增长7.5%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人，住房公积金支出增加，</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41.74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38.40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与2023年度相比，减少233.41万元，下降85.9%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eastAsia" w:ascii="Times New Roman" w:hAnsi="Times New Roman" w:eastAsia="方正仿宋_GBK"/>
          <w:sz w:val="32"/>
          <w:szCs w:val="32"/>
          <w:shd w:val="clear" w:color="auto" w:fill="FFFFFF"/>
          <w:lang w:val="en-US" w:eastAsia="zh-CN"/>
        </w:rPr>
        <w:t>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与2023年度相比，减少16.16万元，下降82.9%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应人社局要求，在职人员工资晋升人随编走，特把桃花源所展开，按编制将片区16个所分别进行独立预算，故人员减少，</w:t>
      </w:r>
      <w:r>
        <w:rPr>
          <w:rFonts w:hint="eastAsia" w:ascii="Times New Roman" w:hAnsi="Times New Roman" w:eastAsia="方正仿宋_GBK"/>
          <w:sz w:val="32"/>
          <w:szCs w:val="32"/>
          <w:shd w:val="clear" w:color="auto" w:fill="FFFFFF"/>
          <w:lang w:val="en-US" w:eastAsia="zh-CN"/>
        </w:rPr>
        <w:t>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本单位是县规划和自然资源局下属事业单位，与县规资局联合办公，本年度会议费由其他单位支付，故本年度无会议费支出。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本单位是县规划和自然资源局下属事业单位，与县规资局联合办公，部分培训费由本单位支付，上年度由其他单位列支，故培训费</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本单位是县规划和自然资源局下属事业单位，与县规资局联合办公，本年度差旅费由其他单位支付，故本年度无差旅费支出。</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酉阳土家族苗族自治县规划和自然资源局桃花源所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酉阳土家族苗族自治县规划和自然资源局桃花源所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酉阳土家族苗族自治县规划和自然资源局桃花源所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酉阳土家族苗族自治县规划和自然资源局桃花源所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酉阳土家族苗族自治县规划和自然资源局桃花源所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酉阳土家族苗族自治县规划和自然资源局桃花源所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38.40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酉阳土家族苗族自治县规划和自然资源局桃花源所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酉阳土家族苗族自治县规划和自然资源局桃花源所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酉阳土家族苗族自治县规划和自然资源局桃花源所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CC3BEB"/>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F110E3"/>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7B170D"/>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AE2A26"/>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A95234"/>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3046</Words>
  <Characters>3189</Characters>
  <Lines>186</Lines>
  <Paragraphs>52</Paragraphs>
  <TotalTime>0</TotalTime>
  <ScaleCrop>false</ScaleCrop>
  <LinksUpToDate>false</LinksUpToDate>
  <CharactersWithSpaces>3238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