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重庆市酉阳土家族苗族自治县规划和自然资源局兴隆所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2"/>
          <w:szCs w:val="32"/>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酉阳土家族苗族自治县规划和自然资源局兴隆所为县规划和自然资源局管理的副科级公益一类财政全额拨款法人事业单位，</w:t>
      </w:r>
      <w:r>
        <w:rPr>
          <w:rStyle w:val="20"/>
          <w:rFonts w:hint="eastAsia" w:ascii="Times New Roman" w:hAnsi="Times New Roman" w:eastAsia="方正仿宋_GBK" w:cs="Times New Roman"/>
          <w:b w:val="0"/>
          <w:i w:val="0"/>
          <w:caps w:val="0"/>
          <w:spacing w:val="0"/>
          <w:w w:val="100"/>
          <w:kern w:val="2"/>
          <w:sz w:val="32"/>
          <w:szCs w:val="32"/>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收、支与2023年度相比，增加37.47万元，增长100.0%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与2023年度相比，增加37.47万元，增长100.0%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与2023年度相比，增加37.47万元，增长100.0%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财政拨款收、支总计各增加37.47万元，增长100.0%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与2023年度相比，增加37.47万元，增长100.0%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较年初预算数增加3.59万元，增长10.6%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7月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，社会保险费支出增加，社会保障和就业支出增加，且本年度从酉酬所调进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人至本单位，工资福利支出增加，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收入增加。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与2023年度相比，增加37.47万元，增长100.0%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较年初预算数增加3.59万元，增长10.6%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7月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，社会保险费支出增加，社会保障和就业支出增加，且本年度从酉酬所调进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人至本单位，工资福利支出增加，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支出增加。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较年初预算数增加1.34万元，增长41.5%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，且本年度调进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较年初预算数增加0.32万元，增长25.8%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29.55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较年初预算数增加1.70万元，增长6.1%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人，人员经费增加，</w:t>
      </w:r>
      <w:r>
        <w:rPr>
          <w:rFonts w:ascii="方正仿宋_GBK" w:hAnsi="方正仿宋_GBK" w:eastAsia="方正仿宋_GBK" w:cs="方正仿宋_GBK"/>
          <w:sz w:val="32"/>
          <w:szCs w:val="32"/>
        </w:rPr>
        <w:t>自然资源海洋气象等支</w:t>
      </w:r>
      <w:r>
        <w:rPr>
          <w:rFonts w:hint="eastAsia" w:ascii="方正仿宋_GBK" w:hAnsi="方正仿宋_GBK" w:eastAsia="方正仿宋_GBK" w:cs="方正仿宋_GBK"/>
          <w:sz w:val="32"/>
          <w:szCs w:val="32"/>
          <w:lang w:val="en-US" w:eastAsia="zh-CN"/>
        </w:rPr>
        <w:t>出增加。</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较年初预算数增加0.24万元，增长15.4%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本年度调进</w:t>
      </w:r>
      <w:r>
        <w:rPr>
          <w:rFonts w:hint="eastAsia" w:ascii="Times New Roman" w:hAnsi="Times New Roman" w:eastAsia="方正仿宋_GBK" w:cs="Times New Roman"/>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val="en-US" w:eastAsia="zh-CN"/>
        </w:rPr>
        <w:t>人，住房公积金支出增加，</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lang w:val="en-US" w:eastAsia="zh-CN"/>
        </w:rPr>
        <w:t>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37.47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33.86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与2023年度相比，增加33.86万元，增长100.0%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应人社局要求，在职人员工资晋升人随编走，特把片区16个所分别进行独立预算，本单位为本年度新增单位，上年度无决算数据，且本年度调进1人，人员经费增加。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与2023年度相比，增加3.61万元，增长100.0%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bookmarkStart w:id="0" w:name="_GoBack"/>
      <w:bookmarkEnd w:id="0"/>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本单位是县规划和自然资源局下属事业单位，与县规资局联合办公，本年度会议费、培训费、差旅费由其他单位支付，故本年度无会议费、培训费、差旅费支出，且本单位为新增单位，上年度无决算数据。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酉阳土家族苗族自治县规划和自然资源局兴隆所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37.47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酉阳土家族苗族自治县规划和自然资源局兴隆所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37.47</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酉阳土家族苗族自治县规划和自然资源局兴隆所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37.47</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37.47</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酉阳土家族苗族自治县规划和自然资源局兴隆所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酉阳土家族苗族自治县规划和自然资源局兴隆所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37.47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酉阳土家族苗族自治县规划和自然资源局兴隆所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酉阳土家族苗族自治县规划和自然资源局兴隆所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酉阳土家族苗族自治县规划和自然资源局兴隆所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酉阳土家族苗族自治县规划和自然资源局兴隆所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88673C"/>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365875"/>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4496D9C"/>
    <w:rsid w:val="352930DB"/>
    <w:rsid w:val="35573069"/>
    <w:rsid w:val="355F6038"/>
    <w:rsid w:val="358C217E"/>
    <w:rsid w:val="3600792F"/>
    <w:rsid w:val="36C9128A"/>
    <w:rsid w:val="37841E99"/>
    <w:rsid w:val="37BF1123"/>
    <w:rsid w:val="383C3F15"/>
    <w:rsid w:val="38BE4696"/>
    <w:rsid w:val="3939115E"/>
    <w:rsid w:val="39B82A39"/>
    <w:rsid w:val="39C42CA8"/>
    <w:rsid w:val="39DC4FD6"/>
    <w:rsid w:val="39F03D7A"/>
    <w:rsid w:val="39F33306"/>
    <w:rsid w:val="3A2C1C67"/>
    <w:rsid w:val="3A6A77C9"/>
    <w:rsid w:val="3A6F5083"/>
    <w:rsid w:val="3ADD7F09"/>
    <w:rsid w:val="3ADE795A"/>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0631CD"/>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B67D29"/>
    <w:rsid w:val="6A6C7940"/>
    <w:rsid w:val="6A9F1565"/>
    <w:rsid w:val="6AAD2300"/>
    <w:rsid w:val="6B474EF5"/>
    <w:rsid w:val="6BC938E5"/>
    <w:rsid w:val="6C0A5AC5"/>
    <w:rsid w:val="6C560CAE"/>
    <w:rsid w:val="6C576495"/>
    <w:rsid w:val="6D5222A6"/>
    <w:rsid w:val="6D903FF5"/>
    <w:rsid w:val="6DA955B8"/>
    <w:rsid w:val="6DE346AB"/>
    <w:rsid w:val="6DE5391A"/>
    <w:rsid w:val="6EFD1324"/>
    <w:rsid w:val="6F5A53AC"/>
    <w:rsid w:val="6FAC003D"/>
    <w:rsid w:val="6FD926BF"/>
    <w:rsid w:val="6FE55E12"/>
    <w:rsid w:val="6FFB2E76"/>
    <w:rsid w:val="708F6F7F"/>
    <w:rsid w:val="70D94BD3"/>
    <w:rsid w:val="71574775"/>
    <w:rsid w:val="71674A87"/>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6B222F"/>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0</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2025-10-22T02:30:57Z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