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重庆市酉阳土家族苗族自治县土地储备中心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spacing w:line="620" w:lineRule="exact"/>
        <w:ind w:firstLine="660" w:firstLineChars="200"/>
        <w:rPr>
          <w:rFonts w:eastAsia="方正仿宋_GBK"/>
          <w:sz w:val="33"/>
          <w:szCs w:val="33"/>
        </w:rPr>
      </w:pPr>
      <w:r>
        <w:rPr>
          <w:rFonts w:hint="eastAsia" w:hAnsi="方正仿宋_GBK"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1</w:t>
      </w:r>
      <w:r>
        <w:rPr>
          <w:rFonts w:hint="eastAsia" w:hAnsi="方正仿宋_GBK" w:eastAsia="方正仿宋_GBK"/>
          <w:sz w:val="33"/>
          <w:szCs w:val="33"/>
        </w:rPr>
        <w:t>）</w:t>
      </w:r>
      <w:r>
        <w:rPr>
          <w:rFonts w:hint="eastAsia" w:hAnsi="方正仿宋_GBK" w:eastAsia="方正仿宋_GBK"/>
          <w:sz w:val="32"/>
          <w:szCs w:val="32"/>
        </w:rPr>
        <w:t>贯彻执行国家颁发的土地储备、整治及管理相关法律、法规和政策规定，参与拟订全县土地储备有关政策和管理办法。</w:t>
      </w:r>
    </w:p>
    <w:p>
      <w:pPr>
        <w:spacing w:line="620" w:lineRule="exact"/>
        <w:ind w:firstLine="660" w:firstLineChars="200"/>
        <w:rPr>
          <w:rFonts w:hint="eastAsia" w:hAnsi="方正仿宋_GBK" w:eastAsia="方正仿宋_GBK"/>
          <w:sz w:val="32"/>
          <w:szCs w:val="32"/>
        </w:rPr>
      </w:pPr>
      <w:r>
        <w:rPr>
          <w:rFonts w:hint="eastAsia" w:hAnsi="方正仿宋_GBK"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2</w:t>
      </w:r>
      <w:r>
        <w:rPr>
          <w:rFonts w:hint="eastAsia" w:hAnsi="方正仿宋_GBK" w:eastAsia="方正仿宋_GBK"/>
          <w:sz w:val="33"/>
          <w:szCs w:val="33"/>
        </w:rPr>
        <w:t>）</w:t>
      </w:r>
      <w:r>
        <w:rPr>
          <w:rFonts w:hint="eastAsia" w:hAnsi="方正仿宋_GBK" w:eastAsia="方正仿宋_GBK"/>
          <w:sz w:val="32"/>
          <w:szCs w:val="32"/>
        </w:rPr>
        <w:t>负责制定全县土地收购和储备计划工作。</w:t>
      </w:r>
    </w:p>
    <w:p>
      <w:pPr>
        <w:spacing w:line="620" w:lineRule="exact"/>
        <w:ind w:firstLine="660" w:firstLineChars="200"/>
        <w:rPr>
          <w:rFonts w:eastAsia="方正仿宋_GBK"/>
          <w:sz w:val="33"/>
          <w:szCs w:val="33"/>
        </w:rPr>
      </w:pPr>
      <w:r>
        <w:rPr>
          <w:rFonts w:hint="eastAsia" w:hAnsi="方正仿宋_GBK"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3</w:t>
      </w:r>
      <w:r>
        <w:rPr>
          <w:rFonts w:hint="eastAsia" w:hAnsi="方正仿宋_GBK" w:eastAsia="方正仿宋_GBK"/>
          <w:sz w:val="33"/>
          <w:szCs w:val="33"/>
        </w:rPr>
        <w:t>）</w:t>
      </w:r>
      <w:r>
        <w:rPr>
          <w:rFonts w:hint="eastAsia" w:hAnsi="方正仿宋_GBK" w:eastAsia="方正仿宋_GBK"/>
          <w:sz w:val="32"/>
          <w:szCs w:val="32"/>
        </w:rPr>
        <w:t>负责全县土地收购、储备整治工作和承担对储备土地资产出让前的准备工作。</w:t>
      </w:r>
    </w:p>
    <w:p>
      <w:pPr>
        <w:spacing w:line="620" w:lineRule="exact"/>
        <w:ind w:firstLine="660" w:firstLineChars="200"/>
        <w:rPr>
          <w:rFonts w:hint="eastAsia" w:hAnsi="方正仿宋_GBK" w:eastAsia="方正仿宋_GBK"/>
          <w:sz w:val="32"/>
          <w:szCs w:val="32"/>
        </w:rPr>
      </w:pPr>
      <w:r>
        <w:rPr>
          <w:rFonts w:hint="eastAsia" w:hAnsi="方正仿宋_GBK"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4</w:t>
      </w:r>
      <w:r>
        <w:rPr>
          <w:rFonts w:hint="eastAsia" w:hAnsi="方正仿宋_GBK" w:eastAsia="方正仿宋_GBK"/>
          <w:sz w:val="33"/>
          <w:szCs w:val="33"/>
        </w:rPr>
        <w:t>）</w:t>
      </w:r>
      <w:r>
        <w:rPr>
          <w:rFonts w:hint="eastAsia" w:hAnsi="方正仿宋_GBK" w:eastAsia="方正仿宋_GBK"/>
          <w:sz w:val="32"/>
          <w:szCs w:val="32"/>
        </w:rPr>
        <w:t>负责全县土地收购、储备和管理。</w:t>
      </w:r>
    </w:p>
    <w:p>
      <w:pPr>
        <w:spacing w:line="620" w:lineRule="exact"/>
        <w:ind w:firstLine="660" w:firstLineChars="200"/>
        <w:rPr>
          <w:rFonts w:hint="eastAsia" w:hAnsi="方正仿宋_GBK" w:eastAsia="方正仿宋_GBK"/>
          <w:sz w:val="32"/>
          <w:szCs w:val="32"/>
        </w:rPr>
      </w:pPr>
      <w:r>
        <w:rPr>
          <w:rFonts w:hint="eastAsia" w:hAnsi="方正仿宋_GBK"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5</w:t>
      </w:r>
      <w:r>
        <w:rPr>
          <w:rFonts w:hint="eastAsia" w:hAnsi="方正仿宋_GBK" w:eastAsia="方正仿宋_GBK"/>
          <w:sz w:val="33"/>
          <w:szCs w:val="33"/>
        </w:rPr>
        <w:t>）</w:t>
      </w:r>
      <w:r>
        <w:rPr>
          <w:rFonts w:hint="eastAsia" w:hAnsi="方正仿宋_GBK" w:eastAsia="方正仿宋_GBK"/>
          <w:sz w:val="32"/>
          <w:szCs w:val="32"/>
        </w:rPr>
        <w:t>负责全县土地储备信息系统的建立和提供信息服务。</w:t>
      </w:r>
    </w:p>
    <w:p>
      <w:pPr>
        <w:spacing w:line="620" w:lineRule="exact"/>
        <w:ind w:firstLine="660" w:firstLineChars="200"/>
        <w:rPr>
          <w:rFonts w:hint="eastAsia" w:hAnsi="方正仿宋_GBK" w:eastAsia="方正仿宋_GBK"/>
          <w:sz w:val="32"/>
          <w:szCs w:val="32"/>
        </w:rPr>
      </w:pPr>
      <w:r>
        <w:rPr>
          <w:rFonts w:hint="eastAsia" w:hAnsi="方正仿宋_GBK" w:eastAsia="方正仿宋_GBK"/>
          <w:sz w:val="33"/>
          <w:szCs w:val="33"/>
        </w:rPr>
        <w:t>（</w:t>
      </w:r>
      <w:r>
        <w:rPr>
          <w:rFonts w:hint="eastAsia" w:ascii="Times New Roman" w:hAnsi="Times New Roman" w:eastAsia="方正仿宋_GBK" w:cs="Times New Roman"/>
          <w:sz w:val="32"/>
          <w:szCs w:val="32"/>
          <w:shd w:val="clear" w:color="auto" w:fill="FFFFFF"/>
          <w:lang w:val="en-US" w:eastAsia="zh-CN" w:bidi="ar-SA"/>
        </w:rPr>
        <w:t>6</w:t>
      </w:r>
      <w:r>
        <w:rPr>
          <w:rFonts w:hint="eastAsia" w:hAnsi="方正仿宋_GBK" w:eastAsia="方正仿宋_GBK"/>
          <w:sz w:val="33"/>
          <w:szCs w:val="33"/>
        </w:rPr>
        <w:t>）</w:t>
      </w:r>
      <w:r>
        <w:rPr>
          <w:rFonts w:hint="eastAsia" w:hAnsi="方正仿宋_GBK" w:eastAsia="方正仿宋_GBK"/>
          <w:sz w:val="32"/>
          <w:szCs w:val="32"/>
        </w:rPr>
        <w:t>承担全县土地储备政策研究、技术培训、技术交流与合作及土地储备有关文献资料的编辑、土地储备工作的宣传及经验推广。</w:t>
      </w:r>
    </w:p>
    <w:p>
      <w:pPr>
        <w:pStyle w:val="9"/>
        <w:snapToGrid w:val="0"/>
        <w:spacing w:before="0" w:beforeAutospacing="0" w:after="0" w:afterAutospacing="0" w:line="596" w:lineRule="exact"/>
        <w:ind w:firstLine="660" w:firstLineChars="200"/>
        <w:jc w:val="both"/>
        <w:rPr>
          <w:rFonts w:hint="default" w:ascii="宋体" w:hAnsi="方正仿宋_GBK" w:eastAsia="方正仿宋_GBK" w:cs="Times New Roman"/>
          <w:sz w:val="32"/>
          <w:szCs w:val="32"/>
          <w:lang w:val="en-US" w:eastAsia="zh-CN" w:bidi="ar-SA"/>
        </w:rPr>
      </w:pPr>
      <w:r>
        <w:rPr>
          <w:rFonts w:hint="eastAsia" w:hAnsi="方正仿宋_GBK" w:eastAsia="方正仿宋_GBK"/>
          <w:sz w:val="33"/>
          <w:szCs w:val="33"/>
        </w:rPr>
        <w:t>（</w:t>
      </w:r>
      <w:r>
        <w:rPr>
          <w:rFonts w:hint="eastAsia" w:ascii="Times New Roman" w:hAnsi="Times New Roman" w:eastAsia="方正仿宋_GBK"/>
          <w:sz w:val="32"/>
          <w:szCs w:val="32"/>
          <w:shd w:val="clear" w:color="auto" w:fill="FFFFFF"/>
          <w:lang w:val="en-US" w:eastAsia="zh-CN"/>
        </w:rPr>
        <w:t>7</w:t>
      </w:r>
      <w:r>
        <w:rPr>
          <w:rFonts w:hint="eastAsia" w:hAnsi="方正仿宋_GBK" w:eastAsia="方正仿宋_GBK"/>
          <w:sz w:val="33"/>
          <w:szCs w:val="33"/>
        </w:rPr>
        <w:t>）</w:t>
      </w:r>
      <w:r>
        <w:rPr>
          <w:rFonts w:hint="eastAsia" w:ascii="宋体" w:hAnsi="方正仿宋_GBK" w:eastAsia="方正仿宋_GBK" w:cs="Times New Roman"/>
          <w:sz w:val="32"/>
          <w:szCs w:val="32"/>
          <w:lang w:val="en-US" w:eastAsia="zh-CN" w:bidi="ar-SA"/>
        </w:rPr>
        <w:t>承办县委、县政府和行政主管部门交办的其他事项。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Fonts w:hint="default" w:ascii="宋体" w:hAnsi="方正仿宋_GBK" w:eastAsia="方正仿宋_GBK" w:cs="Times New Roman"/>
          <w:sz w:val="32"/>
          <w:szCs w:val="32"/>
          <w:lang w:val="en-US" w:eastAsia="zh-CN" w:bidi="ar-SA"/>
        </w:rPr>
      </w:pPr>
      <w:r>
        <w:rPr>
          <w:rFonts w:hint="eastAsia" w:ascii="宋体" w:hAnsi="方正仿宋_GBK" w:eastAsia="方正仿宋_GBK" w:cs="Times New Roman"/>
          <w:sz w:val="32"/>
          <w:szCs w:val="32"/>
          <w:lang w:val="en-US" w:eastAsia="zh-CN" w:bidi="ar-SA"/>
        </w:rPr>
        <w:t>酉阳土家族苗族自治县土地储备中心为县规划和自然资源局的副科级公益一类财政全额拨款法人事业单位，</w:t>
      </w:r>
      <w:r>
        <w:rPr>
          <w:rFonts w:hint="eastAsia" w:ascii="Times New Roman" w:hAnsi="Times New Roman" w:eastAsia="方正仿宋_GBK"/>
          <w:sz w:val="32"/>
          <w:szCs w:val="32"/>
          <w:shd w:val="clear" w:color="auto" w:fill="FFFFFF"/>
          <w:lang w:val="en-US" w:eastAsia="zh-CN"/>
        </w:rPr>
        <w:t>2024</w:t>
      </w:r>
      <w:r>
        <w:rPr>
          <w:rFonts w:hint="eastAsia" w:ascii="宋体" w:hAnsi="方正仿宋_GBK" w:eastAsia="方正仿宋_GBK" w:cs="Times New Roman"/>
          <w:sz w:val="32"/>
          <w:szCs w:val="32"/>
          <w:lang w:val="en-US" w:eastAsia="zh-CN" w:bidi="ar-SA"/>
        </w:rPr>
        <w:t>年度实有在职人数</w:t>
      </w:r>
      <w:r>
        <w:rPr>
          <w:rFonts w:hint="eastAsia" w:ascii="Times New Roman" w:hAnsi="Times New Roman" w:eastAsia="方正仿宋_GBK"/>
          <w:sz w:val="32"/>
          <w:szCs w:val="32"/>
          <w:shd w:val="clear" w:color="auto" w:fill="FFFFFF"/>
          <w:lang w:val="en-US" w:eastAsia="zh-CN"/>
        </w:rPr>
        <w:t>9</w:t>
      </w:r>
      <w:r>
        <w:rPr>
          <w:rFonts w:hint="eastAsia" w:ascii="宋体" w:hAnsi="方正仿宋_GBK" w:eastAsia="方正仿宋_GBK" w:cs="Times New Roman"/>
          <w:sz w:val="32"/>
          <w:szCs w:val="32"/>
          <w:lang w:val="en-US" w:eastAsia="zh-CN" w:bidi="ar-SA"/>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宋体" w:hAnsi="方正仿宋_GBK" w:eastAsia="方正仿宋_GBK" w:cs="Times New Roman"/>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收、支与2023年度相比，增加31.03万元，增长26.8%</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人，基本工资等支出增加，人员经费增加，收、支增加。</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与2023年度相比，增加31.03万元，增长26.8%</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与2023年度相比，增加31.03万元，增长26.8%</w:t>
      </w:r>
      <w:r>
        <w:rPr>
          <w:rFonts w:ascii="方正仿宋_GBK" w:hAnsi="方正仿宋_GBK" w:eastAsia="方正仿宋_GBK" w:cs="方正仿宋_GBK"/>
          <w:sz w:val="32"/>
          <w:szCs w:val="32"/>
          <w:shd w:val="clear" w:color="auto" w:fill="FFFFFF"/>
        </w:rPr>
        <w:t>，主要原因是</w:t>
      </w:r>
      <w:r>
        <w:rPr>
          <w:rFonts w:hint="eastAsia" w:ascii="仿宋" w:hAnsi="仿宋" w:eastAsia="仿宋"/>
          <w:sz w:val="30"/>
          <w:szCs w:val="30"/>
        </w:rPr>
        <w:t>本</w:t>
      </w:r>
      <w:r>
        <w:rPr>
          <w:rFonts w:hint="eastAsia" w:ascii="宋体" w:hAnsi="方正仿宋_GBK" w:eastAsia="方正仿宋_GBK" w:cs="Times New Roman"/>
          <w:sz w:val="32"/>
          <w:szCs w:val="32"/>
          <w:lang w:val="en-US" w:eastAsia="zh-CN" w:bidi="ar-SA"/>
        </w:rPr>
        <w:t>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人，基本工资等支出增加，人员经费增加，支出增加。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宋体" w:hAnsi="方正仿宋_GBK" w:eastAsia="方正仿宋_GBK" w:cs="Times New Roman"/>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财政拨款收、支总计各增加31.03万元，增长26.8%</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人，基本工资等支出增加，人员经费增加，收、支增加。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与2023年度相比，增加31.03万元，增长26.8%</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仿宋" w:hAnsi="仿宋" w:eastAsia="仿宋"/>
          <w:sz w:val="30"/>
          <w:szCs w:val="30"/>
          <w:lang w:val="en-US" w:eastAsia="zh-CN"/>
        </w:rPr>
        <w:t>1</w:t>
      </w:r>
      <w:r>
        <w:rPr>
          <w:rFonts w:hint="eastAsia" w:ascii="宋体" w:hAnsi="方正仿宋_GBK" w:eastAsia="方正仿宋_GBK" w:cs="Times New Roman"/>
          <w:sz w:val="32"/>
          <w:szCs w:val="32"/>
          <w:lang w:val="en-US" w:eastAsia="zh-CN" w:bidi="ar-SA"/>
        </w:rPr>
        <w:t>人，调进</w:t>
      </w:r>
      <w:r>
        <w:rPr>
          <w:rFonts w:hint="eastAsia" w:ascii="仿宋" w:hAnsi="仿宋" w:eastAsia="仿宋"/>
          <w:sz w:val="30"/>
          <w:szCs w:val="30"/>
          <w:lang w:val="en-US" w:eastAsia="zh-CN"/>
        </w:rPr>
        <w:t>1</w:t>
      </w:r>
      <w:r>
        <w:rPr>
          <w:rFonts w:hint="eastAsia" w:ascii="宋体" w:hAnsi="方正仿宋_GBK" w:eastAsia="方正仿宋_GBK" w:cs="Times New Roman"/>
          <w:sz w:val="32"/>
          <w:szCs w:val="32"/>
          <w:lang w:val="en-US" w:eastAsia="zh-CN" w:bidi="ar-SA"/>
        </w:rPr>
        <w:t>人，基本工资等支出增加，人员经费增加，收入增加。</w:t>
      </w:r>
      <w:r>
        <w:rPr>
          <w:rFonts w:hint="default" w:ascii="Times New Roman" w:hAnsi="Times New Roman" w:eastAsia="方正仿宋_GBK"/>
          <w:sz w:val="32"/>
          <w:szCs w:val="32"/>
          <w:shd w:val="clear" w:color="auto" w:fill="FFFFFF"/>
        </w:rPr>
        <w:t>较年初预算数增加18.67万元，增长14.6%</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人，基本工资等支出增加，人员经费增加，而年初未做预算，故较年初预算数</w:t>
      </w:r>
      <w:r>
        <w:rPr>
          <w:rFonts w:hint="default" w:ascii="Times New Roman" w:hAnsi="Times New Roman" w:eastAsia="方正仿宋_GBK"/>
          <w:sz w:val="32"/>
          <w:szCs w:val="32"/>
          <w:shd w:val="clear" w:color="auto" w:fill="FFFFFF"/>
        </w:rPr>
        <w:t>增长14.6%</w:t>
      </w:r>
      <w:r>
        <w:rPr>
          <w:rFonts w:hint="eastAsia" w:ascii="仿宋" w:hAnsi="仿宋" w:eastAsia="仿宋"/>
          <w:sz w:val="30"/>
          <w:szCs w:val="30"/>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与2023年度相比，增加31.03万元，增长26.8%</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人，基本工资等支出增加，人员经费增加，支出增加。</w:t>
      </w:r>
      <w:r>
        <w:rPr>
          <w:rFonts w:hint="default" w:ascii="Times New Roman" w:hAnsi="Times New Roman" w:eastAsia="方正仿宋_GBK"/>
          <w:sz w:val="32"/>
          <w:szCs w:val="32"/>
          <w:shd w:val="clear" w:color="auto" w:fill="FFFFFF"/>
        </w:rPr>
        <w:t>较年初预算数增加18.67万元，增长14.6%</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人，基本工资等支出增加，人员经费增加，而年初未做预算，故较年初预算数</w:t>
      </w:r>
      <w:r>
        <w:rPr>
          <w:rFonts w:hint="default" w:ascii="Times New Roman" w:hAnsi="Times New Roman" w:eastAsia="方正仿宋_GBK"/>
          <w:sz w:val="32"/>
          <w:szCs w:val="32"/>
          <w:shd w:val="clear" w:color="auto" w:fill="FFFFFF"/>
        </w:rPr>
        <w:t>增长</w:t>
      </w:r>
      <w:r>
        <w:rPr>
          <w:rFonts w:hint="default" w:ascii="Times New Roman" w:hAnsi="Times New Roman" w:eastAsia="方正仿宋_GBK"/>
          <w:sz w:val="32"/>
          <w:szCs w:val="32"/>
          <w:shd w:val="clear" w:color="auto" w:fill="FFFFFF"/>
          <w:lang w:val="en-US" w:eastAsia="zh-CN"/>
        </w:rPr>
        <w:t>14.6</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宋体" w:hAnsi="方正仿宋_GBK" w:eastAsia="方正仿宋_GBK" w:cs="Times New Roman"/>
          <w:sz w:val="32"/>
          <w:szCs w:val="32"/>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较年初预算数增加6.92万元，增长53.6%</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人，社会保险费支出增加，社会保障和就业支出增加。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较年初预算数增加0.36万元，增长5.6%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宋体" w:hAnsi="方正仿宋_GBK" w:eastAsia="方正仿宋_GBK" w:cs="Times New Roman"/>
          <w:sz w:val="32"/>
          <w:szCs w:val="32"/>
          <w:lang w:val="en-US" w:eastAsia="zh-CN" w:bidi="ar-SA"/>
        </w:rPr>
        <w:t>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人，医疗保险支出增加，</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113.47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较年初预算数增加10.71万元，增长10.4%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ascii="宋体" w:hAnsi="方正仿宋_GBK" w:eastAsia="方正仿宋_GBK" w:cs="Times New Roman"/>
          <w:sz w:val="32"/>
          <w:szCs w:val="32"/>
          <w:lang w:val="en-US" w:eastAsia="zh-CN" w:bidi="ar-SA"/>
        </w:rPr>
        <w:t>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w:t>
      </w:r>
      <w:r>
        <w:rPr>
          <w:rFonts w:hint="eastAsia" w:ascii="方正仿宋_GBK" w:hAnsi="方正仿宋_GBK" w:eastAsia="方正仿宋_GBK" w:cs="方正仿宋_GBK"/>
          <w:sz w:val="32"/>
          <w:szCs w:val="32"/>
          <w:shd w:val="clear" w:color="auto" w:fill="FFFFFF"/>
          <w:lang w:val="en-US" w:eastAsia="zh-CN"/>
        </w:rPr>
        <w:t>基本工资及绩效工资等支出增加，同时因决算口径变化，生育保险和工伤保险计入事业运行，故</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较年初预算数增加0.68万元，增长10.9%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w:t>
      </w:r>
      <w:r>
        <w:rPr>
          <w:rFonts w:hint="eastAsia" w:hAnsi="方正仿宋_GBK" w:eastAsia="方正仿宋_GBK"/>
          <w:sz w:val="32"/>
          <w:szCs w:val="32"/>
          <w:lang w:val="en-US" w:eastAsia="zh-CN"/>
        </w:rPr>
        <w:t>新招入</w:t>
      </w:r>
      <w:r>
        <w:rPr>
          <w:rFonts w:hint="eastAsia" w:ascii="Times New Roman" w:hAnsi="Times New Roman" w:eastAsia="方正仿宋_GBK" w:cs="Times New Roman"/>
          <w:sz w:val="32"/>
          <w:szCs w:val="32"/>
          <w:shd w:val="clear" w:color="auto" w:fill="FFFFFF"/>
          <w:lang w:val="en-US" w:eastAsia="zh-CN" w:bidi="ar-SA"/>
        </w:rPr>
        <w:t>1</w:t>
      </w:r>
      <w:r>
        <w:rPr>
          <w:rFonts w:hint="eastAsia" w:hAnsi="方正仿宋_GBK" w:eastAsia="方正仿宋_GBK"/>
          <w:sz w:val="32"/>
          <w:szCs w:val="32"/>
          <w:lang w:val="en-US" w:eastAsia="zh-CN"/>
        </w:rPr>
        <w:t>人，调进</w:t>
      </w:r>
      <w:r>
        <w:rPr>
          <w:rFonts w:hint="eastAsia" w:ascii="Times New Roman" w:hAnsi="Times New Roman" w:eastAsia="方正仿宋_GBK" w:cs="Times New Roman"/>
          <w:sz w:val="32"/>
          <w:szCs w:val="32"/>
          <w:shd w:val="clear" w:color="auto" w:fill="FFFFFF"/>
          <w:lang w:val="en-US" w:eastAsia="zh-CN" w:bidi="ar-SA"/>
        </w:rPr>
        <w:t>1</w:t>
      </w:r>
      <w:r>
        <w:rPr>
          <w:rFonts w:hint="eastAsia" w:hAnsi="方正仿宋_GBK" w:eastAsia="方正仿宋_GBK"/>
          <w:sz w:val="32"/>
          <w:szCs w:val="32"/>
          <w:lang w:val="en-US" w:eastAsia="zh-CN"/>
        </w:rPr>
        <w:t>人，住房公积金支出增加，故</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较</w:t>
      </w:r>
      <w:r>
        <w:rPr>
          <w:rFonts w:hint="default" w:ascii="Times New Roman" w:hAnsi="Times New Roman" w:eastAsia="方正仿宋_GBK"/>
          <w:sz w:val="32"/>
          <w:szCs w:val="32"/>
          <w:shd w:val="clear" w:color="auto" w:fill="FFFFFF"/>
        </w:rPr>
        <w:t>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147.02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132.74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与2023年度相比，增加32.35万元，增长32.2%</w:t>
      </w:r>
      <w:r>
        <w:rPr>
          <w:rFonts w:ascii="方正仿宋_GBK" w:hAnsi="方正仿宋_GBK" w:eastAsia="方正仿宋_GBK" w:cs="方正仿宋_GBK"/>
          <w:sz w:val="32"/>
          <w:szCs w:val="32"/>
          <w:shd w:val="clear" w:color="auto" w:fill="FFFFFF"/>
        </w:rPr>
        <w:t>，主要原因是</w:t>
      </w:r>
      <w:r>
        <w:rPr>
          <w:rFonts w:hint="eastAsia" w:ascii="宋体" w:hAnsi="方正仿宋_GBK" w:eastAsia="方正仿宋_GBK" w:cs="Times New Roman"/>
          <w:sz w:val="32"/>
          <w:szCs w:val="32"/>
          <w:lang w:val="en-US" w:eastAsia="zh-CN" w:bidi="ar-SA"/>
        </w:rPr>
        <w:t>本年度调整养老保险和职业年金基数，将超额绩效纳入缴费基数缴纳养老保险和职业年金，社会保障和就业支出增加，同时新招入</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人，调进</w:t>
      </w:r>
      <w:r>
        <w:rPr>
          <w:rFonts w:hint="eastAsia" w:ascii="Times New Roman" w:hAnsi="Times New Roman" w:eastAsia="方正仿宋_GBK"/>
          <w:sz w:val="32"/>
          <w:szCs w:val="32"/>
          <w:shd w:val="clear" w:color="auto" w:fill="FFFFFF"/>
          <w:lang w:val="en-US" w:eastAsia="zh-CN"/>
        </w:rPr>
        <w:t>1</w:t>
      </w:r>
      <w:r>
        <w:rPr>
          <w:rFonts w:hint="eastAsia" w:ascii="宋体" w:hAnsi="方正仿宋_GBK" w:eastAsia="方正仿宋_GBK" w:cs="Times New Roman"/>
          <w:sz w:val="32"/>
          <w:szCs w:val="32"/>
          <w:lang w:val="en-US" w:eastAsia="zh-CN" w:bidi="ar-SA"/>
        </w:rPr>
        <w:t>人，基本工资等支出增加，人员经费增加。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与2023年度相比，减少1.32万元，下降8.5%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w:t>
      </w:r>
      <w:bookmarkStart w:id="0" w:name="_GoBack"/>
      <w:bookmarkEnd w:id="0"/>
      <w:r>
        <w:rPr>
          <w:rFonts w:hint="default" w:ascii="Times New Roman" w:hAnsi="Times New Roman" w:eastAsia="方正仿宋_GBK"/>
          <w:sz w:val="32"/>
          <w:szCs w:val="32"/>
          <w:shd w:val="clear" w:color="auto" w:fill="FFFFFF"/>
        </w:rPr>
        <w:t>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本单位是县规划和自然资源局下属事业单位，与县规资局联合办公，本年度会议费由其他单位支付，故本年度无会议费。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本单位是县规划和自然资源局下属事业单位，与县规资局联合办公，上年度培训费由其他单位支付，故上年度无培训费，培训</w:t>
      </w:r>
      <w:r>
        <w:rPr>
          <w:rFonts w:ascii="方正仿宋_GBK" w:hAnsi="方正仿宋_GBK" w:eastAsia="方正仿宋_GBK" w:cs="方正仿宋_GBK"/>
          <w:sz w:val="32"/>
          <w:szCs w:val="32"/>
          <w:shd w:val="clear" w:color="auto" w:fill="FFFFFF"/>
        </w:rPr>
        <w:t>费支出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与2023年度相比，增加1.46万元，增长100.0%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本单位是县规划和自然资源局下属事业单位，与县规资局联合办公，差旅费总体支出较上年减少，而因上年度差旅费由其他单位支付，本单位未支付，故上年度无差旅费，差旅费</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增长100.0%</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我单位是酉阳土家族苗族自治县规划和自然资源局下属事业单位，与县规资局联合办公，资产由本级统一核算，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陈丽苹</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酉阳土家族苗族自治县土地储备中心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酉阳土家族苗族自治县土地储备中心</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147.02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147.02</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酉阳土家族苗族自治县土地储备中心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147.02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147.02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酉阳土家族苗族自治县土地储备中心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酉阳土家族苗族自治县土地储备中心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酉阳土家族苗族自治县土地储备中心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132.74</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酉阳土家族苗族自治县土地储备中心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酉阳土家族苗族自治县土地储备中心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酉阳土家族苗族自治县土地储备中心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C2134C"/>
    <w:rsid w:val="03E3214F"/>
    <w:rsid w:val="044C50BA"/>
    <w:rsid w:val="058F34B0"/>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076022"/>
    <w:rsid w:val="0D673E11"/>
    <w:rsid w:val="0D984ECC"/>
    <w:rsid w:val="0DDA54E4"/>
    <w:rsid w:val="0E3A5F83"/>
    <w:rsid w:val="0F836721"/>
    <w:rsid w:val="0FA25D96"/>
    <w:rsid w:val="107B59E5"/>
    <w:rsid w:val="10EC0126"/>
    <w:rsid w:val="10F70B9A"/>
    <w:rsid w:val="111445C7"/>
    <w:rsid w:val="114278C6"/>
    <w:rsid w:val="1158083A"/>
    <w:rsid w:val="11643A4B"/>
    <w:rsid w:val="11ED0F98"/>
    <w:rsid w:val="11F03528"/>
    <w:rsid w:val="12527D3F"/>
    <w:rsid w:val="12C921C4"/>
    <w:rsid w:val="13660BB5"/>
    <w:rsid w:val="13871C70"/>
    <w:rsid w:val="13A71CB4"/>
    <w:rsid w:val="13AF1D43"/>
    <w:rsid w:val="13CE1647"/>
    <w:rsid w:val="13FD55AB"/>
    <w:rsid w:val="14200702"/>
    <w:rsid w:val="14370EA1"/>
    <w:rsid w:val="157C4041"/>
    <w:rsid w:val="163A6CEE"/>
    <w:rsid w:val="173708E3"/>
    <w:rsid w:val="17C374FC"/>
    <w:rsid w:val="17F11DA8"/>
    <w:rsid w:val="182E4AB6"/>
    <w:rsid w:val="189079DC"/>
    <w:rsid w:val="189B0D0B"/>
    <w:rsid w:val="18A1557C"/>
    <w:rsid w:val="18B43F7C"/>
    <w:rsid w:val="191C433B"/>
    <w:rsid w:val="194A1770"/>
    <w:rsid w:val="19B906A4"/>
    <w:rsid w:val="1B041DF3"/>
    <w:rsid w:val="1B3D4DCF"/>
    <w:rsid w:val="1B6F15B6"/>
    <w:rsid w:val="1BAA2EDC"/>
    <w:rsid w:val="1CA55E64"/>
    <w:rsid w:val="1D014A01"/>
    <w:rsid w:val="1D022362"/>
    <w:rsid w:val="1D1B04B0"/>
    <w:rsid w:val="1DA52501"/>
    <w:rsid w:val="1DBD6767"/>
    <w:rsid w:val="1DC52125"/>
    <w:rsid w:val="1DCF66E8"/>
    <w:rsid w:val="1DD26311"/>
    <w:rsid w:val="1E374ACB"/>
    <w:rsid w:val="1ECF0A66"/>
    <w:rsid w:val="1EF67CA4"/>
    <w:rsid w:val="1F020D3A"/>
    <w:rsid w:val="1F2C5189"/>
    <w:rsid w:val="1F4B0B02"/>
    <w:rsid w:val="1FBB35CD"/>
    <w:rsid w:val="1FCD26AF"/>
    <w:rsid w:val="20642787"/>
    <w:rsid w:val="21556F04"/>
    <w:rsid w:val="22403BD3"/>
    <w:rsid w:val="22AD3177"/>
    <w:rsid w:val="235417B6"/>
    <w:rsid w:val="23ED7E3B"/>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762E6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C42453"/>
    <w:rsid w:val="36C9128A"/>
    <w:rsid w:val="37841E99"/>
    <w:rsid w:val="37BF1123"/>
    <w:rsid w:val="383C3F15"/>
    <w:rsid w:val="387C7014"/>
    <w:rsid w:val="38BE4696"/>
    <w:rsid w:val="38BE762D"/>
    <w:rsid w:val="3939115E"/>
    <w:rsid w:val="39B82A39"/>
    <w:rsid w:val="39C42CA8"/>
    <w:rsid w:val="39DC4FD6"/>
    <w:rsid w:val="39F03D7A"/>
    <w:rsid w:val="39F33306"/>
    <w:rsid w:val="3A2C1C67"/>
    <w:rsid w:val="3A37769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0E24D9"/>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1921A6"/>
    <w:rsid w:val="578867FC"/>
    <w:rsid w:val="57B36157"/>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7E5C28"/>
    <w:rsid w:val="71C34D91"/>
    <w:rsid w:val="72DB435C"/>
    <w:rsid w:val="72E2613A"/>
    <w:rsid w:val="72F771F4"/>
    <w:rsid w:val="73934AD2"/>
    <w:rsid w:val="74850A24"/>
    <w:rsid w:val="750837F0"/>
    <w:rsid w:val="754758CF"/>
    <w:rsid w:val="75595ECD"/>
    <w:rsid w:val="764F62AB"/>
    <w:rsid w:val="765C45EC"/>
    <w:rsid w:val="768A7619"/>
    <w:rsid w:val="76BD23AB"/>
    <w:rsid w:val="772E1EBA"/>
    <w:rsid w:val="781926BC"/>
    <w:rsid w:val="796D60A4"/>
    <w:rsid w:val="79A031D5"/>
    <w:rsid w:val="79B47FDF"/>
    <w:rsid w:val="79E569A9"/>
    <w:rsid w:val="7A1525F7"/>
    <w:rsid w:val="7AEA7832"/>
    <w:rsid w:val="7B380CEA"/>
    <w:rsid w:val="7B420052"/>
    <w:rsid w:val="7BD06A28"/>
    <w:rsid w:val="7C3A7C0B"/>
    <w:rsid w:val="7C466CEA"/>
    <w:rsid w:val="7C5248E4"/>
    <w:rsid w:val="7C566698"/>
    <w:rsid w:val="7C5866A3"/>
    <w:rsid w:val="7D7406BB"/>
    <w:rsid w:val="7DE94331"/>
    <w:rsid w:val="7DEB18F7"/>
    <w:rsid w:val="7F446A19"/>
    <w:rsid w:val="7F7452B9"/>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3034</Words>
  <Characters>3184</Characters>
  <Lines>186</Lines>
  <Paragraphs>52</Paragraphs>
  <TotalTime>4</TotalTime>
  <ScaleCrop>false</ScaleCrop>
  <LinksUpToDate>false</LinksUpToDate>
  <CharactersWithSpaces>3233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2025-10-22T02:18:06Z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