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重庆市酉阳土家族苗族自治县不动产登记中心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snapToGrid w:val="0"/>
        <w:spacing w:line="540" w:lineRule="exact"/>
        <w:ind w:firstLine="660" w:firstLineChars="200"/>
        <w:rPr>
          <w:rFonts w:eastAsia="方正仿宋_GBK"/>
          <w:sz w:val="32"/>
          <w:szCs w:val="32"/>
        </w:rPr>
      </w:pPr>
      <w:r>
        <w:rPr>
          <w:rFonts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1</w:t>
      </w:r>
      <w:r>
        <w:rPr>
          <w:rFonts w:eastAsia="方正仿宋_GBK"/>
          <w:sz w:val="33"/>
          <w:szCs w:val="33"/>
        </w:rPr>
        <w:t>）</w:t>
      </w:r>
      <w:r>
        <w:rPr>
          <w:rFonts w:eastAsia="方正仿宋_GBK"/>
          <w:sz w:val="32"/>
          <w:szCs w:val="32"/>
        </w:rPr>
        <w:t>负责《不动产登记暂行条例》及其相关配套规章制度的学习、宣传和培训工作，全面准确把握不动产统一登记相关文件精神。会同有关部门起草不动产登记实施方案及工作细则，制定不动产权属争议调处机制。</w:t>
      </w:r>
    </w:p>
    <w:p>
      <w:pPr>
        <w:snapToGrid w:val="0"/>
        <w:spacing w:line="540" w:lineRule="exact"/>
        <w:ind w:firstLine="660" w:firstLineChars="200"/>
        <w:rPr>
          <w:rFonts w:eastAsia="方正仿宋_GBK"/>
          <w:sz w:val="33"/>
          <w:szCs w:val="33"/>
        </w:rPr>
      </w:pPr>
      <w:r>
        <w:rPr>
          <w:rFonts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2</w:t>
      </w:r>
      <w:r>
        <w:rPr>
          <w:rFonts w:eastAsia="方正仿宋_GBK"/>
          <w:sz w:val="33"/>
          <w:szCs w:val="33"/>
        </w:rPr>
        <w:t>）</w:t>
      </w:r>
      <w:r>
        <w:rPr>
          <w:rFonts w:eastAsia="方正仿宋_GBK"/>
          <w:sz w:val="32"/>
          <w:szCs w:val="32"/>
        </w:rPr>
        <w:t>承担全县土地登记（含土地承包经营权登记）、房屋登记、林地登记等不动产登记工作。负责全县不动产权利证书的监管。</w:t>
      </w:r>
    </w:p>
    <w:p>
      <w:pPr>
        <w:snapToGrid w:val="0"/>
        <w:spacing w:line="540" w:lineRule="exact"/>
        <w:ind w:firstLine="660" w:firstLineChars="200"/>
        <w:rPr>
          <w:rFonts w:eastAsia="方正仿宋_GBK"/>
          <w:sz w:val="32"/>
          <w:szCs w:val="32"/>
        </w:rPr>
      </w:pPr>
      <w:r>
        <w:rPr>
          <w:rFonts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3</w:t>
      </w:r>
      <w:r>
        <w:rPr>
          <w:rFonts w:eastAsia="方正仿宋_GBK"/>
          <w:sz w:val="33"/>
          <w:szCs w:val="33"/>
        </w:rPr>
        <w:t>）</w:t>
      </w:r>
      <w:r>
        <w:rPr>
          <w:rFonts w:eastAsia="方正仿宋_GBK"/>
          <w:sz w:val="32"/>
          <w:szCs w:val="32"/>
        </w:rPr>
        <w:t>负责各类不动产登记资料的收集、整理、共享、汇交管理和归档；牵头建立不动产登记信息管理基础平台，指导不动产登记资料社会查询服务。</w:t>
      </w:r>
    </w:p>
    <w:p>
      <w:pPr>
        <w:snapToGrid w:val="0"/>
        <w:spacing w:line="540" w:lineRule="exact"/>
        <w:ind w:firstLine="660" w:firstLineChars="200"/>
        <w:rPr>
          <w:rFonts w:eastAsia="方正仿宋_GBK"/>
          <w:sz w:val="32"/>
          <w:szCs w:val="32"/>
        </w:rPr>
      </w:pPr>
      <w:r>
        <w:rPr>
          <w:rFonts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4</w:t>
      </w:r>
      <w:r>
        <w:rPr>
          <w:rFonts w:eastAsia="方正仿宋_GBK"/>
          <w:sz w:val="33"/>
          <w:szCs w:val="33"/>
        </w:rPr>
        <w:t>）</w:t>
      </w:r>
      <w:r>
        <w:rPr>
          <w:rFonts w:eastAsia="方正仿宋_GBK"/>
          <w:sz w:val="32"/>
          <w:szCs w:val="32"/>
        </w:rPr>
        <w:t>协助农委指导农村土地（含耕地、水域、滩涂）承包经营权合同管理、流转规范，调处合同纠纷，协同调处权属纠纷等。</w:t>
      </w:r>
    </w:p>
    <w:p>
      <w:pPr>
        <w:snapToGrid w:val="0"/>
        <w:spacing w:line="540" w:lineRule="exact"/>
        <w:ind w:firstLine="660" w:firstLineChars="200"/>
        <w:rPr>
          <w:rFonts w:eastAsia="方正仿宋_GBK"/>
          <w:sz w:val="33"/>
          <w:szCs w:val="33"/>
        </w:rPr>
      </w:pPr>
      <w:r>
        <w:rPr>
          <w:rFonts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5</w:t>
      </w:r>
      <w:r>
        <w:rPr>
          <w:rFonts w:eastAsia="方正仿宋_GBK"/>
          <w:sz w:val="33"/>
          <w:szCs w:val="33"/>
        </w:rPr>
        <w:t>）</w:t>
      </w:r>
      <w:r>
        <w:rPr>
          <w:rFonts w:eastAsia="方正仿宋_GBK"/>
          <w:sz w:val="32"/>
          <w:szCs w:val="32"/>
        </w:rPr>
        <w:t>协助林业局指导农村林地林木承包经营及林权管理；会同林业局指导、监督林权纠纷和林地承包合同纠纷的调处工作。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Fonts w:eastAsia="方正仿宋_GBK"/>
          <w:sz w:val="33"/>
          <w:szCs w:val="33"/>
        </w:rPr>
        <w:t>（</w:t>
      </w:r>
      <w:r>
        <w:rPr>
          <w:rFonts w:hint="eastAsia" w:ascii="Times New Roman" w:hAnsi="Times New Roman" w:eastAsia="方正仿宋_GBK"/>
          <w:sz w:val="32"/>
          <w:szCs w:val="32"/>
          <w:shd w:val="clear" w:color="auto" w:fill="FFFFFF"/>
          <w:lang w:val="en-US" w:eastAsia="zh-CN"/>
        </w:rPr>
        <w:t>6</w:t>
      </w:r>
      <w:r>
        <w:rPr>
          <w:rFonts w:eastAsia="方正仿宋_GBK"/>
          <w:sz w:val="33"/>
          <w:szCs w:val="33"/>
        </w:rPr>
        <w:t>）</w:t>
      </w:r>
      <w:r>
        <w:rPr>
          <w:rFonts w:hint="eastAsia" w:ascii="宋体" w:hAnsi="宋体" w:eastAsia="方正仿宋_GBK" w:cs="Times New Roman"/>
          <w:sz w:val="32"/>
          <w:szCs w:val="32"/>
          <w:lang w:val="en-US" w:eastAsia="zh-CN" w:bidi="ar-SA"/>
        </w:rPr>
        <w:t>协助农委、林业等部门，建立不动产登记工作联席会议制度，做到及时交流有关情况，协调相关事宜，研究不动产登记工作遇到的具体事项，提出解决问题和完善政策措施的建议意见等。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宋体" w:hAnsi="宋体" w:eastAsia="方正仿宋_GBK" w:cs="Times New Roman"/>
          <w:sz w:val="32"/>
          <w:szCs w:val="32"/>
          <w:lang w:val="en-US" w:eastAsia="zh-CN" w:bidi="ar-SA"/>
        </w:rPr>
      </w:pPr>
      <w:r>
        <w:rPr>
          <w:rFonts w:hint="eastAsia" w:ascii="宋体" w:hAnsi="宋体" w:eastAsia="方正仿宋_GBK" w:cs="Times New Roman"/>
          <w:sz w:val="32"/>
          <w:szCs w:val="32"/>
          <w:lang w:val="en-US" w:eastAsia="zh-CN" w:bidi="ar-SA"/>
        </w:rPr>
        <w:t>县不动产登记中心设综合科、受理初审科、审核登记科、监察科、档案信息科等</w:t>
      </w:r>
      <w:r>
        <w:rPr>
          <w:rFonts w:hint="eastAsia" w:ascii="Times New Roman" w:hAnsi="Times New Roman" w:eastAsia="方正仿宋_GBK"/>
          <w:sz w:val="32"/>
          <w:szCs w:val="32"/>
          <w:shd w:val="clear" w:color="auto" w:fill="FFFFFF"/>
          <w:lang w:val="en-US" w:eastAsia="zh-CN"/>
        </w:rPr>
        <w:t>6</w:t>
      </w:r>
      <w:r>
        <w:rPr>
          <w:rFonts w:hint="eastAsia" w:ascii="宋体" w:hAnsi="宋体" w:eastAsia="方正仿宋_GBK" w:cs="Times New Roman"/>
          <w:sz w:val="32"/>
          <w:szCs w:val="32"/>
          <w:lang w:val="en-US" w:eastAsia="zh-CN" w:bidi="ar-SA"/>
        </w:rPr>
        <w:t>个内设机构。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lang w:val="en-US" w:eastAsia="zh-CN"/>
        </w:rPr>
        <w:t>减少。</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lang w:val="en-US" w:eastAsia="zh-CN"/>
        </w:rPr>
        <w:t>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lang w:val="en-US" w:eastAsia="zh-CN"/>
        </w:rPr>
        <w:t>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入减少。</w:t>
      </w:r>
      <w:r>
        <w:rPr>
          <w:rFonts w:hint="default" w:ascii="Times New Roman" w:hAnsi="Times New Roman" w:eastAsia="方正仿宋_GBK"/>
          <w:sz w:val="32"/>
          <w:szCs w:val="32"/>
          <w:shd w:val="clear" w:color="auto" w:fill="FFFFFF"/>
        </w:rPr>
        <w:t>较年初预算数增加16.73万元，增长7.2%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月份养老保险及职业年金，社会保障和就业支出增加，而年初未做预算，故较年初预算增长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7.2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本年度退休1人，人员经费减少，故</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入减少。</w:t>
      </w:r>
      <w:r>
        <w:rPr>
          <w:rFonts w:hint="default" w:ascii="Times New Roman" w:hAnsi="Times New Roman" w:eastAsia="方正仿宋_GBK"/>
          <w:sz w:val="32"/>
          <w:szCs w:val="32"/>
          <w:shd w:val="clear" w:color="auto" w:fill="FFFFFF"/>
        </w:rPr>
        <w:t>较年初预算数增加16.73万元，增长7.2%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月份养老保险及职业年金，社会保障和就业支出增加，而年初未做预算，故较年初预算增长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7.2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较年初预算数增加9.20万元，增长37.8%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月份养老保险记职业年金，社会保障和就业支出增加，而年初未做预算，故较年初预算数</w:t>
      </w:r>
      <w:r>
        <w:rPr>
          <w:rFonts w:hint="default" w:ascii="方正仿宋_GBK" w:hAnsi="方正仿宋_GBK" w:eastAsia="方正仿宋_GBK" w:cs="方正仿宋_GBK"/>
          <w:sz w:val="32"/>
          <w:szCs w:val="32"/>
          <w:shd w:val="clear" w:color="auto" w:fill="FFFFFF"/>
        </w:rPr>
        <w:t>增长</w:t>
      </w:r>
      <w:r>
        <w:rPr>
          <w:rFonts w:hint="default" w:ascii="Times New Roman" w:hAnsi="Times New Roman" w:eastAsia="方正仿宋_GBK"/>
          <w:sz w:val="32"/>
          <w:szCs w:val="32"/>
          <w:shd w:val="clear" w:color="auto" w:fill="FFFFFF"/>
        </w:rPr>
        <w:t>37.8</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较年初预算数减少0.10万元，下降0.8%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人，医疗保险支出减少，故</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193.36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较年初预算数增加7.87万元，增长4.2%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因决算口径变化，生育保险和工伤保险计入事业运行，且本年度支付上年度调出人员的清算补发绩效工资，故人员经费增加，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val="en-US" w:eastAsia="zh-CN"/>
        </w:rPr>
        <w:t>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本年度退休</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rPr>
        <w:t>人，住房公积金支出减少，故</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250.16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225.16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与2023年度相比，增加5.03万元，增长2.3%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社会保障和就业支出增加，故人员经费支出增加。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与2023年度相比，减少5.45万元，下降17.9%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上年度调出</w:t>
      </w:r>
      <w:r>
        <w:rPr>
          <w:rFonts w:hint="eastAsia" w:ascii="Times New Roman" w:hAnsi="Times New Roman" w:eastAsia="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人，本年度较上年度年初预算减少，同时持续深化党政机关过紧日子要求，按照统一工作部署，厉行节约，压降公用经费标准。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本单位是县规划和自然资源局下属事业单位，与县规资局联合办公，上年度会议费由其他单位支付，故上年度无会议费，</w:t>
      </w:r>
      <w:r>
        <w:rPr>
          <w:rFonts w:ascii="方正仿宋_GBK" w:hAnsi="方正仿宋_GBK" w:eastAsia="方正仿宋_GBK" w:cs="方正仿宋_GBK"/>
          <w:sz w:val="32"/>
          <w:szCs w:val="32"/>
          <w:shd w:val="clear" w:color="auto" w:fill="FFFFFF"/>
        </w:rPr>
        <w:t>会议费支出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持续深化党政机关过紧日子要求，按照统一工作部署，减少培训次数，故无培训费。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与2023年度相比，减少4.78万元，下降95.6%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持续深化党政机关坚持过紧日子要求，按照统一工作部署，勤俭办一切事业，严控出差次数及费用，故差旅费减少。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酉阳土家族苗族自治县不动产登记中心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250.16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酉阳土家族苗族自治县不动产登记中心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酉阳土家族苗族自治县不动产登记中心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酉阳土家族苗族自治县不动产登记中心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酉阳土家族苗族自治县不动产登记中心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酉阳土家族苗族自治县不动产登记中心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225.16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酉阳土家族苗族自治县不动产登记中心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酉阳土家族苗族自治县不动产登记中心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酉阳土家族苗族自治县不动产登记中心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5402"/>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FB767D"/>
    <w:rsid w:val="0D673E11"/>
    <w:rsid w:val="0DDA54E4"/>
    <w:rsid w:val="0E3A5F83"/>
    <w:rsid w:val="0F836721"/>
    <w:rsid w:val="0FA25D96"/>
    <w:rsid w:val="107B59E5"/>
    <w:rsid w:val="10EC0126"/>
    <w:rsid w:val="10F70B9A"/>
    <w:rsid w:val="111445C7"/>
    <w:rsid w:val="114278C6"/>
    <w:rsid w:val="114C04A7"/>
    <w:rsid w:val="1158083A"/>
    <w:rsid w:val="11643A4B"/>
    <w:rsid w:val="11ED0F98"/>
    <w:rsid w:val="11F03528"/>
    <w:rsid w:val="12C921C4"/>
    <w:rsid w:val="13871C70"/>
    <w:rsid w:val="13A71CB4"/>
    <w:rsid w:val="13AF1D43"/>
    <w:rsid w:val="13CE1647"/>
    <w:rsid w:val="13FD55AB"/>
    <w:rsid w:val="14200702"/>
    <w:rsid w:val="14370EA1"/>
    <w:rsid w:val="14445DAD"/>
    <w:rsid w:val="153C6A85"/>
    <w:rsid w:val="163A6CEE"/>
    <w:rsid w:val="16767F11"/>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715FC0"/>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64344B"/>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54BD3"/>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1E1640E"/>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870AB5"/>
    <w:rsid w:val="5DA80C2C"/>
    <w:rsid w:val="5F2D4A41"/>
    <w:rsid w:val="608C5797"/>
    <w:rsid w:val="60C74F6C"/>
    <w:rsid w:val="61015958"/>
    <w:rsid w:val="61025A59"/>
    <w:rsid w:val="613D5BBC"/>
    <w:rsid w:val="61536C39"/>
    <w:rsid w:val="62944DD7"/>
    <w:rsid w:val="6319381F"/>
    <w:rsid w:val="63C25DC5"/>
    <w:rsid w:val="63C62057"/>
    <w:rsid w:val="63F91396"/>
    <w:rsid w:val="64571EF5"/>
    <w:rsid w:val="64FB113D"/>
    <w:rsid w:val="656152C6"/>
    <w:rsid w:val="6587477F"/>
    <w:rsid w:val="658C3A08"/>
    <w:rsid w:val="65C031CA"/>
    <w:rsid w:val="65CE6852"/>
    <w:rsid w:val="66267C04"/>
    <w:rsid w:val="663F505A"/>
    <w:rsid w:val="666C2D2F"/>
    <w:rsid w:val="66AF5D7C"/>
    <w:rsid w:val="66EE5541"/>
    <w:rsid w:val="67340960"/>
    <w:rsid w:val="67924660"/>
    <w:rsid w:val="68407834"/>
    <w:rsid w:val="6883293E"/>
    <w:rsid w:val="688412AD"/>
    <w:rsid w:val="68EB1B71"/>
    <w:rsid w:val="696C0310"/>
    <w:rsid w:val="6A025134"/>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AB07A1"/>
    <w:rsid w:val="781926BC"/>
    <w:rsid w:val="783F2973"/>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75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3036</Words>
  <Characters>3188</Characters>
  <Lines>186</Lines>
  <Paragraphs>52</Paragraphs>
  <TotalTime>9</TotalTime>
  <ScaleCrop>false</ScaleCrop>
  <LinksUpToDate>false</LinksUpToDate>
  <CharactersWithSpaces>3237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2025-10-22T02:20:58Z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