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重庆市酉阳土家族苗族自治县规划和自然资源局</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县规划和自然资</w:t>
      </w:r>
      <w:bookmarkStart w:id="0" w:name="_GoBack"/>
      <w:bookmarkEnd w:id="0"/>
      <w:r>
        <w:rPr>
          <w:rFonts w:ascii="方正仿宋_GBK" w:hAnsi="方正仿宋_GBK" w:eastAsia="方正仿宋_GBK" w:cs="方正仿宋_GBK"/>
          <w:color w:val="000000" w:themeColor="text1"/>
          <w:sz w:val="32"/>
          <w:szCs w:val="32"/>
          <w:shd w:val="clear" w:color="auto" w:fill="FFFFFF"/>
        </w:rPr>
        <w:t>源局贯彻落实党中央关于规划和自然资源工作的方针政策、决策部署和市委、市政府及县委、县政府的工作部署，在履行职责过程中坚持和加强党对规划和自然资源工作的集中统一领导。主要职责是：</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000000" w:themeColor="text1"/>
          <w:sz w:val="32"/>
          <w:szCs w:val="32"/>
          <w:shd w:val="clear" w:color="auto" w:fill="FFFFFF"/>
        </w:rPr>
        <w:t>履行全民所有土地、矿产、森林、草原、湿地、水等自然资源资产所有者职责和所有国土空间用途管制职责。贯彻执行自然资源和国土空间规划及测绘等法律、法规、规章和方针政策。</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color w:val="000000" w:themeColor="text1"/>
          <w:sz w:val="32"/>
          <w:szCs w:val="32"/>
          <w:shd w:val="clear" w:color="auto" w:fill="FFFFFF"/>
        </w:rPr>
        <w:t>负责自然资源调查监测评价。贯彻执行国家和重庆市自然资源调查监测评价制度、标准、规范。实施自然资源基础调查、专项调查和监测。负责自然资源调查监测评价成果的监督管理和信息发布。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color w:val="000000" w:themeColor="text1"/>
          <w:sz w:val="32"/>
          <w:szCs w:val="32"/>
          <w:shd w:val="clear" w:color="auto" w:fill="FFFFFF"/>
        </w:rPr>
        <w:t>负责自然资源统一确权登记工作。贯彻执行各类自然资源和不动产统一确权登记、权籍调查、不动产测绘、争议调处、成果应用的制度、标准、规范。建立健全县级自然资源和不动产登记信息管理基础平台。负责自然资源和不动产登记资料收集、整理、共享、汇交管理等。按权限承担自然资源和不动产确权登记工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color w:val="000000" w:themeColor="text1"/>
          <w:sz w:val="32"/>
          <w:szCs w:val="32"/>
          <w:shd w:val="clear" w:color="auto" w:fill="FFFFFF"/>
        </w:rPr>
        <w:t>负责自然资源资产有偿使用工作。贯彻执行中、市全民所有自然资源资产统计制度，负责全民所有自然资源资产核算。编制全民所有自然资源资产负债表。贯彻执行中、市全民所有自然资源资产划拨、出让、租赁、作价出资和土地储备政策，合理配置全民所有自然资源资产。负责自然资源资产价值评估管理，依法收缴相关资产收益。</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color w:val="000000" w:themeColor="text1"/>
          <w:sz w:val="32"/>
          <w:szCs w:val="32"/>
          <w:shd w:val="clear" w:color="auto" w:fill="FFFFFF"/>
        </w:rPr>
        <w:t>负责自然资源的合理开发利用。贯彻执行中、市自然资源发展规划和战略，组织实施自然资源开发利用市级标准，建立政府公示自然资源价格体系，组织开展自然资源分等定级价格评估，开展自然资源利用评价考核，指导节约集约利用。负责全县自然资源市场监管。</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color w:val="000000" w:themeColor="text1"/>
          <w:sz w:val="32"/>
          <w:szCs w:val="32"/>
          <w:shd w:val="clear" w:color="auto" w:fill="FFFFFF"/>
        </w:rPr>
        <w:t>负责建立空间规划体系并监督实施。落实国家主体功能区战略和制度，承担全县国土空间规划、详细规划、相关专项规划以及地质灾害防治、矿山环境保护等空间规划和自然资源领域重要专项规划编制、报批和监督实施工作。开展国土空间开发适宜性评价，建立国土空间规划实施监测、评估和预警体系。组织划定生态保护红线、永久基本农田、城镇开发边界等控制线，构建节约资源和保护环境的生产、生活、生态空间布局。负责对涉及国土空间利用保护的其他各类专项规划进行综合协调与平衡。</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color w:val="000000" w:themeColor="text1"/>
          <w:sz w:val="32"/>
          <w:szCs w:val="32"/>
          <w:shd w:val="clear" w:color="auto" w:fill="FFFFFF"/>
        </w:rPr>
        <w:t>贯彻执行国土空间用途管制制度和中、市城乡规划政策并监督实施。承担由县政府制定的近期建设规划的具体工作。建立城市规划对城市发展、建设时序、范围、内容等引导和管控机制。依法核发建设项目选址意见书、建设用地规划许可证和建设工程规划许可证及乡村建设规划许可证。负责规划条件、用地预审、建设工程竣工规划核实、国有建设用地使用权划拨和有偿使用等工作。组织拟订、报批并实施土地等自然资源年度利用计划。负责土地等国土空间用途转用工作。负责土地征收征用管理。                      </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color w:val="000000" w:themeColor="text1"/>
          <w:sz w:val="32"/>
          <w:szCs w:val="32"/>
          <w:shd w:val="clear" w:color="auto" w:fill="FFFFFF"/>
        </w:rPr>
        <w:t>负责自然资源文化的挖掘、研究、保护和利用工作。负责历史文化名城总体规划及其专项规划编制，承担历史文化名城、名镇、名村、街区，传统风貌区，历史建筑和传统风貌建筑保护的规划管理与规划统筹工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color w:val="000000" w:themeColor="text1"/>
          <w:sz w:val="32"/>
          <w:szCs w:val="32"/>
          <w:shd w:val="clear" w:color="auto" w:fill="FFFFFF"/>
        </w:rPr>
        <w:t>负责统筹国土空间生态修复。牵头组织编制全县国土空间生态修复规划并实施有关生态修复工程。负责国土空间综合整治、土地整理复垦、矿山地质环境恢复治理等工作。牵头实施生态保护补偿制度，承担生态保护补偿相关工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color w:val="000000" w:themeColor="text1"/>
          <w:sz w:val="32"/>
          <w:szCs w:val="32"/>
          <w:shd w:val="clear" w:color="auto" w:fill="FFFFFF"/>
        </w:rPr>
        <w:t>负责组织实施最严格的耕地保护制度。贯彻实施耕地保护政策，负责全县耕地数量、质量、生态保护。组织实施耕地保护责任目标考核和永久基本农田特殊保护。落实耕地占补平衡任务。监督占用耕地补偿制度执行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color w:val="000000" w:themeColor="text1"/>
          <w:sz w:val="32"/>
          <w:szCs w:val="32"/>
          <w:shd w:val="clear" w:color="auto" w:fill="FFFFFF"/>
        </w:rPr>
        <w:t>负责管理地质勘查行业和地质工作。编制地质勘查规划并监督检查执行情况。管理县级地质勘查项目。负责地质灾害预防和治理，监督管理地下水过量开采及引发的地面沉降等地质问题。负责古生物化石的监督管理。</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color w:val="000000" w:themeColor="text1"/>
          <w:sz w:val="32"/>
          <w:szCs w:val="32"/>
          <w:shd w:val="clear" w:color="auto" w:fill="FFFFFF"/>
        </w:rPr>
        <w:t>负责落实综合防灾减灾规划相关要求，组织编制地质灾害防治规划并指导实施。组织指导协调和监督地质灾害调查评价及隐患的普查、详查、排查和防治工作。指导开展全县群测群防、专业监测和预报预警等工作。指导开展地质灾害工程治理工作。承担地质灾害应急救援的技术支撑工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color w:val="000000" w:themeColor="text1"/>
          <w:sz w:val="32"/>
          <w:szCs w:val="32"/>
          <w:shd w:val="clear" w:color="auto" w:fill="FFFFFF"/>
        </w:rPr>
        <w:t>负责矿产资源管理工作。负责矿产资源储量管理及压覆矿产资源审批。负责矿业权管理。会同有关部门承担保护性开采的特定矿种、优势矿产的调控及相关管理工作。监督指导矿产资源合理利用和保护。</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color w:val="000000" w:themeColor="text1"/>
          <w:sz w:val="32"/>
          <w:szCs w:val="32"/>
          <w:shd w:val="clear" w:color="auto" w:fill="FFFFFF"/>
        </w:rPr>
        <w:t>负责测绘地理信息管理工作。负责基础测绘和测绘行业管理。负责测绘资质资格与信用管理，监督管理地理信息安全和市场秩序。负责地理信息公共服务管理。负责测量标志保护。</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color w:val="000000" w:themeColor="text1"/>
          <w:sz w:val="32"/>
          <w:szCs w:val="32"/>
          <w:shd w:val="clear" w:color="auto" w:fill="FFFFFF"/>
        </w:rPr>
        <w:t>承担空间规划和自然资源管理的督察工作。负责自然资源权属调查、自然资源保护和开发利用、空间规划管理、测绘地理信息管理等领域的行政执法工作，具体执法交由执法队伍承担，并以部门名义统一执法。指导乡镇（街道）有关综合行政执法工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16.</w:t>
      </w:r>
      <w:r>
        <w:rPr>
          <w:rFonts w:hint="eastAsia" w:ascii="方正仿宋_GBK" w:hAnsi="方正仿宋_GBK" w:eastAsia="方正仿宋_GBK" w:cs="方正仿宋_GBK"/>
          <w:color w:val="000000" w:themeColor="text1"/>
          <w:sz w:val="32"/>
          <w:szCs w:val="32"/>
          <w:shd w:val="clear" w:color="auto" w:fill="FFFFFF"/>
        </w:rPr>
        <w:t>依法负责对本行业和产业项目及其附属工程招投标活动实施具体监督，负责项目合同签订后的监督管理。</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color w:val="000000" w:themeColor="text1"/>
          <w:sz w:val="32"/>
          <w:szCs w:val="32"/>
          <w:shd w:val="clear" w:color="auto" w:fill="FFFFFF"/>
        </w:rPr>
        <w:t>负责机关、所属单位党群工作。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color w:val="000000" w:themeColor="text1"/>
          <w:sz w:val="32"/>
          <w:szCs w:val="32"/>
          <w:shd w:val="clear" w:color="auto" w:fill="FFFFFF"/>
        </w:rPr>
        <w:t>归口管理酉阳土家族苗族自治县林业局。</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color w:val="000000" w:themeColor="text1"/>
          <w:sz w:val="32"/>
          <w:szCs w:val="32"/>
          <w:shd w:val="clear" w:color="auto" w:fill="FFFFFF"/>
        </w:rPr>
        <w:t>承担酉阳土家族苗族自治县规划委员会的日常工作。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color w:val="000000" w:themeColor="text1"/>
          <w:sz w:val="32"/>
          <w:szCs w:val="32"/>
          <w:shd w:val="clear" w:color="auto" w:fill="FFFFFF"/>
        </w:rPr>
        <w:t>管理基层所。</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color w:val="000000" w:themeColor="text1"/>
          <w:sz w:val="32"/>
          <w:szCs w:val="32"/>
          <w:shd w:val="clear" w:color="auto" w:fill="FFFFFF"/>
        </w:rPr>
        <w:t>完成县委、县政府交办的其他任务。</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color w:val="000000" w:themeColor="text1"/>
          <w:sz w:val="32"/>
          <w:szCs w:val="32"/>
          <w:shd w:val="clear" w:color="auto" w:fill="FFFFFF"/>
        </w:rPr>
        <w:t>职能转变。县规划自然资源局要落实关于统一行使全民所有自然资源资产所有者职责，统一行使所有国土空间用途管制和生态保护修复职责的要求，建立空间规划体系并监督实施，发挥国土空间规划管控作用，为保护和合理开发利用自然资源提供科学指引。进一步加强自然资源的保护和合理开发利用，建立健全源头保护和全过程修复治理相结合的工作机制，实现整体保护、系统修复、综合治理。推进自然资源节约集约利用。进一步深化“放管服”改革，强化监管力度，充分发挥市场对资源配置的决定性作用，更好发挥政府作用，强化自然资源管理规则、标准、制度的约束性作用，推进自然资源确权登记和评估的便民高效</w:t>
      </w:r>
      <w:r>
        <w:rPr>
          <w:rFonts w:hint="eastAsia" w:ascii="方正仿宋_GBK" w:hAnsi="方正仿宋_GBK" w:eastAsia="方正仿宋_GBK" w:cs="方正仿宋_GBK"/>
          <w:color w:val="000000" w:themeColor="text1"/>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shd w:val="clear" w:color="auto" w:fill="FFFFFF"/>
        </w:rPr>
        <w:t>酉阳</w:t>
      </w:r>
      <w:r>
        <w:rPr>
          <w:rFonts w:hint="eastAsia" w:ascii="方正仿宋_GBK" w:hAnsi="方正仿宋_GBK" w:eastAsia="方正仿宋_GBK" w:cs="方正仿宋_GBK"/>
          <w:sz w:val="32"/>
          <w:szCs w:val="32"/>
          <w:highlight w:val="none"/>
          <w:shd w:val="clear" w:color="auto" w:fill="FFFFFF"/>
          <w:lang w:val="en-US" w:eastAsia="zh-CN"/>
        </w:rPr>
        <w:t>土家族苗族自治</w:t>
      </w:r>
      <w:r>
        <w:rPr>
          <w:rFonts w:hint="eastAsia" w:ascii="方正仿宋_GBK" w:hAnsi="方正仿宋_GBK" w:eastAsia="方正仿宋_GBK" w:cs="方正仿宋_GBK"/>
          <w:sz w:val="32"/>
          <w:szCs w:val="32"/>
          <w:highlight w:val="none"/>
          <w:shd w:val="clear" w:color="auto" w:fill="FFFFFF"/>
        </w:rPr>
        <w:t>县规划和自然资源局为县政府组成部门，由</w:t>
      </w:r>
      <w:r>
        <w:rPr>
          <w:rFonts w:hint="eastAsia" w:ascii="方正仿宋_GBK" w:hAnsi="方正仿宋_GBK" w:eastAsia="方正仿宋_GBK" w:cs="方正仿宋_GBK"/>
          <w:sz w:val="32"/>
          <w:szCs w:val="32"/>
          <w:highlight w:val="none"/>
          <w:shd w:val="clear" w:color="auto" w:fill="FFFFFF"/>
          <w:lang w:eastAsia="zh-CN"/>
        </w:rPr>
        <w:t>规划和自然资源局（本级）及</w:t>
      </w:r>
      <w:r>
        <w:rPr>
          <w:rFonts w:hint="eastAsia" w:ascii="方正仿宋_GBK" w:hAnsi="方正仿宋_GBK" w:eastAsia="方正仿宋_GBK" w:cs="方正仿宋_GBK"/>
          <w:sz w:val="32"/>
          <w:szCs w:val="32"/>
          <w:highlight w:val="none"/>
          <w:shd w:val="clear" w:color="auto" w:fill="FFFFFF"/>
        </w:rPr>
        <w:t>国土整治中心、</w:t>
      </w:r>
      <w:r>
        <w:rPr>
          <w:rFonts w:hint="eastAsia" w:ascii="方正仿宋_GBK" w:hAnsi="方正仿宋_GBK" w:eastAsia="方正仿宋_GBK" w:cs="方正仿宋_GBK"/>
          <w:sz w:val="32"/>
          <w:szCs w:val="32"/>
          <w:highlight w:val="none"/>
          <w:shd w:val="clear" w:color="auto" w:fill="FFFFFF"/>
          <w:lang w:val="en-US" w:eastAsia="zh-CN"/>
        </w:rPr>
        <w:t>土地房屋征收中心、</w:t>
      </w:r>
      <w:r>
        <w:rPr>
          <w:rFonts w:hint="eastAsia" w:ascii="方正仿宋_GBK" w:hAnsi="方正仿宋_GBK" w:eastAsia="方正仿宋_GBK" w:cs="方正仿宋_GBK"/>
          <w:sz w:val="32"/>
          <w:szCs w:val="32"/>
          <w:highlight w:val="none"/>
          <w:shd w:val="clear" w:color="auto" w:fill="FFFFFF"/>
        </w:rPr>
        <w:t>综合行政执法支队、事务中心、不动产登记中心、土地储备中心、地质环境灾害监测站</w:t>
      </w:r>
      <w:r>
        <w:rPr>
          <w:rFonts w:hint="eastAsia" w:ascii="方正仿宋_GBK" w:hAnsi="方正仿宋_GBK" w:eastAsia="方正仿宋_GBK" w:cs="方正仿宋_GBK"/>
          <w:sz w:val="32"/>
          <w:szCs w:val="32"/>
          <w:highlight w:val="none"/>
          <w:shd w:val="clear" w:color="auto" w:fill="FFFFFF"/>
          <w:lang w:val="en-US" w:eastAsia="zh-CN"/>
        </w:rPr>
        <w:t>等</w:t>
      </w:r>
      <w:r>
        <w:rPr>
          <w:rFonts w:hint="eastAsia" w:ascii="Times New Roman" w:hAnsi="Times New Roman" w:eastAsia="方正仿宋_GBK" w:cs="Times New Roman"/>
          <w:sz w:val="32"/>
          <w:lang w:val="en-US" w:eastAsia="zh-CN"/>
        </w:rPr>
        <w:t>7</w:t>
      </w:r>
      <w:r>
        <w:rPr>
          <w:rFonts w:hint="eastAsia" w:ascii="方正仿宋_GBK" w:hAnsi="方正仿宋_GBK" w:eastAsia="方正仿宋_GBK" w:cs="方正仿宋_GBK"/>
          <w:sz w:val="32"/>
          <w:szCs w:val="32"/>
          <w:highlight w:val="none"/>
          <w:shd w:val="clear" w:color="auto" w:fill="FFFFFF"/>
          <w:lang w:val="en-US" w:eastAsia="zh-CN"/>
        </w:rPr>
        <w:t>个</w:t>
      </w:r>
      <w:r>
        <w:rPr>
          <w:rFonts w:hint="eastAsia" w:ascii="方正仿宋_GBK" w:hAnsi="方正仿宋_GBK" w:eastAsia="方正仿宋_GBK" w:cs="方正仿宋_GBK"/>
          <w:sz w:val="32"/>
          <w:szCs w:val="32"/>
          <w:highlight w:val="none"/>
          <w:shd w:val="clear" w:color="auto" w:fill="FFFFFF"/>
        </w:rPr>
        <w:t>二级单位</w:t>
      </w:r>
      <w:r>
        <w:rPr>
          <w:rFonts w:hint="eastAsia" w:ascii="Times New Roman" w:hAnsi="Times New Roman" w:eastAsia="方正仿宋_GBK" w:cs="Times New Roman"/>
          <w:sz w:val="32"/>
          <w:lang w:val="en-US" w:eastAsia="zh-CN"/>
        </w:rPr>
        <w:t>及</w:t>
      </w:r>
      <w:r>
        <w:rPr>
          <w:rFonts w:hint="eastAsia" w:ascii="Times New Roman" w:hAnsi="Times New Roman" w:eastAsia="方正仿宋_GBK" w:cs="Times New Roman"/>
          <w:sz w:val="32"/>
          <w:lang w:eastAsia="zh-CN"/>
        </w:rPr>
        <w:t>桃花源所等</w:t>
      </w:r>
      <w:r>
        <w:rPr>
          <w:rFonts w:hint="eastAsia" w:ascii="Times New Roman" w:hAnsi="Times New Roman" w:eastAsia="方正仿宋_GBK" w:cs="Times New Roman"/>
          <w:sz w:val="32"/>
          <w:lang w:val="en-US" w:eastAsia="zh-CN"/>
        </w:rPr>
        <w:t>14个乡镇所，共计21个</w:t>
      </w:r>
      <w:r>
        <w:rPr>
          <w:rFonts w:hint="eastAsia" w:ascii="Times New Roman" w:hAnsi="Times New Roman" w:eastAsia="方正仿宋_GBK" w:cs="Times New Roman"/>
          <w:sz w:val="32"/>
        </w:rPr>
        <w:t>单位构成</w:t>
      </w:r>
      <w:r>
        <w:rPr>
          <w:rFonts w:hint="eastAsia" w:ascii="Times New Roman" w:hAnsi="Times New Roman" w:eastAsia="方正仿宋_GBK" w:cs="Times New Roman"/>
          <w:sz w:val="32"/>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13187.89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收、支与2023年度相比，减少12448.10万元，下降48.6%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万元，缴纳的耕地占用税大幅减少，及财政资金紧张，厉行节约，压减支出，非紧急必要项目未支付，项目支出减少，收、支大幅减少。</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13187.89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与2023年度相比，减少12448.10万元，下降48.6%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万元，缴纳的耕地占用税大幅减少，及财政资金紧张，厉行节约，压减支出，非紧急必要项目未支付，项目支出减少，收入大幅减少。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13187.89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13187.89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与2023年度相比，减少12448.10万元，下降48.6%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万元，缴纳的耕地占用税大幅减少，及财政资金紧张，厉行节约，压减支出，非紧急必要项目未支付，项目支出减少，支出大幅减少。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3316.18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9871.71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13187.89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财政拨款收、支总计各减少12448.10万元，下降48.6%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万元，缴纳的耕地占用税大幅减少，及财政资金紧张，厉行节约，压减支出，非紧急必要项目未支付，项目支出减少，</w:t>
      </w:r>
      <w:r>
        <w:rPr>
          <w:rFonts w:ascii="方正仿宋_GBK" w:hAnsi="方正仿宋_GBK" w:eastAsia="方正仿宋_GBK" w:cs="方正仿宋_GBK"/>
          <w:sz w:val="32"/>
          <w:szCs w:val="32"/>
          <w:shd w:val="clear" w:color="auto" w:fill="FFFFFF"/>
        </w:rPr>
        <w:t>收、支</w:t>
      </w:r>
      <w:r>
        <w:rPr>
          <w:rFonts w:hint="eastAsia" w:ascii="方正仿宋_GBK" w:hAnsi="方正仿宋_GBK" w:eastAsia="方正仿宋_GBK" w:cs="方正仿宋_GBK"/>
          <w:sz w:val="32"/>
          <w:szCs w:val="32"/>
          <w:shd w:val="clear" w:color="auto" w:fill="FFFFFF"/>
          <w:lang w:val="en-US" w:eastAsia="zh-CN"/>
        </w:rPr>
        <w:t>大幅减少。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7073.78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与2023年度相比，减少3160.89万元，下降30.9%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万元，缴纳的耕地占用税大幅减少，及财政资金紧张，厉行节约，压减支出，非紧急必要项目未支付，项目支出减少，</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入大幅减少。</w:t>
      </w:r>
      <w:r>
        <w:rPr>
          <w:rFonts w:hint="default" w:ascii="Times New Roman" w:hAnsi="Times New Roman" w:eastAsia="方正仿宋_GBK"/>
          <w:sz w:val="32"/>
          <w:szCs w:val="32"/>
          <w:shd w:val="clear" w:color="auto" w:fill="FFFFFF"/>
        </w:rPr>
        <w:t>较年初预算数减少3076.00万元，下降30.3%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财政资金紧张，厉行节约，压减支出，非紧急必要项目未支付，项目支出减少，</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7073.78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与2023年度相比，减少3160.89万元，下降30.9%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1448.87</w:t>
      </w:r>
      <w:r>
        <w:rPr>
          <w:rFonts w:hint="eastAsia" w:ascii="方正仿宋_GBK" w:hAnsi="方正仿宋_GBK" w:eastAsia="方正仿宋_GBK" w:cs="方正仿宋_GBK"/>
          <w:sz w:val="32"/>
          <w:szCs w:val="32"/>
          <w:shd w:val="clear" w:color="auto" w:fill="FFFFFF"/>
          <w:lang w:val="en-US" w:eastAsia="zh-CN"/>
        </w:rPr>
        <w:t>万元，缴纳的耕地占用税大幅减少，及财政资金紧张，厉行节约，压减支出，非紧急必要项目未支付，项目支出减少，支出大幅减少。</w:t>
      </w:r>
      <w:r>
        <w:rPr>
          <w:rFonts w:hint="default" w:ascii="Times New Roman" w:hAnsi="Times New Roman" w:eastAsia="方正仿宋_GBK"/>
          <w:sz w:val="32"/>
          <w:szCs w:val="32"/>
          <w:shd w:val="clear" w:color="auto" w:fill="FFFFFF"/>
        </w:rPr>
        <w:t>较年初预算数减少3076.00万元，下降30.3%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财政资金紧张，厉行节约，压减支出，非紧急必要项目未支付，项目支出减少。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681.96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较年初预算数增加681.96万元，增长100.0%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年末就年度变更调查等</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年项目预拨列支列入</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而年初未做预算，故增长</w:t>
      </w:r>
      <w:r>
        <w:rPr>
          <w:rFonts w:hint="eastAsia" w:ascii="Times New Roman" w:hAnsi="Times New Roman" w:eastAsia="方正仿宋_GBK"/>
          <w:sz w:val="32"/>
          <w:szCs w:val="32"/>
          <w:shd w:val="clear" w:color="auto" w:fill="FFFFFF"/>
          <w:lang w:val="en-US" w:eastAsia="zh-CN"/>
        </w:rPr>
        <w:t>100.0%。</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515.82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较年初预算数增加126.42万元，增长32.5%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名退休人员及</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名退休人员死亡，一次性退休补贴及抚恤金增加，及本年度事业人员养老保险和职业年金缴费基数调整，将超额绩效纳入缴费基数，故</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eastAsia" w:ascii="方正仿宋_GBK" w:hAnsi="方正仿宋_GBK" w:eastAsia="方正仿宋_GBK" w:cs="方正仿宋_GBK"/>
          <w:sz w:val="32"/>
          <w:szCs w:val="32"/>
          <w:shd w:val="clear" w:color="auto" w:fill="FFFFFF"/>
          <w:lang w:val="en-US" w:eastAsia="zh-CN"/>
        </w:rPr>
        <w:t>增长。</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163.00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较年初预算数增加1.31万元，增长0.8%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下属事业单位年初预算时将医保垫底资金计入事业运行，年底决算时根据决算口径，将医保垫底资金支出调剂到其他行政事业单位医疗支出，计入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399.71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较年初预算数减少437.25万元，下降52.2%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黔龙阳光新世界项目过渡安置费支付更正，调整为了预拨经费。</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186.45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较年初预算数增加141.95万元，增长319.0%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缴纳</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年度耕地占用税</w:t>
      </w:r>
      <w:r>
        <w:rPr>
          <w:rFonts w:hint="eastAsia" w:ascii="Times New Roman" w:hAnsi="Times New Roman" w:eastAsia="方正仿宋_GBK"/>
          <w:sz w:val="32"/>
          <w:szCs w:val="32"/>
          <w:shd w:val="clear" w:color="auto" w:fill="FFFFFF"/>
          <w:lang w:val="en-US" w:eastAsia="zh-CN"/>
        </w:rPr>
        <w:t>141.95</w:t>
      </w:r>
      <w:r>
        <w:rPr>
          <w:rFonts w:hint="eastAsia" w:ascii="方正仿宋_GBK" w:hAnsi="方正仿宋_GBK" w:eastAsia="方正仿宋_GBK" w:cs="方正仿宋_GBK"/>
          <w:sz w:val="32"/>
          <w:szCs w:val="32"/>
          <w:shd w:val="clear" w:color="auto" w:fill="FFFFFF"/>
          <w:lang w:val="en-US" w:eastAsia="zh-CN"/>
        </w:rPr>
        <w:t>万元列入</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而耕地占用税实时发生核算，年初未做预算，</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val="en-US" w:eastAsia="zh-CN"/>
        </w:rPr>
        <w:t>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2106.77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较年初预算数减少6163.10万元，下降74.5%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财政资金紧张，厉行节约，压减支出，非紧急必要项目未支付。</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169.98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较年初预算数减少0.74万元，下降0.4%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，本年度公务员</w:t>
      </w:r>
      <w:r>
        <w:rPr>
          <w:rFonts w:hint="eastAsia" w:ascii="方正仿宋_GBK" w:hAnsi="方正仿宋_GBK" w:eastAsia="方正仿宋_GBK" w:cs="方正仿宋_GBK"/>
          <w:sz w:val="32"/>
          <w:szCs w:val="32"/>
          <w:shd w:val="clear" w:color="auto" w:fill="FFFFFF"/>
          <w:lang w:val="en-US" w:eastAsia="zh-CN" w:bidi="ar-SA"/>
        </w:rPr>
        <w:t>本年度调出3人，退休2人，人员减少5人，故住房公积金减少，</w:t>
      </w:r>
      <w:r>
        <w:rPr>
          <w:rFonts w:ascii="方正仿宋_GBK" w:hAnsi="方正仿宋_GBK" w:eastAsia="方正仿宋_GBK" w:cs="方正仿宋_GBK"/>
          <w:sz w:val="32"/>
          <w:szCs w:val="32"/>
        </w:rPr>
        <w:t>住房保障支</w:t>
      </w:r>
      <w:r>
        <w:rPr>
          <w:rFonts w:hint="eastAsia" w:ascii="方正仿宋_GBK" w:hAnsi="方正仿宋_GBK" w:eastAsia="方正仿宋_GBK" w:cs="方正仿宋_GBK"/>
          <w:sz w:val="32"/>
          <w:szCs w:val="32"/>
          <w:lang w:val="en-US" w:eastAsia="zh-CN"/>
        </w:rPr>
        <w:t>出</w:t>
      </w:r>
      <w:r>
        <w:rPr>
          <w:rFonts w:hint="eastAsia" w:ascii="方正仿宋_GBK" w:hAnsi="方正仿宋_GBK" w:eastAsia="方正仿宋_GBK" w:cs="方正仿宋_GBK"/>
          <w:sz w:val="32"/>
          <w:szCs w:val="32"/>
          <w:shd w:val="clear" w:color="auto" w:fill="FFFFFF"/>
          <w:lang w:val="en-US" w:eastAsia="zh-CN"/>
        </w:rPr>
        <w:t>减少。</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2850.10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较年初预算数增加2573.46万元，增长930.3%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年度下达地质灾害综合防治体系建设工程避险搬迁、监测台站等国债项目资金并完成支付，故</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增长930.3%</w:t>
      </w:r>
      <w:r>
        <w:rPr>
          <w:rFonts w:hint="eastAsia" w:ascii="Times New Roman" w:hAnsi="Times New Roman" w:eastAsia="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3316.18</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2980.85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与2023年度相比，增加250.83万元，增长9.2%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名退休人员及</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名退休人员死亡，一次性退休补贴及抚恤金增加，及本年度事业人员养老保险和职业年金缴费基数调整，将超额绩效纳入缴费基数，故</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eastAsia" w:ascii="方正仿宋_GBK" w:hAnsi="方正仿宋_GBK" w:eastAsia="方正仿宋_GBK" w:cs="方正仿宋_GBK"/>
          <w:sz w:val="32"/>
          <w:szCs w:val="32"/>
          <w:shd w:val="clear" w:color="auto" w:fill="FFFFFF"/>
          <w:lang w:val="en-US" w:eastAsia="zh-CN"/>
        </w:rPr>
        <w:t>增长，人员经费增长。</w:t>
      </w:r>
      <w:r>
        <w:rPr>
          <w:rFonts w:ascii="方正仿宋_GBK" w:hAnsi="方正仿宋_GBK" w:eastAsia="方正仿宋_GBK" w:cs="方正仿宋_GBK"/>
          <w:sz w:val="32"/>
          <w:szCs w:val="32"/>
          <w:shd w:val="clear" w:color="auto" w:fill="FFFFFF"/>
        </w:rPr>
        <w:t>人员经费用途主要包括包括</w:t>
      </w:r>
      <w:r>
        <w:rPr>
          <w:rFonts w:hint="eastAsia" w:ascii="方正仿宋_GBK" w:hAnsi="方正仿宋_GBK" w:eastAsia="方正仿宋_GBK" w:cs="方正仿宋_GBK"/>
          <w:sz w:val="32"/>
          <w:szCs w:val="32"/>
          <w:shd w:val="clear" w:color="auto" w:fill="FFFFFF"/>
        </w:rPr>
        <w:t>基本工资、津贴补贴、奖金、社会保障缴费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335.33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与2023年度相比，减少58.78万元，下降14.9%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6114.11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与2023年度相比，减少9287.22万元，下降60.3%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1306.92</w:t>
      </w:r>
      <w:r>
        <w:rPr>
          <w:rFonts w:hint="eastAsia" w:ascii="方正仿宋_GBK" w:hAnsi="方正仿宋_GBK" w:eastAsia="方正仿宋_GBK" w:cs="方正仿宋_GBK"/>
          <w:sz w:val="32"/>
          <w:szCs w:val="32"/>
          <w:shd w:val="clear" w:color="auto" w:fill="FFFFFF"/>
          <w:lang w:val="en-US" w:eastAsia="zh-CN"/>
        </w:rPr>
        <w:t>万元，缴纳的耕地占用税大幅减少及农村基础设施建设支出等项目支出减少，收入减少。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6114.11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与2023年度相比，减少9287.22万元，下降60.3%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上年度缴纳耕地占用税</w:t>
      </w:r>
      <w:r>
        <w:rPr>
          <w:rFonts w:hint="eastAsia" w:ascii="Times New Roman" w:hAnsi="Times New Roman" w:eastAsia="方正仿宋_GBK"/>
          <w:sz w:val="32"/>
          <w:szCs w:val="32"/>
          <w:shd w:val="clear" w:color="auto" w:fill="FFFFFF"/>
          <w:lang w:val="en-US" w:eastAsia="zh-CN"/>
        </w:rPr>
        <w:t>10216.89</w:t>
      </w:r>
      <w:r>
        <w:rPr>
          <w:rFonts w:hint="eastAsia" w:ascii="方正仿宋_GBK" w:hAnsi="方正仿宋_GBK" w:eastAsia="方正仿宋_GBK" w:cs="方正仿宋_GBK"/>
          <w:sz w:val="32"/>
          <w:szCs w:val="32"/>
          <w:shd w:val="clear" w:color="auto" w:fill="FFFFFF"/>
          <w:lang w:val="en-US" w:eastAsia="zh-CN"/>
        </w:rPr>
        <w:t>万元，本年度缴纳</w:t>
      </w:r>
      <w:r>
        <w:rPr>
          <w:rFonts w:hint="eastAsia" w:ascii="Times New Roman" w:hAnsi="Times New Roman" w:eastAsia="方正仿宋_GBK"/>
          <w:sz w:val="32"/>
          <w:szCs w:val="32"/>
          <w:shd w:val="clear" w:color="auto" w:fill="FFFFFF"/>
          <w:lang w:val="en-US" w:eastAsia="zh-CN"/>
        </w:rPr>
        <w:t>1306.92</w:t>
      </w:r>
      <w:r>
        <w:rPr>
          <w:rFonts w:hint="eastAsia" w:ascii="方正仿宋_GBK" w:hAnsi="方正仿宋_GBK" w:eastAsia="方正仿宋_GBK" w:cs="方正仿宋_GBK"/>
          <w:sz w:val="32"/>
          <w:szCs w:val="32"/>
          <w:shd w:val="clear" w:color="auto" w:fill="FFFFFF"/>
          <w:lang w:val="en-US" w:eastAsia="zh-CN"/>
        </w:rPr>
        <w:t>万元，缴纳的耕地占用税大幅减少及农村基础设施建设支出等项目支出减少，支出减少。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本部门</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36.53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较年初预算数减少3.36万元，下降8.4%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持续深化党政机关过紧日子要求，按照统一工作部署，“三公”经费较上年只减不增，压减“三公”经费标准。</w:t>
      </w:r>
      <w:r>
        <w:rPr>
          <w:rFonts w:hint="default" w:ascii="Times New Roman" w:hAnsi="Times New Roman" w:eastAsia="方正仿宋_GBK"/>
          <w:sz w:val="32"/>
          <w:szCs w:val="32"/>
          <w:shd w:val="clear" w:color="auto" w:fill="FFFFFF"/>
        </w:rPr>
        <w:t>较上年支出数增加21.21万元，增长138.5%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因工作需要，本年度新购一辆公务用车，公务用车购置费及日常加油维护费增加。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21.53</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应急保障和日常执法。</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较年初预算数减少3.47万元，下降13.9%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该车辆年初预算</w:t>
      </w:r>
      <w:r>
        <w:rPr>
          <w:rFonts w:hint="eastAsia" w:ascii="Times New Roman" w:hAnsi="Times New Roman" w:eastAsia="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val="en-US" w:eastAsia="zh-CN"/>
        </w:rPr>
        <w:t>万元，实际成交价</w:t>
      </w:r>
      <w:r>
        <w:rPr>
          <w:rFonts w:hint="eastAsia" w:ascii="Times New Roman" w:hAnsi="Times New Roman" w:eastAsia="方正仿宋_GBK"/>
          <w:sz w:val="32"/>
          <w:szCs w:val="32"/>
          <w:shd w:val="clear" w:color="auto" w:fill="FFFFFF"/>
          <w:lang w:val="en-US" w:eastAsia="zh-CN"/>
        </w:rPr>
        <w:t>21.53</w:t>
      </w:r>
      <w:r>
        <w:rPr>
          <w:rFonts w:hint="eastAsia" w:ascii="方正仿宋_GBK" w:hAnsi="方正仿宋_GBK" w:eastAsia="方正仿宋_GBK" w:cs="方正仿宋_GBK"/>
          <w:sz w:val="32"/>
          <w:szCs w:val="32"/>
          <w:shd w:val="clear" w:color="auto" w:fill="FFFFFF"/>
          <w:lang w:val="en-US" w:eastAsia="zh-CN"/>
        </w:rPr>
        <w:t>万元，故较年初预算减少</w:t>
      </w:r>
      <w:r>
        <w:rPr>
          <w:rFonts w:hint="eastAsia" w:ascii="Times New Roman" w:hAnsi="Times New Roman" w:eastAsia="方正仿宋_GBK"/>
          <w:sz w:val="32"/>
          <w:szCs w:val="32"/>
          <w:shd w:val="clear" w:color="auto" w:fill="FFFFFF"/>
          <w:lang w:val="en-US" w:eastAsia="zh-CN"/>
        </w:rPr>
        <w:t>3.47</w:t>
      </w:r>
      <w:r>
        <w:rPr>
          <w:rFonts w:hint="eastAsia" w:ascii="方正仿宋_GBK" w:hAnsi="方正仿宋_GBK" w:eastAsia="方正仿宋_GBK" w:cs="方正仿宋_GBK"/>
          <w:sz w:val="32"/>
          <w:szCs w:val="32"/>
          <w:shd w:val="clear" w:color="auto" w:fill="FFFFFF"/>
          <w:lang w:val="en-US" w:eastAsia="zh-CN"/>
        </w:rPr>
        <w:t>万元。</w:t>
      </w:r>
      <w:r>
        <w:rPr>
          <w:rFonts w:hint="default" w:ascii="Times New Roman" w:hAnsi="Times New Roman" w:eastAsia="方正仿宋_GBK"/>
          <w:sz w:val="32"/>
          <w:szCs w:val="32"/>
          <w:shd w:val="clear" w:color="auto" w:fill="FFFFFF"/>
        </w:rPr>
        <w:t>较上年支出数增加21.53万元，增长100.0%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上年度无新购公务用车，本年度因工作需要新购一辆公务用车，故支出较上年增加。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11.22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乡村振兴</w:t>
      </w:r>
      <w:r>
        <w:rPr>
          <w:rFonts w:hint="eastAsia" w:ascii="方正仿宋_GBK" w:hAnsi="方正仿宋_GBK" w:eastAsia="方正仿宋_GBK" w:cs="方正仿宋_GBK"/>
          <w:sz w:val="32"/>
          <w:szCs w:val="32"/>
          <w:shd w:val="clear" w:color="auto" w:fill="FFFFFF"/>
        </w:rPr>
        <w:t>、地质灾害应急管理</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开展耕地恢复补足</w:t>
      </w:r>
      <w:r>
        <w:rPr>
          <w:rFonts w:hint="eastAsia" w:ascii="方正仿宋_GBK" w:hAnsi="方正仿宋_GBK" w:eastAsia="方正仿宋_GBK" w:cs="方正仿宋_GBK"/>
          <w:sz w:val="32"/>
          <w:szCs w:val="32"/>
          <w:shd w:val="clear" w:color="auto" w:fill="FFFFFF"/>
        </w:rPr>
        <w:t>及市内因公出行的燃料费、维修费、保险费等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较年初预算数增加2.13万元，增长23.4%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新增一辆公务用车，日常加油维护增加，故较年初预算数增加。</w:t>
      </w:r>
      <w:r>
        <w:rPr>
          <w:rFonts w:hint="default" w:ascii="Times New Roman" w:hAnsi="Times New Roman" w:eastAsia="方正仿宋_GBK"/>
          <w:sz w:val="32"/>
          <w:szCs w:val="32"/>
          <w:shd w:val="clear" w:color="auto" w:fill="FFFFFF"/>
        </w:rPr>
        <w:t>较上年支出数减少0.24万元，下降2.1%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持续深化党政机关过紧日子要求，按照统一工作部署，“三公”经费较上年只减不增，压减“三公”经费标准，故较上年减少。</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3.79</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市规资局、巡查组到我</w:t>
      </w:r>
      <w:r>
        <w:rPr>
          <w:rFonts w:hint="eastAsia" w:ascii="方正仿宋_GBK" w:hAnsi="方正仿宋_GBK" w:eastAsia="方正仿宋_GBK" w:cs="方正仿宋_GBK"/>
          <w:sz w:val="32"/>
          <w:szCs w:val="32"/>
          <w:shd w:val="clear" w:color="auto" w:fill="FFFFFF"/>
          <w:lang w:val="en-US" w:eastAsia="zh-CN"/>
        </w:rPr>
        <w:t>部门</w:t>
      </w:r>
      <w:r>
        <w:rPr>
          <w:rFonts w:hint="eastAsia" w:ascii="方正仿宋_GBK" w:hAnsi="方正仿宋_GBK" w:eastAsia="方正仿宋_GBK" w:cs="方正仿宋_GBK"/>
          <w:sz w:val="32"/>
          <w:szCs w:val="32"/>
          <w:shd w:val="clear" w:color="auto" w:fill="FFFFFF"/>
        </w:rPr>
        <w:t>检查工作的费用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较年初预算数减少2.01万元，下降34.7%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持续深化党政机关过紧日子要求，按照统一工作部署，“三公”经费较上年只减不增，压减“三公”经费标准，严控公务接待次数及标准，故公务接待费减少。</w:t>
      </w:r>
      <w:r>
        <w:rPr>
          <w:rFonts w:hint="default" w:ascii="Times New Roman" w:hAnsi="Times New Roman" w:eastAsia="方正仿宋_GBK"/>
          <w:sz w:val="32"/>
          <w:szCs w:val="32"/>
          <w:shd w:val="clear" w:color="auto" w:fill="FFFFFF"/>
        </w:rPr>
        <w:t>较上年支出数减少0.07万元，下降1.8%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持续深化党政机关过紧日子要求，按照统一工作部署，“三公”经费较上年只减不增，压减“三公”经费标准，故公务接待费减少。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404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93.70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21.53</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5.17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与2023年度相比，增加3.19万元，增长161.1%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为解决信访等突出问题，于市上现场办公，故会议费支出增加。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与2023年度相比，减少1.13万元，下降16.3%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持续深化党政机关过紧日子要求，按照统一工作部署，严控培训次数，故培训费减少。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25.96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与2023年度相比，减少17.70万元，下降40.5%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持续深化党政机关过紧日子要求，按照统一工作部署，严控出差次数及标准，故差旅费减少。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117.28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较上年支出数减少70.28万元，下降37.5%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本年度公务员退休2人，调出3人，年初预算数减少，同时持续深化党政机关过紧日子要求，按照统一工作部署，压降日常</w:t>
      </w:r>
      <w:r>
        <w:rPr>
          <w:rFonts w:hint="eastAsia"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val="en-US" w:eastAsia="zh-CN"/>
        </w:rPr>
        <w:t>标准。</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2478.96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2478.96</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1387.16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56.0%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674.66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27.2 %</w:t>
      </w:r>
      <w:r>
        <w:rPr>
          <w:rFonts w:ascii="方正仿宋_GBK" w:hAnsi="方正仿宋_GBK" w:eastAsia="方正仿宋_GBK" w:cs="方正仿宋_GBK"/>
          <w:sz w:val="32"/>
          <w:szCs w:val="32"/>
          <w:shd w:val="clear" w:color="auto" w:fill="FFFFFF"/>
        </w:rPr>
        <w:t>。主要用于采购采购</w:t>
      </w:r>
      <w:r>
        <w:rPr>
          <w:rFonts w:hint="eastAsia" w:ascii="方正仿宋_GBK" w:hAnsi="方正仿宋_GBK" w:eastAsia="方正仿宋_GBK" w:cs="方正仿宋_GBK"/>
          <w:sz w:val="32"/>
          <w:szCs w:val="32"/>
          <w:shd w:val="clear" w:color="auto" w:fill="FFFFFF"/>
          <w:lang w:val="en-US" w:eastAsia="zh-CN"/>
        </w:rPr>
        <w:t>酉阳历史文化名城保护规划、耕地和永久基本农田划定成果核实处置项目、</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年度耕地恢复补足技术服务等项目。</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w:t>
      </w:r>
      <w:r>
        <w:rPr>
          <w:rFonts w:hint="eastAsia" w:ascii="楷体" w:hAnsi="楷体" w:eastAsia="楷体" w:cs="楷体"/>
          <w:b/>
          <w:bCs/>
          <w:kern w:val="0"/>
          <w:sz w:val="32"/>
          <w:szCs w:val="32"/>
          <w:shd w:val="clear" w:fill="FFFFFF"/>
          <w:lang w:val="en-US" w:eastAsia="zh-CN"/>
        </w:rPr>
        <w:t>部门</w:t>
      </w:r>
      <w:r>
        <w:rPr>
          <w:rFonts w:hint="eastAsia" w:ascii="楷体" w:hAnsi="楷体" w:eastAsia="楷体" w:cs="楷体"/>
          <w:b/>
          <w:bCs/>
          <w:kern w:val="0"/>
          <w:sz w:val="32"/>
          <w:szCs w:val="32"/>
          <w:shd w:val="clear" w:fill="FFFFFF"/>
        </w:rPr>
        <w:t>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Times New Roman"/>
          <w:sz w:val="32"/>
          <w:szCs w:val="32"/>
          <w:shd w:val="clear" w:color="auto" w:fill="FFFFFF"/>
          <w:lang w:val="en-US" w:eastAsia="zh-CN" w:bidi="ar-SA"/>
        </w:rPr>
        <w:t>36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9871.71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2"/>
        <w:spacing w:before="0" w:beforeAutospacing="0" w:after="0" w:afterAutospacing="0" w:line="596" w:lineRule="exact"/>
        <w:ind w:firstLine="640" w:firstLineChars="200"/>
        <w:rPr>
          <w:rFonts w:hint="eastAsia" w:ascii="方正仿宋_GBK" w:hAnsi="方正仿宋_GBK" w:eastAsia="方正仿宋_GBK" w:cs="方正仿宋_GBK"/>
          <w:b/>
          <w:bCs/>
          <w:sz w:val="32"/>
          <w:szCs w:val="32"/>
          <w:highlight w:val="none"/>
          <w:shd w:val="clear" w:color="auto" w:fill="FFFFFF"/>
        </w:rPr>
      </w:pPr>
      <w:r>
        <w:rPr>
          <w:rFonts w:hint="eastAsia" w:ascii="方正仿宋_GBK" w:hAnsi="方正仿宋_GBK" w:eastAsia="方正仿宋_GBK" w:cs="方正仿宋_GBK"/>
          <w:b/>
          <w:bCs/>
          <w:sz w:val="32"/>
          <w:szCs w:val="32"/>
          <w:highlight w:val="none"/>
          <w:shd w:val="clear" w:color="auto" w:fill="FFFFFF"/>
        </w:rPr>
        <w:t>部门整体绩效自评表</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详见附件。</w:t>
      </w:r>
    </w:p>
    <w:p>
      <w:pPr>
        <w:pStyle w:val="12"/>
        <w:spacing w:before="0" w:beforeAutospacing="0" w:after="0" w:afterAutospacing="0" w:line="596" w:lineRule="exact"/>
        <w:ind w:firstLine="640" w:firstLineChars="200"/>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b/>
          <w:bCs/>
          <w:sz w:val="32"/>
          <w:szCs w:val="32"/>
          <w:highlight w:val="none"/>
          <w:shd w:val="clear" w:color="auto" w:fill="FFFFFF"/>
        </w:rPr>
        <w:t>项目支出绩效自评表（</w:t>
      </w:r>
      <w:r>
        <w:rPr>
          <w:rFonts w:hint="eastAsia" w:ascii="方正仿宋_GBK" w:hAnsi="方正仿宋_GBK" w:eastAsia="方正仿宋_GBK" w:cs="方正仿宋_GBK"/>
          <w:b/>
          <w:bCs/>
          <w:sz w:val="32"/>
          <w:szCs w:val="32"/>
          <w:highlight w:val="none"/>
          <w:shd w:val="clear" w:color="auto" w:fill="FFFFFF"/>
          <w:lang w:eastAsia="zh-CN"/>
        </w:rPr>
        <w:t>二</w:t>
      </w:r>
      <w:r>
        <w:rPr>
          <w:rFonts w:hint="eastAsia" w:ascii="方正仿宋_GBK" w:hAnsi="方正仿宋_GBK" w:eastAsia="方正仿宋_GBK" w:cs="方正仿宋_GBK"/>
          <w:b/>
          <w:bCs/>
          <w:sz w:val="32"/>
          <w:szCs w:val="32"/>
          <w:highlight w:val="none"/>
          <w:shd w:val="clear" w:color="auto" w:fill="FFFFFF"/>
        </w:rPr>
        <w:t>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none"/>
          <w:shd w:val="clear"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bidi="ar"/>
        </w:rPr>
        <w:t>详见附件。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我部门未组织开展部门绩效评价。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县财政局未委托第三方对我部门开展绩效评价。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酉阳土家族苗族自治县规划和自然资源局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7,073.78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6,114.11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6,513.82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13,187.89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酉阳土家族苗族自治县规划和自然资源局</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13,187.89</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13,187.89</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6,513.82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6,513.82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4,873.70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4,873.70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土地出让业务支出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国有土地收益基金安排的支出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2121099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其他国有土地收益基金支出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1,431.33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1,431.33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酉阳土家族苗族自治县规划和自然资源局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13,187.89</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3,316.18</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9,871.71</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6,513.82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6,114.11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4,873.70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4,873.70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土地出让业务支出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2,733.02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国有土地收益基金安排的支出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1,136.25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其他国有土地收益基金支出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2,067.67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2,067.67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1,431.33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1,431.33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酉阳土家族苗族自治县规划和自然资源局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7,073.78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6,114.11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6,513.82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6,114.11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2,106.77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2,106.77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7,073.78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6,114.11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7,073.78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6,114.11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酉阳土家族苗族自治县规划和自然资源局</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7,073.78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3,316.18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3,757.60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154.40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399.71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399.71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186.45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2,106.77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1,431.33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1,431.33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2,850.10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酉阳土家族苗族自治县规划和自然资源局</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2,894.47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737.08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283.04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1,001.88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284.32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2,980.85</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酉阳土家族苗族自治县规划和自然资源局</w:t>
            </w: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6,114.11</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6,114.11</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6,114.11</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6,114.11</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6,114.11</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6,114.11</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4,873.70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4,873.70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4,873.70</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707.72</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707.72</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707.72</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1,316.07</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2120806</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土地出让业务支出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2,733.02</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2,733.02</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2,733.02</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21210</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国有土地收益基金安排的支出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1,136.25</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1,136.25</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1,136.25</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2121001</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741.88</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741.88</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741.88</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2121099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其他国有土地收益基金支出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394.37</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394.37</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394.37</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104.15</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104.15</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104.15</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104.15</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104.15</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104.15</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酉阳土家族苗族自治县规划和自然资源局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酉阳土家族苗族自治县规划和自然资源局</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36.53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36.53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32.75</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2,478.96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2,478.96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1,387.16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674.66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41E35"/>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4C904B8"/>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03ADE"/>
    <w:rsid w:val="0B9335CE"/>
    <w:rsid w:val="0C7927C4"/>
    <w:rsid w:val="0C9B098C"/>
    <w:rsid w:val="0D673E11"/>
    <w:rsid w:val="0DDA54E4"/>
    <w:rsid w:val="0E084ABF"/>
    <w:rsid w:val="0E3A5F83"/>
    <w:rsid w:val="0E74421A"/>
    <w:rsid w:val="0EA46639"/>
    <w:rsid w:val="0EC6180C"/>
    <w:rsid w:val="0F497FB6"/>
    <w:rsid w:val="0F836721"/>
    <w:rsid w:val="0FA25D96"/>
    <w:rsid w:val="107B59E5"/>
    <w:rsid w:val="10D37712"/>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267261"/>
    <w:rsid w:val="158F4E06"/>
    <w:rsid w:val="163A6CEE"/>
    <w:rsid w:val="1651030E"/>
    <w:rsid w:val="173708E3"/>
    <w:rsid w:val="174C19C7"/>
    <w:rsid w:val="17C374FC"/>
    <w:rsid w:val="189079DC"/>
    <w:rsid w:val="189B0D0B"/>
    <w:rsid w:val="18B43F7C"/>
    <w:rsid w:val="194A1770"/>
    <w:rsid w:val="19B906A4"/>
    <w:rsid w:val="19FB026E"/>
    <w:rsid w:val="1B5E1503"/>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7CA5DFB"/>
    <w:rsid w:val="27E40FE2"/>
    <w:rsid w:val="29310A5F"/>
    <w:rsid w:val="29C37A35"/>
    <w:rsid w:val="2A076083"/>
    <w:rsid w:val="2A73162E"/>
    <w:rsid w:val="2A751F0B"/>
    <w:rsid w:val="2B167953"/>
    <w:rsid w:val="2B200583"/>
    <w:rsid w:val="2B220436"/>
    <w:rsid w:val="2B8209DE"/>
    <w:rsid w:val="2C6762A3"/>
    <w:rsid w:val="2EBF7B3E"/>
    <w:rsid w:val="2EDE1934"/>
    <w:rsid w:val="2F6A44C2"/>
    <w:rsid w:val="2FCA4B37"/>
    <w:rsid w:val="2FE029D7"/>
    <w:rsid w:val="2FF06E00"/>
    <w:rsid w:val="30562E26"/>
    <w:rsid w:val="30586FEC"/>
    <w:rsid w:val="3062519A"/>
    <w:rsid w:val="30EC7046"/>
    <w:rsid w:val="315F0B22"/>
    <w:rsid w:val="319D022C"/>
    <w:rsid w:val="31C90022"/>
    <w:rsid w:val="31D84415"/>
    <w:rsid w:val="32285F6F"/>
    <w:rsid w:val="32770556"/>
    <w:rsid w:val="329C0913"/>
    <w:rsid w:val="32AA0460"/>
    <w:rsid w:val="3337290D"/>
    <w:rsid w:val="33E31118"/>
    <w:rsid w:val="33EF7674"/>
    <w:rsid w:val="342D7BC6"/>
    <w:rsid w:val="34475F39"/>
    <w:rsid w:val="35044A71"/>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464FD8"/>
    <w:rsid w:val="3B1705E5"/>
    <w:rsid w:val="3B18334B"/>
    <w:rsid w:val="3B36794F"/>
    <w:rsid w:val="3C566AD6"/>
    <w:rsid w:val="3C5938F5"/>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1FC1E13"/>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AD14F9E"/>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AC465A"/>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C5F2EA7"/>
    <w:rsid w:val="6D903FF5"/>
    <w:rsid w:val="6DA955B8"/>
    <w:rsid w:val="6DE346AB"/>
    <w:rsid w:val="6DE5391A"/>
    <w:rsid w:val="6EFD1324"/>
    <w:rsid w:val="6F5A53AC"/>
    <w:rsid w:val="6F8A5598"/>
    <w:rsid w:val="6FAC003D"/>
    <w:rsid w:val="6FE55E12"/>
    <w:rsid w:val="6FFB2E76"/>
    <w:rsid w:val="708F6F7F"/>
    <w:rsid w:val="70D94BD3"/>
    <w:rsid w:val="711E068D"/>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054FA9"/>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3085</Words>
  <Characters>3287</Characters>
  <Lines>186</Lines>
  <Paragraphs>52</Paragraphs>
  <TotalTime>18</TotalTime>
  <ScaleCrop>false</ScaleCrop>
  <LinksUpToDate>false</LinksUpToDate>
  <CharactersWithSpaces>3349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2025-10-14T01:57:18Z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eyJoZGlkIjoiZjI4YzIyZDQxMmRiMDEwM2VhZmUwMzQxMTZhZDIyM2QiLCJ1c2VySWQiOiIxNjgzNjk1NjE2In0=</vt:lpwstr>
  </property>
</Properties>
</file>