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6" w:lineRule="exact"/>
        <w:jc w:val="center"/>
        <w:rPr>
          <w:rFonts w:hint="default" w:ascii="方正小标宋_GBK" w:hAnsi="方正小标宋_GBK" w:eastAsia="方正小标宋_GBK" w:cs="方正小标宋_GBK"/>
          <w:sz w:val="36"/>
          <w:szCs w:val="36"/>
        </w:rPr>
      </w:pPr>
      <w:r>
        <w:rPr>
          <w:rFonts w:ascii="方正小标宋_GBK" w:hAnsi="方正小标宋_GBK" w:eastAsia="方正小标宋_GBK" w:cs="方正小标宋_GBK"/>
          <w:sz w:val="36"/>
          <w:szCs w:val="36"/>
        </w:rPr>
        <w:t>重庆市酉阳土家族苗族自治县土地房屋征收中心</w:t>
      </w:r>
    </w:p>
    <w:p>
      <w:pPr>
        <w:spacing w:line="596" w:lineRule="exact"/>
        <w:jc w:val="center"/>
        <w:rPr>
          <w:rFonts w:hint="default" w:ascii="方正小标宋_GBK" w:hAnsi="方正小标宋_GBK" w:eastAsia="方正小标宋_GBK" w:cs="方正小标宋_GBK"/>
          <w:sz w:val="36"/>
          <w:szCs w:val="36"/>
          <w:shd w:val="clear" w:color="auto" w:fill="FFFFFF"/>
        </w:rPr>
      </w:pPr>
      <w:r>
        <w:rPr>
          <w:rFonts w:hint="default" w:ascii="Times New Roman" w:hAnsi="Times New Roman" w:eastAsia="方正小标宋_GBK"/>
          <w:sz w:val="36"/>
          <w:szCs w:val="36"/>
          <w:shd w:val="clear" w:color="auto" w:fill="FFFFFF"/>
        </w:rPr>
        <w:t>2024</w:t>
      </w:r>
      <w:r>
        <w:rPr>
          <w:rFonts w:ascii="方正小标宋_GBK" w:hAnsi="方正小标宋_GBK" w:eastAsia="方正小标宋_GBK" w:cs="方正小标宋_GBK"/>
          <w:sz w:val="36"/>
          <w:szCs w:val="36"/>
          <w:shd w:val="clear" w:color="auto" w:fill="FFFFFF"/>
        </w:rPr>
        <w:t>年度决算说明</w:t>
      </w:r>
    </w:p>
    <w:p>
      <w:pPr>
        <w:shd w:val="clear" w:color="auto" w:fill="FFFFFF"/>
        <w:spacing w:line="596" w:lineRule="exact"/>
        <w:ind w:firstLine="643" w:firstLineChars="200"/>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一、单位基本情况</w:t>
      </w:r>
    </w:p>
    <w:p>
      <w:pPr>
        <w:shd w:val="clear" w:color="auto" w:fill="FFFFFF"/>
        <w:spacing w:line="596" w:lineRule="exact"/>
        <w:ind w:firstLine="643" w:firstLineChars="200"/>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（一）职能职责</w:t>
      </w:r>
    </w:p>
    <w:p>
      <w:pPr>
        <w:shd w:val="clear" w:color="auto" w:fill="FFFFFF"/>
        <w:spacing w:line="596" w:lineRule="exact"/>
        <w:ind w:firstLine="640" w:firstLineChars="200"/>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1.组织实施全</w:t>
      </w:r>
      <w:bookmarkStart w:id="0" w:name="_GoBack"/>
      <w:bookmarkEnd w:id="0"/>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县集体土地征收补偿安置的事务性工作。组织对拟征收范围内的土地、房屋及其他地上附着物等的权属、用途、面积等进行调查登记。协助主管部门指导、督促乡镇（街道）按县政府批准后的征地补偿安置方案开展集体土地征收工作。</w:t>
      </w:r>
    </w:p>
    <w:p>
      <w:pPr>
        <w:shd w:val="clear" w:color="auto" w:fill="FFFFFF"/>
        <w:spacing w:line="596" w:lineRule="exact"/>
        <w:ind w:firstLine="640" w:firstLineChars="200"/>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2.组织实施全县国有土地上房屋征收与补偿的事务性工作。组织对拟征收范围内国有土地上房屋的权属、区位、用途、面积等进行调查登记。协助主管部门指导、督促乡镇（街道）按照县政府批准后的房屋征收补偿方案开展国有土地上房屋征收与补偿工作。</w:t>
      </w:r>
    </w:p>
    <w:p>
      <w:pPr>
        <w:shd w:val="clear" w:color="auto" w:fill="FFFFFF"/>
        <w:spacing w:line="596" w:lineRule="exact"/>
        <w:ind w:firstLine="640" w:firstLineChars="200"/>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3.开展集体土地征收和国有土地上房屋征收与补偿政策及法律、法规的宣传、业务培训等工作。负责土地征收和房屋征收涉及相关文书、表册、协议和政策宣传资料等的规范和统一。</w:t>
      </w:r>
    </w:p>
    <w:p>
      <w:pPr>
        <w:shd w:val="clear" w:color="auto" w:fill="FFFFFF"/>
        <w:spacing w:line="596" w:lineRule="exact"/>
        <w:ind w:firstLine="640" w:firstLineChars="200"/>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4.协助土地征收行政主管部门做好土地征收报批的前期工作，协助房屋征收部门做好县政府对征收项目下达征收决定的前期工作，并协助相关行政主管部门指导各单位实施的各类征收项目按法定程序组织实施和工作推进。指导各征收项目的实施工作方案制定。</w:t>
      </w:r>
    </w:p>
    <w:p>
      <w:pPr>
        <w:shd w:val="clear" w:color="auto" w:fill="FFFFFF"/>
        <w:spacing w:line="596" w:lineRule="exact"/>
        <w:ind w:firstLine="640" w:firstLineChars="200"/>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5.协助土地征收和房屋征收行政主管部门组织开展动员会议、调查登记、公告公示、数据确认、结果认定、价值评估、文书送达、签订协议、兑现补偿、腾空验收、交房交地和房屋拆除等工作。负责代拟土地征收和房屋征收项目实施法定程序必须的各类公文并发布和送达正式公文。</w:t>
      </w:r>
    </w:p>
    <w:p>
      <w:pPr>
        <w:shd w:val="clear" w:color="auto" w:fill="FFFFFF"/>
        <w:spacing w:line="596" w:lineRule="exact"/>
        <w:ind w:firstLine="640" w:firstLineChars="200"/>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6.负责设立土地和房屋征收补偿安置资金专用账户并专项存储和管理使用，按规定计提和使用国有土地上房屋征收和集体土地征地拆迁工作经费。负责做好征收补偿安置涉及的相关费用的测算、收取、代缴、拨付和监督兑现。负责对补偿安置资金进行信息公开。配合审计部门对项目征收补偿资金开展审计。</w:t>
      </w:r>
    </w:p>
    <w:p>
      <w:pPr>
        <w:shd w:val="clear" w:color="auto" w:fill="FFFFFF"/>
        <w:spacing w:line="596" w:lineRule="exact"/>
        <w:ind w:firstLine="640" w:firstLineChars="200"/>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7.参与集体土地征收和国有土地上房屋征收补偿安置争议案件处理涉及的相关事务性工作。承担集体土地征收实施类和国有土地上房屋征收与补偿类矛盾纠纷的协调处理，及时回复信访、回应网络舆情反映事项。参与信访事件及遗留问题的调解处置工作。</w:t>
      </w:r>
    </w:p>
    <w:p>
      <w:pPr>
        <w:shd w:val="clear" w:color="auto" w:fill="FFFFFF"/>
        <w:spacing w:line="596" w:lineRule="exact"/>
        <w:ind w:firstLine="640" w:firstLineChars="200"/>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8.承担集体土地征收和国有土地上房屋征收档案的收集、归档和管理工作。做好档案资料的数据化、信息化建设工作。协助相关部门做好相关报表的统计、上报工作。负责征地实施备案和征地信息公开工作。</w:t>
      </w:r>
    </w:p>
    <w:p>
      <w:pPr>
        <w:shd w:val="clear" w:color="auto" w:fill="FFFFFF"/>
        <w:spacing w:line="596" w:lineRule="exact"/>
        <w:ind w:firstLine="640" w:firstLineChars="200"/>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9.负责房屋拆除单位和拆迁人员的资质审查工作。牵头组织对被征收房屋及其构（附）着物进行拆除和扬尘控制，负责检查督促有关房屋拆迁单位安全拆除。</w:t>
      </w:r>
    </w:p>
    <w:p>
      <w:pPr>
        <w:shd w:val="clear" w:color="auto" w:fill="FFFFFF"/>
        <w:spacing w:line="596" w:lineRule="exact"/>
        <w:ind w:firstLine="640" w:firstLineChars="200"/>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10.完成县委、县政府和县规划自然资源局交办的其他工作。接收县住房城乡建委业务指导。</w:t>
      </w:r>
    </w:p>
    <w:p>
      <w:pPr>
        <w:shd w:val="clear" w:color="auto" w:fill="FFFFFF"/>
        <w:spacing w:line="596" w:lineRule="exact"/>
        <w:ind w:firstLine="643" w:firstLineChars="200"/>
        <w:rPr>
          <w:rFonts w:hint="default" w:ascii="楷体" w:hAnsi="楷体" w:eastAsia="楷体" w:cs="楷体"/>
          <w:sz w:val="32"/>
          <w:szCs w:val="32"/>
        </w:rPr>
      </w:pPr>
      <w:r>
        <w:rPr>
          <w:rStyle w:val="11"/>
          <w:rFonts w:ascii="楷体" w:hAnsi="楷体" w:eastAsia="楷体" w:cs="楷体"/>
          <w:sz w:val="32"/>
          <w:szCs w:val="32"/>
          <w:shd w:val="clear" w:color="auto" w:fill="FFFFFF"/>
        </w:rPr>
        <w:t>（二）机构设置</w:t>
      </w:r>
    </w:p>
    <w:p>
      <w:pPr>
        <w:shd w:val="clear" w:color="auto" w:fill="FFFFFF"/>
        <w:spacing w:line="596" w:lineRule="exact"/>
        <w:ind w:firstLine="640" w:firstLineChars="200"/>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酉阳土家族苗族自治土地房屋征收中心是全额拨款正科级公益一类事业单位。内设综合科、财务科、集体土地征收科、国有土地上房屋征收科、政策法规科、信访科、档案信息科7个科室。</w:t>
      </w:r>
    </w:p>
    <w:p>
      <w:pPr>
        <w:shd w:val="clear" w:color="auto" w:fill="FFFFFF"/>
        <w:spacing w:line="596" w:lineRule="exact"/>
        <w:ind w:firstLine="643" w:firstLineChars="200"/>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二、单位决算收支情况说明</w:t>
      </w:r>
    </w:p>
    <w:p>
      <w:pPr>
        <w:autoSpaceDE w:val="0"/>
        <w:spacing w:line="596" w:lineRule="exact"/>
        <w:ind w:firstLine="643" w:firstLineChars="200"/>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（一）收入支出决算总体情况说明</w:t>
      </w:r>
    </w:p>
    <w:p>
      <w:pPr>
        <w:autoSpaceDE w:val="0"/>
        <w:spacing w:line="596"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2024年度收、支总计均为2464.14万元。收、支与2023年度相比，减少156.71万元，下降6.0%，主要原因是政府基金预算减少，加之 2024年退休1人，人员和公用经费减少，同时厉行节约，严格控制经费支出。</w:t>
      </w:r>
    </w:p>
    <w:p>
      <w:pPr>
        <w:autoSpaceDE w:val="0"/>
        <w:spacing w:line="596" w:lineRule="exact"/>
        <w:ind w:firstLine="643"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b/>
          <w:bCs/>
          <w:sz w:val="32"/>
          <w:szCs w:val="32"/>
          <w:shd w:val="clear" w:color="auto" w:fill="FFFFFF"/>
        </w:rPr>
        <w:t>1.收入情况。</w:t>
      </w:r>
      <w:r>
        <w:rPr>
          <w:rFonts w:hint="default" w:ascii="Times New Roman" w:hAnsi="Times New Roman" w:eastAsia="方正仿宋_GBK"/>
          <w:sz w:val="32"/>
          <w:szCs w:val="32"/>
          <w:shd w:val="clear" w:color="auto" w:fill="FFFFFF"/>
        </w:rPr>
        <w:t>2024年度收入合计2464.14万元，与2023年度相比，减少156.71万元，下降6.0%，主要原因是政府基金预算减少，加之2024年退休1人，人员和公用经费减少，同时厉行节约，严格控制经费支出。</w:t>
      </w:r>
    </w:p>
    <w:p>
      <w:pPr>
        <w:autoSpaceDE w:val="0"/>
        <w:spacing w:line="596"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其中：财政拨款收入2464.14万元，占100.0%；事业收入0.00万元，占0.0%；经营收入0.00万元，占0.0%；其他收入0.00万元，占0.0%。此外，使用非财政拨款结余（含专用结余）0.00万元，年初结转和结余0.00万元。</w:t>
      </w:r>
    </w:p>
    <w:p>
      <w:pPr>
        <w:autoSpaceDE w:val="0"/>
        <w:spacing w:line="596" w:lineRule="exact"/>
        <w:ind w:firstLine="643"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b/>
          <w:bCs/>
          <w:sz w:val="32"/>
          <w:szCs w:val="32"/>
          <w:shd w:val="clear" w:color="auto" w:fill="FFFFFF"/>
        </w:rPr>
        <w:t>2.支出情况。</w:t>
      </w:r>
      <w:r>
        <w:rPr>
          <w:rFonts w:hint="default" w:ascii="Times New Roman" w:hAnsi="Times New Roman" w:eastAsia="方正仿宋_GBK"/>
          <w:sz w:val="32"/>
          <w:szCs w:val="32"/>
          <w:shd w:val="clear" w:color="auto" w:fill="FFFFFF"/>
        </w:rPr>
        <w:t>2024年度支出合计2464.14万元，与2023年度相比，减少156.71万元，下降6.0%，主要原因是. 政府基金预算减少，加之2024年退休1人，人员和公用经费减少，同时厉行节约，严格控制经费支出。其中：基本支出525.52万元，占21.3%；项目支出1938.62万元，占78.7%；经营支出0.00万元，占0.0%。此外，结余分配0.00万元。</w:t>
      </w:r>
    </w:p>
    <w:p>
      <w:pPr>
        <w:autoSpaceDE w:val="0"/>
        <w:spacing w:line="596" w:lineRule="exact"/>
        <w:ind w:firstLine="643"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b/>
          <w:bCs/>
          <w:sz w:val="32"/>
          <w:szCs w:val="32"/>
          <w:shd w:val="clear" w:color="auto" w:fill="FFFFFF"/>
        </w:rPr>
        <w:t>3.结转结余情况。</w:t>
      </w:r>
      <w:r>
        <w:rPr>
          <w:rFonts w:hint="default" w:ascii="Times New Roman" w:hAnsi="Times New Roman" w:eastAsia="方正仿宋_GBK"/>
          <w:sz w:val="32"/>
          <w:szCs w:val="32"/>
          <w:shd w:val="clear" w:color="auto" w:fill="FFFFFF"/>
        </w:rPr>
        <w:t>2024年度年末结转和结余0.00万元，与2023年度相比，无增减。</w:t>
      </w:r>
    </w:p>
    <w:p>
      <w:pPr>
        <w:autoSpaceDE w:val="0"/>
        <w:spacing w:line="596" w:lineRule="exact"/>
        <w:ind w:firstLine="643" w:firstLineChars="200"/>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（二）财政拨款收入支出决算总体情况说明</w:t>
      </w:r>
    </w:p>
    <w:p>
      <w:pPr>
        <w:autoSpaceDE w:val="0"/>
        <w:spacing w:line="596"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财政拨款收、支总计均为2464.14万元。与2023年度相比，财政拨款收、支总计各减少156.71万元，下降6.0%。主要原因是政府基金预算减少，加之2024年退休1人，人员和公用经费减少，同时厉行节约，严格控制经费支出。</w:t>
      </w:r>
    </w:p>
    <w:p>
      <w:pPr>
        <w:autoSpaceDE w:val="0"/>
        <w:spacing w:line="596" w:lineRule="exact"/>
        <w:ind w:firstLine="643" w:firstLineChars="200"/>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（三）一般公共预算财政拨款收入支出决算情况说明</w:t>
      </w:r>
    </w:p>
    <w:p>
      <w:pPr>
        <w:autoSpaceDE w:val="0"/>
        <w:spacing w:line="596" w:lineRule="exact"/>
        <w:ind w:firstLine="643" w:firstLineChars="200"/>
        <w:rPr>
          <w:rStyle w:val="11"/>
          <w:rFonts w:hint="default" w:ascii="Times New Roman" w:hAnsi="Times New Roman" w:eastAsia="方正仿宋_GBK"/>
          <w:b w:val="0"/>
          <w:bCs/>
          <w:sz w:val="32"/>
          <w:szCs w:val="32"/>
          <w:shd w:val="clear" w:color="auto" w:fill="FFFFFF"/>
        </w:rPr>
      </w:pPr>
      <w:r>
        <w:rPr>
          <w:rStyle w:val="11"/>
          <w:rFonts w:hint="default" w:ascii="Times New Roman" w:hAnsi="Times New Roman" w:eastAsia="方正仿宋_GBK"/>
          <w:sz w:val="32"/>
          <w:szCs w:val="32"/>
          <w:shd w:val="clear" w:color="auto" w:fill="FFFFFF"/>
        </w:rPr>
        <w:t>1.收入情况。</w:t>
      </w:r>
      <w:r>
        <w:rPr>
          <w:rStyle w:val="11"/>
          <w:rFonts w:hint="default" w:ascii="Times New Roman" w:hAnsi="Times New Roman" w:eastAsia="方正仿宋_GBK"/>
          <w:b w:val="0"/>
          <w:bCs/>
          <w:sz w:val="32"/>
          <w:szCs w:val="32"/>
          <w:shd w:val="clear" w:color="auto" w:fill="FFFFFF"/>
        </w:rPr>
        <w:t>2024年度一般公共预算财政拨款收入535.12万元，与2023年度相比，增加40.62万元，增长8.2%。主要原因是干部职工岗位工资和薪级工资普调，社保缴费和住房公积金单位部分增加，较年初预算数减少416.19万元，下降43.8%。主要原因是</w:t>
      </w:r>
      <w:r>
        <w:rPr>
          <w:rStyle w:val="11"/>
          <w:rFonts w:ascii="Times New Roman" w:hAnsi="Times New Roman" w:eastAsia="方正仿宋_GBK"/>
          <w:b w:val="0"/>
          <w:bCs/>
          <w:sz w:val="32"/>
          <w:szCs w:val="32"/>
          <w:shd w:val="clear" w:color="auto" w:fill="FFFFFF"/>
        </w:rPr>
        <w:t>黔龙阳光新世界项目过渡安置费和汇升广场遗留问题信访支出减少，财政预算支出减少</w:t>
      </w:r>
      <w:r>
        <w:rPr>
          <w:rStyle w:val="11"/>
          <w:rFonts w:hint="default" w:ascii="Times New Roman" w:hAnsi="Times New Roman" w:eastAsia="方正仿宋_GBK"/>
          <w:b w:val="0"/>
          <w:bCs/>
          <w:sz w:val="32"/>
          <w:szCs w:val="32"/>
          <w:shd w:val="clear" w:color="auto" w:fill="FFFFFF"/>
        </w:rPr>
        <w:t>。此外，年初财政拨款结转和结余0.00万元。</w:t>
      </w:r>
    </w:p>
    <w:p>
      <w:pPr>
        <w:autoSpaceDE w:val="0"/>
        <w:spacing w:line="596" w:lineRule="exact"/>
        <w:ind w:firstLine="643" w:firstLineChars="200"/>
        <w:rPr>
          <w:rStyle w:val="11"/>
          <w:rFonts w:hint="default" w:ascii="Times New Roman" w:hAnsi="Times New Roman" w:eastAsia="方正仿宋_GBK"/>
          <w:b w:val="0"/>
          <w:bCs/>
          <w:sz w:val="32"/>
          <w:szCs w:val="32"/>
          <w:shd w:val="clear" w:color="auto" w:fill="FFFFFF"/>
        </w:rPr>
      </w:pPr>
      <w:r>
        <w:rPr>
          <w:rStyle w:val="11"/>
          <w:rFonts w:hint="default" w:ascii="Times New Roman" w:hAnsi="Times New Roman" w:eastAsia="方正仿宋_GBK"/>
          <w:sz w:val="32"/>
          <w:szCs w:val="32"/>
          <w:shd w:val="clear" w:color="auto" w:fill="FFFFFF"/>
        </w:rPr>
        <w:t>2.支出情况。</w:t>
      </w:r>
      <w:r>
        <w:rPr>
          <w:rStyle w:val="11"/>
          <w:rFonts w:hint="default" w:ascii="Times New Roman" w:hAnsi="Times New Roman" w:eastAsia="方正仿宋_GBK"/>
          <w:b w:val="0"/>
          <w:bCs/>
          <w:sz w:val="32"/>
          <w:szCs w:val="32"/>
          <w:shd w:val="clear" w:color="auto" w:fill="FFFFFF"/>
        </w:rPr>
        <w:t>2024年度一般公共预算财政拨款支出535.12万元，与2023年度相比，增加40.62万元，增长8.2%。主要原因是干部职工岗位工资和薪级工资普调，社保缴费和住房公积金单位部分增加。较年初预算数减少416.19万元，下降43.8%。主要原因是</w:t>
      </w:r>
      <w:r>
        <w:rPr>
          <w:rStyle w:val="11"/>
          <w:rFonts w:ascii="Times New Roman" w:hAnsi="Times New Roman" w:eastAsia="方正仿宋_GBK"/>
          <w:b w:val="0"/>
          <w:bCs/>
          <w:sz w:val="32"/>
          <w:szCs w:val="32"/>
          <w:shd w:val="clear" w:color="auto" w:fill="FFFFFF"/>
        </w:rPr>
        <w:t>黔龙阳光新世界项目过渡安置费和汇升广场遗留问题信访支出减少，财政预算支出减少</w:t>
      </w:r>
      <w:r>
        <w:rPr>
          <w:rStyle w:val="11"/>
          <w:rFonts w:hint="default" w:ascii="Times New Roman" w:hAnsi="Times New Roman" w:eastAsia="方正仿宋_GBK"/>
          <w:b w:val="0"/>
          <w:bCs/>
          <w:sz w:val="32"/>
          <w:szCs w:val="32"/>
          <w:shd w:val="clear" w:color="auto" w:fill="FFFFFF"/>
        </w:rPr>
        <w:t>。一般公共预算财政拨款支出主要用途如下：</w:t>
      </w:r>
    </w:p>
    <w:p>
      <w:pPr>
        <w:autoSpaceDE w:val="0"/>
        <w:spacing w:line="596" w:lineRule="exact"/>
        <w:ind w:firstLine="640" w:firstLineChars="200"/>
        <w:rPr>
          <w:rStyle w:val="11"/>
          <w:rFonts w:hint="default" w:ascii="Times New Roman" w:hAnsi="Times New Roman" w:eastAsia="方正仿宋_GBK"/>
          <w:b w:val="0"/>
          <w:bCs/>
          <w:sz w:val="32"/>
          <w:szCs w:val="32"/>
          <w:shd w:val="clear" w:color="auto" w:fill="FFFFFF"/>
        </w:rPr>
      </w:pPr>
      <w:r>
        <w:rPr>
          <w:rStyle w:val="11"/>
          <w:rFonts w:hint="default" w:ascii="Times New Roman" w:hAnsi="Times New Roman" w:eastAsia="方正仿宋_GBK"/>
          <w:b w:val="0"/>
          <w:bCs/>
          <w:sz w:val="32"/>
          <w:szCs w:val="32"/>
          <w:shd w:val="clear" w:color="auto" w:fill="FFFFFF"/>
        </w:rPr>
        <w:t>（1）社会保障和就业支出76.35万元，占14.3%，较年初预算数增加23.06万元，增长43.3%，主要原因是干部职工岗位工资和薪级工资普调，社保缴费基数增加。</w:t>
      </w:r>
    </w:p>
    <w:p>
      <w:pPr>
        <w:autoSpaceDE w:val="0"/>
        <w:spacing w:line="596" w:lineRule="exact"/>
        <w:ind w:firstLine="640" w:firstLineChars="200"/>
        <w:rPr>
          <w:rStyle w:val="11"/>
          <w:rFonts w:hint="default" w:ascii="Times New Roman" w:hAnsi="Times New Roman" w:eastAsia="方正仿宋_GBK"/>
          <w:b w:val="0"/>
          <w:bCs/>
          <w:sz w:val="32"/>
          <w:szCs w:val="32"/>
          <w:shd w:val="clear" w:color="auto" w:fill="FFFFFF"/>
        </w:rPr>
      </w:pPr>
      <w:r>
        <w:rPr>
          <w:rStyle w:val="11"/>
          <w:rFonts w:hint="default" w:ascii="Times New Roman" w:hAnsi="Times New Roman" w:eastAsia="方正仿宋_GBK"/>
          <w:b w:val="0"/>
          <w:bCs/>
          <w:sz w:val="32"/>
          <w:szCs w:val="32"/>
          <w:shd w:val="clear" w:color="auto" w:fill="FFFFFF"/>
        </w:rPr>
        <w:t>（2）卫生健康支出24.42万元，占4.6%，较年初预算数减少1.25万元，下降4.9%，主要原因是2024年度退休1人。</w:t>
      </w:r>
    </w:p>
    <w:p>
      <w:pPr>
        <w:autoSpaceDE w:val="0"/>
        <w:spacing w:line="596" w:lineRule="exact"/>
        <w:ind w:firstLine="640" w:firstLineChars="200"/>
        <w:rPr>
          <w:rStyle w:val="11"/>
          <w:rFonts w:hint="default" w:ascii="Times New Roman" w:hAnsi="Times New Roman" w:eastAsia="方正仿宋_GBK"/>
          <w:b w:val="0"/>
          <w:bCs/>
          <w:sz w:val="32"/>
          <w:szCs w:val="32"/>
          <w:shd w:val="clear" w:color="auto" w:fill="FFFFFF"/>
        </w:rPr>
      </w:pPr>
      <w:r>
        <w:rPr>
          <w:rStyle w:val="11"/>
          <w:rFonts w:hint="default" w:ascii="Times New Roman" w:hAnsi="Times New Roman" w:eastAsia="方正仿宋_GBK"/>
          <w:b w:val="0"/>
          <w:bCs/>
          <w:sz w:val="32"/>
          <w:szCs w:val="32"/>
          <w:shd w:val="clear" w:color="auto" w:fill="FFFFFF"/>
        </w:rPr>
        <w:t>（3）城乡社区支出399.71万元，占74.7%，较年初预算数减少437.25万元，下降52.2%，主要原因是黔龙阳光新世界项目过渡安置费支付更正调整为了预拨经费。</w:t>
      </w:r>
    </w:p>
    <w:p>
      <w:pPr>
        <w:autoSpaceDE w:val="0"/>
        <w:spacing w:line="596" w:lineRule="exact"/>
        <w:ind w:firstLine="640" w:firstLineChars="200"/>
        <w:rPr>
          <w:rStyle w:val="11"/>
          <w:rFonts w:hint="default" w:ascii="Times New Roman" w:hAnsi="Times New Roman" w:eastAsia="方正仿宋_GBK"/>
          <w:b w:val="0"/>
          <w:bCs/>
          <w:sz w:val="32"/>
          <w:szCs w:val="32"/>
          <w:shd w:val="clear" w:color="auto" w:fill="FFFFFF"/>
        </w:rPr>
      </w:pPr>
      <w:r>
        <w:rPr>
          <w:rStyle w:val="11"/>
          <w:rFonts w:hint="default" w:ascii="Times New Roman" w:hAnsi="Times New Roman" w:eastAsia="方正仿宋_GBK"/>
          <w:b w:val="0"/>
          <w:bCs/>
          <w:sz w:val="32"/>
          <w:szCs w:val="32"/>
          <w:shd w:val="clear" w:color="auto" w:fill="FFFFFF"/>
        </w:rPr>
        <w:t>（4）农林水支出9.60万元，占1.8%，较年初预算数无增减。</w:t>
      </w:r>
    </w:p>
    <w:p>
      <w:pPr>
        <w:autoSpaceDE w:val="0"/>
        <w:spacing w:line="596" w:lineRule="exact"/>
        <w:ind w:firstLine="640" w:firstLineChars="200"/>
        <w:rPr>
          <w:rStyle w:val="11"/>
          <w:rFonts w:hint="default" w:ascii="Times New Roman" w:hAnsi="Times New Roman" w:eastAsia="方正仿宋_GBK"/>
          <w:b w:val="0"/>
          <w:bCs/>
          <w:sz w:val="32"/>
          <w:szCs w:val="32"/>
          <w:shd w:val="clear" w:color="auto" w:fill="FFFFFF"/>
        </w:rPr>
      </w:pPr>
      <w:r>
        <w:rPr>
          <w:rStyle w:val="11"/>
          <w:rFonts w:hint="default" w:ascii="Times New Roman" w:hAnsi="Times New Roman" w:eastAsia="方正仿宋_GBK"/>
          <w:b w:val="0"/>
          <w:bCs/>
          <w:sz w:val="32"/>
          <w:szCs w:val="32"/>
          <w:shd w:val="clear" w:color="auto" w:fill="FFFFFF"/>
        </w:rPr>
        <w:t>（5）住房保障支出25.04万元，占4.7%，较年初预算数减少0.75万元，下降2.9%，主要原因是2024年度退休1人。</w:t>
      </w:r>
    </w:p>
    <w:p>
      <w:pPr>
        <w:autoSpaceDE w:val="0"/>
        <w:spacing w:line="596" w:lineRule="exact"/>
        <w:ind w:firstLine="643" w:firstLineChars="200"/>
        <w:rPr>
          <w:rStyle w:val="11"/>
          <w:rFonts w:hint="default" w:ascii="Times New Roman" w:hAnsi="Times New Roman" w:eastAsia="方正仿宋_GBK"/>
          <w:b w:val="0"/>
          <w:bCs/>
          <w:sz w:val="32"/>
          <w:szCs w:val="32"/>
          <w:shd w:val="clear" w:color="auto" w:fill="FFFFFF"/>
        </w:rPr>
      </w:pPr>
      <w:r>
        <w:rPr>
          <w:rStyle w:val="11"/>
          <w:rFonts w:hint="default" w:ascii="Times New Roman" w:hAnsi="Times New Roman" w:eastAsia="方正仿宋_GBK"/>
          <w:sz w:val="32"/>
          <w:szCs w:val="32"/>
          <w:shd w:val="clear" w:color="auto" w:fill="FFFFFF"/>
        </w:rPr>
        <w:t>3.结转结余情况。</w:t>
      </w:r>
      <w:r>
        <w:rPr>
          <w:rStyle w:val="11"/>
          <w:rFonts w:hint="default" w:ascii="Times New Roman" w:hAnsi="Times New Roman" w:eastAsia="方正仿宋_GBK"/>
          <w:b w:val="0"/>
          <w:bCs/>
          <w:sz w:val="32"/>
          <w:szCs w:val="32"/>
          <w:shd w:val="clear" w:color="auto" w:fill="FFFFFF"/>
        </w:rPr>
        <w:t>2024年度年末一般公共预算财政拨款结转和结余0.00万元，与2023年度相比，无增减。</w:t>
      </w:r>
    </w:p>
    <w:p>
      <w:pPr>
        <w:autoSpaceDE w:val="0"/>
        <w:spacing w:line="596" w:lineRule="exact"/>
        <w:ind w:firstLine="643" w:firstLineChars="200"/>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（四）一般公共预算财政拨款基本支出决算情况说明</w:t>
      </w:r>
    </w:p>
    <w:p>
      <w:pPr>
        <w:snapToGrid w:val="0"/>
        <w:spacing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2024年度一般公共财政拨款基本支出525.52万元。</w:t>
      </w:r>
    </w:p>
    <w:p>
      <w:pPr>
        <w:snapToGrid w:val="0"/>
        <w:spacing w:line="596" w:lineRule="exact"/>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其中：</w:t>
      </w:r>
    </w:p>
    <w:p>
      <w:pPr>
        <w:snapToGrid w:val="0"/>
        <w:spacing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人员经费476.56万元，与2023年度相比，增加38.72万元，增长8.8%，主要原因是干部职工岗位工资和薪级工资普调，社保缴费和住房公积金单位部分增加。人员经费用途主要包括基本工资、津贴补贴、绩效工资、机关事业单位基本养老保险费、职业年金缴费、职工基本医疗保险缴费、其他社会保障缴费、住房公积金、医疗费支出。</w:t>
      </w:r>
    </w:p>
    <w:p>
      <w:pPr>
        <w:snapToGrid w:val="0"/>
        <w:spacing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公用经费48.96万元，与2023年度相比，增加1.89万元，增长4.0%，主要原因是用于单位劳务派遣和各征收项目指挥部返聘人员工资。公用经费用途主要包括办公费、水费、电费、邮电费、 差旅费、培训费、工会经费、福利费等支出。</w:t>
      </w:r>
    </w:p>
    <w:p>
      <w:pPr>
        <w:autoSpaceDE w:val="0"/>
        <w:spacing w:line="596" w:lineRule="exact"/>
        <w:ind w:firstLine="643" w:firstLineChars="200"/>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（五）政府性基金预算收支决算情况说明</w:t>
      </w:r>
    </w:p>
    <w:p>
      <w:pPr>
        <w:snapToGrid w:val="0"/>
        <w:spacing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年度政府性基金预算财政拨款年初结转结余0.00万元，年末结转结余0.00万元。本年收入1929.02万元，与2023年度相比，减少197.32万元，下降9.3%，主要原因是汇升广场遗留问题处理经费预算下降，本年支出1929.02万元，与2023年度相比，减少197.32万元，下降9.3%，主要原因是汇升广场遗留问题处理经费预算下降。</w:t>
      </w:r>
    </w:p>
    <w:p>
      <w:pPr>
        <w:autoSpaceDE w:val="0"/>
        <w:spacing w:line="596" w:lineRule="exact"/>
        <w:ind w:firstLine="643" w:firstLineChars="200"/>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（六）国有资本经营预算财政拨款支出决算情况说明</w:t>
      </w:r>
    </w:p>
    <w:p>
      <w:pPr>
        <w:snapToGrid w:val="0"/>
        <w:spacing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本单位2024年度无国有资本经营预算财政拨款支出。</w:t>
      </w:r>
    </w:p>
    <w:p>
      <w:pPr>
        <w:shd w:val="clear" w:color="auto" w:fill="FFFFFF"/>
        <w:spacing w:line="596" w:lineRule="exact"/>
        <w:ind w:firstLine="643" w:firstLineChars="200"/>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三、财政拨款“三公”经费情况说明</w:t>
      </w:r>
    </w:p>
    <w:p>
      <w:pPr>
        <w:autoSpaceDE w:val="0"/>
        <w:spacing w:line="596" w:lineRule="exact"/>
        <w:ind w:firstLine="643" w:firstLineChars="200"/>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（一）“三公”经费支出总体情况说明</w:t>
      </w:r>
    </w:p>
    <w:p>
      <w:pPr>
        <w:autoSpaceDE w:val="0"/>
        <w:spacing w:line="596"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三公”经费支出共计1.47万元，较年初预算数增加1.47万元，增长100.0%，主要原因是因我中心属于事业单位，年初预算按照财政要求无“三公”经费支出预算，发生的费用为我中心开展桃花源城市更新征收工作和下乡开展集体土地征收工作产生公务用车运行维护费。较上年支出数减少0.53万元，下降26.5%，主要原因是严格执行中央八项规定，厉行节约，按照只减不增的要求压缩一般公务开支。</w:t>
      </w:r>
    </w:p>
    <w:p>
      <w:pPr>
        <w:autoSpaceDE w:val="0"/>
        <w:spacing w:line="596" w:lineRule="exact"/>
        <w:ind w:firstLine="643" w:firstLineChars="200"/>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（二）“三公”经费分项支出情况</w:t>
      </w:r>
    </w:p>
    <w:p>
      <w:pPr>
        <w:autoSpaceDE w:val="0"/>
        <w:spacing w:line="596"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本单位公务用车运行维护费1.47万元，主要用于开展桃花源城市更新征收和下乡开展集体土地征收工作车辆运行维护费。费用支出较年初预算数增加1.47万元，增长100.0%，主要原因是我中心属于事业单位，年初预算按照财政要求无“三公”经费支出预算。较上年支出数减少0.53万元，下降26.5%，主要原因是严格执行中央八项规定，厉行节约，按照只减不增的要求压缩一般公务开支。</w:t>
      </w:r>
    </w:p>
    <w:p>
      <w:pPr>
        <w:autoSpaceDE w:val="0"/>
        <w:spacing w:line="596" w:lineRule="exact"/>
        <w:ind w:firstLine="643" w:firstLineChars="200"/>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（三）“三公”经费实物量情况</w:t>
      </w:r>
    </w:p>
    <w:p>
      <w:pPr>
        <w:shd w:val="clear" w:color="auto" w:fill="FFFFFF"/>
        <w:spacing w:line="596"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本单位因公出国（境）共计0个团组，0人；公务用车购置0辆，公务车保有量为1辆；国内公务接待0批次0人，其中：国内外事接待0批次，0人；国（境）外公务接待0批次，0人。2024年本单位人均接待费0元，车均购置费0万元，车均维护费1.47万元。</w:t>
      </w:r>
    </w:p>
    <w:p>
      <w:pPr>
        <w:shd w:val="clear" w:color="auto" w:fill="FFFFFF"/>
        <w:spacing w:line="596" w:lineRule="exact"/>
        <w:ind w:firstLine="643" w:firstLineChars="200"/>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四、其他需要说明的事项</w:t>
      </w:r>
    </w:p>
    <w:p>
      <w:pPr>
        <w:shd w:val="clear" w:color="auto" w:fill="FFFFFF"/>
        <w:spacing w:line="596"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snapToGrid w:val="0"/>
        <w:spacing w:line="596" w:lineRule="exact"/>
        <w:ind w:firstLine="640" w:firstLineChars="200"/>
        <w:jc w:val="both"/>
        <w:rPr>
          <w:rFonts w:hint="default" w:ascii="方正仿宋_GBK" w:hAnsi="方正仿宋_GBK" w:eastAsia="方正仿宋_GBK" w:cs="方正仿宋_GBK"/>
          <w:sz w:val="32"/>
          <w:szCs w:val="32"/>
          <w:highlight w:val="yellow"/>
        </w:rPr>
      </w:pPr>
      <w:r>
        <w:rPr>
          <w:rFonts w:ascii="方正仿宋_GBK" w:hAnsi="方正仿宋_GBK" w:eastAsia="方正仿宋_GBK" w:cs="方正仿宋_GBK"/>
          <w:sz w:val="32"/>
          <w:szCs w:val="32"/>
          <w:shd w:val="clear" w:color="auto" w:fill="FFFFFF"/>
        </w:rPr>
        <w:t>本年度会议费支出0.00万元，与2023年度相比，无增减。本年度培训费支出0.06万元，与2023年度相比，减少0.04万元，下降40.0%，主要原因是严格执行中央八项规定，厉行节约，按照只减不增的要求压缩一般公务开支。本年度差旅费支出0.00万元，与2023年度相比，减少3.65万元，下降100.0%，主要原因是严格执行中央八项规定，厉行节约，按照只减不增的要求压缩一般公务开支。</w:t>
      </w:r>
    </w:p>
    <w:p>
      <w:pPr>
        <w:autoSpaceDE w:val="0"/>
        <w:spacing w:line="596" w:lineRule="exact"/>
        <w:ind w:firstLine="643" w:firstLineChars="200"/>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（二）机关运行经费情况说明</w:t>
      </w:r>
    </w:p>
    <w:p>
      <w:pPr>
        <w:snapToGrid w:val="0"/>
        <w:spacing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按照部门决算列报口径，我</w:t>
      </w:r>
      <w:r>
        <w:rPr>
          <w:rFonts w:ascii="方正仿宋_GBK" w:hAnsi="方正仿宋_GBK" w:eastAsia="方正仿宋_GBK" w:cs="方正仿宋_GBK"/>
          <w:sz w:val="32"/>
          <w:szCs w:val="32"/>
          <w:shd w:val="clear" w:color="auto" w:fill="FFFFFF"/>
        </w:rPr>
        <w:t>单位</w:t>
      </w:r>
      <w:r>
        <w:rPr>
          <w:rFonts w:hint="default" w:ascii="方正仿宋_GBK" w:hAnsi="方正仿宋_GBK" w:eastAsia="方正仿宋_GBK" w:cs="方正仿宋_GBK"/>
          <w:sz w:val="32"/>
          <w:szCs w:val="32"/>
          <w:shd w:val="clear" w:color="auto" w:fill="FFFFFF"/>
        </w:rPr>
        <w:t>不在机关运行经费统计范围之内。</w:t>
      </w:r>
    </w:p>
    <w:p>
      <w:pPr>
        <w:autoSpaceDE w:val="0"/>
        <w:spacing w:line="596" w:lineRule="exact"/>
        <w:ind w:firstLine="643" w:firstLineChars="200"/>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（三）国有资产占用情况说明</w:t>
      </w:r>
    </w:p>
    <w:p>
      <w:pPr>
        <w:snapToGrid w:val="0"/>
        <w:spacing w:line="596"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截至2024年12月31日，本单位共有车辆1辆，其中，副部（省）级及以上领导用车0辆、主要负责人用车0辆、机要通信用车0辆、应急保障用车1辆、执法执勤用车0辆，特种专业技术用车0辆，离退休干部用车0辆。单价100万元（含）以上专用设备0台（套）。</w:t>
      </w:r>
    </w:p>
    <w:p>
      <w:pPr>
        <w:autoSpaceDE w:val="0"/>
        <w:spacing w:line="596" w:lineRule="exact"/>
        <w:ind w:firstLine="643" w:firstLineChars="200"/>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（四）政府采购支出情况说明</w:t>
      </w:r>
    </w:p>
    <w:p>
      <w:pPr>
        <w:snapToGrid w:val="0"/>
        <w:spacing w:line="596" w:lineRule="exact"/>
        <w:ind w:firstLine="640" w:firstLineChars="200"/>
        <w:jc w:val="both"/>
        <w:rPr>
          <w:rFonts w:hint="default" w:ascii="方正仿宋_GBK" w:hAnsi="方正仿宋_GBK" w:eastAsia="方正仿宋_GBK" w:cs="方正仿宋_GBK"/>
          <w:sz w:val="32"/>
          <w:szCs w:val="32"/>
          <w:shd w:val="clear" w:color="auto" w:fill="FFFFFF"/>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sz w:val="32"/>
          <w:szCs w:val="32"/>
          <w:shd w:val="clear" w:color="auto" w:fill="FFFFFF"/>
        </w:rPr>
        <w:t>2024年度我单位未发生政府采购事项，无相关经费支出。</w:t>
      </w:r>
    </w:p>
    <w:p>
      <w:pPr>
        <w:pStyle w:val="15"/>
        <w:spacing w:before="0" w:beforeAutospacing="0" w:after="0" w:afterAutospacing="0" w:line="596" w:lineRule="exact"/>
        <w:ind w:firstLine="643" w:firstLineChars="200"/>
        <w:rPr>
          <w:rStyle w:val="11"/>
          <w:rFonts w:ascii="黑体" w:hAnsi="黑体" w:eastAsia="黑体" w:cs="黑体"/>
          <w:sz w:val="32"/>
          <w:szCs w:val="32"/>
          <w:shd w:val="clear" w:color="auto" w:fill="FFFFFF"/>
        </w:rPr>
      </w:pPr>
      <w:r>
        <w:rPr>
          <w:rStyle w:val="11"/>
          <w:rFonts w:hint="eastAsia" w:ascii="黑体" w:hAnsi="黑体" w:eastAsia="黑体" w:cs="黑体"/>
          <w:sz w:val="32"/>
          <w:szCs w:val="32"/>
          <w:shd w:val="clear" w:color="auto" w:fill="FFFFFF"/>
        </w:rPr>
        <w:t>五、2024年度预算绩效管理情况说明</w:t>
      </w:r>
    </w:p>
    <w:p>
      <w:pPr>
        <w:pStyle w:val="15"/>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pPr>
        <w:pStyle w:val="15"/>
        <w:autoSpaceDE w:val="0"/>
        <w:spacing w:before="0" w:beforeAutospacing="0" w:after="0" w:afterAutospacing="0" w:line="596" w:lineRule="exact"/>
        <w:ind w:firstLine="640" w:firstLineChars="200"/>
        <w:rPr>
          <w:rFonts w:hint="eastAsia" w:ascii="方正仿宋_GBK" w:hAnsi="方正仿宋_GBK" w:eastAsia="方正仿宋_GBK" w:cs="方正仿宋_GBK"/>
          <w:sz w:val="32"/>
          <w:szCs w:val="32"/>
          <w:highlight w:val="yellow"/>
          <w:shd w:val="clear" w:color="auto" w:fill="FFFFFF"/>
        </w:rPr>
      </w:pPr>
      <w:r>
        <w:rPr>
          <w:rFonts w:hint="eastAsia" w:ascii="方正仿宋_GBK" w:hAnsi="方正仿宋_GBK" w:eastAsia="方正仿宋_GBK" w:cs="方正仿宋_GBK"/>
          <w:sz w:val="32"/>
          <w:szCs w:val="32"/>
          <w:shd w:val="clear" w:color="auto" w:fill="FFFFFF"/>
        </w:rPr>
        <w:t>根据预算绩效管理要求，我单位对6个二级项目开展了绩效自评，涉及财政拨款项目支出资金1938.62万元。</w:t>
      </w:r>
    </w:p>
    <w:p>
      <w:pPr>
        <w:pStyle w:val="15"/>
        <w:autoSpaceDE w:val="0"/>
        <w:spacing w:before="0" w:beforeAutospacing="0" w:after="0" w:afterAutospacing="0" w:line="596" w:lineRule="exact"/>
        <w:ind w:firstLine="442" w:firstLineChars="200"/>
        <w:jc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酉阳县土地房屋征收中心202</w:t>
      </w:r>
      <w:r>
        <w:rPr>
          <w:rFonts w:hint="eastAsia" w:cs="宋体"/>
          <w:b/>
          <w:i w:val="0"/>
          <w:color w:val="000000"/>
          <w:kern w:val="0"/>
          <w:sz w:val="22"/>
          <w:szCs w:val="22"/>
          <w:u w:val="none"/>
          <w:lang w:val="en-US" w:eastAsia="zh-CN" w:bidi="ar"/>
        </w:rPr>
        <w:t>4</w:t>
      </w:r>
      <w:r>
        <w:rPr>
          <w:rFonts w:hint="eastAsia" w:ascii="宋体" w:hAnsi="宋体" w:eastAsia="宋体" w:cs="宋体"/>
          <w:b/>
          <w:i w:val="0"/>
          <w:color w:val="000000"/>
          <w:kern w:val="0"/>
          <w:sz w:val="22"/>
          <w:szCs w:val="22"/>
          <w:u w:val="none"/>
          <w:lang w:val="en-US" w:eastAsia="zh-CN" w:bidi="ar"/>
        </w:rPr>
        <w:t>年度项目支出绩效自评情况表（</w:t>
      </w:r>
      <w:r>
        <w:rPr>
          <w:rFonts w:hint="eastAsia" w:cs="宋体"/>
          <w:b/>
          <w:i w:val="0"/>
          <w:color w:val="000000"/>
          <w:kern w:val="0"/>
          <w:sz w:val="22"/>
          <w:szCs w:val="22"/>
          <w:u w:val="none"/>
          <w:lang w:val="en-US" w:eastAsia="zh-CN" w:bidi="ar"/>
        </w:rPr>
        <w:t>二</w:t>
      </w:r>
      <w:r>
        <w:rPr>
          <w:rFonts w:hint="eastAsia" w:ascii="宋体" w:hAnsi="宋体" w:eastAsia="宋体" w:cs="宋体"/>
          <w:b/>
          <w:i w:val="0"/>
          <w:color w:val="000000"/>
          <w:kern w:val="0"/>
          <w:sz w:val="22"/>
          <w:szCs w:val="22"/>
          <w:u w:val="none"/>
          <w:lang w:val="en-US" w:eastAsia="zh-CN" w:bidi="ar"/>
        </w:rPr>
        <w:t>级项目）</w:t>
      </w:r>
    </w:p>
    <w:tbl>
      <w:tblPr>
        <w:tblStyle w:val="12"/>
        <w:tblW w:w="9414" w:type="dxa"/>
        <w:tblInd w:w="0" w:type="dxa"/>
        <w:shd w:val="clear" w:color="auto" w:fill="auto"/>
        <w:tblLayout w:type="fixed"/>
        <w:tblCellMar>
          <w:top w:w="0" w:type="dxa"/>
          <w:left w:w="0" w:type="dxa"/>
          <w:bottom w:w="0" w:type="dxa"/>
          <w:right w:w="0" w:type="dxa"/>
        </w:tblCellMar>
      </w:tblPr>
      <w:tblGrid>
        <w:gridCol w:w="898"/>
        <w:gridCol w:w="3279"/>
        <w:gridCol w:w="750"/>
        <w:gridCol w:w="710"/>
        <w:gridCol w:w="691"/>
        <w:gridCol w:w="900"/>
        <w:gridCol w:w="960"/>
        <w:gridCol w:w="715"/>
        <w:gridCol w:w="511"/>
      </w:tblGrid>
      <w:tr>
        <w:tblPrEx>
          <w:shd w:val="clear" w:color="auto" w:fill="auto"/>
          <w:tblLayout w:type="fixed"/>
          <w:tblCellMar>
            <w:top w:w="0" w:type="dxa"/>
            <w:left w:w="0" w:type="dxa"/>
            <w:bottom w:w="0" w:type="dxa"/>
            <w:right w:w="0" w:type="dxa"/>
          </w:tblCellMar>
        </w:tblPrEx>
        <w:trPr>
          <w:trHeight w:val="270"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项目名称</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指标名称</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计量单位</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指标性质</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指标值</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全年完成值</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指标权重</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指标得分</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说明</w:t>
            </w:r>
          </w:p>
        </w:tc>
      </w:tr>
      <w:tr>
        <w:tblPrEx>
          <w:shd w:val="clear" w:color="auto" w:fill="auto"/>
          <w:tblLayout w:type="fixed"/>
          <w:tblCellMar>
            <w:top w:w="0" w:type="dxa"/>
            <w:left w:w="0" w:type="dxa"/>
            <w:bottom w:w="0" w:type="dxa"/>
            <w:right w:w="0" w:type="dxa"/>
          </w:tblCellMar>
        </w:tblPrEx>
        <w:trPr>
          <w:trHeight w:val="90" w:hRule="atLeast"/>
        </w:trPr>
        <w:tc>
          <w:tcPr>
            <w:tcW w:w="8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黔龙阳光新世界（二期）过渡安置费</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兑现支付已签协议13户过渡费支付</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户</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13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13</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20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20</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p>
        </w:tc>
      </w:tr>
      <w:tr>
        <w:tblPrEx>
          <w:shd w:val="clear" w:color="auto" w:fill="auto"/>
          <w:tblLayout w:type="fixed"/>
          <w:tblCellMar>
            <w:top w:w="0" w:type="dxa"/>
            <w:left w:w="0" w:type="dxa"/>
            <w:bottom w:w="0" w:type="dxa"/>
            <w:right w:w="0" w:type="dxa"/>
          </w:tblCellMar>
        </w:tblPrEx>
        <w:trPr>
          <w:trHeight w:val="270" w:hRule="atLeast"/>
        </w:trPr>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财政资金投入支付过渡安置费</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万元</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437.5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437.5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15</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15</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p>
        </w:tc>
      </w:tr>
      <w:tr>
        <w:tblPrEx>
          <w:shd w:val="clear" w:color="auto" w:fill="auto"/>
          <w:tblLayout w:type="fixed"/>
          <w:tblCellMar>
            <w:top w:w="0" w:type="dxa"/>
            <w:left w:w="0" w:type="dxa"/>
            <w:bottom w:w="0" w:type="dxa"/>
            <w:right w:w="0" w:type="dxa"/>
          </w:tblCellMar>
        </w:tblPrEx>
        <w:trPr>
          <w:trHeight w:val="270" w:hRule="atLeast"/>
        </w:trPr>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确保已签协议户信访安全稳定</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定性</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100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20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20</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p>
        </w:tc>
      </w:tr>
      <w:tr>
        <w:tblPrEx>
          <w:tblLayout w:type="fixed"/>
          <w:tblCellMar>
            <w:top w:w="0" w:type="dxa"/>
            <w:left w:w="0" w:type="dxa"/>
            <w:bottom w:w="0" w:type="dxa"/>
            <w:right w:w="0" w:type="dxa"/>
          </w:tblCellMar>
        </w:tblPrEx>
        <w:trPr>
          <w:trHeight w:val="270" w:hRule="atLeast"/>
        </w:trPr>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有效化解矛盾纠纷，维护社会稳定</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定性</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100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25</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25</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p>
        </w:tc>
      </w:tr>
      <w:tr>
        <w:tblPrEx>
          <w:shd w:val="clear" w:color="auto" w:fill="auto"/>
          <w:tblLayout w:type="fixed"/>
          <w:tblCellMar>
            <w:top w:w="0" w:type="dxa"/>
            <w:left w:w="0" w:type="dxa"/>
            <w:bottom w:w="0" w:type="dxa"/>
            <w:right w:w="0" w:type="dxa"/>
          </w:tblCellMar>
        </w:tblPrEx>
        <w:trPr>
          <w:trHeight w:val="270" w:hRule="atLeast"/>
        </w:trPr>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征收对象户满意度有效提高</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95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10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10</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p>
        </w:tc>
      </w:tr>
      <w:tr>
        <w:tblPrEx>
          <w:shd w:val="clear" w:color="auto" w:fill="auto"/>
          <w:tblLayout w:type="fixed"/>
          <w:tblCellMar>
            <w:top w:w="0" w:type="dxa"/>
            <w:left w:w="0" w:type="dxa"/>
            <w:bottom w:w="0" w:type="dxa"/>
            <w:right w:w="0" w:type="dxa"/>
          </w:tblCellMar>
        </w:tblPrEx>
        <w:trPr>
          <w:trHeight w:val="270" w:hRule="atLeast"/>
        </w:trPr>
        <w:tc>
          <w:tcPr>
            <w:tcW w:w="8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老交通局片区（街心花园）旧城改建项目</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完成77户征收对象户过渡安置费支付</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30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30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30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30</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p>
        </w:tc>
      </w:tr>
      <w:tr>
        <w:tblPrEx>
          <w:tblLayout w:type="fixed"/>
          <w:tblCellMar>
            <w:top w:w="0" w:type="dxa"/>
            <w:left w:w="0" w:type="dxa"/>
            <w:bottom w:w="0" w:type="dxa"/>
            <w:right w:w="0" w:type="dxa"/>
          </w:tblCellMar>
        </w:tblPrEx>
        <w:trPr>
          <w:trHeight w:val="270" w:hRule="atLeast"/>
        </w:trPr>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及时完成明宏建设开发有限公司征收补偿资金支付</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定性</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30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30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30</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p>
        </w:tc>
      </w:tr>
      <w:tr>
        <w:tblPrEx>
          <w:tblLayout w:type="fixed"/>
          <w:tblCellMar>
            <w:top w:w="0" w:type="dxa"/>
            <w:left w:w="0" w:type="dxa"/>
            <w:bottom w:w="0" w:type="dxa"/>
            <w:right w:w="0" w:type="dxa"/>
          </w:tblCellMar>
        </w:tblPrEx>
        <w:trPr>
          <w:trHeight w:val="270" w:hRule="atLeast"/>
        </w:trPr>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化解社会矛盾，维护社会稳定</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定性</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20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20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20</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p>
        </w:tc>
      </w:tr>
      <w:tr>
        <w:tblPrEx>
          <w:tblLayout w:type="fixed"/>
          <w:tblCellMar>
            <w:top w:w="0" w:type="dxa"/>
            <w:left w:w="0" w:type="dxa"/>
            <w:bottom w:w="0" w:type="dxa"/>
            <w:right w:w="0" w:type="dxa"/>
          </w:tblCellMar>
        </w:tblPrEx>
        <w:trPr>
          <w:trHeight w:val="270" w:hRule="atLeast"/>
        </w:trPr>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房屋征收对象户满意度提高</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10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10</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p>
        </w:tc>
      </w:tr>
      <w:tr>
        <w:tblPrEx>
          <w:tblLayout w:type="fixed"/>
          <w:tblCellMar>
            <w:top w:w="0" w:type="dxa"/>
            <w:left w:w="0" w:type="dxa"/>
            <w:bottom w:w="0" w:type="dxa"/>
            <w:right w:w="0" w:type="dxa"/>
          </w:tblCellMar>
        </w:tblPrEx>
        <w:trPr>
          <w:trHeight w:val="270" w:hRule="atLeast"/>
        </w:trPr>
        <w:tc>
          <w:tcPr>
            <w:tcW w:w="8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驻村工作队驻村补助</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保障下乡扶贫队员补助时间</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天/月</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22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22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20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20</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p>
        </w:tc>
      </w:tr>
      <w:tr>
        <w:tblPrEx>
          <w:shd w:val="clear" w:color="auto" w:fill="auto"/>
          <w:tblLayout w:type="fixed"/>
          <w:tblCellMar>
            <w:top w:w="0" w:type="dxa"/>
            <w:left w:w="0" w:type="dxa"/>
            <w:bottom w:w="0" w:type="dxa"/>
            <w:right w:w="0" w:type="dxa"/>
          </w:tblCellMar>
        </w:tblPrEx>
        <w:trPr>
          <w:trHeight w:val="270" w:hRule="atLeast"/>
        </w:trPr>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下乡扶贫队员人数</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人</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20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20</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p>
        </w:tc>
      </w:tr>
      <w:tr>
        <w:tblPrEx>
          <w:shd w:val="clear" w:color="auto" w:fill="auto"/>
          <w:tblLayout w:type="fixed"/>
          <w:tblCellMar>
            <w:top w:w="0" w:type="dxa"/>
            <w:left w:w="0" w:type="dxa"/>
            <w:bottom w:w="0" w:type="dxa"/>
            <w:right w:w="0" w:type="dxa"/>
          </w:tblCellMar>
        </w:tblPrEx>
        <w:trPr>
          <w:trHeight w:val="270" w:hRule="atLeast"/>
        </w:trPr>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做到专款专用，按照按照标准执行</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100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20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20</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p>
        </w:tc>
      </w:tr>
      <w:tr>
        <w:tblPrEx>
          <w:shd w:val="clear" w:color="auto" w:fill="auto"/>
          <w:tblLayout w:type="fixed"/>
          <w:tblCellMar>
            <w:top w:w="0" w:type="dxa"/>
            <w:left w:w="0" w:type="dxa"/>
            <w:bottom w:w="0" w:type="dxa"/>
            <w:right w:w="0" w:type="dxa"/>
          </w:tblCellMar>
        </w:tblPrEx>
        <w:trPr>
          <w:trHeight w:val="270" w:hRule="atLeast"/>
        </w:trPr>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确保驻村工作队驻村期间生活得到有效保障，安心驻村工作</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定性</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100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20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20</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p>
        </w:tc>
      </w:tr>
      <w:tr>
        <w:tblPrEx>
          <w:shd w:val="clear" w:color="auto" w:fill="auto"/>
          <w:tblLayout w:type="fixed"/>
          <w:tblCellMar>
            <w:top w:w="0" w:type="dxa"/>
            <w:left w:w="0" w:type="dxa"/>
            <w:bottom w:w="0" w:type="dxa"/>
            <w:right w:w="0" w:type="dxa"/>
          </w:tblCellMar>
        </w:tblPrEx>
        <w:trPr>
          <w:trHeight w:val="270" w:hRule="atLeast"/>
        </w:trPr>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帮扶村村民满意度提高</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95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98</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10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10</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p>
        </w:tc>
      </w:tr>
      <w:tr>
        <w:tblPrEx>
          <w:shd w:val="clear" w:color="auto" w:fill="auto"/>
          <w:tblLayout w:type="fixed"/>
          <w:tblCellMar>
            <w:top w:w="0" w:type="dxa"/>
            <w:left w:w="0" w:type="dxa"/>
            <w:bottom w:w="0" w:type="dxa"/>
            <w:right w:w="0" w:type="dxa"/>
          </w:tblCellMar>
        </w:tblPrEx>
        <w:trPr>
          <w:trHeight w:val="270" w:hRule="atLeast"/>
        </w:trPr>
        <w:tc>
          <w:tcPr>
            <w:tcW w:w="8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兑现万僖中央广场优惠政策</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全面化解胡义昌等历史遗留问题</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人（户）</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20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20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20</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p>
        </w:tc>
      </w:tr>
      <w:tr>
        <w:tblPrEx>
          <w:shd w:val="clear" w:color="auto" w:fill="auto"/>
          <w:tblLayout w:type="fixed"/>
          <w:tblCellMar>
            <w:top w:w="0" w:type="dxa"/>
            <w:left w:w="0" w:type="dxa"/>
            <w:bottom w:w="0" w:type="dxa"/>
            <w:right w:w="0" w:type="dxa"/>
          </w:tblCellMar>
        </w:tblPrEx>
        <w:trPr>
          <w:trHeight w:val="270" w:hRule="atLeast"/>
        </w:trPr>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资金及时补偿到位率</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20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20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20</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p>
        </w:tc>
      </w:tr>
      <w:tr>
        <w:tblPrEx>
          <w:shd w:val="clear" w:color="auto" w:fill="auto"/>
          <w:tblLayout w:type="fixed"/>
          <w:tblCellMar>
            <w:top w:w="0" w:type="dxa"/>
            <w:left w:w="0" w:type="dxa"/>
            <w:bottom w:w="0" w:type="dxa"/>
            <w:right w:w="0" w:type="dxa"/>
          </w:tblCellMar>
        </w:tblPrEx>
        <w:trPr>
          <w:trHeight w:val="270" w:hRule="atLeast"/>
        </w:trPr>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有效化解历史遗留问题，维护社会治安稳定</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定性</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20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20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20</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p>
        </w:tc>
      </w:tr>
      <w:tr>
        <w:tblPrEx>
          <w:tblLayout w:type="fixed"/>
          <w:tblCellMar>
            <w:top w:w="0" w:type="dxa"/>
            <w:left w:w="0" w:type="dxa"/>
            <w:bottom w:w="0" w:type="dxa"/>
            <w:right w:w="0" w:type="dxa"/>
          </w:tblCellMar>
        </w:tblPrEx>
        <w:trPr>
          <w:trHeight w:val="270" w:hRule="atLeast"/>
        </w:trPr>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带动还房工作顺利推进</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定性</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20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20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20</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p>
        </w:tc>
      </w:tr>
      <w:tr>
        <w:tblPrEx>
          <w:shd w:val="clear" w:color="auto" w:fill="auto"/>
          <w:tblLayout w:type="fixed"/>
          <w:tblCellMar>
            <w:top w:w="0" w:type="dxa"/>
            <w:left w:w="0" w:type="dxa"/>
            <w:bottom w:w="0" w:type="dxa"/>
            <w:right w:w="0" w:type="dxa"/>
          </w:tblCellMar>
        </w:tblPrEx>
        <w:trPr>
          <w:trHeight w:val="270" w:hRule="atLeast"/>
        </w:trPr>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群众满意度</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10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10</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p>
        </w:tc>
      </w:tr>
      <w:tr>
        <w:tblPrEx>
          <w:shd w:val="clear" w:color="auto" w:fill="auto"/>
          <w:tblLayout w:type="fixed"/>
          <w:tblCellMar>
            <w:top w:w="0" w:type="dxa"/>
            <w:left w:w="0" w:type="dxa"/>
            <w:bottom w:w="0" w:type="dxa"/>
            <w:right w:w="0" w:type="dxa"/>
          </w:tblCellMar>
        </w:tblPrEx>
        <w:trPr>
          <w:trHeight w:val="270" w:hRule="atLeast"/>
        </w:trPr>
        <w:tc>
          <w:tcPr>
            <w:tcW w:w="8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黔龙阳光新世界售房部拆除</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及时推进项目工作落实到位</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定性</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30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30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30</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p>
        </w:tc>
      </w:tr>
      <w:tr>
        <w:tblPrEx>
          <w:shd w:val="clear" w:color="auto" w:fill="auto"/>
          <w:tblLayout w:type="fixed"/>
          <w:tblCellMar>
            <w:top w:w="0" w:type="dxa"/>
            <w:left w:w="0" w:type="dxa"/>
            <w:bottom w:w="0" w:type="dxa"/>
            <w:right w:w="0" w:type="dxa"/>
          </w:tblCellMar>
        </w:tblPrEx>
        <w:trPr>
          <w:trHeight w:val="270" w:hRule="atLeast"/>
        </w:trPr>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确保拆除现场实现安全无事故</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定性</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20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20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20</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p>
        </w:tc>
      </w:tr>
      <w:tr>
        <w:tblPrEx>
          <w:tblLayout w:type="fixed"/>
          <w:tblCellMar>
            <w:top w:w="0" w:type="dxa"/>
            <w:left w:w="0" w:type="dxa"/>
            <w:bottom w:w="0" w:type="dxa"/>
            <w:right w:w="0" w:type="dxa"/>
          </w:tblCellMar>
        </w:tblPrEx>
        <w:trPr>
          <w:trHeight w:val="270" w:hRule="atLeast"/>
        </w:trPr>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加快解决黔龙阳光新世界突出问题，确保社会稳定</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定性</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30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30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30</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p>
        </w:tc>
      </w:tr>
      <w:tr>
        <w:tblPrEx>
          <w:shd w:val="clear" w:color="auto" w:fill="auto"/>
          <w:tblLayout w:type="fixed"/>
          <w:tblCellMar>
            <w:top w:w="0" w:type="dxa"/>
            <w:left w:w="0" w:type="dxa"/>
            <w:bottom w:w="0" w:type="dxa"/>
            <w:right w:w="0" w:type="dxa"/>
          </w:tblCellMar>
        </w:tblPrEx>
        <w:trPr>
          <w:trHeight w:val="270" w:hRule="atLeast"/>
        </w:trPr>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提高黔龙阳光新世界小区居民和企业满意度</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10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10</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p>
        </w:tc>
      </w:tr>
      <w:tr>
        <w:tblPrEx>
          <w:tblLayout w:type="fixed"/>
          <w:tblCellMar>
            <w:top w:w="0" w:type="dxa"/>
            <w:left w:w="0" w:type="dxa"/>
            <w:bottom w:w="0" w:type="dxa"/>
            <w:right w:w="0" w:type="dxa"/>
          </w:tblCellMar>
        </w:tblPrEx>
        <w:trPr>
          <w:trHeight w:val="270" w:hRule="atLeast"/>
        </w:trPr>
        <w:tc>
          <w:tcPr>
            <w:tcW w:w="8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汇升广场胡义场遗留问题处理</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完成汇升广场胡义昌门面还建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50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50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50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50</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p>
        </w:tc>
      </w:tr>
      <w:tr>
        <w:tblPrEx>
          <w:shd w:val="clear" w:color="auto" w:fill="auto"/>
          <w:tblLayout w:type="fixed"/>
          <w:tblCellMar>
            <w:top w:w="0" w:type="dxa"/>
            <w:left w:w="0" w:type="dxa"/>
            <w:bottom w:w="0" w:type="dxa"/>
            <w:right w:w="0" w:type="dxa"/>
          </w:tblCellMar>
        </w:tblPrEx>
        <w:trPr>
          <w:trHeight w:val="270" w:hRule="atLeast"/>
        </w:trPr>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成功化解信访矛盾，维护社会稳定</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定性</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30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30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30</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p>
        </w:tc>
      </w:tr>
      <w:tr>
        <w:tblPrEx>
          <w:shd w:val="clear" w:color="auto" w:fill="auto"/>
          <w:tblLayout w:type="fixed"/>
          <w:tblCellMar>
            <w:top w:w="0" w:type="dxa"/>
            <w:left w:w="0" w:type="dxa"/>
            <w:bottom w:w="0" w:type="dxa"/>
            <w:right w:w="0" w:type="dxa"/>
          </w:tblCellMar>
        </w:tblPrEx>
        <w:trPr>
          <w:trHeight w:val="270" w:hRule="atLeast"/>
        </w:trPr>
        <w:tc>
          <w:tcPr>
            <w:tcW w:w="8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对工作处理满意度</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10</w:t>
            </w:r>
          </w:p>
        </w:tc>
        <w:tc>
          <w:tcPr>
            <w:tcW w:w="7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r>
              <w:rPr>
                <w:rFonts w:hint="eastAsia" w:cs="宋体"/>
                <w:b w:val="0"/>
                <w:bCs w:val="0"/>
                <w:color w:val="000000"/>
                <w:kern w:val="2"/>
                <w:sz w:val="16"/>
                <w:szCs w:val="16"/>
                <w:lang w:val="en-US" w:eastAsia="zh-CN"/>
              </w:rPr>
              <w:t>10</w:t>
            </w:r>
          </w:p>
        </w:tc>
        <w:tc>
          <w:tcPr>
            <w:tcW w:w="5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80" w:lineRule="exact"/>
              <w:jc w:val="center"/>
              <w:textAlignment w:val="center"/>
              <w:rPr>
                <w:rFonts w:hint="eastAsia" w:cs="宋体"/>
                <w:b w:val="0"/>
                <w:bCs w:val="0"/>
                <w:color w:val="000000"/>
                <w:kern w:val="2"/>
                <w:sz w:val="16"/>
                <w:szCs w:val="16"/>
              </w:rPr>
            </w:pPr>
          </w:p>
        </w:tc>
      </w:tr>
    </w:tbl>
    <w:p>
      <w:pPr>
        <w:pStyle w:val="15"/>
        <w:autoSpaceDE w:val="0"/>
        <w:spacing w:before="0" w:beforeAutospacing="0" w:after="0" w:afterAutospacing="0" w:line="596" w:lineRule="exact"/>
        <w:rPr>
          <w:rFonts w:hint="eastAsia" w:ascii="方正仿宋_GBK" w:hAnsi="方正仿宋_GBK" w:eastAsia="方正仿宋_GBK" w:cs="方正仿宋_GBK"/>
          <w:sz w:val="32"/>
          <w:szCs w:val="32"/>
          <w:highlight w:val="yellow"/>
          <w:shd w:val="clear" w:color="auto" w:fill="FFFFFF"/>
        </w:rPr>
      </w:pPr>
    </w:p>
    <w:p>
      <w:pPr>
        <w:pStyle w:val="15"/>
        <w:autoSpaceDE w:val="0"/>
        <w:spacing w:before="0" w:beforeAutospacing="0" w:after="0" w:afterAutospacing="0" w:line="596" w:lineRule="exact"/>
        <w:ind w:firstLine="640" w:firstLineChars="200"/>
        <w:rPr>
          <w:rFonts w:hint="eastAsia" w:ascii="方正仿宋_GBK" w:hAnsi="方正仿宋_GBK" w:eastAsia="方正仿宋_GBK" w:cs="方正仿宋_GBK"/>
          <w:sz w:val="32"/>
          <w:szCs w:val="32"/>
          <w:highlight w:val="yellow"/>
          <w:shd w:val="clear" w:color="auto" w:fill="FFFFFF"/>
        </w:rPr>
      </w:pPr>
    </w:p>
    <w:p>
      <w:pPr>
        <w:pStyle w:val="15"/>
        <w:autoSpaceDE w:val="0"/>
        <w:spacing w:before="0" w:beforeAutospacing="0" w:after="0" w:afterAutospacing="0" w:line="596" w:lineRule="exact"/>
        <w:ind w:firstLine="640" w:firstLineChars="200"/>
        <w:rPr>
          <w:rFonts w:hint="eastAsia" w:ascii="方正仿宋_GBK" w:hAnsi="方正仿宋_GBK" w:eastAsia="方正仿宋_GBK" w:cs="方正仿宋_GBK"/>
          <w:sz w:val="32"/>
          <w:szCs w:val="32"/>
          <w:highlight w:val="yellow"/>
          <w:shd w:val="clear" w:color="auto" w:fill="FFFFFF"/>
        </w:rPr>
      </w:pPr>
    </w:p>
    <w:p>
      <w:pPr>
        <w:pStyle w:val="15"/>
        <w:autoSpaceDE w:val="0"/>
        <w:spacing w:before="0" w:beforeAutospacing="0" w:after="0" w:afterAutospacing="0" w:line="596" w:lineRule="exact"/>
        <w:ind w:firstLine="643" w:firstLineChars="200"/>
        <w:rPr>
          <w:rFonts w:ascii="楷体" w:hAnsi="楷体" w:eastAsia="楷体" w:cs="楷体"/>
          <w:b/>
          <w:bCs/>
          <w:sz w:val="32"/>
          <w:szCs w:val="32"/>
          <w:highlight w:val="none"/>
          <w:shd w:val="clear" w:color="auto" w:fill="FFFFFF"/>
        </w:rPr>
      </w:pPr>
      <w:r>
        <w:rPr>
          <w:rFonts w:hint="eastAsia" w:ascii="楷体" w:hAnsi="楷体" w:eastAsia="楷体" w:cs="楷体"/>
          <w:b/>
          <w:bCs/>
          <w:sz w:val="32"/>
          <w:szCs w:val="32"/>
          <w:highlight w:val="none"/>
          <w:shd w:val="clear" w:color="auto" w:fill="FFFFFF"/>
        </w:rPr>
        <w:t>（二）单位绩效评价情况</w:t>
      </w:r>
    </w:p>
    <w:p>
      <w:pPr>
        <w:pStyle w:val="15"/>
        <w:autoSpaceDE w:val="0"/>
        <w:spacing w:before="0" w:beforeAutospacing="0" w:after="0" w:afterAutospacing="0" w:line="596" w:lineRule="exact"/>
        <w:rPr>
          <w:rFonts w:ascii="方正仿宋_GBK" w:hAnsi="方正仿宋_GBK" w:eastAsia="方正仿宋_GBK" w:cs="方正仿宋_GBK"/>
          <w:sz w:val="32"/>
          <w:szCs w:val="32"/>
          <w:highlight w:val="yellow"/>
          <w:shd w:val="clear" w:color="auto" w:fill="FFFFFF"/>
        </w:rPr>
      </w:pPr>
      <w:r>
        <w:rPr>
          <w:rFonts w:hint="eastAsia" w:ascii="方正仿宋_GBK" w:hAnsi="方正仿宋_GBK" w:eastAsia="方正仿宋_GBK" w:cs="方正仿宋_GBK"/>
          <w:sz w:val="32"/>
          <w:szCs w:val="32"/>
          <w:shd w:val="clear" w:color="auto" w:fill="FFFFFF"/>
        </w:rPr>
        <w:t xml:space="preserve">    我单位未组织开展绩效评价。</w:t>
      </w:r>
    </w:p>
    <w:p>
      <w:pPr>
        <w:pStyle w:val="15"/>
        <w:autoSpaceDE w:val="0"/>
        <w:spacing w:before="0" w:beforeAutospacing="0" w:after="0" w:afterAutospacing="0" w:line="596" w:lineRule="exact"/>
        <w:ind w:firstLine="643" w:firstLineChars="200"/>
        <w:rPr>
          <w:rFonts w:ascii="楷体" w:hAnsi="楷体" w:eastAsia="楷体" w:cs="楷体"/>
          <w:b/>
          <w:bCs/>
          <w:sz w:val="32"/>
          <w:szCs w:val="32"/>
          <w:highlight w:val="none"/>
          <w:shd w:val="clear" w:color="auto" w:fill="FFFFFF"/>
        </w:rPr>
      </w:pPr>
      <w:r>
        <w:rPr>
          <w:rFonts w:hint="eastAsia" w:ascii="楷体" w:hAnsi="楷体" w:eastAsia="楷体" w:cs="楷体"/>
          <w:b/>
          <w:bCs/>
          <w:sz w:val="32"/>
          <w:szCs w:val="32"/>
          <w:highlight w:val="none"/>
          <w:shd w:val="clear" w:color="auto" w:fill="FFFFFF"/>
        </w:rPr>
        <w:t>（三）财政绩效评价情况</w:t>
      </w:r>
    </w:p>
    <w:p>
      <w:pPr>
        <w:pStyle w:val="15"/>
        <w:autoSpaceDE w:val="0"/>
        <w:spacing w:before="0" w:beforeAutospacing="0" w:after="0" w:afterAutospacing="0" w:line="596" w:lineRule="exact"/>
        <w:rPr>
          <w:rFonts w:ascii="方正仿宋_GBK" w:hAnsi="方正仿宋_GBK" w:eastAsia="方正仿宋_GBK" w:cs="方正仿宋_GBK"/>
          <w:sz w:val="32"/>
          <w:szCs w:val="32"/>
          <w:highlight w:val="yellow"/>
          <w:shd w:val="clear" w:color="auto" w:fill="FFFFFF"/>
        </w:rPr>
      </w:pPr>
      <w:r>
        <w:rPr>
          <w:rFonts w:hint="eastAsia" w:ascii="方正仿宋_GBK" w:hAnsi="方正仿宋_GBK" w:eastAsia="方正仿宋_GBK" w:cs="方正仿宋_GBK"/>
          <w:sz w:val="32"/>
          <w:szCs w:val="32"/>
          <w:shd w:val="clear" w:color="auto" w:fill="FFFFFF"/>
        </w:rPr>
        <w:t xml:space="preserve">    县财政局未委托第三方对我单位开展绩效评价。</w:t>
      </w:r>
    </w:p>
    <w:p>
      <w:pPr>
        <w:pStyle w:val="15"/>
        <w:autoSpaceDE w:val="0"/>
        <w:spacing w:before="0" w:beforeAutospacing="0" w:after="0" w:afterAutospacing="0" w:line="596" w:lineRule="exact"/>
        <w:rPr>
          <w:rFonts w:ascii="方正仿宋_GBK" w:hAnsi="方正仿宋_GBK" w:eastAsia="方正仿宋_GBK" w:cs="方正仿宋_GBK"/>
          <w:sz w:val="32"/>
          <w:szCs w:val="32"/>
        </w:rPr>
      </w:pPr>
      <w:r>
        <w:rPr>
          <w:rStyle w:val="16"/>
          <w:rFonts w:hint="eastAsia" w:ascii="方正仿宋_GBK" w:hAnsi="方正仿宋_GBK" w:eastAsia="方正仿宋_GBK" w:cs="方正仿宋_GBK"/>
          <w:sz w:val="32"/>
          <w:szCs w:val="32"/>
          <w:shd w:val="clear" w:color="auto" w:fill="FFFFFF"/>
        </w:rPr>
        <w:t xml:space="preserve">   </w:t>
      </w:r>
      <w:r>
        <w:rPr>
          <w:rStyle w:val="11"/>
          <w:rFonts w:hint="eastAsia" w:ascii="黑体" w:hAnsi="黑体" w:eastAsia="黑体" w:cs="黑体"/>
          <w:sz w:val="32"/>
          <w:szCs w:val="32"/>
          <w:shd w:val="clear" w:color="auto" w:fill="FFFFFF"/>
        </w:rPr>
        <w:t xml:space="preserve"> 六、专业名词解释</w:t>
      </w:r>
    </w:p>
    <w:p>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（五）使用非财政拨款结余（含专用结余）：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黑体" w:hAnsi="黑体" w:eastAsia="黑体" w:cs="黑体"/>
          <w:sz w:val="32"/>
          <w:szCs w:val="32"/>
          <w:shd w:val="clear" w:color="auto" w:fill="FFFFFF"/>
        </w:rPr>
        <w:t>七、决算公开联系方式及信息反馈渠道</w:t>
      </w:r>
    </w:p>
    <w:p>
      <w:pPr>
        <w:pStyle w:val="15"/>
        <w:spacing w:before="0" w:beforeAutospacing="0" w:after="0" w:afterAutospacing="0" w:line="596"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w:t>
      </w:r>
    </w:p>
    <w:p>
      <w:pPr>
        <w:pStyle w:val="15"/>
        <w:spacing w:before="0" w:beforeAutospacing="0" w:after="0" w:afterAutospacing="0" w:line="596" w:lineRule="exac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魏子海   023-75580260</w:t>
      </w:r>
    </w:p>
    <w:p>
      <w:pPr>
        <w:pStyle w:val="14"/>
        <w:autoSpaceDE w:val="0"/>
        <w:spacing w:line="596" w:lineRule="exact"/>
        <w:ind w:firstLine="640"/>
        <w:jc w:val="both"/>
        <w:rPr>
          <w:rStyle w:val="11"/>
          <w:rFonts w:ascii="方正仿宋_GBK" w:hAnsi="方正仿宋_GBK" w:eastAsia="方正仿宋_GBK" w:cs="方正仿宋_GBK"/>
          <w:sz w:val="32"/>
          <w:szCs w:val="32"/>
          <w:shd w:val="clear" w:color="auto" w:fill="FFFF00"/>
        </w:rPr>
        <w:sectPr>
          <w:footerReference r:id="rId4" w:type="default"/>
          <w:pgSz w:w="11915" w:h="16840"/>
          <w:pgMar w:top="1440" w:right="1800" w:bottom="1440" w:left="1800" w:header="851" w:footer="992" w:gutter="0"/>
          <w:pgNumType w:fmt="numberInDash"/>
          <w:cols w:space="720" w:num="1"/>
          <w:docGrid w:type="lines" w:linePitch="312" w:charSpace="0"/>
        </w:sectPr>
      </w:pPr>
    </w:p>
    <w:tbl>
      <w:tblPr>
        <w:tblStyle w:val="12"/>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单位：酉阳土家族苗族自治县土地房屋征收中心</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535.12</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1929.02</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54"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rPr>
              <w:t>76.35</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rPr>
              <w:t>24.41</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2328.73</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rPr>
              <w:t>9.60</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rPr>
              <w:t>25.04</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2464.14</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rPr>
              <w:t>2464.14</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2464.14</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2464.14</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2"/>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单位：酉阳土家族苗族自治县土地房屋征收中心</w:t>
            </w: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ascii="Times New Roman" w:hAnsi="Times New Roman"/>
                <w:b/>
                <w:color w:val="000000"/>
                <w:sz w:val="20"/>
              </w:rPr>
              <w:t>2464.14</w:t>
            </w:r>
          </w:p>
        </w:tc>
        <w:tc>
          <w:tcPr>
            <w:tcW w:w="14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ascii="Times New Roman" w:hAnsi="Times New Roman"/>
                <w:b/>
                <w:color w:val="000000"/>
                <w:sz w:val="20"/>
              </w:rPr>
              <w:t xml:space="preserve">2464.14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ascii="Times New Roman" w:hAnsi="Times New Roman"/>
                <w:b/>
                <w:color w:val="000000"/>
                <w:sz w:val="20"/>
              </w:rPr>
              <w:t>0.00</w:t>
            </w:r>
          </w:p>
        </w:tc>
        <w:tc>
          <w:tcPr>
            <w:tcW w:w="14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ascii="Times New Roman" w:hAnsi="Times New Roman"/>
                <w:b/>
                <w:color w:val="000000"/>
                <w:sz w:val="20"/>
              </w:rPr>
              <w:t>0.00</w:t>
            </w:r>
          </w:p>
        </w:tc>
        <w:tc>
          <w:tcPr>
            <w:tcW w:w="1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ascii="Times New Roman" w:hAnsi="Times New Roman"/>
                <w:b/>
                <w:color w:val="000000"/>
                <w:sz w:val="20"/>
              </w:rPr>
              <w:t>0.00</w:t>
            </w:r>
          </w:p>
        </w:tc>
        <w:tc>
          <w:tcPr>
            <w:tcW w:w="12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ascii="Times New Roman" w:hAnsi="Times New Roman"/>
                <w:b/>
                <w:color w:val="000000"/>
                <w:sz w:val="20"/>
              </w:rPr>
              <w:t>0.00</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ascii="Times New Roman" w:hAnsi="Times New Roman"/>
                <w:b/>
                <w:color w:val="000000"/>
                <w:sz w:val="20"/>
              </w:rPr>
              <w:t>0.00</w:t>
            </w:r>
          </w:p>
        </w:tc>
        <w:tc>
          <w:tcPr>
            <w:tcW w:w="1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ascii="Times New Roman" w:hAnsi="Times New Roman"/>
                <w:b/>
                <w:color w:val="000000"/>
                <w:sz w:val="20"/>
              </w:rPr>
              <w:t>0.00</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color w:val="000000"/>
                <w:sz w:val="20"/>
              </w:rPr>
              <w:t>0.00</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color w:val="000000"/>
                <w:sz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color w:val="000000"/>
                <w:sz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color w:val="000000"/>
                <w:sz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color w:val="000000"/>
                <w:sz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color w:val="000000"/>
                <w:sz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color w:val="000000"/>
                <w:sz w:val="20"/>
              </w:rPr>
              <w:t>0.00</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color w:val="000000"/>
                <w:sz w:val="20"/>
              </w:rPr>
              <w:t>0.00</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财政事务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color w:val="000000"/>
                <w:sz w:val="20"/>
              </w:rPr>
              <w:t>0.00</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color w:val="000000"/>
                <w:sz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color w:val="000000"/>
                <w:sz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color w:val="000000"/>
                <w:sz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color w:val="000000"/>
                <w:sz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color w:val="000000"/>
                <w:sz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color w:val="000000"/>
                <w:sz w:val="20"/>
              </w:rPr>
              <w:t>0.00</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color w:val="000000"/>
                <w:sz w:val="20"/>
              </w:rPr>
              <w:t>0.00</w:t>
            </w:r>
          </w:p>
        </w:tc>
      </w:tr>
      <w:tr>
        <w:tblPrEx>
          <w:tblLayout w:type="fixed"/>
          <w:tblCellMar>
            <w:top w:w="0" w:type="dxa"/>
            <w:left w:w="0" w:type="dxa"/>
            <w:bottom w:w="0" w:type="dxa"/>
            <w:right w:w="0" w:type="dxa"/>
          </w:tblCellMar>
        </w:tblPrEx>
        <w:trPr>
          <w:trHeight w:val="90"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rPr>
              <w:t>0.00</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rPr>
              <w:t>0.00</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rPr>
              <w:t>0.00</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rPr>
              <w:t>0.00</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rPr>
              <w:t>0.00</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rPr>
              <w:t>0.00</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2010607</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信息化建设</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rPr>
              <w:t>0.00</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rPr>
              <w:t>0.00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rPr>
              <w:t>0.00</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rPr>
              <w:t>0.00</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rPr>
            </w:pPr>
            <w:r>
              <w:rPr>
                <w:rFonts w:ascii="Times New Roman" w:hAnsi="Times New Roman"/>
                <w:b/>
                <w:color w:val="000000"/>
                <w:sz w:val="20"/>
              </w:rPr>
              <w:t>76.35</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rPr>
            </w:pPr>
            <w:r>
              <w:rPr>
                <w:rFonts w:ascii="Times New Roman" w:hAnsi="Times New Roman"/>
                <w:b/>
                <w:color w:val="000000"/>
                <w:sz w:val="20"/>
              </w:rPr>
              <w:t>76.35</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color w:val="000000"/>
                <w:sz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color w:val="000000"/>
                <w:sz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color w:val="000000"/>
                <w:sz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color w:val="000000"/>
                <w:sz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color w:val="000000"/>
                <w:sz w:val="20"/>
              </w:rPr>
              <w:t>0.00</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color w:val="000000"/>
                <w:sz w:val="20"/>
              </w:rPr>
              <w:t>0.00</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color w:val="000000"/>
                <w:sz w:val="20"/>
              </w:rPr>
              <w:t>76.35</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color w:val="000000"/>
                <w:sz w:val="20"/>
              </w:rPr>
              <w:t>76.35</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color w:val="000000"/>
                <w:sz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color w:val="000000"/>
                <w:sz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color w:val="000000"/>
                <w:sz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color w:val="000000"/>
                <w:sz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color w:val="000000"/>
                <w:sz w:val="20"/>
              </w:rPr>
              <w:t>0.00</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color w:val="000000"/>
                <w:sz w:val="20"/>
              </w:rPr>
              <w:t>0.00</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rPr>
              <w:t>48.17</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rPr>
              <w:t>48.17</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szCs w:val="20"/>
              </w:rPr>
              <w:t>0.00</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szCs w:val="20"/>
              </w:rPr>
              <w:t>26.37</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rPr>
              <w:t>26.37</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szCs w:val="20"/>
              </w:rPr>
              <w:t>0.00</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rPr>
              <w:t>1.81</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rPr>
              <w:t>1.81</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szCs w:val="20"/>
              </w:rPr>
              <w:t>0.00</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color w:val="000000"/>
                <w:sz w:val="20"/>
              </w:rPr>
              <w:t>24.42</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color w:val="000000"/>
                <w:sz w:val="20"/>
              </w:rPr>
              <w:t>24.42</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color w:val="000000"/>
                <w:sz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color w:val="000000"/>
                <w:sz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color w:val="000000"/>
                <w:sz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color w:val="000000"/>
                <w:sz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color w:val="000000"/>
                <w:sz w:val="20"/>
              </w:rPr>
              <w:t>0.00</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color w:val="000000"/>
                <w:sz w:val="20"/>
              </w:rPr>
              <w:t>0.00</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color w:val="000000"/>
                <w:sz w:val="20"/>
              </w:rPr>
              <w:t>24.42</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color w:val="000000"/>
                <w:sz w:val="20"/>
              </w:rPr>
              <w:t>24.42</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color w:val="000000"/>
                <w:sz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color w:val="000000"/>
                <w:sz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color w:val="000000"/>
                <w:sz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color w:val="000000"/>
                <w:sz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color w:val="000000"/>
                <w:sz w:val="20"/>
              </w:rPr>
              <w:t>0.00</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color w:val="000000"/>
                <w:sz w:val="20"/>
              </w:rPr>
              <w:t>0.00</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szCs w:val="20"/>
              </w:rPr>
              <w:t>20.42</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rPr>
              <w:t>20.42</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szCs w:val="20"/>
              </w:rPr>
              <w:t>0.00</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rPr>
              <w:t>4.00</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rPr>
              <w:t>4.00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szCs w:val="20"/>
              </w:rPr>
              <w:t>0.00</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color w:val="000000"/>
                <w:sz w:val="20"/>
              </w:rPr>
              <w:t>9.60</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color w:val="000000"/>
                <w:sz w:val="20"/>
              </w:rPr>
              <w:t>9.60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color w:val="000000"/>
                <w:sz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color w:val="000000"/>
                <w:sz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color w:val="000000"/>
                <w:sz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color w:val="000000"/>
                <w:sz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color w:val="000000"/>
                <w:sz w:val="20"/>
              </w:rPr>
              <w:t>0.00</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color w:val="000000"/>
                <w:sz w:val="20"/>
              </w:rPr>
              <w:t>0.00</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color w:val="000000"/>
                <w:sz w:val="20"/>
              </w:rPr>
              <w:t>9.60</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color w:val="000000"/>
                <w:sz w:val="20"/>
              </w:rPr>
              <w:t>9.60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color w:val="000000"/>
                <w:sz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color w:val="000000"/>
                <w:sz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color w:val="000000"/>
                <w:sz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color w:val="000000"/>
                <w:sz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color w:val="000000"/>
                <w:sz w:val="20"/>
              </w:rPr>
              <w:t>0.00</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color w:val="000000"/>
                <w:sz w:val="20"/>
              </w:rPr>
              <w:t>0.00</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rPr>
              <w:t>9.60</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rPr>
              <w:t>9.60</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szCs w:val="20"/>
              </w:rPr>
              <w:t>0.00</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77"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color w:val="000000"/>
                <w:sz w:val="20"/>
              </w:rPr>
              <w:t>25.04</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color w:val="000000"/>
                <w:sz w:val="20"/>
              </w:rPr>
              <w:t>25.04</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color w:val="000000"/>
                <w:sz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color w:val="000000"/>
                <w:sz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both"/>
              <w:textAlignment w:val="center"/>
              <w:rPr>
                <w:rFonts w:hint="default" w:ascii="Times New Roman" w:hAnsi="Times New Roman"/>
                <w:color w:val="000000"/>
                <w:sz w:val="20"/>
                <w:szCs w:val="20"/>
              </w:rPr>
            </w:pPr>
            <w:r>
              <w:rPr>
                <w:rFonts w:ascii="Times New Roman" w:hAnsi="Times New Roman"/>
                <w:b/>
                <w:color w:val="000000"/>
                <w:sz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color w:val="000000"/>
                <w:sz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color w:val="000000"/>
                <w:sz w:val="20"/>
              </w:rPr>
              <w:t>0.00</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color w:val="000000"/>
                <w:sz w:val="20"/>
              </w:rPr>
              <w:t>0.00</w:t>
            </w:r>
          </w:p>
        </w:tc>
      </w:tr>
      <w:tr>
        <w:tblPrEx>
          <w:tblLayout w:type="fixed"/>
          <w:tblCellMar>
            <w:top w:w="0" w:type="dxa"/>
            <w:left w:w="0" w:type="dxa"/>
            <w:bottom w:w="0" w:type="dxa"/>
            <w:right w:w="0" w:type="dxa"/>
          </w:tblCellMar>
        </w:tblPrEx>
        <w:trPr>
          <w:trHeight w:val="349"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color w:val="000000"/>
                <w:sz w:val="20"/>
              </w:rPr>
              <w:t>25.04</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color w:val="000000"/>
                <w:sz w:val="20"/>
              </w:rPr>
              <w:t>25.04</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color w:val="000000"/>
                <w:sz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color w:val="000000"/>
                <w:sz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color w:val="000000"/>
                <w:sz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color w:val="000000"/>
                <w:sz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color w:val="000000"/>
                <w:sz w:val="20"/>
              </w:rPr>
              <w:t>0.00</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color w:val="000000"/>
                <w:sz w:val="20"/>
              </w:rPr>
              <w:t>0.00</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rPr>
              <w:t>25.04</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rPr>
              <w:t>25.04</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szCs w:val="20"/>
              </w:rPr>
              <w:t>0.00</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szCs w:val="20"/>
              </w:rPr>
              <w:t>0.00</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szCs w:val="20"/>
              </w:rPr>
              <w:t>0.00</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szCs w:val="20"/>
              </w:rPr>
              <w:t>0.00</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szCs w:val="20"/>
              </w:rPr>
              <w:t>0.00</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szCs w:val="20"/>
              </w:rPr>
              <w:t>0.00</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2"/>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rFonts w:cs="宋体"/>
                <w:sz w:val="20"/>
                <w:szCs w:val="20"/>
              </w:rPr>
              <w:t>酉阳土家族苗族自治县土地房屋征收中心</w:t>
            </w: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ascii="Times New Roman" w:hAnsi="Times New Roman"/>
                <w:b/>
                <w:color w:val="000000"/>
                <w:sz w:val="20"/>
              </w:rPr>
              <w:t>2464.14</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ascii="Times New Roman" w:hAnsi="Times New Roman"/>
                <w:b/>
                <w:color w:val="000000"/>
                <w:sz w:val="20"/>
                <w:szCs w:val="20"/>
              </w:rPr>
              <w:t>525.52</w:t>
            </w:r>
          </w:p>
        </w:tc>
        <w:tc>
          <w:tcPr>
            <w:tcW w:w="16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ascii="Times New Roman" w:hAnsi="Times New Roman"/>
                <w:b/>
                <w:color w:val="000000"/>
                <w:sz w:val="20"/>
                <w:szCs w:val="20"/>
              </w:rPr>
              <w:t>1938.62</w:t>
            </w:r>
          </w:p>
        </w:tc>
        <w:tc>
          <w:tcPr>
            <w:tcW w:w="1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ascii="Times New Roman" w:hAnsi="Times New Roman"/>
                <w:b/>
                <w:color w:val="000000"/>
                <w:sz w:val="20"/>
                <w:szCs w:val="20"/>
              </w:rPr>
              <w:t>0.00</w:t>
            </w:r>
          </w:p>
        </w:tc>
        <w:tc>
          <w:tcPr>
            <w:tcW w:w="16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ascii="Times New Roman" w:hAnsi="Times New Roman"/>
                <w:b/>
                <w:color w:val="000000"/>
                <w:sz w:val="20"/>
                <w:szCs w:val="20"/>
              </w:rPr>
              <w:t>0.00</w:t>
            </w:r>
          </w:p>
        </w:tc>
        <w:tc>
          <w:tcPr>
            <w:tcW w:w="19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color w:val="000000"/>
                <w:sz w:val="20"/>
              </w:rPr>
              <w:t xml:space="preserve">0.00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color w:val="000000"/>
                <w:sz w:val="20"/>
              </w:rPr>
              <w:t xml:space="preserve">0.00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color w:val="000000"/>
                <w:sz w:val="20"/>
              </w:rPr>
              <w:t xml:space="preserve">0.00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color w:val="000000"/>
                <w:sz w:val="20"/>
              </w:rPr>
              <w:t xml:space="preserve">0.00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color w:val="000000"/>
                <w:sz w:val="20"/>
              </w:rPr>
              <w:t xml:space="preserve">0.00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color w:val="000000"/>
                <w:sz w:val="20"/>
              </w:rPr>
              <w:t xml:space="preserve">0.00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财政事务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color w:val="000000"/>
                <w:sz w:val="20"/>
              </w:rPr>
              <w:t xml:space="preserve">0.00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color w:val="000000"/>
                <w:sz w:val="20"/>
              </w:rPr>
              <w:t xml:space="preserve">0.00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color w:val="000000"/>
                <w:sz w:val="20"/>
              </w:rPr>
              <w:t xml:space="preserve">0.00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color w:val="000000"/>
                <w:sz w:val="20"/>
              </w:rPr>
              <w:t xml:space="preserve">0.00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color w:val="000000"/>
                <w:sz w:val="20"/>
              </w:rPr>
              <w:t xml:space="preserve">0.00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color w:val="000000"/>
                <w:sz w:val="20"/>
              </w:rPr>
              <w:t xml:space="preserve">0.00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rPr>
              <w:t>0.00</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rPr>
              <w:t>0.00</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rPr>
              <w:t>0.00</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rPr>
              <w:t>0.00</w:t>
            </w:r>
          </w:p>
        </w:tc>
      </w:tr>
      <w:tr>
        <w:tblPrEx>
          <w:tblLayout w:type="fixed"/>
          <w:tblCellMar>
            <w:top w:w="0" w:type="dxa"/>
            <w:left w:w="0" w:type="dxa"/>
            <w:bottom w:w="0" w:type="dxa"/>
            <w:right w:w="0" w:type="dxa"/>
          </w:tblCellMar>
        </w:tblPrEx>
        <w:trPr>
          <w:trHeight w:val="90"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2010607</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信息化建设</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rPr>
              <w:t>0.00</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rPr>
              <w:t>0.00</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color w:val="000000"/>
                <w:sz w:val="20"/>
              </w:rPr>
              <w:t>76.35</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color w:val="000000"/>
                <w:sz w:val="20"/>
              </w:rPr>
              <w:t>76.35</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bCs/>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bCs/>
                <w:color w:val="000000"/>
                <w:sz w:val="20"/>
                <w:szCs w:val="20"/>
              </w:rPr>
              <w:t>0.00</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color w:val="000000"/>
                <w:sz w:val="20"/>
              </w:rPr>
              <w:t>76.35</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color w:val="000000"/>
                <w:sz w:val="20"/>
              </w:rPr>
              <w:t>76.35</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bCs/>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bCs/>
                <w:color w:val="000000"/>
                <w:sz w:val="20"/>
                <w:szCs w:val="20"/>
              </w:rPr>
              <w:t>0.00</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rPr>
              <w:t>48.17</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szCs w:val="20"/>
              </w:rPr>
              <w:t>48.17</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szCs w:val="20"/>
              </w:rPr>
              <w:t>26.37</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szCs w:val="20"/>
              </w:rPr>
              <w:t>26.37</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szCs w:val="20"/>
              </w:rPr>
              <w:t>1.81</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szCs w:val="20"/>
              </w:rPr>
              <w:t>1.81</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bCs/>
                <w:color w:val="000000"/>
                <w:sz w:val="20"/>
                <w:szCs w:val="20"/>
              </w:rPr>
              <w:t>24.42</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bCs/>
                <w:color w:val="000000"/>
                <w:sz w:val="20"/>
                <w:szCs w:val="20"/>
              </w:rPr>
              <w:t>24.42</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bCs/>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bCs/>
                <w:color w:val="000000"/>
                <w:sz w:val="20"/>
                <w:szCs w:val="20"/>
              </w:rPr>
              <w:t>0.00</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bCs/>
                <w:color w:val="000000"/>
                <w:sz w:val="20"/>
                <w:szCs w:val="20"/>
              </w:rPr>
              <w:t>24.42</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bCs/>
                <w:color w:val="000000"/>
                <w:sz w:val="20"/>
                <w:szCs w:val="20"/>
              </w:rPr>
              <w:t>24.42</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bCs/>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bCs/>
                <w:color w:val="000000"/>
                <w:sz w:val="20"/>
                <w:szCs w:val="20"/>
              </w:rPr>
              <w:t>0.00</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szCs w:val="20"/>
              </w:rPr>
              <w:t>20.42</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szCs w:val="20"/>
              </w:rPr>
              <w:t>20.42</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szCs w:val="20"/>
              </w:rPr>
              <w:t>4.00</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szCs w:val="20"/>
              </w:rPr>
              <w:t>4.00</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bCs/>
                <w:color w:val="000000"/>
                <w:sz w:val="20"/>
                <w:szCs w:val="20"/>
              </w:rPr>
              <w:t>9.60</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bCs/>
                <w:color w:val="000000"/>
                <w:sz w:val="20"/>
                <w:szCs w:val="20"/>
              </w:rPr>
              <w:t>9.60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bCs/>
                <w:color w:val="000000"/>
                <w:sz w:val="20"/>
                <w:szCs w:val="20"/>
              </w:rPr>
              <w:t>0.00</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bCs/>
                <w:color w:val="000000"/>
                <w:sz w:val="20"/>
                <w:szCs w:val="20"/>
              </w:rPr>
              <w:t>9.60</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bCs/>
                <w:color w:val="000000"/>
                <w:sz w:val="20"/>
                <w:szCs w:val="20"/>
              </w:rPr>
              <w:t>0.00</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bCs/>
                <w:color w:val="000000"/>
                <w:sz w:val="20"/>
                <w:szCs w:val="20"/>
              </w:rPr>
              <w:t>9.60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bCs/>
                <w:color w:val="000000"/>
                <w:sz w:val="20"/>
                <w:szCs w:val="20"/>
              </w:rPr>
              <w:t>0.00</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szCs w:val="20"/>
              </w:rPr>
              <w:t>9.60</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szCs w:val="20"/>
              </w:rPr>
              <w:t>9.60</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bCs/>
                <w:color w:val="000000"/>
                <w:sz w:val="20"/>
                <w:szCs w:val="20"/>
              </w:rPr>
              <w:t>25.04</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bCs/>
                <w:color w:val="000000"/>
                <w:sz w:val="20"/>
                <w:szCs w:val="20"/>
              </w:rPr>
              <w:t>25.04</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bCs/>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bCs/>
                <w:color w:val="000000"/>
                <w:sz w:val="20"/>
                <w:szCs w:val="20"/>
              </w:rPr>
              <w:t>0.00</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bCs/>
                <w:color w:val="000000"/>
                <w:sz w:val="20"/>
                <w:szCs w:val="20"/>
              </w:rPr>
              <w:t>25.04</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bCs/>
                <w:color w:val="000000"/>
                <w:sz w:val="20"/>
                <w:szCs w:val="20"/>
              </w:rPr>
              <w:t>25.04</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bCs/>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bCs/>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bCs/>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b/>
                <w:bCs/>
                <w:color w:val="000000"/>
                <w:sz w:val="20"/>
                <w:szCs w:val="20"/>
              </w:rPr>
              <w:t>0.00</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szCs w:val="20"/>
              </w:rPr>
              <w:t>25.04</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szCs w:val="20"/>
              </w:rPr>
              <w:t>25.04</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szCs w:val="20"/>
              </w:rPr>
              <w:t>0.00</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szCs w:val="20"/>
              </w:rPr>
              <w:t>0.00</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szCs w:val="20"/>
              </w:rPr>
              <w:t>0.00</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ascii="Times New Roman" w:hAnsi="Times New Roman"/>
                <w:color w:val="000000"/>
                <w:sz w:val="20"/>
                <w:szCs w:val="20"/>
              </w:rPr>
              <w:t>0.00</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2"/>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rFonts w:cs="宋体"/>
                <w:sz w:val="20"/>
                <w:szCs w:val="20"/>
              </w:rPr>
              <w:t>酉阳土家族苗族自治县土地房屋征收中心</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444"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szCs w:val="18"/>
              </w:rPr>
              <w:t>535.12</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szCs w:val="18"/>
              </w:rPr>
              <w:t>1929.02</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szCs w:val="18"/>
              </w:rPr>
              <w:t>76.35</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szCs w:val="18"/>
              </w:rPr>
              <w:t>76.35</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szCs w:val="18"/>
              </w:rPr>
              <w:t>24.41</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szCs w:val="18"/>
              </w:rPr>
              <w:t>24.41</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szCs w:val="18"/>
              </w:rPr>
              <w:t>2328.73</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szCs w:val="18"/>
              </w:rPr>
              <w:t>399.71</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1929.02</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szCs w:val="18"/>
              </w:rPr>
              <w:t>9.60</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szCs w:val="18"/>
              </w:rPr>
              <w:t>9.60</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szCs w:val="18"/>
              </w:rPr>
              <w:t>25.04</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szCs w:val="18"/>
              </w:rPr>
              <w:t>25.04</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176"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szCs w:val="18"/>
              </w:rPr>
              <w:t>2464.14</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szCs w:val="18"/>
              </w:rPr>
              <w:t>2464.14</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szCs w:val="18"/>
              </w:rPr>
              <w:t>535.12</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1929.02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szCs w:val="18"/>
              </w:rPr>
              <w:t>2464.14</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szCs w:val="18"/>
              </w:rPr>
              <w:t>2464.14</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szCs w:val="18"/>
              </w:rPr>
              <w:t>535.12</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1929.02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rFonts w:cs="宋体"/>
                <w:sz w:val="20"/>
                <w:szCs w:val="20"/>
              </w:rPr>
              <w:t>酉阳土家族苗族自治县土地房屋征收中心</w:t>
            </w: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ascii="Times New Roman" w:hAnsi="Times New Roman"/>
                <w:b/>
                <w:color w:val="000000"/>
                <w:sz w:val="20"/>
                <w:szCs w:val="20"/>
              </w:rPr>
              <w:t>535.12</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ascii="Times New Roman" w:hAnsi="Times New Roman"/>
                <w:b/>
                <w:color w:val="000000"/>
                <w:sz w:val="20"/>
                <w:szCs w:val="20"/>
              </w:rPr>
              <w:t>525.52</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ascii="Times New Roman" w:hAnsi="Times New Roman"/>
                <w:b/>
                <w:color w:val="000000"/>
                <w:sz w:val="20"/>
                <w:szCs w:val="20"/>
              </w:rPr>
              <w:t>9.60</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ascii="Times New Roman" w:hAnsi="Times New Roman"/>
                <w:b/>
                <w:color w:val="000000"/>
                <w:sz w:val="20"/>
                <w:szCs w:val="20"/>
              </w:rPr>
              <w:t>0.00</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ascii="Times New Roman" w:hAnsi="Times New Roman"/>
                <w:b/>
                <w:color w:val="000000"/>
                <w:sz w:val="20"/>
                <w:szCs w:val="20"/>
              </w:rPr>
              <w:t>0.00</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财政事务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ascii="Times New Roman" w:hAnsi="Times New Roman"/>
                <w:b/>
                <w:color w:val="000000"/>
                <w:sz w:val="20"/>
                <w:szCs w:val="20"/>
              </w:rPr>
              <w:t>0.00</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ascii="Times New Roman" w:hAnsi="Times New Roman"/>
                <w:b/>
                <w:color w:val="000000"/>
                <w:sz w:val="20"/>
                <w:szCs w:val="20"/>
              </w:rPr>
              <w:t>0.00</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ascii="Times New Roman" w:hAnsi="Times New Roman"/>
                <w:bCs/>
                <w:color w:val="000000"/>
                <w:sz w:val="20"/>
                <w:szCs w:val="20"/>
              </w:rPr>
              <w:t>0.00</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ascii="Times New Roman" w:hAnsi="Times New Roman"/>
                <w:bCs/>
                <w:color w:val="000000"/>
                <w:sz w:val="20"/>
                <w:szCs w:val="20"/>
              </w:rPr>
              <w:t>0.00</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ascii="Times New Roman" w:hAnsi="Times New Roman"/>
                <w:bCs/>
                <w:color w:val="000000"/>
                <w:sz w:val="20"/>
                <w:szCs w:val="20"/>
              </w:rPr>
              <w:t>0.00</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ascii="Times New Roman" w:hAnsi="Times New Roman"/>
                <w:bCs/>
                <w:color w:val="000000"/>
                <w:sz w:val="20"/>
                <w:szCs w:val="20"/>
              </w:rPr>
              <w:t>0.00</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ascii="Times New Roman" w:hAnsi="Times New Roman"/>
                <w:bCs/>
                <w:color w:val="000000"/>
                <w:sz w:val="20"/>
                <w:szCs w:val="20"/>
              </w:rPr>
              <w:t>0.00</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ascii="Times New Roman" w:hAnsi="Times New Roman"/>
                <w:bCs/>
                <w:color w:val="000000"/>
                <w:sz w:val="20"/>
                <w:szCs w:val="20"/>
              </w:rPr>
              <w:t>0.00</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2010607</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信息化建设</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ascii="Times New Roman" w:hAnsi="Times New Roman"/>
                <w:bCs/>
                <w:color w:val="000000"/>
                <w:sz w:val="20"/>
                <w:szCs w:val="20"/>
              </w:rPr>
              <w:t>0.00</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ascii="Times New Roman" w:hAnsi="Times New Roman"/>
                <w:bCs/>
                <w:color w:val="000000"/>
                <w:sz w:val="20"/>
                <w:szCs w:val="20"/>
              </w:rPr>
              <w:t>0.00</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ascii="Times New Roman" w:hAnsi="Times New Roman"/>
                <w:bCs/>
                <w:color w:val="000000"/>
                <w:sz w:val="20"/>
                <w:szCs w:val="20"/>
              </w:rPr>
              <w:t>0.00</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ascii="Times New Roman" w:hAnsi="Times New Roman"/>
                <w:b/>
                <w:color w:val="000000"/>
                <w:sz w:val="20"/>
                <w:szCs w:val="20"/>
              </w:rPr>
              <w:t>76.35</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ascii="Times New Roman" w:hAnsi="Times New Roman"/>
                <w:b/>
                <w:color w:val="000000"/>
                <w:sz w:val="20"/>
                <w:szCs w:val="20"/>
              </w:rPr>
              <w:t>76.35</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ascii="Times New Roman" w:hAnsi="Times New Roman"/>
                <w:b/>
                <w:color w:val="000000"/>
                <w:sz w:val="20"/>
                <w:szCs w:val="20"/>
              </w:rPr>
              <w:t>76.35</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ascii="Times New Roman" w:hAnsi="Times New Roman"/>
                <w:b/>
                <w:color w:val="000000"/>
                <w:sz w:val="20"/>
                <w:szCs w:val="20"/>
              </w:rPr>
              <w:t>76.35</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ascii="Times New Roman" w:hAnsi="Times New Roman"/>
                <w:b/>
                <w:color w:val="000000"/>
                <w:sz w:val="20"/>
                <w:szCs w:val="20"/>
              </w:rPr>
              <w:t>48.17</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ascii="Times New Roman" w:hAnsi="Times New Roman"/>
                <w:b/>
                <w:color w:val="000000"/>
                <w:sz w:val="20"/>
                <w:szCs w:val="20"/>
              </w:rPr>
              <w:t>48.17</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ascii="Times New Roman" w:hAnsi="Times New Roman"/>
                <w:b/>
                <w:color w:val="000000"/>
                <w:sz w:val="20"/>
                <w:szCs w:val="20"/>
              </w:rPr>
              <w:t>26.37</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ascii="Times New Roman" w:hAnsi="Times New Roman"/>
                <w:b/>
                <w:color w:val="000000"/>
                <w:sz w:val="20"/>
                <w:szCs w:val="20"/>
              </w:rPr>
              <w:t>26.37</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ascii="Times New Roman" w:hAnsi="Times New Roman"/>
                <w:b/>
                <w:color w:val="000000"/>
                <w:sz w:val="20"/>
                <w:szCs w:val="20"/>
              </w:rPr>
              <w:t>1.81</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ascii="Times New Roman" w:hAnsi="Times New Roman"/>
                <w:b/>
                <w:color w:val="000000"/>
                <w:sz w:val="20"/>
                <w:szCs w:val="20"/>
              </w:rPr>
              <w:t>1.81</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ascii="Times New Roman" w:hAnsi="Times New Roman"/>
                <w:b/>
                <w:color w:val="000000"/>
                <w:sz w:val="20"/>
                <w:szCs w:val="20"/>
              </w:rPr>
              <w:t>24.42</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ascii="Times New Roman" w:hAnsi="Times New Roman"/>
                <w:b/>
                <w:color w:val="000000"/>
                <w:sz w:val="20"/>
                <w:szCs w:val="20"/>
              </w:rPr>
              <w:t>24.42</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ascii="Times New Roman" w:hAnsi="Times New Roman"/>
                <w:b/>
                <w:color w:val="000000"/>
                <w:sz w:val="20"/>
                <w:szCs w:val="20"/>
              </w:rPr>
              <w:t>24.42</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ascii="Times New Roman" w:hAnsi="Times New Roman"/>
                <w:b/>
                <w:color w:val="000000"/>
                <w:sz w:val="20"/>
                <w:szCs w:val="20"/>
              </w:rPr>
              <w:t>24.42</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ascii="Times New Roman" w:hAnsi="Times New Roman"/>
                <w:b/>
                <w:color w:val="000000"/>
                <w:sz w:val="20"/>
                <w:szCs w:val="20"/>
              </w:rPr>
              <w:t>20.42</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ascii="Times New Roman" w:hAnsi="Times New Roman"/>
                <w:b/>
                <w:color w:val="000000"/>
                <w:sz w:val="20"/>
                <w:szCs w:val="20"/>
              </w:rPr>
              <w:t>20.42</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ascii="Times New Roman" w:hAnsi="Times New Roman"/>
                <w:b/>
                <w:color w:val="000000"/>
                <w:sz w:val="20"/>
                <w:szCs w:val="20"/>
              </w:rPr>
              <w:t>4.00</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ascii="Times New Roman" w:hAnsi="Times New Roman"/>
                <w:b/>
                <w:color w:val="000000"/>
                <w:sz w:val="20"/>
                <w:szCs w:val="20"/>
              </w:rPr>
              <w:t>4.00</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ascii="Times New Roman" w:hAnsi="Times New Roman"/>
                <w:b/>
                <w:color w:val="000000"/>
                <w:sz w:val="20"/>
                <w:szCs w:val="20"/>
              </w:rPr>
              <w:t>9.60</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ascii="Times New Roman" w:hAnsi="Times New Roman"/>
                <w:b/>
                <w:color w:val="000000"/>
                <w:sz w:val="20"/>
                <w:szCs w:val="20"/>
              </w:rPr>
              <w:t>0.00</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ascii="Times New Roman" w:hAnsi="Times New Roman"/>
                <w:b/>
                <w:color w:val="000000"/>
                <w:sz w:val="20"/>
                <w:szCs w:val="20"/>
              </w:rPr>
              <w:t>9.60</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ascii="Times New Roman" w:hAnsi="Times New Roman"/>
                <w:b/>
                <w:color w:val="000000"/>
                <w:sz w:val="20"/>
                <w:szCs w:val="20"/>
              </w:rPr>
              <w:t>9.60</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ascii="Times New Roman" w:hAnsi="Times New Roman"/>
                <w:b/>
                <w:color w:val="000000"/>
                <w:sz w:val="20"/>
                <w:szCs w:val="20"/>
              </w:rPr>
              <w:t>0.00</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ascii="Times New Roman" w:hAnsi="Times New Roman"/>
                <w:b/>
                <w:color w:val="000000"/>
                <w:sz w:val="20"/>
                <w:szCs w:val="20"/>
              </w:rPr>
              <w:t>9.60</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ascii="Times New Roman" w:hAnsi="Times New Roman"/>
                <w:b/>
                <w:color w:val="000000"/>
                <w:sz w:val="20"/>
                <w:szCs w:val="20"/>
              </w:rPr>
              <w:t>9.60</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ascii="Times New Roman" w:hAnsi="Times New Roman"/>
                <w:b/>
                <w:color w:val="000000"/>
                <w:sz w:val="20"/>
                <w:szCs w:val="20"/>
              </w:rPr>
              <w:t>0.00</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ascii="Times New Roman" w:hAnsi="Times New Roman"/>
                <w:b/>
                <w:color w:val="000000"/>
                <w:sz w:val="20"/>
                <w:szCs w:val="20"/>
              </w:rPr>
              <w:t>9.60</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ascii="Times New Roman" w:hAnsi="Times New Roman"/>
                <w:b/>
                <w:color w:val="000000"/>
                <w:sz w:val="20"/>
                <w:szCs w:val="20"/>
              </w:rPr>
              <w:t>25.04</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ascii="Times New Roman" w:hAnsi="Times New Roman"/>
                <w:b/>
                <w:color w:val="000000"/>
                <w:sz w:val="20"/>
                <w:szCs w:val="20"/>
              </w:rPr>
              <w:t>25.04</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ascii="Times New Roman" w:hAnsi="Times New Roman"/>
                <w:b/>
                <w:color w:val="000000"/>
                <w:sz w:val="20"/>
                <w:szCs w:val="20"/>
              </w:rPr>
              <w:t>25.04</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ascii="Times New Roman" w:hAnsi="Times New Roman"/>
                <w:b/>
                <w:color w:val="000000"/>
                <w:sz w:val="20"/>
                <w:szCs w:val="20"/>
              </w:rPr>
              <w:t>25.04</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ascii="Times New Roman" w:hAnsi="Times New Roman"/>
                <w:b/>
                <w:color w:val="000000"/>
                <w:sz w:val="20"/>
                <w:szCs w:val="20"/>
              </w:rPr>
              <w:t>25.04</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ascii="Times New Roman" w:hAnsi="Times New Roman"/>
                <w:b/>
                <w:color w:val="000000"/>
                <w:sz w:val="20"/>
                <w:szCs w:val="20"/>
              </w:rPr>
              <w:t>25.04</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ascii="Times New Roman" w:hAnsi="Times New Roman"/>
                <w:b/>
                <w:color w:val="000000"/>
                <w:sz w:val="20"/>
                <w:szCs w:val="20"/>
              </w:rPr>
              <w:t>0.00</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2"/>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rFonts w:cs="宋体"/>
                <w:sz w:val="20"/>
                <w:szCs w:val="20"/>
              </w:rPr>
              <w:t>酉阳土家族苗族自治县土地房屋征收中心</w:t>
            </w:r>
          </w:p>
        </w:tc>
        <w:tc>
          <w:tcPr>
            <w:tcW w:w="1418"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418"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szCs w:val="18"/>
              </w:rPr>
              <w:t>474.75</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szCs w:val="18"/>
              </w:rPr>
              <w:t>48.96</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szCs w:val="18"/>
              </w:rPr>
              <w:t>123.01</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szCs w:val="18"/>
              </w:rPr>
              <w:t>40.51</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szCs w:val="18"/>
              </w:rPr>
              <w:t>16.96</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szCs w:val="18"/>
              </w:rPr>
              <w:t>209.05</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szCs w:val="18"/>
              </w:rPr>
              <w:t>48.17</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szCs w:val="18"/>
              </w:rPr>
              <w:t>0.30</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szCs w:val="18"/>
              </w:rPr>
              <w:t>26.37</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szCs w:val="18"/>
              </w:rPr>
              <w:t>1.26</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szCs w:val="18"/>
              </w:rPr>
              <w:t>21.49</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szCs w:val="18"/>
              </w:rPr>
              <w:t>0.64</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szCs w:val="18"/>
              </w:rPr>
              <w:t>25.04</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szCs w:val="18"/>
              </w:rPr>
              <w:t>4.00</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szCs w:val="18"/>
              </w:rPr>
              <w:t>1.81</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szCs w:val="18"/>
              </w:rPr>
              <w:t>0.06</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szCs w:val="18"/>
              </w:rPr>
              <w:t>1.81</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szCs w:val="18"/>
              </w:rPr>
              <w:t>2.58</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szCs w:val="18"/>
              </w:rPr>
              <w:t>2.77</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szCs w:val="18"/>
              </w:rPr>
              <w:t>1.47</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ascii="Times New Roman" w:hAnsi="Times New Roman"/>
                <w:color w:val="000000"/>
                <w:sz w:val="18"/>
                <w:szCs w:val="18"/>
              </w:rPr>
              <w:t>476.56</w:t>
            </w:r>
          </w:p>
        </w:tc>
        <w:tc>
          <w:tcPr>
            <w:tcW w:w="8659"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48.96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tbl>
      <w:tblPr>
        <w:tblStyle w:val="12"/>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rFonts w:cs="宋体"/>
                <w:sz w:val="20"/>
                <w:szCs w:val="20"/>
              </w:rPr>
              <w:t>酉阳土家族苗族自治县土地房屋征收中心</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ascii="Times New Roman" w:hAnsi="Times New Roman"/>
                <w:b/>
                <w:color w:val="000000"/>
                <w:sz w:val="20"/>
                <w:szCs w:val="20"/>
              </w:rPr>
              <w:t>0.00</w:t>
            </w:r>
          </w:p>
        </w:tc>
        <w:tc>
          <w:tcPr>
            <w:tcW w:w="170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b/>
                <w:color w:val="000000"/>
                <w:sz w:val="20"/>
                <w:szCs w:val="20"/>
              </w:rPr>
            </w:pPr>
            <w:r>
              <w:rPr>
                <w:rFonts w:ascii="Times New Roman" w:hAnsi="Times New Roman"/>
                <w:b/>
                <w:bCs/>
                <w:color w:val="000000"/>
                <w:sz w:val="20"/>
                <w:szCs w:val="20"/>
              </w:rPr>
              <w:t>1929.02</w:t>
            </w:r>
            <w:r>
              <w:rPr>
                <w:rFonts w:hint="default" w:ascii="Times New Roman" w:hAnsi="Times New Roman"/>
                <w:b/>
                <w:bCs/>
                <w:color w:val="000000"/>
                <w:sz w:val="20"/>
                <w:szCs w:val="20"/>
              </w:rPr>
              <w:t xml:space="preserve"> </w:t>
            </w:r>
          </w:p>
        </w:tc>
        <w:tc>
          <w:tcPr>
            <w:tcW w:w="170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b/>
                <w:color w:val="000000"/>
                <w:sz w:val="20"/>
                <w:szCs w:val="20"/>
              </w:rPr>
            </w:pPr>
            <w:r>
              <w:rPr>
                <w:rFonts w:ascii="Times New Roman" w:hAnsi="Times New Roman"/>
                <w:b/>
                <w:bCs/>
                <w:color w:val="000000"/>
                <w:sz w:val="20"/>
                <w:szCs w:val="20"/>
              </w:rPr>
              <w:t>1929.02</w:t>
            </w:r>
          </w:p>
        </w:tc>
        <w:tc>
          <w:tcPr>
            <w:tcW w:w="170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 xml:space="preserve">0.00 </w:t>
            </w:r>
          </w:p>
        </w:tc>
        <w:tc>
          <w:tcPr>
            <w:tcW w:w="1765"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b/>
                <w:color w:val="000000"/>
                <w:sz w:val="20"/>
                <w:szCs w:val="20"/>
              </w:rPr>
            </w:pPr>
            <w:r>
              <w:rPr>
                <w:rFonts w:ascii="Times New Roman" w:hAnsi="Times New Roman"/>
                <w:b/>
                <w:bCs/>
                <w:color w:val="000000"/>
                <w:sz w:val="20"/>
                <w:szCs w:val="20"/>
              </w:rPr>
              <w:t>1929.02</w:t>
            </w:r>
            <w:r>
              <w:rPr>
                <w:rFonts w:hint="default" w:ascii="Times New Roman" w:hAnsi="Times New Roman"/>
                <w:b/>
                <w:bCs/>
                <w:color w:val="000000"/>
                <w:sz w:val="20"/>
                <w:szCs w:val="20"/>
              </w:rPr>
              <w:t xml:space="preserve"> </w:t>
            </w:r>
          </w:p>
        </w:tc>
        <w:tc>
          <w:tcPr>
            <w:tcW w:w="1839"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 xml:space="preserve">0.00 </w:t>
            </w:r>
          </w:p>
        </w:tc>
      </w:tr>
      <w:tr>
        <w:tblPrEx>
          <w:tblLayout w:type="fixed"/>
          <w:tblCellMar>
            <w:top w:w="0" w:type="dxa"/>
            <w:left w:w="0" w:type="dxa"/>
            <w:bottom w:w="0" w:type="dxa"/>
            <w:right w:w="0" w:type="dxa"/>
          </w:tblCellMar>
        </w:tblPrEx>
        <w:trPr>
          <w:trHeight w:val="349" w:hRule="atLeast"/>
        </w:trPr>
        <w:tc>
          <w:tcPr>
            <w:tcW w:w="13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b/>
                <w:color w:val="000000"/>
                <w:sz w:val="20"/>
                <w:szCs w:val="20"/>
              </w:rPr>
              <w:t>212</w:t>
            </w:r>
          </w:p>
        </w:tc>
        <w:tc>
          <w:tcPr>
            <w:tcW w:w="35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b/>
                <w:color w:val="000000"/>
                <w:sz w:val="20"/>
                <w:szCs w:val="20"/>
              </w:rPr>
              <w:t>城乡社区支出</w:t>
            </w:r>
          </w:p>
        </w:tc>
        <w:tc>
          <w:tcPr>
            <w:tcW w:w="17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 xml:space="preserve">0.00 </w:t>
            </w:r>
          </w:p>
        </w:tc>
        <w:tc>
          <w:tcPr>
            <w:tcW w:w="17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b/>
                <w:color w:val="000000"/>
                <w:sz w:val="20"/>
                <w:szCs w:val="20"/>
              </w:rPr>
            </w:pPr>
            <w:r>
              <w:rPr>
                <w:rFonts w:ascii="Times New Roman" w:hAnsi="Times New Roman"/>
                <w:b/>
                <w:bCs/>
                <w:color w:val="000000"/>
                <w:sz w:val="20"/>
                <w:szCs w:val="20"/>
              </w:rPr>
              <w:t>1929.02</w:t>
            </w:r>
          </w:p>
        </w:tc>
        <w:tc>
          <w:tcPr>
            <w:tcW w:w="17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b/>
                <w:color w:val="000000"/>
                <w:sz w:val="20"/>
                <w:szCs w:val="20"/>
              </w:rPr>
            </w:pPr>
            <w:r>
              <w:rPr>
                <w:rFonts w:ascii="Times New Roman" w:hAnsi="Times New Roman"/>
                <w:b/>
                <w:bCs/>
                <w:color w:val="000000"/>
                <w:sz w:val="20"/>
                <w:szCs w:val="20"/>
              </w:rPr>
              <w:t>1929.02</w:t>
            </w:r>
            <w:r>
              <w:rPr>
                <w:rFonts w:hint="default" w:ascii="Times New Roman" w:hAnsi="Times New Roman"/>
                <w:b/>
                <w:color w:val="000000"/>
                <w:sz w:val="20"/>
                <w:szCs w:val="20"/>
              </w:rPr>
              <w:t xml:space="preserve"> </w:t>
            </w:r>
          </w:p>
        </w:tc>
        <w:tc>
          <w:tcPr>
            <w:tcW w:w="17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 xml:space="preserve">0.00 </w:t>
            </w:r>
          </w:p>
        </w:tc>
        <w:tc>
          <w:tcPr>
            <w:tcW w:w="17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b/>
                <w:color w:val="000000"/>
                <w:sz w:val="20"/>
                <w:szCs w:val="20"/>
              </w:rPr>
            </w:pPr>
            <w:r>
              <w:rPr>
                <w:rFonts w:ascii="Times New Roman" w:hAnsi="Times New Roman"/>
                <w:b/>
                <w:bCs/>
                <w:color w:val="000000"/>
                <w:sz w:val="20"/>
                <w:szCs w:val="20"/>
              </w:rPr>
              <w:t>1929.02</w:t>
            </w:r>
          </w:p>
        </w:tc>
        <w:tc>
          <w:tcPr>
            <w:tcW w:w="183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 xml:space="preserve">0.00 </w:t>
            </w:r>
          </w:p>
        </w:tc>
      </w:tr>
      <w:tr>
        <w:tblPrEx>
          <w:tblLayout w:type="fixed"/>
          <w:tblCellMar>
            <w:top w:w="0" w:type="dxa"/>
            <w:left w:w="0" w:type="dxa"/>
            <w:bottom w:w="0" w:type="dxa"/>
            <w:right w:w="0" w:type="dxa"/>
          </w:tblCellMar>
        </w:tblPrEx>
        <w:trPr>
          <w:trHeight w:val="349" w:hRule="atLeast"/>
        </w:trPr>
        <w:tc>
          <w:tcPr>
            <w:tcW w:w="13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hint="default" w:cs="宋体"/>
                <w:color w:val="000000"/>
                <w:sz w:val="20"/>
                <w:szCs w:val="20"/>
              </w:rPr>
            </w:pPr>
            <w:r>
              <w:rPr>
                <w:rFonts w:cs="宋体"/>
                <w:b/>
                <w:color w:val="000000"/>
                <w:sz w:val="20"/>
                <w:szCs w:val="20"/>
              </w:rPr>
              <w:t>21208</w:t>
            </w:r>
          </w:p>
        </w:tc>
        <w:tc>
          <w:tcPr>
            <w:tcW w:w="3594" w:type="dxa"/>
            <w:tcBorders>
              <w:top w:val="single" w:color="auto" w:sz="4" w:space="0"/>
              <w:left w:val="single" w:color="auto" w:sz="4" w:space="0"/>
              <w:bottom w:val="single" w:color="auto" w:sz="4" w:space="0"/>
              <w:right w:val="single" w:color="auto" w:sz="4" w:space="0"/>
            </w:tcBorders>
            <w:vAlign w:val="center"/>
          </w:tcPr>
          <w:p>
            <w:pPr>
              <w:spacing w:line="240" w:lineRule="exact"/>
              <w:textAlignment w:val="center"/>
              <w:rPr>
                <w:rFonts w:hint="default" w:cs="宋体"/>
                <w:color w:val="000000"/>
                <w:sz w:val="20"/>
                <w:szCs w:val="20"/>
              </w:rPr>
            </w:pPr>
            <w:r>
              <w:rPr>
                <w:rFonts w:cs="宋体"/>
                <w:b/>
                <w:color w:val="000000"/>
                <w:sz w:val="20"/>
                <w:szCs w:val="20"/>
              </w:rPr>
              <w:t>国有土地使用权出让收入安排的支出</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 xml:space="preserve">0.00 </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exact"/>
              <w:jc w:val="right"/>
              <w:textAlignment w:val="center"/>
              <w:rPr>
                <w:rFonts w:hint="default" w:ascii="Times New Roman" w:hAnsi="Times New Roman"/>
                <w:b/>
                <w:color w:val="000000"/>
                <w:sz w:val="20"/>
                <w:szCs w:val="20"/>
              </w:rPr>
            </w:pPr>
            <w:r>
              <w:rPr>
                <w:rFonts w:ascii="Times New Roman" w:hAnsi="Times New Roman"/>
                <w:b/>
                <w:color w:val="000000"/>
                <w:sz w:val="20"/>
                <w:szCs w:val="20"/>
              </w:rPr>
              <w:t>1082.99</w:t>
            </w:r>
            <w:r>
              <w:rPr>
                <w:rFonts w:hint="default" w:ascii="Times New Roman" w:hAnsi="Times New Roman"/>
                <w:b/>
                <w:color w:val="000000"/>
                <w:sz w:val="20"/>
                <w:szCs w:val="20"/>
              </w:rPr>
              <w:t xml:space="preserve"> </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exact"/>
              <w:jc w:val="right"/>
              <w:textAlignment w:val="center"/>
              <w:rPr>
                <w:rFonts w:hint="default" w:ascii="Times New Roman" w:hAnsi="Times New Roman"/>
                <w:b/>
                <w:color w:val="000000"/>
                <w:sz w:val="20"/>
                <w:szCs w:val="20"/>
              </w:rPr>
            </w:pPr>
            <w:r>
              <w:rPr>
                <w:rFonts w:ascii="Times New Roman" w:hAnsi="Times New Roman"/>
                <w:b/>
                <w:color w:val="000000"/>
                <w:sz w:val="20"/>
                <w:szCs w:val="20"/>
              </w:rPr>
              <w:t>1082.99</w:t>
            </w:r>
            <w:r>
              <w:rPr>
                <w:rFonts w:hint="default" w:ascii="Times New Roman" w:hAnsi="Times New Roman"/>
                <w:b/>
                <w:color w:val="000000"/>
                <w:sz w:val="20"/>
                <w:szCs w:val="20"/>
              </w:rPr>
              <w:t xml:space="preserve"> </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 xml:space="preserve">0.00 </w:t>
            </w:r>
          </w:p>
        </w:tc>
        <w:tc>
          <w:tcPr>
            <w:tcW w:w="1765" w:type="dxa"/>
            <w:tcBorders>
              <w:top w:val="single" w:color="auto" w:sz="4" w:space="0"/>
              <w:left w:val="single" w:color="auto" w:sz="4" w:space="0"/>
              <w:bottom w:val="single" w:color="auto" w:sz="4" w:space="0"/>
              <w:right w:val="single" w:color="auto" w:sz="4" w:space="0"/>
            </w:tcBorders>
            <w:vAlign w:val="center"/>
          </w:tcPr>
          <w:p>
            <w:pPr>
              <w:spacing w:line="240" w:lineRule="exact"/>
              <w:jc w:val="right"/>
              <w:textAlignment w:val="center"/>
              <w:rPr>
                <w:rFonts w:hint="default" w:ascii="Times New Roman" w:hAnsi="Times New Roman"/>
                <w:b/>
                <w:color w:val="000000"/>
                <w:sz w:val="20"/>
                <w:szCs w:val="20"/>
              </w:rPr>
            </w:pPr>
            <w:r>
              <w:rPr>
                <w:rFonts w:ascii="Times New Roman" w:hAnsi="Times New Roman"/>
                <w:b/>
                <w:color w:val="000000"/>
                <w:sz w:val="20"/>
                <w:szCs w:val="20"/>
              </w:rPr>
              <w:t>1082.99</w:t>
            </w:r>
            <w:r>
              <w:rPr>
                <w:rFonts w:hint="default" w:ascii="Times New Roman" w:hAnsi="Times New Roman"/>
                <w:b/>
                <w:color w:val="000000"/>
                <w:sz w:val="20"/>
                <w:szCs w:val="20"/>
              </w:rPr>
              <w:t xml:space="preserve"> </w:t>
            </w:r>
          </w:p>
        </w:tc>
        <w:tc>
          <w:tcPr>
            <w:tcW w:w="1839" w:type="dxa"/>
            <w:tcBorders>
              <w:top w:val="single" w:color="auto" w:sz="4" w:space="0"/>
              <w:left w:val="single" w:color="auto" w:sz="4" w:space="0"/>
              <w:bottom w:val="single" w:color="auto" w:sz="4" w:space="0"/>
              <w:right w:val="single" w:color="auto" w:sz="4" w:space="0"/>
            </w:tcBorders>
            <w:vAlign w:val="center"/>
          </w:tcPr>
          <w:p>
            <w:pPr>
              <w:spacing w:line="24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 xml:space="preserve">0.00 </w:t>
            </w:r>
          </w:p>
        </w:tc>
      </w:tr>
      <w:tr>
        <w:tblPrEx>
          <w:tblLayout w:type="fixed"/>
          <w:tblCellMar>
            <w:top w:w="0" w:type="dxa"/>
            <w:left w:w="0" w:type="dxa"/>
            <w:bottom w:w="0" w:type="dxa"/>
            <w:right w:w="0" w:type="dxa"/>
          </w:tblCellMar>
        </w:tblPrEx>
        <w:trPr>
          <w:trHeight w:val="349" w:hRule="atLeast"/>
        </w:trPr>
        <w:tc>
          <w:tcPr>
            <w:tcW w:w="13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hint="default" w:cs="宋体"/>
                <w:color w:val="000000"/>
                <w:sz w:val="20"/>
                <w:szCs w:val="20"/>
              </w:rPr>
            </w:pPr>
            <w:r>
              <w:rPr>
                <w:rFonts w:cs="宋体"/>
                <w:color w:val="000000"/>
                <w:sz w:val="20"/>
                <w:szCs w:val="20"/>
              </w:rPr>
              <w:t>2120801</w:t>
            </w:r>
          </w:p>
        </w:tc>
        <w:tc>
          <w:tcPr>
            <w:tcW w:w="3594" w:type="dxa"/>
            <w:tcBorders>
              <w:top w:val="single" w:color="auto" w:sz="4" w:space="0"/>
              <w:left w:val="single" w:color="auto" w:sz="4" w:space="0"/>
              <w:bottom w:val="single" w:color="auto" w:sz="4" w:space="0"/>
              <w:right w:val="single" w:color="auto" w:sz="4" w:space="0"/>
            </w:tcBorders>
            <w:vAlign w:val="center"/>
          </w:tcPr>
          <w:p>
            <w:pPr>
              <w:spacing w:line="240" w:lineRule="exact"/>
              <w:textAlignment w:val="center"/>
              <w:rPr>
                <w:rFonts w:hint="default" w:cs="宋体"/>
                <w:color w:val="000000"/>
                <w:sz w:val="20"/>
                <w:szCs w:val="20"/>
              </w:rPr>
            </w:pPr>
            <w:r>
              <w:rPr>
                <w:rFonts w:cs="宋体"/>
                <w:color w:val="000000"/>
                <w:sz w:val="20"/>
                <w:szCs w:val="20"/>
              </w:rPr>
              <w:t>征地和拆迁补偿支出</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exact"/>
              <w:jc w:val="right"/>
              <w:textAlignment w:val="center"/>
              <w:rPr>
                <w:rFonts w:hint="default" w:ascii="Times New Roman" w:hAnsi="Times New Roman"/>
                <w:b/>
                <w:color w:val="000000"/>
                <w:sz w:val="20"/>
                <w:szCs w:val="20"/>
              </w:rPr>
            </w:pPr>
            <w:r>
              <w:rPr>
                <w:rFonts w:hint="default" w:ascii="Times New Roman" w:hAnsi="Times New Roman"/>
                <w:bCs/>
                <w:color w:val="000000"/>
                <w:sz w:val="20"/>
                <w:szCs w:val="20"/>
              </w:rPr>
              <w:t>0.00</w:t>
            </w:r>
            <w:r>
              <w:rPr>
                <w:rFonts w:hint="default" w:ascii="Times New Roman" w:hAnsi="Times New Roman"/>
                <w:b/>
                <w:color w:val="000000"/>
                <w:sz w:val="20"/>
                <w:szCs w:val="20"/>
              </w:rPr>
              <w:t xml:space="preserve"> </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exact"/>
              <w:jc w:val="right"/>
              <w:textAlignment w:val="center"/>
              <w:rPr>
                <w:rFonts w:hint="default" w:ascii="Times New Roman" w:hAnsi="Times New Roman"/>
                <w:b/>
                <w:color w:val="000000"/>
                <w:sz w:val="20"/>
                <w:szCs w:val="20"/>
              </w:rPr>
            </w:pPr>
            <w:r>
              <w:rPr>
                <w:rFonts w:ascii="Times New Roman" w:hAnsi="Times New Roman"/>
                <w:color w:val="000000"/>
                <w:sz w:val="20"/>
                <w:szCs w:val="20"/>
              </w:rPr>
              <w:t>707.72</w:t>
            </w:r>
            <w:r>
              <w:rPr>
                <w:rFonts w:hint="default" w:ascii="Times New Roman" w:hAnsi="Times New Roman"/>
                <w:color w:val="000000"/>
                <w:sz w:val="20"/>
                <w:szCs w:val="20"/>
              </w:rPr>
              <w:t xml:space="preserve"> </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exact"/>
              <w:jc w:val="right"/>
              <w:textAlignment w:val="center"/>
              <w:rPr>
                <w:rFonts w:hint="default" w:ascii="Times New Roman" w:hAnsi="Times New Roman"/>
                <w:b/>
                <w:color w:val="000000"/>
                <w:sz w:val="20"/>
                <w:szCs w:val="20"/>
              </w:rPr>
            </w:pPr>
            <w:r>
              <w:rPr>
                <w:rFonts w:ascii="Times New Roman" w:hAnsi="Times New Roman"/>
                <w:color w:val="000000"/>
                <w:sz w:val="20"/>
                <w:szCs w:val="20"/>
              </w:rPr>
              <w:t>707.72</w:t>
            </w:r>
            <w:r>
              <w:rPr>
                <w:rFonts w:hint="default" w:ascii="Times New Roman" w:hAnsi="Times New Roman"/>
                <w:color w:val="000000"/>
                <w:sz w:val="20"/>
                <w:szCs w:val="20"/>
              </w:rPr>
              <w:t xml:space="preserve"> </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765" w:type="dxa"/>
            <w:tcBorders>
              <w:top w:val="single" w:color="auto" w:sz="4" w:space="0"/>
              <w:left w:val="single" w:color="auto" w:sz="4" w:space="0"/>
              <w:bottom w:val="single" w:color="auto" w:sz="4" w:space="0"/>
              <w:right w:val="single" w:color="auto" w:sz="4" w:space="0"/>
            </w:tcBorders>
            <w:vAlign w:val="center"/>
          </w:tcPr>
          <w:p>
            <w:pPr>
              <w:spacing w:line="240" w:lineRule="exact"/>
              <w:jc w:val="right"/>
              <w:textAlignment w:val="center"/>
              <w:rPr>
                <w:rFonts w:hint="default" w:ascii="Times New Roman" w:hAnsi="Times New Roman"/>
                <w:b/>
                <w:color w:val="000000"/>
                <w:sz w:val="20"/>
                <w:szCs w:val="20"/>
              </w:rPr>
            </w:pPr>
            <w:r>
              <w:rPr>
                <w:rFonts w:ascii="Times New Roman" w:hAnsi="Times New Roman"/>
                <w:color w:val="000000"/>
                <w:sz w:val="20"/>
                <w:szCs w:val="20"/>
              </w:rPr>
              <w:t>707.72</w:t>
            </w:r>
            <w:r>
              <w:rPr>
                <w:rFonts w:hint="default" w:ascii="Times New Roman" w:hAnsi="Times New Roman"/>
                <w:color w:val="000000"/>
                <w:sz w:val="20"/>
                <w:szCs w:val="20"/>
              </w:rPr>
              <w:t xml:space="preserve"> </w:t>
            </w:r>
          </w:p>
        </w:tc>
        <w:tc>
          <w:tcPr>
            <w:tcW w:w="1839" w:type="dxa"/>
            <w:tcBorders>
              <w:top w:val="single" w:color="auto" w:sz="4" w:space="0"/>
              <w:left w:val="single" w:color="auto" w:sz="4" w:space="0"/>
              <w:bottom w:val="single" w:color="auto" w:sz="4" w:space="0"/>
              <w:right w:val="single" w:color="auto" w:sz="4" w:space="0"/>
            </w:tcBorders>
            <w:vAlign w:val="center"/>
          </w:tcPr>
          <w:p>
            <w:pPr>
              <w:spacing w:line="24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r>
        <w:tblPrEx>
          <w:tblLayout w:type="fixed"/>
          <w:tblCellMar>
            <w:top w:w="0" w:type="dxa"/>
            <w:left w:w="0" w:type="dxa"/>
            <w:bottom w:w="0" w:type="dxa"/>
            <w:right w:w="0" w:type="dxa"/>
          </w:tblCellMar>
        </w:tblPrEx>
        <w:trPr>
          <w:trHeight w:val="349" w:hRule="atLeast"/>
        </w:trPr>
        <w:tc>
          <w:tcPr>
            <w:tcW w:w="13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hint="default" w:cs="宋体"/>
                <w:color w:val="000000"/>
                <w:sz w:val="20"/>
                <w:szCs w:val="20"/>
              </w:rPr>
            </w:pPr>
            <w:r>
              <w:rPr>
                <w:rFonts w:cs="宋体"/>
                <w:color w:val="000000"/>
                <w:sz w:val="20"/>
                <w:szCs w:val="20"/>
              </w:rPr>
              <w:t>2120899</w:t>
            </w:r>
          </w:p>
        </w:tc>
        <w:tc>
          <w:tcPr>
            <w:tcW w:w="3594" w:type="dxa"/>
            <w:tcBorders>
              <w:top w:val="single" w:color="auto" w:sz="4" w:space="0"/>
              <w:left w:val="single" w:color="auto" w:sz="4" w:space="0"/>
              <w:bottom w:val="single" w:color="auto" w:sz="4" w:space="0"/>
              <w:right w:val="single" w:color="auto" w:sz="4" w:space="0"/>
            </w:tcBorders>
            <w:vAlign w:val="center"/>
          </w:tcPr>
          <w:p>
            <w:pPr>
              <w:spacing w:line="240" w:lineRule="exact"/>
              <w:textAlignment w:val="center"/>
              <w:rPr>
                <w:rFonts w:hint="default" w:cs="宋体"/>
                <w:color w:val="000000"/>
                <w:sz w:val="20"/>
                <w:szCs w:val="20"/>
              </w:rPr>
            </w:pPr>
            <w:r>
              <w:rPr>
                <w:rFonts w:cs="宋体"/>
                <w:color w:val="000000"/>
                <w:sz w:val="20"/>
                <w:szCs w:val="20"/>
              </w:rPr>
              <w:t>其他国有土地使用权出让收入安排的支出</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exact"/>
              <w:jc w:val="right"/>
              <w:textAlignment w:val="center"/>
              <w:rPr>
                <w:rFonts w:hint="default" w:ascii="Times New Roman" w:hAnsi="Times New Roman"/>
                <w:b/>
                <w:color w:val="000000"/>
                <w:sz w:val="20"/>
                <w:szCs w:val="20"/>
              </w:rPr>
            </w:pPr>
            <w:r>
              <w:rPr>
                <w:rFonts w:ascii="Times New Roman" w:hAnsi="Times New Roman"/>
                <w:color w:val="000000"/>
                <w:sz w:val="20"/>
                <w:szCs w:val="20"/>
              </w:rPr>
              <w:t>375.27</w:t>
            </w:r>
            <w:r>
              <w:rPr>
                <w:rFonts w:hint="default" w:ascii="Times New Roman" w:hAnsi="Times New Roman"/>
                <w:color w:val="000000"/>
                <w:sz w:val="20"/>
                <w:szCs w:val="20"/>
              </w:rPr>
              <w:t xml:space="preserve"> </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exact"/>
              <w:jc w:val="right"/>
              <w:textAlignment w:val="center"/>
              <w:rPr>
                <w:rFonts w:hint="default" w:ascii="Times New Roman" w:hAnsi="Times New Roman"/>
                <w:b/>
                <w:color w:val="000000"/>
                <w:sz w:val="20"/>
                <w:szCs w:val="20"/>
              </w:rPr>
            </w:pPr>
            <w:r>
              <w:rPr>
                <w:rFonts w:ascii="Times New Roman" w:hAnsi="Times New Roman"/>
                <w:color w:val="000000"/>
                <w:sz w:val="20"/>
                <w:szCs w:val="20"/>
              </w:rPr>
              <w:t>375.27</w:t>
            </w:r>
            <w:r>
              <w:rPr>
                <w:rFonts w:hint="default" w:ascii="Times New Roman" w:hAnsi="Times New Roman"/>
                <w:color w:val="000000"/>
                <w:sz w:val="20"/>
                <w:szCs w:val="20"/>
              </w:rPr>
              <w:t xml:space="preserve"> </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765" w:type="dxa"/>
            <w:tcBorders>
              <w:top w:val="single" w:color="auto" w:sz="4" w:space="0"/>
              <w:left w:val="single" w:color="auto" w:sz="4" w:space="0"/>
              <w:bottom w:val="single" w:color="auto" w:sz="4" w:space="0"/>
              <w:right w:val="single" w:color="auto" w:sz="4" w:space="0"/>
            </w:tcBorders>
            <w:vAlign w:val="center"/>
          </w:tcPr>
          <w:p>
            <w:pPr>
              <w:spacing w:line="240" w:lineRule="exact"/>
              <w:jc w:val="right"/>
              <w:textAlignment w:val="center"/>
              <w:rPr>
                <w:rFonts w:hint="default" w:ascii="Times New Roman" w:hAnsi="Times New Roman"/>
                <w:b/>
                <w:color w:val="000000"/>
                <w:sz w:val="20"/>
                <w:szCs w:val="20"/>
              </w:rPr>
            </w:pPr>
            <w:r>
              <w:rPr>
                <w:rFonts w:ascii="Times New Roman" w:hAnsi="Times New Roman"/>
                <w:color w:val="000000"/>
                <w:sz w:val="20"/>
                <w:szCs w:val="20"/>
              </w:rPr>
              <w:t>375.27</w:t>
            </w:r>
            <w:r>
              <w:rPr>
                <w:rFonts w:hint="default" w:ascii="Times New Roman" w:hAnsi="Times New Roman"/>
                <w:color w:val="000000"/>
                <w:sz w:val="20"/>
                <w:szCs w:val="20"/>
              </w:rPr>
              <w:t xml:space="preserve"> </w:t>
            </w:r>
          </w:p>
        </w:tc>
        <w:tc>
          <w:tcPr>
            <w:tcW w:w="1839" w:type="dxa"/>
            <w:tcBorders>
              <w:top w:val="single" w:color="auto" w:sz="4" w:space="0"/>
              <w:left w:val="single" w:color="auto" w:sz="4" w:space="0"/>
              <w:bottom w:val="single" w:color="auto" w:sz="4" w:space="0"/>
              <w:right w:val="single" w:color="auto" w:sz="4" w:space="0"/>
            </w:tcBorders>
            <w:vAlign w:val="center"/>
          </w:tcPr>
          <w:p>
            <w:pPr>
              <w:spacing w:line="24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r>
        <w:tblPrEx>
          <w:tblLayout w:type="fixed"/>
          <w:tblCellMar>
            <w:top w:w="0" w:type="dxa"/>
            <w:left w:w="0" w:type="dxa"/>
            <w:bottom w:w="0" w:type="dxa"/>
            <w:right w:w="0" w:type="dxa"/>
          </w:tblCellMar>
        </w:tblPrEx>
        <w:trPr>
          <w:trHeight w:val="349" w:hRule="atLeast"/>
        </w:trPr>
        <w:tc>
          <w:tcPr>
            <w:tcW w:w="13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hint="default" w:cs="宋体"/>
                <w:color w:val="000000"/>
                <w:sz w:val="20"/>
                <w:szCs w:val="20"/>
              </w:rPr>
            </w:pPr>
            <w:r>
              <w:rPr>
                <w:rFonts w:cs="宋体"/>
                <w:b/>
                <w:color w:val="000000"/>
                <w:sz w:val="20"/>
                <w:szCs w:val="20"/>
              </w:rPr>
              <w:t>21210</w:t>
            </w:r>
          </w:p>
        </w:tc>
        <w:tc>
          <w:tcPr>
            <w:tcW w:w="3594" w:type="dxa"/>
            <w:tcBorders>
              <w:top w:val="single" w:color="auto" w:sz="4" w:space="0"/>
              <w:left w:val="single" w:color="auto" w:sz="4" w:space="0"/>
              <w:bottom w:val="single" w:color="auto" w:sz="4" w:space="0"/>
              <w:right w:val="single" w:color="auto" w:sz="4" w:space="0"/>
            </w:tcBorders>
            <w:vAlign w:val="center"/>
          </w:tcPr>
          <w:p>
            <w:pPr>
              <w:spacing w:line="240" w:lineRule="exact"/>
              <w:textAlignment w:val="center"/>
              <w:rPr>
                <w:rFonts w:hint="default" w:cs="宋体"/>
                <w:color w:val="000000"/>
                <w:sz w:val="20"/>
                <w:szCs w:val="20"/>
              </w:rPr>
            </w:pPr>
            <w:r>
              <w:rPr>
                <w:rFonts w:cs="宋体"/>
                <w:b/>
                <w:color w:val="000000"/>
                <w:sz w:val="20"/>
                <w:szCs w:val="20"/>
              </w:rPr>
              <w:t>国有土地收益基金安排的支出</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 xml:space="preserve">0.00 </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exact"/>
              <w:jc w:val="right"/>
              <w:textAlignment w:val="center"/>
              <w:rPr>
                <w:rFonts w:hint="default" w:ascii="Times New Roman" w:hAnsi="Times New Roman"/>
                <w:b/>
                <w:color w:val="000000"/>
                <w:sz w:val="20"/>
                <w:szCs w:val="20"/>
              </w:rPr>
            </w:pPr>
            <w:r>
              <w:rPr>
                <w:rFonts w:ascii="Times New Roman" w:hAnsi="Times New Roman"/>
                <w:b/>
                <w:color w:val="000000"/>
                <w:sz w:val="20"/>
                <w:szCs w:val="20"/>
              </w:rPr>
              <w:t>741.88</w:t>
            </w:r>
            <w:r>
              <w:rPr>
                <w:rFonts w:hint="default" w:ascii="Times New Roman" w:hAnsi="Times New Roman"/>
                <w:b/>
                <w:color w:val="000000"/>
                <w:sz w:val="20"/>
                <w:szCs w:val="20"/>
              </w:rPr>
              <w:t xml:space="preserve"> </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exact"/>
              <w:jc w:val="right"/>
              <w:textAlignment w:val="center"/>
              <w:rPr>
                <w:rFonts w:hint="default" w:ascii="Times New Roman" w:hAnsi="Times New Roman"/>
                <w:b/>
                <w:color w:val="000000"/>
                <w:sz w:val="20"/>
                <w:szCs w:val="20"/>
              </w:rPr>
            </w:pPr>
            <w:r>
              <w:rPr>
                <w:rFonts w:ascii="Times New Roman" w:hAnsi="Times New Roman"/>
                <w:b/>
                <w:color w:val="000000"/>
                <w:sz w:val="20"/>
                <w:szCs w:val="20"/>
              </w:rPr>
              <w:t>741.88</w:t>
            </w:r>
            <w:r>
              <w:rPr>
                <w:rFonts w:hint="default" w:ascii="Times New Roman" w:hAnsi="Times New Roman"/>
                <w:b/>
                <w:color w:val="000000"/>
                <w:sz w:val="20"/>
                <w:szCs w:val="20"/>
              </w:rPr>
              <w:t xml:space="preserve"> </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 xml:space="preserve">0.00 </w:t>
            </w:r>
          </w:p>
        </w:tc>
        <w:tc>
          <w:tcPr>
            <w:tcW w:w="1765" w:type="dxa"/>
            <w:tcBorders>
              <w:top w:val="single" w:color="auto" w:sz="4" w:space="0"/>
              <w:left w:val="single" w:color="auto" w:sz="4" w:space="0"/>
              <w:bottom w:val="single" w:color="auto" w:sz="4" w:space="0"/>
              <w:right w:val="single" w:color="auto" w:sz="4" w:space="0"/>
            </w:tcBorders>
            <w:vAlign w:val="center"/>
          </w:tcPr>
          <w:p>
            <w:pPr>
              <w:spacing w:line="240" w:lineRule="exact"/>
              <w:jc w:val="right"/>
              <w:textAlignment w:val="center"/>
              <w:rPr>
                <w:rFonts w:hint="default" w:ascii="Times New Roman" w:hAnsi="Times New Roman"/>
                <w:b/>
                <w:color w:val="000000"/>
                <w:sz w:val="20"/>
                <w:szCs w:val="20"/>
              </w:rPr>
            </w:pPr>
            <w:r>
              <w:rPr>
                <w:rFonts w:ascii="Times New Roman" w:hAnsi="Times New Roman"/>
                <w:b/>
                <w:color w:val="000000"/>
                <w:sz w:val="20"/>
                <w:szCs w:val="20"/>
              </w:rPr>
              <w:t>741.88</w:t>
            </w:r>
            <w:r>
              <w:rPr>
                <w:rFonts w:hint="default" w:ascii="Times New Roman" w:hAnsi="Times New Roman"/>
                <w:b/>
                <w:color w:val="000000"/>
                <w:sz w:val="20"/>
                <w:szCs w:val="20"/>
              </w:rPr>
              <w:t xml:space="preserve"> </w:t>
            </w:r>
          </w:p>
        </w:tc>
        <w:tc>
          <w:tcPr>
            <w:tcW w:w="1839" w:type="dxa"/>
            <w:tcBorders>
              <w:top w:val="single" w:color="auto" w:sz="4" w:space="0"/>
              <w:left w:val="single" w:color="auto" w:sz="4" w:space="0"/>
              <w:bottom w:val="single" w:color="auto" w:sz="4" w:space="0"/>
              <w:right w:val="single" w:color="auto" w:sz="4" w:space="0"/>
            </w:tcBorders>
            <w:vAlign w:val="center"/>
          </w:tcPr>
          <w:p>
            <w:pPr>
              <w:spacing w:line="24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 xml:space="preserve">0.00 </w:t>
            </w:r>
          </w:p>
        </w:tc>
      </w:tr>
      <w:tr>
        <w:tblPrEx>
          <w:tblLayout w:type="fixed"/>
          <w:tblCellMar>
            <w:top w:w="0" w:type="dxa"/>
            <w:left w:w="0" w:type="dxa"/>
            <w:bottom w:w="0" w:type="dxa"/>
            <w:right w:w="0" w:type="dxa"/>
          </w:tblCellMar>
        </w:tblPrEx>
        <w:trPr>
          <w:trHeight w:val="349" w:hRule="atLeast"/>
        </w:trPr>
        <w:tc>
          <w:tcPr>
            <w:tcW w:w="13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hint="default" w:cs="宋体"/>
                <w:color w:val="000000"/>
                <w:sz w:val="20"/>
                <w:szCs w:val="20"/>
              </w:rPr>
            </w:pPr>
            <w:r>
              <w:rPr>
                <w:rFonts w:cs="宋体"/>
                <w:color w:val="000000"/>
                <w:sz w:val="20"/>
                <w:szCs w:val="20"/>
              </w:rPr>
              <w:t>2121001</w:t>
            </w:r>
          </w:p>
        </w:tc>
        <w:tc>
          <w:tcPr>
            <w:tcW w:w="3594" w:type="dxa"/>
            <w:tcBorders>
              <w:top w:val="single" w:color="auto" w:sz="4" w:space="0"/>
              <w:left w:val="single" w:color="auto" w:sz="4" w:space="0"/>
              <w:bottom w:val="single" w:color="auto" w:sz="4" w:space="0"/>
              <w:right w:val="single" w:color="auto" w:sz="4" w:space="0"/>
            </w:tcBorders>
            <w:vAlign w:val="center"/>
          </w:tcPr>
          <w:p>
            <w:pPr>
              <w:spacing w:line="240" w:lineRule="exact"/>
              <w:textAlignment w:val="center"/>
              <w:rPr>
                <w:rFonts w:hint="default" w:cs="宋体"/>
                <w:color w:val="000000"/>
                <w:sz w:val="20"/>
                <w:szCs w:val="20"/>
              </w:rPr>
            </w:pPr>
            <w:r>
              <w:rPr>
                <w:rFonts w:cs="宋体"/>
                <w:color w:val="000000"/>
                <w:sz w:val="20"/>
                <w:szCs w:val="20"/>
              </w:rPr>
              <w:t>征地和拆迁补偿支出</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exact"/>
              <w:jc w:val="right"/>
              <w:textAlignment w:val="center"/>
              <w:rPr>
                <w:rFonts w:hint="default" w:ascii="Times New Roman" w:hAnsi="Times New Roman"/>
                <w:b/>
                <w:color w:val="000000"/>
                <w:sz w:val="20"/>
                <w:szCs w:val="20"/>
              </w:rPr>
            </w:pPr>
            <w:r>
              <w:rPr>
                <w:rFonts w:hint="default" w:ascii="Times New Roman" w:hAnsi="Times New Roman"/>
                <w:bCs/>
                <w:color w:val="000000"/>
                <w:sz w:val="20"/>
                <w:szCs w:val="20"/>
              </w:rPr>
              <w:t>0.00</w:t>
            </w:r>
            <w:r>
              <w:rPr>
                <w:rFonts w:hint="default" w:ascii="Times New Roman" w:hAnsi="Times New Roman"/>
                <w:b/>
                <w:color w:val="000000"/>
                <w:sz w:val="20"/>
                <w:szCs w:val="20"/>
              </w:rPr>
              <w:t xml:space="preserve"> </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exact"/>
              <w:jc w:val="right"/>
              <w:textAlignment w:val="center"/>
              <w:rPr>
                <w:rFonts w:hint="default" w:ascii="Times New Roman" w:hAnsi="Times New Roman"/>
                <w:b/>
                <w:color w:val="000000"/>
                <w:sz w:val="20"/>
                <w:szCs w:val="20"/>
              </w:rPr>
            </w:pPr>
            <w:r>
              <w:rPr>
                <w:rFonts w:ascii="Times New Roman" w:hAnsi="Times New Roman"/>
                <w:color w:val="000000"/>
                <w:sz w:val="20"/>
                <w:szCs w:val="20"/>
              </w:rPr>
              <w:t>741.88</w:t>
            </w:r>
            <w:r>
              <w:rPr>
                <w:rFonts w:hint="default" w:ascii="Times New Roman" w:hAnsi="Times New Roman"/>
                <w:color w:val="000000"/>
                <w:sz w:val="20"/>
                <w:szCs w:val="20"/>
              </w:rPr>
              <w:t xml:space="preserve"> </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exact"/>
              <w:jc w:val="right"/>
              <w:textAlignment w:val="center"/>
              <w:rPr>
                <w:rFonts w:hint="default" w:ascii="Times New Roman" w:hAnsi="Times New Roman"/>
                <w:b/>
                <w:color w:val="000000"/>
                <w:sz w:val="20"/>
                <w:szCs w:val="20"/>
              </w:rPr>
            </w:pPr>
            <w:r>
              <w:rPr>
                <w:rFonts w:ascii="Times New Roman" w:hAnsi="Times New Roman"/>
                <w:color w:val="000000"/>
                <w:sz w:val="20"/>
                <w:szCs w:val="20"/>
              </w:rPr>
              <w:t>741.88</w:t>
            </w:r>
            <w:r>
              <w:rPr>
                <w:rFonts w:hint="default" w:ascii="Times New Roman" w:hAnsi="Times New Roman"/>
                <w:color w:val="000000"/>
                <w:sz w:val="20"/>
                <w:szCs w:val="20"/>
              </w:rPr>
              <w:t xml:space="preserve"> </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765" w:type="dxa"/>
            <w:tcBorders>
              <w:top w:val="single" w:color="auto" w:sz="4" w:space="0"/>
              <w:left w:val="single" w:color="auto" w:sz="4" w:space="0"/>
              <w:bottom w:val="single" w:color="auto" w:sz="4" w:space="0"/>
              <w:right w:val="single" w:color="auto" w:sz="4" w:space="0"/>
            </w:tcBorders>
            <w:vAlign w:val="center"/>
          </w:tcPr>
          <w:p>
            <w:pPr>
              <w:spacing w:line="240" w:lineRule="exact"/>
              <w:jc w:val="right"/>
              <w:textAlignment w:val="center"/>
              <w:rPr>
                <w:rFonts w:hint="default" w:ascii="Times New Roman" w:hAnsi="Times New Roman"/>
                <w:b/>
                <w:color w:val="000000"/>
                <w:sz w:val="20"/>
                <w:szCs w:val="20"/>
              </w:rPr>
            </w:pPr>
            <w:r>
              <w:rPr>
                <w:rFonts w:ascii="Times New Roman" w:hAnsi="Times New Roman"/>
                <w:color w:val="000000"/>
                <w:sz w:val="20"/>
                <w:szCs w:val="20"/>
              </w:rPr>
              <w:t>741.88</w:t>
            </w:r>
            <w:r>
              <w:rPr>
                <w:rFonts w:hint="default" w:ascii="Times New Roman" w:hAnsi="Times New Roman"/>
                <w:color w:val="000000"/>
                <w:sz w:val="20"/>
                <w:szCs w:val="20"/>
              </w:rPr>
              <w:t xml:space="preserve"> </w:t>
            </w:r>
          </w:p>
        </w:tc>
        <w:tc>
          <w:tcPr>
            <w:tcW w:w="1839" w:type="dxa"/>
            <w:tcBorders>
              <w:top w:val="single" w:color="auto" w:sz="4" w:space="0"/>
              <w:left w:val="single" w:color="auto" w:sz="4" w:space="0"/>
              <w:bottom w:val="single" w:color="auto" w:sz="4" w:space="0"/>
              <w:right w:val="single" w:color="auto" w:sz="4" w:space="0"/>
            </w:tcBorders>
            <w:vAlign w:val="center"/>
          </w:tcPr>
          <w:p>
            <w:pPr>
              <w:spacing w:line="24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r>
        <w:tblPrEx>
          <w:tblLayout w:type="fixed"/>
          <w:tblCellMar>
            <w:top w:w="0" w:type="dxa"/>
            <w:left w:w="0" w:type="dxa"/>
            <w:bottom w:w="0" w:type="dxa"/>
            <w:right w:w="0" w:type="dxa"/>
          </w:tblCellMar>
        </w:tblPrEx>
        <w:trPr>
          <w:trHeight w:val="349" w:hRule="atLeast"/>
        </w:trPr>
        <w:tc>
          <w:tcPr>
            <w:tcW w:w="13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hint="default" w:cs="宋体"/>
                <w:color w:val="000000"/>
                <w:sz w:val="20"/>
                <w:szCs w:val="20"/>
              </w:rPr>
            </w:pPr>
            <w:r>
              <w:rPr>
                <w:rFonts w:cs="宋体"/>
                <w:b/>
                <w:color w:val="000000"/>
                <w:sz w:val="20"/>
                <w:szCs w:val="20"/>
              </w:rPr>
              <w:t>21213</w:t>
            </w:r>
          </w:p>
        </w:tc>
        <w:tc>
          <w:tcPr>
            <w:tcW w:w="3594" w:type="dxa"/>
            <w:tcBorders>
              <w:top w:val="single" w:color="auto" w:sz="4" w:space="0"/>
              <w:left w:val="single" w:color="auto" w:sz="4" w:space="0"/>
              <w:bottom w:val="single" w:color="auto" w:sz="4" w:space="0"/>
              <w:right w:val="single" w:color="auto" w:sz="4" w:space="0"/>
            </w:tcBorders>
            <w:vAlign w:val="center"/>
          </w:tcPr>
          <w:p>
            <w:pPr>
              <w:spacing w:line="240" w:lineRule="exact"/>
              <w:textAlignment w:val="center"/>
              <w:rPr>
                <w:rFonts w:hint="default" w:cs="宋体"/>
                <w:color w:val="000000"/>
                <w:sz w:val="20"/>
                <w:szCs w:val="20"/>
              </w:rPr>
            </w:pPr>
            <w:r>
              <w:rPr>
                <w:rFonts w:cs="宋体"/>
                <w:b/>
                <w:color w:val="000000"/>
                <w:sz w:val="20"/>
                <w:szCs w:val="20"/>
              </w:rPr>
              <w:t>城市基础设施配套费安排的支出</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hint="default" w:ascii="Times New Roman" w:hAnsi="Times New Roman"/>
                <w:color w:val="000000"/>
                <w:sz w:val="20"/>
                <w:szCs w:val="20"/>
              </w:rPr>
              <w:t xml:space="preserve"> </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exact"/>
              <w:jc w:val="right"/>
              <w:textAlignment w:val="center"/>
              <w:rPr>
                <w:rFonts w:hint="default" w:ascii="Times New Roman" w:hAnsi="Times New Roman"/>
                <w:b/>
                <w:color w:val="000000"/>
                <w:sz w:val="20"/>
                <w:szCs w:val="20"/>
              </w:rPr>
            </w:pPr>
            <w:r>
              <w:rPr>
                <w:rFonts w:ascii="Times New Roman" w:hAnsi="Times New Roman"/>
                <w:b/>
                <w:color w:val="000000"/>
                <w:sz w:val="20"/>
                <w:szCs w:val="20"/>
              </w:rPr>
              <w:t>104.15</w:t>
            </w:r>
            <w:r>
              <w:rPr>
                <w:rFonts w:hint="default" w:ascii="Times New Roman" w:hAnsi="Times New Roman"/>
                <w:b/>
                <w:color w:val="000000"/>
                <w:sz w:val="20"/>
                <w:szCs w:val="20"/>
              </w:rPr>
              <w:t xml:space="preserve"> </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exact"/>
              <w:jc w:val="right"/>
              <w:textAlignment w:val="center"/>
              <w:rPr>
                <w:rFonts w:hint="default" w:ascii="Times New Roman" w:hAnsi="Times New Roman"/>
                <w:b/>
                <w:color w:val="000000"/>
                <w:sz w:val="20"/>
                <w:szCs w:val="20"/>
              </w:rPr>
            </w:pPr>
            <w:r>
              <w:rPr>
                <w:rFonts w:ascii="Times New Roman" w:hAnsi="Times New Roman"/>
                <w:b/>
                <w:color w:val="000000"/>
                <w:sz w:val="20"/>
                <w:szCs w:val="20"/>
              </w:rPr>
              <w:t>104.15</w:t>
            </w:r>
            <w:r>
              <w:rPr>
                <w:rFonts w:hint="default" w:ascii="Times New Roman" w:hAnsi="Times New Roman"/>
                <w:b/>
                <w:color w:val="000000"/>
                <w:sz w:val="20"/>
                <w:szCs w:val="20"/>
              </w:rPr>
              <w:t xml:space="preserve"> </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 xml:space="preserve">0.00 </w:t>
            </w:r>
          </w:p>
        </w:tc>
        <w:tc>
          <w:tcPr>
            <w:tcW w:w="1765" w:type="dxa"/>
            <w:tcBorders>
              <w:top w:val="single" w:color="auto" w:sz="4" w:space="0"/>
              <w:left w:val="single" w:color="auto" w:sz="4" w:space="0"/>
              <w:bottom w:val="single" w:color="auto" w:sz="4" w:space="0"/>
              <w:right w:val="single" w:color="auto" w:sz="4" w:space="0"/>
            </w:tcBorders>
            <w:vAlign w:val="center"/>
          </w:tcPr>
          <w:p>
            <w:pPr>
              <w:spacing w:line="240" w:lineRule="exact"/>
              <w:jc w:val="right"/>
              <w:textAlignment w:val="center"/>
              <w:rPr>
                <w:rFonts w:hint="default" w:ascii="Times New Roman" w:hAnsi="Times New Roman"/>
                <w:b/>
                <w:color w:val="000000"/>
                <w:sz w:val="20"/>
                <w:szCs w:val="20"/>
              </w:rPr>
            </w:pPr>
            <w:r>
              <w:rPr>
                <w:rFonts w:ascii="Times New Roman" w:hAnsi="Times New Roman"/>
                <w:b/>
                <w:color w:val="000000"/>
                <w:sz w:val="20"/>
                <w:szCs w:val="20"/>
              </w:rPr>
              <w:t>104.15</w:t>
            </w:r>
            <w:r>
              <w:rPr>
                <w:rFonts w:hint="default" w:ascii="Times New Roman" w:hAnsi="Times New Roman"/>
                <w:b/>
                <w:color w:val="000000"/>
                <w:sz w:val="20"/>
                <w:szCs w:val="20"/>
              </w:rPr>
              <w:t xml:space="preserve"> </w:t>
            </w:r>
          </w:p>
        </w:tc>
        <w:tc>
          <w:tcPr>
            <w:tcW w:w="1839" w:type="dxa"/>
            <w:tcBorders>
              <w:top w:val="single" w:color="auto" w:sz="4" w:space="0"/>
              <w:left w:val="single" w:color="auto" w:sz="4" w:space="0"/>
              <w:bottom w:val="single" w:color="auto" w:sz="4" w:space="0"/>
              <w:right w:val="single" w:color="auto" w:sz="4" w:space="0"/>
            </w:tcBorders>
            <w:vAlign w:val="center"/>
          </w:tcPr>
          <w:p>
            <w:pPr>
              <w:spacing w:line="24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 xml:space="preserve">0.00 </w:t>
            </w:r>
          </w:p>
        </w:tc>
      </w:tr>
      <w:tr>
        <w:tblPrEx>
          <w:tblLayout w:type="fixed"/>
          <w:tblCellMar>
            <w:top w:w="0" w:type="dxa"/>
            <w:left w:w="0" w:type="dxa"/>
            <w:bottom w:w="0" w:type="dxa"/>
            <w:right w:w="0" w:type="dxa"/>
          </w:tblCellMar>
        </w:tblPrEx>
        <w:trPr>
          <w:trHeight w:val="349" w:hRule="atLeast"/>
        </w:trPr>
        <w:tc>
          <w:tcPr>
            <w:tcW w:w="13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hint="default" w:cs="宋体"/>
                <w:color w:val="000000"/>
                <w:sz w:val="20"/>
                <w:szCs w:val="20"/>
              </w:rPr>
            </w:pPr>
            <w:r>
              <w:rPr>
                <w:rFonts w:cs="宋体"/>
                <w:color w:val="000000"/>
                <w:sz w:val="20"/>
                <w:szCs w:val="20"/>
              </w:rPr>
              <w:t>2121399</w:t>
            </w:r>
          </w:p>
        </w:tc>
        <w:tc>
          <w:tcPr>
            <w:tcW w:w="3594" w:type="dxa"/>
            <w:tcBorders>
              <w:top w:val="single" w:color="auto" w:sz="4" w:space="0"/>
              <w:left w:val="single" w:color="auto" w:sz="4" w:space="0"/>
              <w:bottom w:val="single" w:color="auto" w:sz="4" w:space="0"/>
              <w:right w:val="single" w:color="auto" w:sz="4" w:space="0"/>
            </w:tcBorders>
            <w:vAlign w:val="center"/>
          </w:tcPr>
          <w:p>
            <w:pPr>
              <w:spacing w:line="240" w:lineRule="exact"/>
              <w:textAlignment w:val="center"/>
              <w:rPr>
                <w:rFonts w:hint="default" w:cs="宋体"/>
                <w:color w:val="000000"/>
                <w:sz w:val="20"/>
                <w:szCs w:val="20"/>
              </w:rPr>
            </w:pPr>
            <w:r>
              <w:rPr>
                <w:rFonts w:cs="宋体"/>
                <w:color w:val="000000"/>
                <w:sz w:val="20"/>
                <w:szCs w:val="20"/>
              </w:rPr>
              <w:t>其他城市基础设施配套费安排的支出</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exact"/>
              <w:jc w:val="right"/>
              <w:textAlignment w:val="center"/>
              <w:rPr>
                <w:rFonts w:hint="default" w:ascii="Times New Roman" w:hAnsi="Times New Roman"/>
                <w:bCs/>
                <w:color w:val="000000"/>
                <w:sz w:val="20"/>
                <w:szCs w:val="20"/>
              </w:rPr>
            </w:pPr>
            <w:r>
              <w:rPr>
                <w:rFonts w:ascii="Times New Roman" w:hAnsi="Times New Roman"/>
                <w:bCs/>
                <w:color w:val="000000"/>
                <w:sz w:val="20"/>
                <w:szCs w:val="20"/>
              </w:rPr>
              <w:t>104.15</w:t>
            </w:r>
            <w:r>
              <w:rPr>
                <w:rFonts w:hint="default" w:ascii="Times New Roman" w:hAnsi="Times New Roman"/>
                <w:bCs/>
                <w:color w:val="000000"/>
                <w:sz w:val="20"/>
                <w:szCs w:val="20"/>
              </w:rPr>
              <w:t xml:space="preserve"> </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exact"/>
              <w:jc w:val="right"/>
              <w:textAlignment w:val="center"/>
              <w:rPr>
                <w:rFonts w:hint="default" w:ascii="Times New Roman" w:hAnsi="Times New Roman"/>
                <w:bCs/>
                <w:color w:val="000000"/>
                <w:sz w:val="20"/>
                <w:szCs w:val="20"/>
              </w:rPr>
            </w:pPr>
            <w:r>
              <w:rPr>
                <w:rFonts w:ascii="Times New Roman" w:hAnsi="Times New Roman"/>
                <w:bCs/>
                <w:color w:val="000000"/>
                <w:sz w:val="20"/>
                <w:szCs w:val="20"/>
              </w:rPr>
              <w:t>104.15</w:t>
            </w:r>
            <w:r>
              <w:rPr>
                <w:rFonts w:hint="default" w:ascii="Times New Roman" w:hAnsi="Times New Roman"/>
                <w:bCs/>
                <w:color w:val="000000"/>
                <w:sz w:val="20"/>
                <w:szCs w:val="20"/>
              </w:rPr>
              <w:t xml:space="preserve"> </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c>
          <w:tcPr>
            <w:tcW w:w="1765" w:type="dxa"/>
            <w:tcBorders>
              <w:top w:val="single" w:color="auto" w:sz="4" w:space="0"/>
              <w:left w:val="single" w:color="auto" w:sz="4" w:space="0"/>
              <w:bottom w:val="single" w:color="auto" w:sz="4" w:space="0"/>
              <w:right w:val="single" w:color="auto" w:sz="4" w:space="0"/>
            </w:tcBorders>
            <w:vAlign w:val="center"/>
          </w:tcPr>
          <w:p>
            <w:pPr>
              <w:spacing w:line="240" w:lineRule="exact"/>
              <w:jc w:val="right"/>
              <w:textAlignment w:val="center"/>
              <w:rPr>
                <w:rFonts w:hint="default" w:ascii="Times New Roman" w:hAnsi="Times New Roman"/>
                <w:bCs/>
                <w:color w:val="000000"/>
                <w:sz w:val="20"/>
                <w:szCs w:val="20"/>
              </w:rPr>
            </w:pPr>
            <w:r>
              <w:rPr>
                <w:rFonts w:ascii="Times New Roman" w:hAnsi="Times New Roman"/>
                <w:bCs/>
                <w:color w:val="000000"/>
                <w:sz w:val="20"/>
                <w:szCs w:val="20"/>
              </w:rPr>
              <w:t>104.15</w:t>
            </w:r>
            <w:r>
              <w:rPr>
                <w:rFonts w:hint="default" w:ascii="Times New Roman" w:hAnsi="Times New Roman"/>
                <w:bCs/>
                <w:color w:val="000000"/>
                <w:sz w:val="20"/>
                <w:szCs w:val="20"/>
              </w:rPr>
              <w:t xml:space="preserve"> </w:t>
            </w:r>
          </w:p>
        </w:tc>
        <w:tc>
          <w:tcPr>
            <w:tcW w:w="1839" w:type="dxa"/>
            <w:tcBorders>
              <w:top w:val="single" w:color="auto" w:sz="4" w:space="0"/>
              <w:left w:val="single" w:color="auto" w:sz="4" w:space="0"/>
              <w:bottom w:val="single" w:color="auto" w:sz="4" w:space="0"/>
              <w:right w:val="single" w:color="auto" w:sz="4" w:space="0"/>
            </w:tcBorders>
            <w:vAlign w:val="center"/>
          </w:tcPr>
          <w:p>
            <w:pPr>
              <w:spacing w:line="24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r>
    </w:tbl>
    <w:p>
      <w:pPr>
        <w:rPr>
          <w:rFonts w:hint="default" w:cs="宋体"/>
          <w:sz w:val="21"/>
          <w:szCs w:val="21"/>
        </w:rPr>
      </w:pPr>
      <w:r>
        <w:rPr>
          <w:rFonts w:cs="宋体"/>
          <w:sz w:val="20"/>
          <w:szCs w:val="20"/>
        </w:rPr>
        <w:t>备注：本表反映单位本年度政府性基金预算财政拨款收入支出及结转和结余情况。</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2"/>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rFonts w:cs="宋体"/>
                <w:kern w:val="2"/>
                <w:sz w:val="20"/>
                <w:szCs w:val="20"/>
              </w:rPr>
              <w:t>酉阳土家族苗族自治县土地房屋征收中心</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kern w:val="2"/>
                <w:sz w:val="18"/>
                <w:szCs w:val="18"/>
              </w:rPr>
              <w:t>1.47</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kern w:val="2"/>
                <w:sz w:val="18"/>
                <w:szCs w:val="18"/>
              </w:rPr>
              <w:t>1.47</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kern w:val="2"/>
                <w:sz w:val="18"/>
                <w:szCs w:val="18"/>
              </w:rPr>
              <w:t>1.47</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kern w:val="2"/>
                <w:sz w:val="18"/>
                <w:szCs w:val="18"/>
              </w:rPr>
              <w:t>1.47</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szCs w:val="18"/>
              </w:rPr>
              <w:t>1</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kern w:val="2"/>
                <w:sz w:val="18"/>
                <w:szCs w:val="18"/>
              </w:rPr>
              <w:t>1.47</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kern w:val="2"/>
                <w:sz w:val="18"/>
                <w:szCs w:val="18"/>
              </w:rPr>
              <w:t>1.47</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szCs w:val="18"/>
              </w:rPr>
              <w:t>1</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kern w:val="2"/>
                <w:sz w:val="18"/>
                <w:szCs w:val="18"/>
              </w:rPr>
              <w:t>1</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kern w:val="2"/>
                <w:sz w:val="18"/>
                <w:szCs w:val="18"/>
              </w:rPr>
              <w:t>0.06</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5" w:type="default"/>
      <w:footerReference r:id="rId6"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rPr>
        <w:rFonts w:hint="default"/>
        <w:sz w:val="18"/>
        <w:szCs w:val="18"/>
      </w:rPr>
    </w:pPr>
    <w:r>
      <w:rPr>
        <w:sz w:val="18"/>
        <w:szCs w:val="18"/>
      </w:rP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default"/>
                              <w:sz w:val="18"/>
                              <w:szCs w:val="18"/>
                            </w:rPr>
                          </w:pPr>
                          <w:r>
                            <w:rPr>
                              <w:sz w:val="18"/>
                              <w:szCs w:val="18"/>
                            </w:rPr>
                            <w:fldChar w:fldCharType="begin"/>
                          </w:r>
                          <w:r>
                            <w:rPr>
                              <w:sz w:val="18"/>
                              <w:szCs w:val="18"/>
                            </w:rPr>
                            <w:instrText xml:space="preserve"> PAGE  \* MERGEFORMAT </w:instrText>
                          </w:r>
                          <w:r>
                            <w:rPr>
                              <w:sz w:val="18"/>
                              <w:szCs w:val="18"/>
                            </w:rPr>
                            <w:fldChar w:fldCharType="separate"/>
                          </w:r>
                          <w:r>
                            <w:rPr>
                              <w:rFonts w:hint="default"/>
                              <w:sz w:val="18"/>
                              <w:szCs w:val="18"/>
                            </w:rPr>
                            <w:t>- 1 -</w:t>
                          </w:r>
                          <w:r>
                            <w:rPr>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61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D98SzkFgIAABUEAAAOAAAAAAAA&#10;AAEAIAAAAB8BAABkcnMvZTJvRG9jLnhtbFBLBQYAAAAABgAGAFkBAACnBQAAAAA=&#10;">
              <v:fill on="f" focussize="0,0"/>
              <v:stroke on="f" weight="0.5pt"/>
              <v:imagedata o:title=""/>
              <o:lock v:ext="edit" aspectratio="f"/>
              <v:textbox inset="0mm,0mm,0mm,0mm" style="mso-fit-shape-to-text:t;">
                <w:txbxContent>
                  <w:p>
                    <w:pPr>
                      <w:snapToGrid w:val="0"/>
                      <w:rPr>
                        <w:rFonts w:hint="default"/>
                        <w:sz w:val="18"/>
                        <w:szCs w:val="18"/>
                      </w:rPr>
                    </w:pPr>
                    <w:r>
                      <w:rPr>
                        <w:sz w:val="18"/>
                        <w:szCs w:val="18"/>
                      </w:rPr>
                      <w:fldChar w:fldCharType="begin"/>
                    </w:r>
                    <w:r>
                      <w:rPr>
                        <w:sz w:val="18"/>
                        <w:szCs w:val="18"/>
                      </w:rPr>
                      <w:instrText xml:space="preserve"> PAGE  \* MERGEFORMAT </w:instrText>
                    </w:r>
                    <w:r>
                      <w:rPr>
                        <w:sz w:val="18"/>
                        <w:szCs w:val="18"/>
                      </w:rPr>
                      <w:fldChar w:fldCharType="separate"/>
                    </w:r>
                    <w:r>
                      <w:rPr>
                        <w:rFonts w:hint="default"/>
                        <w:sz w:val="18"/>
                        <w:szCs w:val="18"/>
                      </w:rPr>
                      <w:t>- 1 -</w:t>
                    </w:r>
                    <w:r>
                      <w:rPr>
                        <w:sz w:val="1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rPr>
                          </w:pPr>
                          <w:r>
                            <w:fldChar w:fldCharType="begin"/>
                          </w:r>
                          <w:r>
                            <w:instrText xml:space="preserve"> PAGE  \* MERGEFORMAT </w:instrText>
                          </w:r>
                          <w:r>
                            <w:fldChar w:fldCharType="separate"/>
                          </w:r>
                          <w:r>
                            <w:rPr>
                              <w:rFonts w:hint="default"/>
                            </w:rPr>
                            <w:t>- 12 -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72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- 12 -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8240"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8240;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380E40"/>
    <w:rsid w:val="0044504F"/>
    <w:rsid w:val="00466C9B"/>
    <w:rsid w:val="00486CFC"/>
    <w:rsid w:val="00491DDD"/>
    <w:rsid w:val="00550ABE"/>
    <w:rsid w:val="00582BCC"/>
    <w:rsid w:val="00623A85"/>
    <w:rsid w:val="00770383"/>
    <w:rsid w:val="007819D4"/>
    <w:rsid w:val="007B419D"/>
    <w:rsid w:val="007B7C4B"/>
    <w:rsid w:val="007D3D39"/>
    <w:rsid w:val="007F2DFF"/>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1A8D"/>
    <w:rsid w:val="00D03AAF"/>
    <w:rsid w:val="00DD0539"/>
    <w:rsid w:val="00E07662"/>
    <w:rsid w:val="00E368E9"/>
    <w:rsid w:val="00ED3B75"/>
    <w:rsid w:val="00EE1E33"/>
    <w:rsid w:val="00F73F90"/>
    <w:rsid w:val="00FA2E59"/>
    <w:rsid w:val="00FB4B3B"/>
    <w:rsid w:val="01474EBF"/>
    <w:rsid w:val="01F3521E"/>
    <w:rsid w:val="032F7A75"/>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28038F"/>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6F1525"/>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2674B"/>
    <w:rsid w:val="32285F6F"/>
    <w:rsid w:val="32770556"/>
    <w:rsid w:val="329C0913"/>
    <w:rsid w:val="32AA0460"/>
    <w:rsid w:val="3337290D"/>
    <w:rsid w:val="33E31118"/>
    <w:rsid w:val="33EF7674"/>
    <w:rsid w:val="342D7BC6"/>
    <w:rsid w:val="34A0197E"/>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2B2572"/>
    <w:rsid w:val="44C37687"/>
    <w:rsid w:val="45CB699A"/>
    <w:rsid w:val="46423C66"/>
    <w:rsid w:val="465B470D"/>
    <w:rsid w:val="469D6AD4"/>
    <w:rsid w:val="46AC177E"/>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8C549F1"/>
    <w:rsid w:val="796D60A4"/>
    <w:rsid w:val="79A031D5"/>
    <w:rsid w:val="79B47FDF"/>
    <w:rsid w:val="79E569A9"/>
    <w:rsid w:val="7A1525F7"/>
    <w:rsid w:val="7B420052"/>
    <w:rsid w:val="7B4428B6"/>
    <w:rsid w:val="7BD06A28"/>
    <w:rsid w:val="7C3A7C0B"/>
    <w:rsid w:val="7C5248E4"/>
    <w:rsid w:val="7C566698"/>
    <w:rsid w:val="7C5866A3"/>
    <w:rsid w:val="7D2E57B8"/>
    <w:rsid w:val="7D7406BB"/>
    <w:rsid w:val="7DE94331"/>
    <w:rsid w:val="7E071770"/>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uiPriority w:val="1"/>
  </w:style>
  <w:style w:type="table" w:default="1" w:styleId="12">
    <w:name w:val="Normal Table"/>
    <w:semiHidden/>
    <w:unhideWhenUsed/>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spacing w:after="120"/>
      <w:ind w:left="420" w:leftChars="200"/>
    </w:pPr>
    <w:rPr>
      <w:rFonts w:cs="宋体"/>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character" w:styleId="11">
    <w:name w:val="Strong"/>
    <w:qFormat/>
    <w:uiPriority w:val="0"/>
    <w:rPr>
      <w: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0"/>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字符"/>
    <w:basedOn w:val="10"/>
    <w:link w:val="5"/>
    <w:qFormat/>
    <w:uiPriority w:val="0"/>
    <w:rPr>
      <w:rFonts w:ascii="宋体" w:hAnsi="宋体"/>
      <w:sz w:val="18"/>
      <w:szCs w:val="18"/>
    </w:rPr>
  </w:style>
  <w:style w:type="paragraph" w:customStyle="1" w:styleId="19">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2230</Words>
  <Characters>12712</Characters>
  <Lines>105</Lines>
  <Paragraphs>29</Paragraphs>
  <TotalTime>44</TotalTime>
  <ScaleCrop>false</ScaleCrop>
  <LinksUpToDate>false</LinksUpToDate>
  <CharactersWithSpaces>14913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2025-10-14T03:26:31Z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BB46EABDBB2749749395447164B066B3_12</vt:lpwstr>
  </property>
</Properties>
</file>