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harts/chart1.xml" ContentType="application/vnd.openxmlformats-officedocument.drawingml.chart+xml"/>
  <Override PartName="/word/charts/chart2.xml" ContentType="application/vnd.openxmlformats-officedocument.drawingml.chart+xml"/>
  <Override PartName="/word/charts/chart3.xml" ContentType="application/vnd.openxmlformats-officedocument.drawingml.chart+xml"/>
  <Override PartName="/word/charts/chart4.xml" ContentType="application/vnd.openxmlformats-officedocument.drawingml.chart+xml"/>
  <Override PartName="/word/charts/chart5.xml" ContentType="application/vnd.openxmlformats-officedocument.drawingml.chart+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autoSpaceDN/>
        <w:spacing w:line="560" w:lineRule="exact"/>
        <w:jc w:val="center"/>
        <w:rPr>
          <w:rFonts w:ascii="Times New Roman" w:hAnsi="Times New Roman" w:eastAsia="方正小标宋_GBK" w:cs="方正小标宋_GBK"/>
          <w:kern w:val="2"/>
          <w:sz w:val="44"/>
          <w:szCs w:val="44"/>
          <w:lang w:val="en-US" w:bidi="ar-SA"/>
        </w:rPr>
      </w:pPr>
      <w:bookmarkStart w:id="125" w:name="_GoBack"/>
      <w:bookmarkEnd w:id="125"/>
      <w:r>
        <w:rPr>
          <w:rFonts w:hint="eastAsia" w:ascii="Times New Roman" w:hAnsi="Times New Roman" w:eastAsia="方正小标宋_GBK" w:cs="方正小标宋_GBK"/>
          <w:kern w:val="2"/>
          <w:sz w:val="44"/>
          <w:szCs w:val="44"/>
          <w:lang w:val="en-US" w:bidi="ar-SA"/>
        </w:rPr>
        <w:t>重庆市酉阳土家族苗族自治县财政支出</w:t>
      </w:r>
    </w:p>
    <w:p>
      <w:pPr>
        <w:autoSpaceDE/>
        <w:autoSpaceDN/>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绩效评价报告</w:t>
      </w:r>
    </w:p>
    <w:p>
      <w:pPr>
        <w:pStyle w:val="7"/>
        <w:spacing w:before="7" w:line="560" w:lineRule="exact"/>
        <w:jc w:val="center"/>
        <w:rPr>
          <w:rFonts w:ascii="Times New Roman" w:hAnsi="Times New Roman" w:eastAsia="方正小标宋_GBK" w:cs="方正小标宋_GBK"/>
          <w:sz w:val="44"/>
          <w:szCs w:val="44"/>
        </w:rPr>
      </w:pPr>
    </w:p>
    <w:p>
      <w:pPr>
        <w:pStyle w:val="7"/>
        <w:spacing w:line="560" w:lineRule="exact"/>
        <w:jc w:val="center"/>
        <w:rPr>
          <w:rFonts w:ascii="Times New Roman" w:hAnsi="Times New Roman" w:eastAsia="方正小标宋_GBK" w:cs="方正小标宋_GBK"/>
          <w:kern w:val="2"/>
          <w:sz w:val="44"/>
          <w:szCs w:val="44"/>
          <w:lang w:val="en-US" w:bidi="ar-SA"/>
        </w:rPr>
      </w:pPr>
      <w:r>
        <w:rPr>
          <w:rFonts w:hint="eastAsia" w:ascii="Times New Roman" w:hAnsi="Times New Roman" w:eastAsia="方正小标宋_GBK" w:cs="方正小标宋_GBK"/>
          <w:kern w:val="2"/>
          <w:sz w:val="44"/>
          <w:szCs w:val="44"/>
          <w:lang w:val="en-US" w:bidi="ar-SA"/>
        </w:rPr>
        <w:t>（2022年度）</w:t>
      </w:r>
    </w:p>
    <w:p>
      <w:pPr>
        <w:pStyle w:val="7"/>
        <w:spacing w:line="560" w:lineRule="exact"/>
        <w:jc w:val="center"/>
        <w:rPr>
          <w:rFonts w:ascii="Times New Roman" w:hAnsi="Times New Roman" w:eastAsia="方正仿宋_GBK" w:cs="Times New Roman"/>
          <w:kern w:val="2"/>
          <w:sz w:val="44"/>
          <w:szCs w:val="44"/>
          <w:lang w:val="en-US" w:bidi="ar-SA"/>
        </w:rPr>
      </w:pPr>
    </w:p>
    <w:p>
      <w:pPr>
        <w:pStyle w:val="7"/>
        <w:spacing w:line="560" w:lineRule="exact"/>
        <w:jc w:val="center"/>
        <w:rPr>
          <w:rFonts w:ascii="Times New Roman" w:hAnsi="Times New Roman" w:eastAsia="方正仿宋_GBK" w:cs="Times New Roman"/>
          <w:kern w:val="2"/>
          <w:sz w:val="44"/>
          <w:szCs w:val="44"/>
          <w:lang w:val="en-US" w:bidi="ar-SA"/>
        </w:rPr>
      </w:pPr>
    </w:p>
    <w:p>
      <w:pPr>
        <w:pStyle w:val="7"/>
        <w:spacing w:before="6" w:line="560" w:lineRule="exact"/>
        <w:rPr>
          <w:rFonts w:ascii="Times New Roman" w:hAnsi="Times New Roman" w:eastAsia="方正仿宋_GBK" w:cs="Times New Roman"/>
          <w:b/>
          <w:sz w:val="50"/>
        </w:rPr>
      </w:pPr>
    </w:p>
    <w:p>
      <w:pPr>
        <w:pStyle w:val="7"/>
        <w:spacing w:before="6" w:line="560" w:lineRule="exact"/>
        <w:rPr>
          <w:rFonts w:ascii="Times New Roman" w:hAnsi="Times New Roman" w:eastAsia="方正仿宋_GBK" w:cs="Times New Roman"/>
          <w:b/>
          <w:sz w:val="50"/>
        </w:rPr>
      </w:pPr>
    </w:p>
    <w:p>
      <w:pPr>
        <w:autoSpaceDE/>
        <w:autoSpaceDN/>
        <w:spacing w:line="56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 xml:space="preserve">        </w:t>
      </w:r>
    </w:p>
    <w:p>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项目单位：</w:t>
      </w:r>
      <w:r>
        <w:rPr>
          <w:rFonts w:hint="eastAsia" w:ascii="Times New Roman" w:hAnsi="Times New Roman" w:eastAsia="方正仿宋_GBK" w:cs="方正仿宋_GBK"/>
          <w:bCs/>
          <w:sz w:val="32"/>
          <w:szCs w:val="32"/>
          <w:u w:val="single"/>
          <w:lang w:val="en-US" w:bidi="ar-SA"/>
        </w:rPr>
        <w:t xml:space="preserve">  重庆市酉阳土家族苗族自治县农业农村委员会  </w:t>
      </w:r>
    </w:p>
    <w:p>
      <w:pPr>
        <w:autoSpaceDE/>
        <w:autoSpaceDN/>
        <w:spacing w:line="560" w:lineRule="exact"/>
        <w:ind w:firstLine="640" w:firstLineChars="200"/>
        <w:jc w:val="both"/>
        <w:rPr>
          <w:rFonts w:ascii="Times New Roman" w:hAnsi="Times New Roman" w:eastAsia="方正仿宋_GBK" w:cs="方正仿宋_GBK"/>
          <w:bCs/>
          <w:sz w:val="32"/>
          <w:szCs w:val="32"/>
          <w:u w:val="single"/>
          <w:lang w:val="en-US" w:bidi="ar-SA"/>
        </w:rPr>
      </w:pPr>
      <w:r>
        <w:rPr>
          <w:rFonts w:hint="eastAsia" w:ascii="Times New Roman" w:hAnsi="Times New Roman" w:eastAsia="方正仿宋_GBK" w:cs="方正仿宋_GBK"/>
          <w:bCs/>
          <w:sz w:val="32"/>
          <w:szCs w:val="32"/>
          <w:lang w:val="en-US" w:bidi="ar-SA"/>
        </w:rPr>
        <w:t>项目名称：</w:t>
      </w:r>
      <w:r>
        <w:rPr>
          <w:rFonts w:hint="eastAsia" w:ascii="Times New Roman" w:hAnsi="Times New Roman" w:eastAsia="方正仿宋_GBK" w:cs="方正仿宋_GBK"/>
          <w:bCs/>
          <w:sz w:val="32"/>
          <w:szCs w:val="32"/>
          <w:u w:val="single"/>
          <w:lang w:val="en-US" w:bidi="ar-SA"/>
        </w:rPr>
        <w:t xml:space="preserve">   李溪镇2022年监测户及脱贫户到位产业项目           </w:t>
      </w:r>
    </w:p>
    <w:p>
      <w:pPr>
        <w:autoSpaceDE/>
        <w:autoSpaceDN/>
        <w:spacing w:line="560" w:lineRule="exact"/>
        <w:ind w:firstLine="640" w:firstLineChars="200"/>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评价机构：</w:t>
      </w:r>
      <w:r>
        <w:rPr>
          <w:rFonts w:hint="eastAsia" w:ascii="Times New Roman" w:hAnsi="Times New Roman" w:eastAsia="方正仿宋_GBK" w:cs="方正仿宋_GBK"/>
          <w:bCs/>
          <w:sz w:val="32"/>
          <w:szCs w:val="32"/>
          <w:u w:val="single"/>
          <w:lang w:val="en-US" w:bidi="ar-SA"/>
        </w:rPr>
        <w:t xml:space="preserve">         飞如（重庆）企业管理咨询有限公司               </w:t>
      </w:r>
    </w:p>
    <w:p>
      <w:pPr>
        <w:autoSpaceDE/>
        <w:autoSpaceDN/>
        <w:spacing w:line="560" w:lineRule="exact"/>
        <w:ind w:firstLine="640" w:firstLineChars="200"/>
        <w:rPr>
          <w:rFonts w:ascii="Times New Roman" w:hAnsi="Times New Roman" w:eastAsia="方正仿宋_GBK" w:cs="方正仿宋_GBK"/>
        </w:rPr>
      </w:pPr>
      <w:r>
        <w:rPr>
          <w:rFonts w:hint="eastAsia" w:ascii="Times New Roman" w:hAnsi="Times New Roman" w:eastAsia="方正仿宋_GBK" w:cs="方正仿宋_GBK"/>
          <w:bCs/>
          <w:sz w:val="32"/>
          <w:szCs w:val="32"/>
          <w:lang w:val="en-US" w:bidi="ar-SA"/>
        </w:rPr>
        <w:t>评价时间：</w:t>
      </w:r>
      <w:r>
        <w:rPr>
          <w:rFonts w:hint="eastAsia" w:ascii="Times New Roman" w:hAnsi="Times New Roman" w:eastAsia="方正仿宋_GBK" w:cs="方正仿宋_GBK"/>
          <w:bCs/>
          <w:sz w:val="32"/>
          <w:szCs w:val="32"/>
          <w:u w:val="single"/>
          <w:lang w:val="en-US" w:bidi="ar-SA"/>
        </w:rPr>
        <w:t xml:space="preserve">                              2023年12月                                </w:t>
      </w:r>
      <w:r>
        <w:rPr>
          <w:rFonts w:hint="eastAsia" w:ascii="Times New Roman" w:hAnsi="Times New Roman" w:eastAsia="方正仿宋_GBK" w:cs="方正仿宋_GBK"/>
          <w:u w:val="single"/>
          <w:lang w:val="en-US" w:bidi="ar-SA"/>
        </w:rPr>
        <w:t xml:space="preserve">         </w:t>
      </w:r>
      <w:r>
        <w:rPr>
          <w:rFonts w:hint="eastAsia" w:ascii="Times New Roman" w:hAnsi="Times New Roman" w:eastAsia="方正仿宋_GBK" w:cs="方正仿宋_GBK"/>
          <w:lang w:val="en-US" w:bidi="ar-SA"/>
        </w:rPr>
        <w:t xml:space="preserve">    </w:t>
      </w:r>
      <w:r>
        <w:rPr>
          <w:rFonts w:hint="eastAsia" w:ascii="Times New Roman" w:hAnsi="Times New Roman" w:eastAsia="方正仿宋_GBK" w:cs="方正仿宋_GBK"/>
        </w:rPr>
        <w:t xml:space="preserve">    </w:t>
      </w:r>
    </w:p>
    <w:p>
      <w:pPr>
        <w:pStyle w:val="7"/>
        <w:spacing w:before="212" w:line="560" w:lineRule="exact"/>
        <w:ind w:right="974"/>
        <w:jc w:val="center"/>
        <w:rPr>
          <w:rFonts w:ascii="Times New Roman" w:hAnsi="Times New Roman" w:eastAsia="方正仿宋_GBK" w:cs="方正仿宋_GBK"/>
        </w:rPr>
      </w:pPr>
    </w:p>
    <w:p>
      <w:pPr>
        <w:pStyle w:val="7"/>
        <w:spacing w:line="560" w:lineRule="exact"/>
        <w:rPr>
          <w:rFonts w:ascii="Times New Roman" w:hAnsi="Times New Roman" w:eastAsia="方正仿宋_GBK" w:cs="方正仿宋_GBK"/>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pStyle w:val="7"/>
        <w:spacing w:before="3" w:line="560" w:lineRule="exact"/>
        <w:rPr>
          <w:rFonts w:ascii="Times New Roman" w:hAnsi="Times New Roman" w:eastAsia="方正仿宋_GBK" w:cs="方正仿宋_GBK"/>
          <w:sz w:val="33"/>
        </w:rPr>
      </w:pPr>
    </w:p>
    <w:p>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p>
    <w:p>
      <w:pPr>
        <w:autoSpaceDE/>
        <w:autoSpaceDN/>
        <w:spacing w:line="560" w:lineRule="exact"/>
        <w:ind w:firstLine="640" w:firstLineChars="200"/>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重庆市酉阳土家族苗族自治县财政局</w:t>
      </w:r>
    </w:p>
    <w:p>
      <w:pPr>
        <w:autoSpaceDE/>
        <w:autoSpaceDN/>
        <w:spacing w:line="560" w:lineRule="exact"/>
        <w:ind w:firstLine="640" w:firstLineChars="200"/>
        <w:jc w:val="center"/>
        <w:rPr>
          <w:rFonts w:ascii="Times New Roman" w:hAnsi="Times New Roman"/>
        </w:rPr>
        <w:sectPr>
          <w:pgSz w:w="11911" w:h="16838"/>
          <w:pgMar w:top="2098" w:right="1474" w:bottom="1984" w:left="1587" w:header="0" w:footer="1196" w:gutter="0"/>
          <w:cols w:space="425" w:num="1"/>
        </w:sectPr>
      </w:pPr>
      <w:r>
        <w:rPr>
          <w:rFonts w:hint="eastAsia" w:ascii="Times New Roman" w:hAnsi="Times New Roman" w:eastAsia="方正仿宋_GBK" w:cs="方正仿宋_GBK"/>
          <w:bCs/>
          <w:sz w:val="32"/>
          <w:szCs w:val="32"/>
          <w:lang w:val="en-US" w:bidi="ar-SA"/>
        </w:rPr>
        <w:t>二〇二三年十二月</w:t>
      </w:r>
    </w:p>
    <w:p>
      <w:pPr>
        <w:spacing w:line="400" w:lineRule="exact"/>
        <w:jc w:val="center"/>
        <w:rPr>
          <w:rFonts w:ascii="Times New Roman" w:hAnsi="Times New Roman" w:eastAsia="方正黑体_GBK" w:cs="方正仿宋_GBK"/>
          <w:sz w:val="32"/>
          <w:szCs w:val="32"/>
        </w:rPr>
      </w:pPr>
      <w:r>
        <w:rPr>
          <w:rFonts w:hint="eastAsia" w:ascii="Times New Roman" w:hAnsi="Times New Roman" w:eastAsia="方正黑体_GBK" w:cs="方正仿宋_GBK"/>
          <w:sz w:val="32"/>
          <w:szCs w:val="32"/>
        </w:rPr>
        <w:t>目</w:t>
      </w:r>
      <w:r>
        <w:rPr>
          <w:rFonts w:hint="eastAsia" w:ascii="Times New Roman" w:hAnsi="Times New Roman" w:eastAsia="方正黑体_GBK" w:cs="方正仿宋_GBK"/>
          <w:sz w:val="32"/>
          <w:szCs w:val="32"/>
          <w:lang w:val="en-US"/>
        </w:rPr>
        <w:t xml:space="preserve">  </w:t>
      </w:r>
      <w:r>
        <w:rPr>
          <w:rFonts w:hint="eastAsia" w:ascii="Times New Roman" w:hAnsi="Times New Roman" w:eastAsia="方正黑体_GBK" w:cs="方正仿宋_GBK"/>
          <w:sz w:val="32"/>
          <w:szCs w:val="32"/>
        </w:rPr>
        <w:t>录</w:t>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TOC \o "1-3" \h \u </w:instrText>
      </w:r>
      <w:r>
        <w:rPr>
          <w:rFonts w:hint="eastAsia" w:ascii="方正仿宋_GBK" w:hAnsi="方正仿宋_GBK" w:eastAsia="方正仿宋_GBK" w:cs="方正仿宋_GBK"/>
          <w:b w:val="0"/>
          <w:bCs w:val="0"/>
          <w:sz w:val="28"/>
          <w:szCs w:val="28"/>
        </w:rPr>
        <w:fldChar w:fldCharType="separate"/>
      </w:r>
      <w:r>
        <w:fldChar w:fldCharType="begin"/>
      </w:r>
      <w:r>
        <w:instrText xml:space="preserve"> HYPERLINK \l "_Toc5775" </w:instrText>
      </w:r>
      <w:r>
        <w:fldChar w:fldCharType="separate"/>
      </w:r>
      <w:r>
        <w:rPr>
          <w:rFonts w:hint="eastAsia" w:ascii="方正仿宋_GBK" w:hAnsi="方正仿宋_GBK" w:eastAsia="方正仿宋_GBK" w:cs="方正仿宋_GBK"/>
          <w:b w:val="0"/>
          <w:bCs w:val="0"/>
          <w:sz w:val="28"/>
          <w:szCs w:val="28"/>
          <w:lang w:val="en-US" w:bidi="ar-SA"/>
        </w:rPr>
        <w:t>摘  要</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_Toc5775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"_Toc1597" </w:instrText>
      </w:r>
      <w:r>
        <w:fldChar w:fldCharType="separate"/>
      </w:r>
      <w:r>
        <w:rPr>
          <w:rFonts w:hint="eastAsia" w:ascii="方正仿宋_GBK" w:hAnsi="方正仿宋_GBK" w:eastAsia="方正仿宋_GBK" w:cs="方正仿宋_GBK"/>
          <w:b w:val="0"/>
          <w:bCs w:val="0"/>
          <w:sz w:val="28"/>
          <w:szCs w:val="28"/>
          <w:lang w:val="en-US" w:bidi="ar-SA"/>
        </w:rPr>
        <w:t>一、项目基本情况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_Toc1597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6</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"_Toc17379" </w:instrText>
      </w:r>
      <w:r>
        <w:fldChar w:fldCharType="separate"/>
      </w:r>
      <w:r>
        <w:rPr>
          <w:rFonts w:hint="eastAsia" w:ascii="方正仿宋_GBK" w:hAnsi="方正仿宋_GBK" w:eastAsia="方正仿宋_GBK" w:cs="方正仿宋_GBK"/>
          <w:b w:val="0"/>
          <w:bCs w:val="0"/>
          <w:i w:val="0"/>
          <w:sz w:val="28"/>
          <w:szCs w:val="28"/>
          <w:lang w:val="en-US" w:bidi="ar-SA"/>
        </w:rPr>
        <w:t>（一）项目背景</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_Toc17379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"_Toc14799" </w:instrText>
      </w:r>
      <w:r>
        <w:fldChar w:fldCharType="separate"/>
      </w:r>
      <w:r>
        <w:rPr>
          <w:rFonts w:hint="eastAsia" w:ascii="方正仿宋_GBK" w:hAnsi="方正仿宋_GBK" w:eastAsia="方正仿宋_GBK" w:cs="方正仿宋_GBK"/>
          <w:b w:val="0"/>
          <w:bCs w:val="0"/>
          <w:i w:val="0"/>
          <w:sz w:val="28"/>
          <w:szCs w:val="28"/>
          <w:lang w:val="en-US" w:bidi="ar-SA"/>
        </w:rPr>
        <w:t>（二）项目内容</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_Toc14799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"_Toc3232" </w:instrText>
      </w:r>
      <w:r>
        <w:fldChar w:fldCharType="separate"/>
      </w:r>
      <w:r>
        <w:rPr>
          <w:rFonts w:hint="eastAsia" w:ascii="方正仿宋_GBK" w:hAnsi="方正仿宋_GBK" w:eastAsia="方正仿宋_GBK" w:cs="方正仿宋_GBK"/>
          <w:b w:val="0"/>
          <w:bCs w:val="0"/>
          <w:i w:val="0"/>
          <w:sz w:val="28"/>
          <w:szCs w:val="28"/>
          <w:lang w:val="en-US" w:bidi="ar-SA"/>
        </w:rPr>
        <w:t>（三）绩效目标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_Toc3232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"_Toc29409" </w:instrText>
      </w:r>
      <w:r>
        <w:fldChar w:fldCharType="separate"/>
      </w:r>
      <w:r>
        <w:rPr>
          <w:rFonts w:hint="eastAsia" w:ascii="方正仿宋_GBK" w:hAnsi="方正仿宋_GBK" w:eastAsia="方正仿宋_GBK" w:cs="方正仿宋_GBK"/>
          <w:b w:val="0"/>
          <w:bCs w:val="0"/>
          <w:sz w:val="28"/>
          <w:szCs w:val="28"/>
          <w:lang w:val="en-US" w:bidi="ar-SA"/>
        </w:rPr>
        <w:t>二、绩效评价工作情况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_Toc29409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7</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"_Toc28339" </w:instrText>
      </w:r>
      <w:r>
        <w:fldChar w:fldCharType="separate"/>
      </w:r>
      <w:r>
        <w:rPr>
          <w:rFonts w:hint="eastAsia" w:ascii="方正仿宋_GBK" w:hAnsi="方正仿宋_GBK" w:eastAsia="方正仿宋_GBK" w:cs="方正仿宋_GBK"/>
          <w:b w:val="0"/>
          <w:bCs w:val="0"/>
          <w:i w:val="0"/>
          <w:sz w:val="28"/>
          <w:szCs w:val="28"/>
          <w:lang w:val="en-US" w:bidi="ar-SA"/>
        </w:rPr>
        <w:t>（一）绩效评价目的、范围</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_Toc28339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7</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"_Toc20329" </w:instrText>
      </w:r>
      <w:r>
        <w:fldChar w:fldCharType="separate"/>
      </w:r>
      <w:r>
        <w:rPr>
          <w:rFonts w:hint="eastAsia" w:ascii="方正仿宋_GBK" w:hAnsi="方正仿宋_GBK" w:eastAsia="方正仿宋_GBK" w:cs="方正仿宋_GBK"/>
          <w:sz w:val="28"/>
          <w:szCs w:val="28"/>
          <w:lang w:bidi="ar-SA"/>
        </w:rPr>
        <w:t>1.评价目的</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_Toc20329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"_Toc20729" </w:instrText>
      </w:r>
      <w:r>
        <w:fldChar w:fldCharType="separate"/>
      </w:r>
      <w:r>
        <w:rPr>
          <w:rFonts w:hint="eastAsia" w:ascii="方正仿宋_GBK" w:hAnsi="方正仿宋_GBK" w:eastAsia="方正仿宋_GBK" w:cs="方正仿宋_GBK"/>
          <w:sz w:val="28"/>
          <w:szCs w:val="28"/>
          <w:lang w:val="en-US" w:bidi="ar-SA"/>
        </w:rPr>
        <w:t>2.</w:t>
      </w:r>
      <w:r>
        <w:rPr>
          <w:rFonts w:hint="eastAsia" w:ascii="方正仿宋_GBK" w:hAnsi="方正仿宋_GBK" w:eastAsia="方正仿宋_GBK" w:cs="方正仿宋_GBK"/>
          <w:sz w:val="28"/>
          <w:szCs w:val="28"/>
          <w:lang w:bidi="ar-SA"/>
        </w:rPr>
        <w:t>评价</w:t>
      </w:r>
      <w:r>
        <w:rPr>
          <w:rFonts w:hint="eastAsia" w:ascii="方正仿宋_GBK" w:hAnsi="方正仿宋_GBK" w:eastAsia="方正仿宋_GBK" w:cs="方正仿宋_GBK"/>
          <w:sz w:val="28"/>
          <w:szCs w:val="28"/>
          <w:lang w:val="en-US" w:bidi="ar-SA"/>
        </w:rPr>
        <w:t>范围</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_Toc20729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"_Toc16549" </w:instrText>
      </w:r>
      <w:r>
        <w:fldChar w:fldCharType="separate"/>
      </w:r>
      <w:r>
        <w:rPr>
          <w:rFonts w:hint="eastAsia" w:ascii="方正仿宋_GBK" w:hAnsi="方正仿宋_GBK" w:eastAsia="方正仿宋_GBK" w:cs="方正仿宋_GBK"/>
          <w:b w:val="0"/>
          <w:bCs w:val="0"/>
          <w:i w:val="0"/>
          <w:sz w:val="28"/>
          <w:szCs w:val="28"/>
          <w:lang w:val="en-US" w:bidi="ar-SA"/>
        </w:rPr>
        <w:t>（二）绩效评价原则依据、评价方法、评价指标体系</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_Toc16549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7</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"_Toc13883" </w:instrText>
      </w:r>
      <w:r>
        <w:fldChar w:fldCharType="separate"/>
      </w:r>
      <w:r>
        <w:rPr>
          <w:rFonts w:hint="eastAsia" w:ascii="方正仿宋_GBK" w:hAnsi="方正仿宋_GBK" w:eastAsia="方正仿宋_GBK" w:cs="方正仿宋_GBK"/>
          <w:sz w:val="28"/>
          <w:szCs w:val="28"/>
          <w:lang w:val="en-US" w:bidi="ar-SA"/>
        </w:rPr>
        <w:t>1.绩效评价原则依据</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_Toc13883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"_Toc25243" </w:instrText>
      </w:r>
      <w:r>
        <w:fldChar w:fldCharType="separate"/>
      </w:r>
      <w:r>
        <w:rPr>
          <w:rFonts w:hint="eastAsia" w:ascii="方正仿宋_GBK" w:hAnsi="方正仿宋_GBK" w:eastAsia="方正仿宋_GBK" w:cs="方正仿宋_GBK"/>
          <w:sz w:val="28"/>
          <w:szCs w:val="28"/>
          <w:lang w:val="en-US" w:bidi="ar-SA"/>
        </w:rPr>
        <w:t>2.绩效评价方法</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_Toc25243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"_Toc25924" </w:instrText>
      </w:r>
      <w:r>
        <w:fldChar w:fldCharType="separate"/>
      </w:r>
      <w:r>
        <w:rPr>
          <w:rFonts w:hint="eastAsia" w:ascii="方正仿宋_GBK" w:hAnsi="方正仿宋_GBK" w:eastAsia="方正仿宋_GBK" w:cs="方正仿宋_GBK"/>
          <w:sz w:val="28"/>
          <w:szCs w:val="28"/>
          <w:lang w:val="en-US" w:bidi="ar-SA"/>
        </w:rPr>
        <w:t>3.绩效评价指标体系</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_Toc25924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8</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"_Toc30812" </w:instrText>
      </w:r>
      <w:r>
        <w:fldChar w:fldCharType="separate"/>
      </w:r>
      <w:r>
        <w:rPr>
          <w:rFonts w:hint="eastAsia" w:ascii="方正仿宋_GBK" w:hAnsi="方正仿宋_GBK" w:eastAsia="方正仿宋_GBK" w:cs="方正仿宋_GBK"/>
          <w:b w:val="0"/>
          <w:bCs w:val="0"/>
          <w:i w:val="0"/>
          <w:sz w:val="28"/>
          <w:szCs w:val="28"/>
          <w:lang w:val="en-US" w:bidi="ar-SA"/>
        </w:rPr>
        <w:t>（三）绩效评价工作过程</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_Toc30812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11</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"_Toc5773" </w:instrText>
      </w:r>
      <w:r>
        <w:fldChar w:fldCharType="separate"/>
      </w:r>
      <w:r>
        <w:rPr>
          <w:rFonts w:hint="eastAsia" w:ascii="方正仿宋_GBK" w:hAnsi="方正仿宋_GBK" w:eastAsia="方正仿宋_GBK" w:cs="方正仿宋_GBK"/>
          <w:sz w:val="28"/>
          <w:szCs w:val="28"/>
          <w:lang w:val="en-US" w:bidi="ar-SA"/>
        </w:rPr>
        <w:t>1.前期准备</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_Toc5773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11</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"_Toc31614" </w:instrText>
      </w:r>
      <w:r>
        <w:fldChar w:fldCharType="separate"/>
      </w:r>
      <w:r>
        <w:rPr>
          <w:rFonts w:hint="eastAsia" w:ascii="方正仿宋_GBK" w:hAnsi="方正仿宋_GBK" w:eastAsia="方正仿宋_GBK" w:cs="方正仿宋_GBK"/>
          <w:sz w:val="28"/>
          <w:szCs w:val="28"/>
          <w:lang w:val="en-US" w:bidi="ar-SA"/>
        </w:rPr>
        <w:t>2.现场实施</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_Toc31614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"_Toc31818" </w:instrText>
      </w:r>
      <w:r>
        <w:fldChar w:fldCharType="separate"/>
      </w:r>
      <w:r>
        <w:rPr>
          <w:rFonts w:hint="eastAsia" w:ascii="方正仿宋_GBK" w:hAnsi="方正仿宋_GBK" w:eastAsia="方正仿宋_GBK" w:cs="方正仿宋_GBK"/>
          <w:sz w:val="28"/>
          <w:szCs w:val="28"/>
          <w:lang w:val="en-US" w:bidi="ar-SA"/>
        </w:rPr>
        <w:t>3.分析评价</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_Toc31818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12</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"_Toc24698" </w:instrText>
      </w:r>
      <w:r>
        <w:fldChar w:fldCharType="separate"/>
      </w:r>
      <w:r>
        <w:rPr>
          <w:rFonts w:hint="eastAsia" w:ascii="方正仿宋_GBK" w:hAnsi="方正仿宋_GBK" w:eastAsia="方正仿宋_GBK" w:cs="方正仿宋_GBK"/>
          <w:b w:val="0"/>
          <w:bCs w:val="0"/>
          <w:sz w:val="28"/>
          <w:szCs w:val="28"/>
          <w:lang w:val="en-US" w:bidi="ar-SA"/>
        </w:rPr>
        <w:t>三、绩效评价指标分析情况</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_Toc24698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13</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"_Toc24544" </w:instrText>
      </w:r>
      <w:r>
        <w:fldChar w:fldCharType="separate"/>
      </w:r>
      <w:r>
        <w:rPr>
          <w:rFonts w:hint="eastAsia" w:ascii="方正仿宋_GBK" w:hAnsi="方正仿宋_GBK" w:eastAsia="方正仿宋_GBK" w:cs="方正仿宋_GBK"/>
          <w:b w:val="0"/>
          <w:bCs w:val="0"/>
          <w:i w:val="0"/>
          <w:sz w:val="28"/>
          <w:szCs w:val="28"/>
          <w:lang w:val="en-US" w:bidi="ar-SA"/>
        </w:rPr>
        <w:t>（一）项目投入指标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_Toc24544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13</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"_Toc32450" </w:instrText>
      </w:r>
      <w:r>
        <w:fldChar w:fldCharType="separate"/>
      </w:r>
      <w:r>
        <w:rPr>
          <w:rFonts w:hint="eastAsia" w:ascii="方正仿宋_GBK" w:hAnsi="方正仿宋_GBK" w:eastAsia="方正仿宋_GBK" w:cs="方正仿宋_GBK"/>
          <w:sz w:val="28"/>
          <w:szCs w:val="28"/>
          <w:lang w:val="en-US" w:bidi="ar-SA"/>
        </w:rPr>
        <w:t>1、项目立项情况分析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_Toc32450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14</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"_Toc10250" </w:instrText>
      </w:r>
      <w:r>
        <w:fldChar w:fldCharType="separate"/>
      </w:r>
      <w:r>
        <w:rPr>
          <w:rFonts w:hint="eastAsia" w:ascii="方正仿宋_GBK" w:hAnsi="方正仿宋_GBK" w:eastAsia="方正仿宋_GBK" w:cs="方正仿宋_GBK"/>
          <w:b w:val="0"/>
          <w:bCs w:val="0"/>
          <w:sz w:val="28"/>
          <w:szCs w:val="28"/>
          <w:lang w:val="en-US" w:bidi="ar-SA"/>
        </w:rPr>
        <w:t>2、项目资金落实情况分析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_Toc10250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14</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"_Toc17109" </w:instrText>
      </w:r>
      <w:r>
        <w:fldChar w:fldCharType="separate"/>
      </w:r>
      <w:r>
        <w:rPr>
          <w:rFonts w:hint="eastAsia" w:ascii="方正仿宋_GBK" w:hAnsi="方正仿宋_GBK" w:eastAsia="方正仿宋_GBK" w:cs="方正仿宋_GBK"/>
          <w:b w:val="0"/>
          <w:bCs w:val="0"/>
          <w:i w:val="0"/>
          <w:sz w:val="28"/>
          <w:szCs w:val="28"/>
          <w:lang w:val="en-US" w:bidi="ar-SA"/>
        </w:rPr>
        <w:t>（二）项目管理类指标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_Toc17109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14</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"_Toc30014" </w:instrText>
      </w:r>
      <w:r>
        <w:fldChar w:fldCharType="separate"/>
      </w:r>
      <w:r>
        <w:rPr>
          <w:rFonts w:hint="eastAsia" w:ascii="方正仿宋_GBK" w:hAnsi="方正仿宋_GBK" w:eastAsia="方正仿宋_GBK" w:cs="方正仿宋_GBK"/>
          <w:b w:val="0"/>
          <w:bCs w:val="0"/>
          <w:sz w:val="28"/>
          <w:szCs w:val="28"/>
          <w:lang w:val="en-US" w:bidi="ar-SA"/>
        </w:rPr>
        <w:t>1、项目业务管理情况分析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_Toc30014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15</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"_Toc16790" </w:instrText>
      </w:r>
      <w:r>
        <w:fldChar w:fldCharType="separate"/>
      </w:r>
      <w:r>
        <w:rPr>
          <w:rFonts w:hint="eastAsia" w:ascii="方正仿宋_GBK" w:hAnsi="方正仿宋_GBK" w:eastAsia="方正仿宋_GBK" w:cs="方正仿宋_GBK"/>
          <w:b w:val="0"/>
          <w:bCs w:val="0"/>
          <w:sz w:val="28"/>
          <w:szCs w:val="28"/>
          <w:lang w:val="en-US" w:bidi="ar-SA"/>
        </w:rPr>
        <w:t>2、项目财务管理情况分析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_Toc16790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15</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"_Toc11784" </w:instrText>
      </w:r>
      <w:r>
        <w:fldChar w:fldCharType="separate"/>
      </w:r>
      <w:r>
        <w:rPr>
          <w:rFonts w:hint="eastAsia" w:ascii="方正仿宋_GBK" w:hAnsi="方正仿宋_GBK" w:eastAsia="方正仿宋_GBK" w:cs="方正仿宋_GBK"/>
          <w:b w:val="0"/>
          <w:bCs w:val="0"/>
          <w:i w:val="0"/>
          <w:sz w:val="28"/>
          <w:szCs w:val="28"/>
          <w:lang w:val="en-US" w:bidi="ar-SA"/>
        </w:rPr>
        <w:t>（三）项目产出指标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_Toc11784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16</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"_Toc16301" </w:instrText>
      </w:r>
      <w:r>
        <w:fldChar w:fldCharType="separate"/>
      </w:r>
      <w:r>
        <w:rPr>
          <w:rFonts w:hint="eastAsia" w:ascii="方正仿宋_GBK" w:hAnsi="方正仿宋_GBK" w:eastAsia="方正仿宋_GBK" w:cs="方正仿宋_GBK"/>
          <w:sz w:val="28"/>
          <w:szCs w:val="28"/>
          <w:lang w:val="en-US" w:bidi="ar-SA"/>
        </w:rPr>
        <w:t>1、项目产出实际完成情况分析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_Toc16301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17</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"_Toc25468" </w:instrText>
      </w:r>
      <w:r>
        <w:fldChar w:fldCharType="separate"/>
      </w:r>
      <w:r>
        <w:rPr>
          <w:rFonts w:hint="eastAsia" w:ascii="方正仿宋_GBK" w:hAnsi="方正仿宋_GBK" w:eastAsia="方正仿宋_GBK" w:cs="方正仿宋_GBK"/>
          <w:b w:val="0"/>
          <w:bCs w:val="0"/>
          <w:i w:val="0"/>
          <w:sz w:val="28"/>
          <w:szCs w:val="28"/>
          <w:lang w:val="en-US" w:bidi="ar-SA"/>
        </w:rPr>
        <w:t>（四）项目效果指标</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_Toc25468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18</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11"/>
        <w:tabs>
          <w:tab w:val="right" w:leader="dot" w:pos="8850"/>
        </w:tabs>
        <w:spacing w:before="0" w:line="560" w:lineRule="exact"/>
        <w:ind w:left="0" w:firstLine="643" w:firstLineChars="200"/>
        <w:rPr>
          <w:rFonts w:ascii="方正仿宋_GBK" w:hAnsi="方正仿宋_GBK" w:eastAsia="方正仿宋_GBK" w:cs="方正仿宋_GBK"/>
          <w:b w:val="0"/>
          <w:bCs w:val="0"/>
          <w:sz w:val="28"/>
          <w:szCs w:val="28"/>
        </w:rPr>
      </w:pPr>
      <w:r>
        <w:fldChar w:fldCharType="begin"/>
      </w:r>
      <w:r>
        <w:instrText xml:space="preserve"> HYPERLINK \l "_Toc5320" </w:instrText>
      </w:r>
      <w:r>
        <w:fldChar w:fldCharType="separate"/>
      </w:r>
      <w:r>
        <w:rPr>
          <w:rFonts w:hint="eastAsia" w:ascii="方正仿宋_GBK" w:hAnsi="方正仿宋_GBK" w:eastAsia="方正仿宋_GBK" w:cs="方正仿宋_GBK"/>
          <w:b w:val="0"/>
          <w:bCs w:val="0"/>
          <w:sz w:val="28"/>
          <w:szCs w:val="28"/>
          <w:lang w:val="en-US" w:bidi="ar-SA"/>
        </w:rPr>
        <w:t>1、项目效益情况分析</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_Toc5320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18</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8"/>
        <w:tabs>
          <w:tab w:val="right" w:leader="dot" w:pos="8850"/>
        </w:tabs>
        <w:spacing w:before="0" w:line="560" w:lineRule="exact"/>
        <w:ind w:left="0" w:firstLine="640" w:firstLineChars="200"/>
        <w:rPr>
          <w:rFonts w:ascii="方正仿宋_GBK" w:hAnsi="方正仿宋_GBK" w:eastAsia="方正仿宋_GBK" w:cs="方正仿宋_GBK"/>
          <w:sz w:val="28"/>
          <w:szCs w:val="28"/>
        </w:rPr>
      </w:pPr>
      <w:r>
        <w:fldChar w:fldCharType="begin"/>
      </w:r>
      <w:r>
        <w:instrText xml:space="preserve"> HYPERLINK \l "_Toc30184" </w:instrText>
      </w:r>
      <w:r>
        <w:fldChar w:fldCharType="separate"/>
      </w:r>
      <w:r>
        <w:rPr>
          <w:rFonts w:hint="eastAsia" w:ascii="方正仿宋_GBK" w:hAnsi="方正仿宋_GBK" w:eastAsia="方正仿宋_GBK" w:cs="方正仿宋_GBK"/>
          <w:sz w:val="28"/>
          <w:szCs w:val="28"/>
          <w:lang w:val="en-US" w:bidi="ar-SA"/>
        </w:rPr>
        <w:t>2、项目满意度情况分析</w:t>
      </w:r>
      <w:r>
        <w:rPr>
          <w:rFonts w:hint="eastAsia" w:ascii="方正仿宋_GBK" w:hAnsi="方正仿宋_GBK" w:eastAsia="方正仿宋_GBK" w:cs="方正仿宋_GBK"/>
          <w:sz w:val="28"/>
          <w:szCs w:val="28"/>
        </w:rPr>
        <w:tab/>
      </w:r>
      <w:r>
        <w:rPr>
          <w:rFonts w:hint="eastAsia" w:ascii="方正仿宋_GBK" w:hAnsi="方正仿宋_GBK" w:eastAsia="方正仿宋_GBK" w:cs="方正仿宋_GBK"/>
          <w:sz w:val="28"/>
          <w:szCs w:val="28"/>
        </w:rPr>
        <w:fldChar w:fldCharType="begin"/>
      </w:r>
      <w:r>
        <w:rPr>
          <w:rFonts w:hint="eastAsia" w:ascii="方正仿宋_GBK" w:hAnsi="方正仿宋_GBK" w:eastAsia="方正仿宋_GBK" w:cs="方正仿宋_GBK"/>
          <w:sz w:val="28"/>
          <w:szCs w:val="28"/>
        </w:rPr>
        <w:instrText xml:space="preserve"> PAGEREF _Toc30184 \h </w:instrText>
      </w:r>
      <w:r>
        <w:rPr>
          <w:rFonts w:hint="eastAsia" w:ascii="方正仿宋_GBK" w:hAnsi="方正仿宋_GBK" w:eastAsia="方正仿宋_GBK" w:cs="方正仿宋_GBK"/>
          <w:sz w:val="28"/>
          <w:szCs w:val="28"/>
        </w:rPr>
        <w:fldChar w:fldCharType="separate"/>
      </w:r>
      <w:r>
        <w:rPr>
          <w:rFonts w:hint="eastAsia" w:ascii="方正仿宋_GBK" w:hAnsi="方正仿宋_GBK" w:eastAsia="方正仿宋_GBK" w:cs="方正仿宋_GBK"/>
          <w:sz w:val="28"/>
          <w:szCs w:val="28"/>
        </w:rPr>
        <w:t>19</w:t>
      </w:r>
      <w:r>
        <w:rPr>
          <w:rFonts w:hint="eastAsia" w:ascii="方正仿宋_GBK" w:hAnsi="方正仿宋_GBK" w:eastAsia="方正仿宋_GBK" w:cs="方正仿宋_GBK"/>
          <w:sz w:val="28"/>
          <w:szCs w:val="28"/>
        </w:rPr>
        <w:fldChar w:fldCharType="end"/>
      </w:r>
      <w:r>
        <w:rPr>
          <w:rFonts w:hint="eastAsia" w:ascii="方正仿宋_GBK" w:hAnsi="方正仿宋_GBK" w:eastAsia="方正仿宋_GBK" w:cs="方正仿宋_GBK"/>
          <w:sz w:val="28"/>
          <w:szCs w:val="28"/>
        </w:rPr>
        <w:fldChar w:fldCharType="end"/>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"_Toc20970" </w:instrText>
      </w:r>
      <w:r>
        <w:fldChar w:fldCharType="separate"/>
      </w:r>
      <w:r>
        <w:rPr>
          <w:rFonts w:hint="eastAsia" w:ascii="方正仿宋_GBK" w:hAnsi="方正仿宋_GBK" w:eastAsia="方正仿宋_GBK" w:cs="方正仿宋_GBK"/>
          <w:b w:val="0"/>
          <w:bCs w:val="0"/>
          <w:sz w:val="28"/>
          <w:szCs w:val="28"/>
          <w:lang w:val="en-US" w:bidi="ar-SA"/>
        </w:rPr>
        <w:t>四、综合评价情况及评价结论</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_Toc20970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19</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"_Toc25711" </w:instrText>
      </w:r>
      <w:r>
        <w:fldChar w:fldCharType="separate"/>
      </w:r>
      <w:r>
        <w:rPr>
          <w:rFonts w:hint="eastAsia" w:ascii="方正仿宋_GBK" w:hAnsi="方正仿宋_GBK" w:eastAsia="方正仿宋_GBK" w:cs="方正仿宋_GBK"/>
          <w:b w:val="0"/>
          <w:bCs w:val="0"/>
          <w:sz w:val="28"/>
          <w:szCs w:val="28"/>
          <w:lang w:val="en-US" w:bidi="ar-SA"/>
        </w:rPr>
        <w:t>五、项目成效</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_Toc25711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21</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1"/>
        <w:tabs>
          <w:tab w:val="right" w:leader="dot" w:pos="8850"/>
        </w:tabs>
        <w:spacing w:before="0" w:line="560" w:lineRule="exact"/>
        <w:rPr>
          <w:rFonts w:ascii="方正仿宋_GBK" w:hAnsi="方正仿宋_GBK" w:eastAsia="方正仿宋_GBK" w:cs="方正仿宋_GBK"/>
          <w:b w:val="0"/>
          <w:bCs w:val="0"/>
          <w:sz w:val="28"/>
          <w:szCs w:val="28"/>
        </w:rPr>
      </w:pPr>
      <w:r>
        <w:fldChar w:fldCharType="begin"/>
      </w:r>
      <w:r>
        <w:instrText xml:space="preserve"> HYPERLINK \l "_Toc2862" </w:instrText>
      </w:r>
      <w:r>
        <w:fldChar w:fldCharType="separate"/>
      </w:r>
      <w:r>
        <w:rPr>
          <w:rFonts w:hint="eastAsia" w:ascii="方正仿宋_GBK" w:hAnsi="方正仿宋_GBK" w:eastAsia="方正仿宋_GBK" w:cs="方正仿宋_GBK"/>
          <w:b w:val="0"/>
          <w:bCs w:val="0"/>
          <w:sz w:val="28"/>
          <w:szCs w:val="28"/>
          <w:lang w:val="en-US" w:bidi="ar-SA"/>
        </w:rPr>
        <w:t>六、存在的问题和建议</w:t>
      </w:r>
      <w:r>
        <w:rPr>
          <w:rFonts w:hint="eastAsia" w:ascii="方正仿宋_GBK" w:hAnsi="方正仿宋_GBK" w:eastAsia="方正仿宋_GBK" w:cs="方正仿宋_GBK"/>
          <w:b w:val="0"/>
          <w:bCs w:val="0"/>
          <w:sz w:val="28"/>
          <w:szCs w:val="28"/>
        </w:rPr>
        <w:tab/>
      </w:r>
      <w:r>
        <w:rPr>
          <w:rFonts w:hint="eastAsia" w:ascii="方正仿宋_GBK" w:hAnsi="方正仿宋_GBK" w:eastAsia="方正仿宋_GBK" w:cs="方正仿宋_GBK"/>
          <w:b w:val="0"/>
          <w:bCs w:val="0"/>
          <w:sz w:val="28"/>
          <w:szCs w:val="28"/>
        </w:rPr>
        <w:fldChar w:fldCharType="begin"/>
      </w:r>
      <w:r>
        <w:rPr>
          <w:rFonts w:hint="eastAsia" w:ascii="方正仿宋_GBK" w:hAnsi="方正仿宋_GBK" w:eastAsia="方正仿宋_GBK" w:cs="方正仿宋_GBK"/>
          <w:b w:val="0"/>
          <w:bCs w:val="0"/>
          <w:sz w:val="28"/>
          <w:szCs w:val="28"/>
        </w:rPr>
        <w:instrText xml:space="preserve"> PAGEREF _Toc2862 \h </w:instrText>
      </w:r>
      <w:r>
        <w:rPr>
          <w:rFonts w:hint="eastAsia" w:ascii="方正仿宋_GBK" w:hAnsi="方正仿宋_GBK" w:eastAsia="方正仿宋_GBK" w:cs="方正仿宋_GBK"/>
          <w:b w:val="0"/>
          <w:bCs w:val="0"/>
          <w:sz w:val="28"/>
          <w:szCs w:val="28"/>
        </w:rPr>
        <w:fldChar w:fldCharType="separate"/>
      </w:r>
      <w:r>
        <w:rPr>
          <w:rFonts w:hint="eastAsia" w:ascii="方正仿宋_GBK" w:hAnsi="方正仿宋_GBK" w:eastAsia="方正仿宋_GBK" w:cs="方正仿宋_GBK"/>
          <w:b w:val="0"/>
          <w:bCs w:val="0"/>
          <w:sz w:val="28"/>
          <w:szCs w:val="28"/>
        </w:rPr>
        <w:t>22</w:t>
      </w:r>
      <w:r>
        <w:rPr>
          <w:rFonts w:hint="eastAsia" w:ascii="方正仿宋_GBK" w:hAnsi="方正仿宋_GBK" w:eastAsia="方正仿宋_GBK" w:cs="方正仿宋_GBK"/>
          <w:b w:val="0"/>
          <w:bCs w:val="0"/>
          <w:sz w:val="28"/>
          <w:szCs w:val="28"/>
        </w:rPr>
        <w:fldChar w:fldCharType="end"/>
      </w:r>
      <w:r>
        <w:rPr>
          <w:rFonts w:hint="eastAsia" w:ascii="方正仿宋_GBK" w:hAnsi="方正仿宋_GBK" w:eastAsia="方正仿宋_GBK" w:cs="方正仿宋_GBK"/>
          <w:b w:val="0"/>
          <w:bCs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"_Toc17979" </w:instrText>
      </w:r>
      <w:r>
        <w:fldChar w:fldCharType="separate"/>
      </w:r>
      <w:r>
        <w:rPr>
          <w:rFonts w:hint="eastAsia" w:ascii="方正仿宋_GBK" w:hAnsi="方正仿宋_GBK" w:eastAsia="方正仿宋_GBK" w:cs="方正仿宋_GBK"/>
          <w:b w:val="0"/>
          <w:bCs w:val="0"/>
          <w:i w:val="0"/>
          <w:sz w:val="28"/>
          <w:szCs w:val="28"/>
          <w:lang w:val="en-US" w:bidi="ar-SA"/>
        </w:rPr>
        <w:t>（一）存在的问题</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_Toc17979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22</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pStyle w:val="12"/>
        <w:tabs>
          <w:tab w:val="right" w:leader="dot" w:pos="8850"/>
        </w:tabs>
        <w:spacing w:before="0" w:line="560" w:lineRule="exact"/>
        <w:ind w:left="0" w:firstLine="442" w:firstLineChars="200"/>
        <w:rPr>
          <w:rFonts w:ascii="方正仿宋_GBK" w:hAnsi="方正仿宋_GBK" w:eastAsia="方正仿宋_GBK" w:cs="方正仿宋_GBK"/>
          <w:b w:val="0"/>
          <w:bCs w:val="0"/>
          <w:i w:val="0"/>
          <w:sz w:val="28"/>
          <w:szCs w:val="28"/>
        </w:rPr>
      </w:pPr>
      <w:r>
        <w:fldChar w:fldCharType="begin"/>
      </w:r>
      <w:r>
        <w:instrText xml:space="preserve"> HYPERLINK \l "_Toc26790" </w:instrText>
      </w:r>
      <w:r>
        <w:fldChar w:fldCharType="separate"/>
      </w:r>
      <w:r>
        <w:rPr>
          <w:rFonts w:hint="eastAsia" w:ascii="方正仿宋_GBK" w:hAnsi="方正仿宋_GBK" w:eastAsia="方正仿宋_GBK" w:cs="方正仿宋_GBK"/>
          <w:b w:val="0"/>
          <w:bCs w:val="0"/>
          <w:i w:val="0"/>
          <w:sz w:val="28"/>
          <w:szCs w:val="28"/>
          <w:lang w:val="en-US" w:bidi="ar-SA"/>
        </w:rPr>
        <w:t>（二）相关建议</w:t>
      </w:r>
      <w:r>
        <w:rPr>
          <w:rFonts w:hint="eastAsia" w:ascii="方正仿宋_GBK" w:hAnsi="方正仿宋_GBK" w:eastAsia="方正仿宋_GBK" w:cs="方正仿宋_GBK"/>
          <w:b w:val="0"/>
          <w:bCs w:val="0"/>
          <w:i w:val="0"/>
          <w:sz w:val="28"/>
          <w:szCs w:val="28"/>
        </w:rPr>
        <w:tab/>
      </w:r>
      <w:r>
        <w:rPr>
          <w:rFonts w:hint="eastAsia" w:ascii="方正仿宋_GBK" w:hAnsi="方正仿宋_GBK" w:eastAsia="方正仿宋_GBK" w:cs="方正仿宋_GBK"/>
          <w:b w:val="0"/>
          <w:bCs w:val="0"/>
          <w:i w:val="0"/>
          <w:sz w:val="28"/>
          <w:szCs w:val="28"/>
        </w:rPr>
        <w:fldChar w:fldCharType="begin"/>
      </w:r>
      <w:r>
        <w:rPr>
          <w:rFonts w:hint="eastAsia" w:ascii="方正仿宋_GBK" w:hAnsi="方正仿宋_GBK" w:eastAsia="方正仿宋_GBK" w:cs="方正仿宋_GBK"/>
          <w:b w:val="0"/>
          <w:bCs w:val="0"/>
          <w:i w:val="0"/>
          <w:sz w:val="28"/>
          <w:szCs w:val="28"/>
        </w:rPr>
        <w:instrText xml:space="preserve"> PAGEREF _Toc26790 \h </w:instrText>
      </w:r>
      <w:r>
        <w:rPr>
          <w:rFonts w:hint="eastAsia" w:ascii="方正仿宋_GBK" w:hAnsi="方正仿宋_GBK" w:eastAsia="方正仿宋_GBK" w:cs="方正仿宋_GBK"/>
          <w:b w:val="0"/>
          <w:bCs w:val="0"/>
          <w:i w:val="0"/>
          <w:sz w:val="28"/>
          <w:szCs w:val="28"/>
        </w:rPr>
        <w:fldChar w:fldCharType="separate"/>
      </w:r>
      <w:r>
        <w:rPr>
          <w:rFonts w:hint="eastAsia" w:ascii="方正仿宋_GBK" w:hAnsi="方正仿宋_GBK" w:eastAsia="方正仿宋_GBK" w:cs="方正仿宋_GBK"/>
          <w:b w:val="0"/>
          <w:bCs w:val="0"/>
          <w:i w:val="0"/>
          <w:sz w:val="28"/>
          <w:szCs w:val="28"/>
        </w:rPr>
        <w:t>23</w:t>
      </w:r>
      <w:r>
        <w:rPr>
          <w:rFonts w:hint="eastAsia" w:ascii="方正仿宋_GBK" w:hAnsi="方正仿宋_GBK" w:eastAsia="方正仿宋_GBK" w:cs="方正仿宋_GBK"/>
          <w:b w:val="0"/>
          <w:bCs w:val="0"/>
          <w:i w:val="0"/>
          <w:sz w:val="28"/>
          <w:szCs w:val="28"/>
        </w:rPr>
        <w:fldChar w:fldCharType="end"/>
      </w:r>
      <w:r>
        <w:rPr>
          <w:rFonts w:hint="eastAsia" w:ascii="方正仿宋_GBK" w:hAnsi="方正仿宋_GBK" w:eastAsia="方正仿宋_GBK" w:cs="方正仿宋_GBK"/>
          <w:b w:val="0"/>
          <w:bCs w:val="0"/>
          <w:i w:val="0"/>
          <w:sz w:val="28"/>
          <w:szCs w:val="28"/>
        </w:rPr>
        <w:fldChar w:fldCharType="end"/>
      </w:r>
    </w:p>
    <w:p>
      <w:pPr>
        <w:spacing w:line="560" w:lineRule="exact"/>
        <w:ind w:firstLine="560" w:firstLineChars="200"/>
        <w:rPr>
          <w:rFonts w:ascii="Times New Roman" w:hAnsi="Times New Roman" w:eastAsia="方正仿宋_GBK" w:cs="Times New Roman"/>
          <w:sz w:val="32"/>
        </w:rPr>
        <w:sectPr>
          <w:pgSz w:w="11911" w:h="16838"/>
          <w:pgMar w:top="2098" w:right="1474" w:bottom="1984" w:left="1587" w:header="0" w:footer="1196" w:gutter="0"/>
          <w:cols w:space="425" w:num="1"/>
        </w:sectPr>
      </w:pPr>
      <w:r>
        <w:rPr>
          <w:rFonts w:hint="eastAsia" w:ascii="方正仿宋_GBK" w:hAnsi="方正仿宋_GBK" w:eastAsia="方正仿宋_GBK" w:cs="方正仿宋_GBK"/>
          <w:sz w:val="28"/>
          <w:szCs w:val="28"/>
        </w:rPr>
        <w:fldChar w:fldCharType="end"/>
      </w:r>
    </w:p>
    <w:p>
      <w:pPr>
        <w:topLinePunct/>
        <w:autoSpaceDN/>
        <w:spacing w:line="600" w:lineRule="exact"/>
        <w:jc w:val="center"/>
        <w:outlineLvl w:val="0"/>
        <w:rPr>
          <w:rFonts w:ascii="Times New Roman" w:hAnsi="Times New Roman" w:eastAsia="方正黑体_GBK" w:cs="Times New Roman"/>
          <w:bCs/>
          <w:sz w:val="32"/>
          <w:szCs w:val="32"/>
          <w:lang w:val="en-US" w:bidi="ar-SA"/>
        </w:rPr>
      </w:pPr>
      <w:bookmarkStart w:id="0" w:name="_Toc29467_WPSOffice_Level1"/>
      <w:bookmarkStart w:id="1" w:name="_Toc15658"/>
      <w:bookmarkStart w:id="2" w:name="_Toc5775"/>
      <w:r>
        <w:rPr>
          <w:rFonts w:hint="eastAsia" w:ascii="Times New Roman" w:hAnsi="Times New Roman" w:eastAsia="方正黑体_GBK" w:cs="Times New Roman"/>
          <w:bCs/>
          <w:sz w:val="32"/>
          <w:szCs w:val="32"/>
          <w:lang w:val="en-US" w:bidi="ar-SA"/>
        </w:rPr>
        <w:t>摘</w:t>
      </w:r>
      <w:bookmarkEnd w:id="0"/>
      <w:r>
        <w:rPr>
          <w:rFonts w:hint="eastAsia" w:ascii="Times New Roman" w:hAnsi="Times New Roman" w:eastAsia="方正黑体_GBK" w:cs="Times New Roman"/>
          <w:bCs/>
          <w:sz w:val="32"/>
          <w:szCs w:val="32"/>
          <w:lang w:val="en-US" w:bidi="ar-SA"/>
        </w:rPr>
        <w:t xml:space="preserve">  要</w:t>
      </w:r>
      <w:bookmarkEnd w:id="1"/>
      <w:bookmarkEnd w:id="2"/>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了加强预算绩效管理，强化支出责任，建立科学、合理的财政支出绩效评价管理体系，提高财政资金使用效益，飞如（重庆）企业管理咨询有限公司接受重庆市酉阳土家族苗族自治县财政局（以下简称“县财政局”）委托，成立了项目绩效考评工作组，对重庆市酉阳土家族苗族自治县李溪镇2022年监测户及脱贫户到位产业项目（以下简称“酉阳县李溪镇2022年监测户及脱贫户到位产业项目”）的绩效情况实施绩效评价，形成本绩效评价报告。</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为保持过渡期内主要帮扶政策总体稳定,进一步巩固拓展脱贫攻坚同乡村振兴有效街接，落实十三五易地扶贫搬迁后续扶持政策措施，根据《酉阳县关于支持特色农业全产业链发展的政策措施(试行)》(酉阳农委函〔2022〕111号)文件要求，继续支持监测对象和脱贫户发展到户产业巩固脱贫成效。按照有序调整、平稳过渡要求、增强脱贫稳定性、全面推进乡村振兴。采用“以奖代补、先建后补、不建不补”的办法引导、鼓励、支持广大监测对象和脱贫户用自己的辛勤劳动实现稳定增收</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根据</w:t>
      </w:r>
      <w:r>
        <w:rPr>
          <w:rFonts w:hint="eastAsia" w:ascii="Times New Roman" w:hAnsi="Times New Roman" w:eastAsia="方正仿宋_GBK" w:cs="方正仿宋_GBK"/>
          <w:color w:val="000000"/>
          <w:sz w:val="32"/>
          <w:szCs w:val="32"/>
        </w:rPr>
        <w:t>《</w:t>
      </w:r>
      <w:r>
        <w:rPr>
          <w:rFonts w:hint="eastAsia" w:ascii="Times New Roman" w:hAnsi="Times New Roman" w:eastAsia="方正仿宋_GBK" w:cs="Times New Roman"/>
          <w:bCs/>
          <w:sz w:val="32"/>
          <w:szCs w:val="32"/>
          <w:lang w:val="en-US" w:bidi="ar-SA"/>
        </w:rPr>
        <w:t>关于下达2022年酉阳自治县</w:t>
      </w:r>
      <w:r>
        <w:rPr>
          <w:rFonts w:hint="eastAsia" w:ascii="Times New Roman" w:hAnsi="Times New Roman" w:eastAsia="方正仿宋_GBK" w:cs="方正仿宋_GBK"/>
          <w:color w:val="000000"/>
          <w:sz w:val="32"/>
          <w:szCs w:val="32"/>
          <w:lang w:val="en-US"/>
        </w:rPr>
        <w:t>农业产业项目（到户产业）投资计划</w:t>
      </w:r>
      <w:r>
        <w:rPr>
          <w:rFonts w:hint="eastAsia" w:ascii="Times New Roman" w:hAnsi="Times New Roman" w:eastAsia="方正仿宋_GBK" w:cs="Times New Roman"/>
          <w:bCs/>
          <w:sz w:val="32"/>
          <w:szCs w:val="32"/>
          <w:lang w:val="en-US" w:bidi="ar-SA"/>
        </w:rPr>
        <w:t>的通知》（酉阳农委函〔2021〕296号）文件，李溪镇2022年监测户及脱贫户到位产业项目补助财政资金237万元。</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本次绩效评价工作围绕财政支出的效率性、效果性，从过程、产出、效果三个方面进行考量，保证评价的科学性、严谨性和可行性。</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评价工作组通过资料收集分析、指标体系搭建、现场调研访谈等方式，对酉阳县李溪镇2022年监测户及脱贫户到位产业项目进行绩效评分。最终结果：评价组评价得分为</w:t>
      </w:r>
      <w:r>
        <w:rPr>
          <w:rFonts w:hint="eastAsia" w:ascii="Times New Roman" w:hAnsi="Times New Roman" w:eastAsia="方正仿宋_GBK" w:cs="Times New Roman"/>
          <w:b/>
          <w:sz w:val="32"/>
          <w:szCs w:val="32"/>
          <w:lang w:val="en-US" w:bidi="ar-SA"/>
        </w:rPr>
        <w:t>87.14</w:t>
      </w:r>
      <w:r>
        <w:rPr>
          <w:rFonts w:hint="eastAsia" w:ascii="Times New Roman" w:hAnsi="Times New Roman" w:eastAsia="方正仿宋_GBK" w:cs="Times New Roman"/>
          <w:bCs/>
          <w:sz w:val="32"/>
          <w:szCs w:val="32"/>
          <w:lang w:val="en-US" w:bidi="ar-SA"/>
        </w:rPr>
        <w:t>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bookmarkStart w:id="3" w:name="_Toc26413_WPSOffice_Level1"/>
      <w:r>
        <w:rPr>
          <w:rFonts w:hint="eastAsia" w:ascii="Times New Roman" w:hAnsi="Times New Roman" w:eastAsia="方正仿宋_GBK" w:cs="Times New Roman"/>
          <w:b/>
          <w:sz w:val="32"/>
          <w:szCs w:val="32"/>
          <w:lang w:val="en-US" w:bidi="ar-SA"/>
        </w:rPr>
        <w:t>一、项目成效</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实行“以奖代补”的方法引导、鼓励、支持广大监测对象和脱贫户用自己的辛勤劳动实现稳定增收，激发其内生动力，增加其收入，提高其参与产业发展的积极性，有力地推进了当地农村经济的发展，巩固拓展脱贫攻坚成果同乡村振兴有效衔接。</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2.推动种植产业发展，促进当地农业发展</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发展种植产业，满足酉阳县农作物生产稳定发展，确保“服务城市、富裕农民”目标的实现，不断满足人民群众生活日益增长的需要。有效地推动了当地农作物产业的发展，防止土地荒化，有效改善和保护当地生态环境，也有利于保持水土及绿化环境。农村土地的合理流转，促进农村农业规模化、产业化的进程。</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二、存在的问题</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1.绩效目标设置不完善，绩效管理意识有待加强</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不完善，数量指标未包括总体目标中发展种植业（油作物、菜等经济作物4500亩，发展业(猪、羊、鸡等)3300(头、只)，仅设置帮扶人数。二是生态效益指标设置不科学，帮扶人数与种植生态效益不能直接挂钩，无法直接体现其生态效益，绩效管理工作不严谨，绩效管理意识有待加强。</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2.项目管理有待加强，监管力度不足</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经过评价小组现场核查及走访发现，项目在开展过程中的资料档案管理有待加强，如部分村社项目佐证材料不齐全，缺少禽畜购入证明，佐证照片有雷同相似的情况等；同时，项目执行过程监管力度不足，根据《酉阳土家族苗族自治县农业农村委员会关于印发2022年到户产业发展实施方案的通知》（酉阳农委函〔2022〕117号）文件中对过程监管的要求，指出项目所在地乡镇对实施项目的现场监督检查应不少于2次，并做好相关图片和记录资料的收集，李溪镇人民政府仅提供验收照片及监控表，未附过程监管照片，无法证明完成此项工作。</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3.农业生产发展后劲不足，群众积极性有待提高</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小组通过与监测户及脱贫户进行面谈、问卷调查等方式发现以下问题：一是农业生产要素萎缩，农业劳动力整体素质弱化：留守农村青壮年劳动力不足，留守的部分群众文化程度偏低，观念陈旧，主观发展意识不强，具有一定文化知识和技术专长的青壮年劳动力具有强烈的外出就业倾向及极强的兼业性，既不愿留守农村又不愿轻易放弃耕地，只好粗放经营，轻种植、轻管理从而导致劳动生产率不高、农产品质量不高、市场竞争力不强的恶性循环。二是种植及养殖产业受多重因素影响，如饲养成本较高、养殖家禽易受疫病侵害、运输距离等因素，同时市场价格波动也极易导致脱贫户生产积极性下降，从而导致脱贫户的农业产业发展后劲不足，加大农业产业发展难度。</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4.农业产业发展种类需进一步提高</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大部分监测户及脱贫户的种、养殖形式及规模较上年相比差距不大，此部分群众普遍选择易养殖和种植的农业产业，导致农业扶贫产业种类较单一，产业发展缺少特色。大部分群众种植养殖的都为猪、鸡、鸭，种植为玉米、水稻等，种类有待丰富和创新。</w:t>
      </w:r>
    </w:p>
    <w:p>
      <w:pPr>
        <w:topLinePunct/>
        <w:autoSpaceDN/>
        <w:spacing w:line="600" w:lineRule="exact"/>
        <w:ind w:firstLine="643" w:firstLineChars="200"/>
        <w:jc w:val="both"/>
        <w:rPr>
          <w:rFonts w:ascii="Times New Roman" w:hAnsi="Times New Roman" w:eastAsia="方正仿宋_GBK" w:cs="Times New Roman"/>
          <w:b/>
          <w:sz w:val="32"/>
          <w:szCs w:val="32"/>
          <w:lang w:val="en-US" w:bidi="ar-SA"/>
        </w:rPr>
      </w:pPr>
      <w:r>
        <w:rPr>
          <w:rFonts w:hint="eastAsia" w:ascii="Times New Roman" w:hAnsi="Times New Roman" w:eastAsia="方正仿宋_GBK" w:cs="Times New Roman"/>
          <w:b/>
          <w:sz w:val="32"/>
          <w:szCs w:val="32"/>
          <w:lang w:val="en-US" w:bidi="ar-SA"/>
        </w:rPr>
        <w:t>三、相关建议</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4" w:name="_Toc30164"/>
      <w:r>
        <w:rPr>
          <w:rFonts w:hint="eastAsia" w:ascii="Times New Roman" w:hAnsi="Times New Roman" w:eastAsia="方正仿宋_GBK" w:cs="Times New Roman"/>
          <w:bCs/>
          <w:sz w:val="32"/>
          <w:szCs w:val="32"/>
          <w:lang w:val="en-US" w:bidi="ar-SA"/>
        </w:rPr>
        <w:t>2.加强项目管理，加大监管力度</w:t>
      </w:r>
      <w:bookmarkEnd w:id="4"/>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建议各村社进一步完善禽畜购入证明及图片佐证等相关资料，更好地体现扶贫工作过程，加大预算执行过程监管，加强资料的收集统计及审核工作，注重现场验收的佐证工作，从而更加有效地控制预算执行过程。</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5" w:name="_Toc25079"/>
      <w:r>
        <w:rPr>
          <w:rFonts w:hint="eastAsia" w:ascii="Times New Roman" w:hAnsi="Times New Roman" w:eastAsia="方正仿宋_GBK" w:cs="Times New Roman"/>
          <w:bCs/>
          <w:sz w:val="32"/>
          <w:szCs w:val="32"/>
          <w:lang w:val="en-US" w:bidi="ar-SA"/>
        </w:rPr>
        <w:t>3.增强宣传力度，发挥主体作用</w:t>
      </w:r>
      <w:bookmarkEnd w:id="5"/>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通过多种形式，加大产业帮扶政策的宣传力度、教育引导力度，切实提高群众对帮扶政策的知晓度。充分发挥主体作用，激发监测户及脱贫户发展生产的主动性和积极性，用内生动力支撑产业发展。发挥政策的激励引导作用，强化技术跟进指导服务，增强脱贫群众依靠自身发展巩固脱贫成效的信心。</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4.鼓励农业生产发展创新</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镇街相关工作部门应创新农业产业扶贫模式，多方面鼓励脱贫群众的生产积极性，加大对脱贫群众农业产业的专业指导。充分利用致富带头人的引导作用，加强不同种植养殖经验之间的交流，带动脱贫群众发展农业产业积极性及创新主动性。</w:t>
      </w:r>
    </w:p>
    <w:p>
      <w:pPr>
        <w:spacing w:line="560" w:lineRule="exact"/>
        <w:ind w:firstLine="560" w:firstLineChars="200"/>
        <w:jc w:val="both"/>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br w:type="page"/>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6" w:name="_Toc15230"/>
      <w:bookmarkStart w:id="7" w:name="_Toc1597"/>
      <w:r>
        <w:rPr>
          <w:rFonts w:hint="eastAsia" w:ascii="Times New Roman" w:hAnsi="Times New Roman" w:eastAsia="方正黑体_GBK" w:cs="Times New Roman"/>
          <w:b w:val="0"/>
          <w:sz w:val="32"/>
          <w:szCs w:val="32"/>
          <w:lang w:val="en-US" w:bidi="ar-SA"/>
        </w:rPr>
        <w:t>一、项目</w:t>
      </w:r>
      <w:bookmarkEnd w:id="3"/>
      <w:r>
        <w:rPr>
          <w:rFonts w:hint="eastAsia" w:ascii="Times New Roman" w:hAnsi="Times New Roman" w:eastAsia="方正黑体_GBK" w:cs="Times New Roman"/>
          <w:b w:val="0"/>
          <w:sz w:val="32"/>
          <w:szCs w:val="32"/>
          <w:lang w:val="en-US" w:bidi="ar-SA"/>
        </w:rPr>
        <w:t>基本情况</w:t>
      </w:r>
      <w:bookmarkEnd w:id="6"/>
      <w:bookmarkEnd w:id="7"/>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8" w:name="_Toc17379"/>
      <w:bookmarkStart w:id="9" w:name="_Toc26413_WPSOffice_Level2"/>
      <w:bookmarkStart w:id="10" w:name="_Toc14187"/>
      <w:r>
        <w:rPr>
          <w:rFonts w:hint="eastAsia" w:ascii="Times New Roman" w:hAnsi="Times New Roman" w:eastAsia="方正楷体_GBK" w:cs="Times New Roman"/>
          <w:b w:val="0"/>
          <w:lang w:val="en-US" w:bidi="ar-SA"/>
        </w:rPr>
        <w:t>（一）项目背景</w:t>
      </w:r>
      <w:bookmarkEnd w:id="8"/>
      <w:bookmarkEnd w:id="9"/>
      <w:bookmarkEnd w:id="10"/>
    </w:p>
    <w:p>
      <w:pPr>
        <w:widowControl/>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sz w:val="32"/>
          <w:szCs w:val="32"/>
        </w:rPr>
        <w:t>坚持以习近平新时代中国特色社会主义思想及系列重要讲话精神为指导，整合资金主要用于巩固脱贫攻坚成果，发挥财政资金引导作用，撬动社会资本和市场主体推进乡村振兴建设。为做好</w:t>
      </w:r>
      <w:r>
        <w:rPr>
          <w:rFonts w:hint="eastAsia" w:ascii="Times New Roman" w:hAnsi="Times New Roman" w:eastAsia="方正仿宋_GBK" w:cs="Times New Roman"/>
          <w:sz w:val="32"/>
          <w:szCs w:val="32"/>
          <w:lang w:eastAsia="zh-CN"/>
        </w:rPr>
        <w:t>巩固拓展脱贫攻坚成果同乡村振兴有效衔接</w:t>
      </w:r>
      <w:r>
        <w:rPr>
          <w:rFonts w:hint="eastAsia" w:ascii="Times New Roman" w:hAnsi="Times New Roman" w:eastAsia="方正仿宋_GBK" w:cs="Times New Roman"/>
          <w:sz w:val="32"/>
          <w:szCs w:val="32"/>
        </w:rPr>
        <w:t>，落实十三五易地扶贫搬迁后续扶持政策措施，按照有序调整、平稳过渡，</w:t>
      </w:r>
      <w:r>
        <w:rPr>
          <w:rFonts w:hint="eastAsia" w:ascii="Times New Roman" w:hAnsi="Times New Roman" w:eastAsia="方正仿宋_GBK" w:cs="Times New Roman"/>
          <w:sz w:val="32"/>
          <w:szCs w:val="32"/>
          <w:lang w:val="en-US"/>
        </w:rPr>
        <w:t>2022年李溪镇人民政府</w:t>
      </w:r>
      <w:r>
        <w:rPr>
          <w:rFonts w:hint="eastAsia" w:ascii="Times New Roman" w:hAnsi="Times New Roman" w:eastAsia="方正仿宋_GBK" w:cs="Times New Roman"/>
          <w:sz w:val="32"/>
          <w:szCs w:val="32"/>
        </w:rPr>
        <w:t>采用“以奖代补、先建后补、不建不补”的办法引导、鼓励、支持广大监测对象和脱贫户用自己的辛勤劳动实现稳定增收。</w:t>
      </w:r>
      <w:r>
        <w:rPr>
          <w:rFonts w:hint="eastAsia" w:ascii="Times New Roman" w:hAnsi="Times New Roman" w:eastAsia="方正仿宋_GBK" w:cs="Times New Roman"/>
          <w:sz w:val="32"/>
          <w:szCs w:val="32"/>
          <w:lang w:val="en-US"/>
        </w:rPr>
        <w:t>2021</w:t>
      </w:r>
      <w:r>
        <w:rPr>
          <w:rFonts w:hint="eastAsia" w:ascii="Times New Roman" w:hAnsi="Times New Roman" w:eastAsia="方正仿宋_GBK" w:cs="方正仿宋_GBK"/>
          <w:color w:val="000000"/>
          <w:sz w:val="32"/>
          <w:szCs w:val="32"/>
        </w:rPr>
        <w:t>年</w:t>
      </w:r>
      <w:r>
        <w:rPr>
          <w:rFonts w:hint="eastAsia" w:ascii="Times New Roman" w:hAnsi="Times New Roman" w:eastAsia="方正仿宋_GBK" w:cs="Times New Roman"/>
          <w:sz w:val="32"/>
          <w:szCs w:val="32"/>
          <w:lang w:val="en-US"/>
        </w:rPr>
        <w:t>12</w:t>
      </w:r>
      <w:r>
        <w:rPr>
          <w:rFonts w:hint="eastAsia" w:ascii="Times New Roman" w:hAnsi="Times New Roman" w:eastAsia="方正仿宋_GBK" w:cs="方正仿宋_GBK"/>
          <w:color w:val="000000"/>
          <w:sz w:val="32"/>
          <w:szCs w:val="32"/>
          <w:lang w:val="en-US"/>
        </w:rPr>
        <w:t>月</w:t>
      </w:r>
      <w:r>
        <w:rPr>
          <w:rFonts w:hint="eastAsia" w:ascii="Times New Roman" w:hAnsi="Times New Roman" w:eastAsia="方正仿宋_GBK" w:cs="Times New Roman"/>
          <w:sz w:val="32"/>
          <w:szCs w:val="32"/>
          <w:lang w:val="en-US"/>
        </w:rPr>
        <w:t>28</w:t>
      </w:r>
      <w:r>
        <w:rPr>
          <w:rFonts w:hint="eastAsia" w:ascii="Times New Roman" w:hAnsi="Times New Roman" w:eastAsia="方正仿宋_GBK" w:cs="方正仿宋_GBK"/>
          <w:color w:val="000000"/>
          <w:sz w:val="32"/>
          <w:szCs w:val="32"/>
          <w:lang w:val="en-US"/>
        </w:rPr>
        <w:t>日</w:t>
      </w:r>
      <w:r>
        <w:rPr>
          <w:rFonts w:hint="eastAsia" w:ascii="Times New Roman" w:hAnsi="Times New Roman" w:eastAsia="方正仿宋_GBK" w:cs="方正仿宋_GBK"/>
          <w:color w:val="000000"/>
          <w:sz w:val="32"/>
          <w:szCs w:val="32"/>
        </w:rPr>
        <w:t>，酉阳县农业农村委、县财政局、县乡村振兴局、县发展改革委等四部门通过</w:t>
      </w:r>
      <w:r>
        <w:rPr>
          <w:rFonts w:hint="eastAsia" w:ascii="Times New Roman" w:hAnsi="Times New Roman" w:eastAsia="方正仿宋_GBK" w:cs="Times New Roman"/>
          <w:sz w:val="32"/>
          <w:szCs w:val="32"/>
        </w:rPr>
        <w:t>《关于下达2022年酉阳自治县农业产业项目（到户产业）投资计划的通知》（酉阳农委函〔2021〕296号）文件</w:t>
      </w:r>
      <w:r>
        <w:rPr>
          <w:rFonts w:hint="eastAsia" w:ascii="Times New Roman" w:hAnsi="Times New Roman" w:eastAsia="方正仿宋_GBK" w:cs="方正仿宋_GBK"/>
          <w:color w:val="000000"/>
          <w:sz w:val="32"/>
          <w:szCs w:val="32"/>
        </w:rPr>
        <w:t>下达酉阳县</w:t>
      </w:r>
      <w:r>
        <w:rPr>
          <w:rFonts w:hint="eastAsia" w:ascii="Times New Roman" w:hAnsi="Times New Roman" w:eastAsia="方正仿宋_GBK" w:cs="方正仿宋_GBK"/>
          <w:color w:val="000000"/>
          <w:sz w:val="32"/>
          <w:szCs w:val="32"/>
          <w:lang w:val="en-US"/>
        </w:rPr>
        <w:t>李溪镇人民政府</w:t>
      </w:r>
      <w:r>
        <w:rPr>
          <w:rFonts w:hint="eastAsia" w:ascii="Times New Roman" w:hAnsi="Times New Roman" w:eastAsia="方正仿宋_GBK" w:cs="Times New Roman"/>
          <w:sz w:val="32"/>
          <w:szCs w:val="32"/>
          <w:lang w:val="en-US"/>
        </w:rPr>
        <w:t>2022</w:t>
      </w:r>
      <w:r>
        <w:rPr>
          <w:rFonts w:hint="eastAsia" w:ascii="Times New Roman" w:hAnsi="Times New Roman" w:eastAsia="方正仿宋_GBK" w:cs="方正仿宋_GBK"/>
          <w:color w:val="000000"/>
          <w:sz w:val="32"/>
          <w:szCs w:val="32"/>
        </w:rPr>
        <w:t>年监测户及脱贫户到位产业项目财政补助资金</w:t>
      </w:r>
      <w:r>
        <w:rPr>
          <w:rFonts w:hint="eastAsia" w:ascii="Times New Roman" w:hAnsi="Times New Roman" w:eastAsia="方正仿宋_GBK" w:cs="Times New Roman"/>
          <w:sz w:val="32"/>
          <w:szCs w:val="32"/>
          <w:lang w:val="en-US"/>
        </w:rPr>
        <w:t>273万元</w:t>
      </w:r>
      <w:r>
        <w:rPr>
          <w:rFonts w:hint="eastAsia" w:ascii="Times New Roman" w:hAnsi="Times New Roman" w:eastAsia="方正仿宋_GBK" w:cs="方正仿宋_GBK"/>
          <w:color w:val="000000"/>
          <w:sz w:val="32"/>
          <w:szCs w:val="32"/>
        </w:rPr>
        <w:t>。</w:t>
      </w:r>
    </w:p>
    <w:p>
      <w:pPr>
        <w:pStyle w:val="4"/>
        <w:spacing w:line="600" w:lineRule="exact"/>
        <w:ind w:left="440" w:leftChars="200"/>
        <w:jc w:val="both"/>
        <w:rPr>
          <w:rFonts w:ascii="Times New Roman" w:hAnsi="Times New Roman" w:eastAsia="方正楷体_GBK" w:cs="Times New Roman"/>
          <w:b w:val="0"/>
          <w:lang w:val="en-US" w:bidi="ar-SA"/>
        </w:rPr>
      </w:pPr>
      <w:bookmarkStart w:id="11" w:name="_Toc3341_WPSOffice_Level2"/>
      <w:bookmarkStart w:id="12" w:name="_Toc14799"/>
      <w:bookmarkStart w:id="13" w:name="_Toc31190"/>
      <w:r>
        <w:rPr>
          <w:rFonts w:hint="eastAsia" w:ascii="Times New Roman" w:hAnsi="Times New Roman" w:eastAsia="方正楷体_GBK" w:cs="Times New Roman"/>
          <w:b w:val="0"/>
          <w:lang w:val="en-US" w:bidi="ar-SA"/>
        </w:rPr>
        <w:t>（二）项目内容</w:t>
      </w:r>
      <w:bookmarkEnd w:id="11"/>
      <w:bookmarkEnd w:id="12"/>
      <w:bookmarkEnd w:id="13"/>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采用“以奖代补、先建后补、不建不补”的办法扶持983户监测户及脱贫户发展种植业、养殖业，其中发展种植业(粮油作物、蔬菜等经济作物4500亩，发展畜牧业(猪、牛、羊鸡等)3300(头、只)，户均补助标准不超过3000元。</w:t>
      </w:r>
    </w:p>
    <w:p>
      <w:pPr>
        <w:pStyle w:val="4"/>
        <w:spacing w:line="600" w:lineRule="exact"/>
        <w:ind w:left="440" w:leftChars="200"/>
        <w:jc w:val="both"/>
        <w:rPr>
          <w:rFonts w:ascii="Times New Roman" w:hAnsi="Times New Roman" w:eastAsia="方正楷体_GBK" w:cs="Times New Roman"/>
          <w:b w:val="0"/>
          <w:lang w:val="en-US" w:bidi="ar-SA"/>
        </w:rPr>
      </w:pPr>
      <w:bookmarkStart w:id="14" w:name="_Toc3232"/>
      <w:bookmarkStart w:id="15" w:name="_Toc28708_WPSOffice_Level2"/>
      <w:bookmarkStart w:id="16" w:name="_Toc32558"/>
      <w:r>
        <w:rPr>
          <w:rFonts w:hint="eastAsia" w:ascii="Times New Roman" w:hAnsi="Times New Roman" w:eastAsia="方正楷体_GBK" w:cs="Times New Roman"/>
          <w:b w:val="0"/>
          <w:lang w:val="en-US" w:bidi="ar-SA"/>
        </w:rPr>
        <w:t>（三）绩效目标</w:t>
      </w:r>
      <w:bookmarkEnd w:id="14"/>
      <w:bookmarkEnd w:id="15"/>
      <w:bookmarkEnd w:id="16"/>
    </w:p>
    <w:p>
      <w:pPr>
        <w:pStyle w:val="13"/>
        <w:spacing w:before="0" w:beforeAutospacing="0" w:after="0" w:afterAutospacing="0" w:line="600" w:lineRule="exact"/>
        <w:ind w:firstLine="640" w:firstLineChars="200"/>
        <w:jc w:val="both"/>
        <w:textAlignment w:val="baseline"/>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lang w:val="en-US"/>
        </w:rPr>
        <w:t>通过实施本项目，预计</w:t>
      </w:r>
      <w:r>
        <w:rPr>
          <w:rFonts w:hint="eastAsia" w:ascii="Times New Roman" w:hAnsi="Times New Roman" w:eastAsia="方正仿宋_GBK" w:cs="Times New Roman"/>
          <w:sz w:val="32"/>
          <w:szCs w:val="32"/>
          <w:lang w:val="en-US"/>
        </w:rPr>
        <w:t>2022</w:t>
      </w:r>
      <w:r>
        <w:rPr>
          <w:rFonts w:hint="eastAsia" w:ascii="Times New Roman" w:hAnsi="Times New Roman" w:eastAsia="方正仿宋_GBK" w:cs="方正仿宋_GBK"/>
          <w:color w:val="000000"/>
          <w:sz w:val="32"/>
          <w:szCs w:val="32"/>
          <w:lang w:val="en-US"/>
        </w:rPr>
        <w:t>年年底可实现扶持983户监测户及脱贫户发展种植业、养殖业，其中发展种植业(油作物、菜等经济作物4500亩，发展业(猪、羊、鸡等)3300(头、只)，实现增收237万元以上。</w:t>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7" w:name="_Toc3341_WPSOffice_Level1"/>
      <w:bookmarkStart w:id="18" w:name="_Toc29409"/>
      <w:bookmarkStart w:id="19" w:name="_Toc31689"/>
      <w:r>
        <w:rPr>
          <w:rFonts w:hint="eastAsia" w:ascii="Times New Roman" w:hAnsi="Times New Roman" w:eastAsia="方正黑体_GBK" w:cs="Times New Roman"/>
          <w:b w:val="0"/>
          <w:sz w:val="32"/>
          <w:szCs w:val="32"/>
          <w:lang w:val="en-US" w:bidi="ar-SA"/>
        </w:rPr>
        <w:t>二、绩效评价工作情况</w:t>
      </w:r>
      <w:bookmarkEnd w:id="17"/>
      <w:bookmarkEnd w:id="18"/>
      <w:bookmarkEnd w:id="19"/>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20" w:name="_Toc18627"/>
      <w:bookmarkStart w:id="21" w:name="_Toc28339"/>
      <w:bookmarkStart w:id="22" w:name="_Toc13040_WPSOffice_Level2"/>
      <w:r>
        <w:rPr>
          <w:rFonts w:hint="eastAsia" w:ascii="Times New Roman" w:hAnsi="Times New Roman" w:eastAsia="方正楷体_GBK" w:cs="Times New Roman"/>
          <w:b w:val="0"/>
          <w:lang w:val="en-US" w:bidi="ar-SA"/>
        </w:rPr>
        <w:t>（一）绩效评价目的、范围</w:t>
      </w:r>
      <w:bookmarkEnd w:id="20"/>
      <w:bookmarkEnd w:id="21"/>
      <w:bookmarkEnd w:id="22"/>
      <w:bookmarkStart w:id="23" w:name="_Toc26413_WPSOffice_Level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4" w:name="_Toc8043"/>
      <w:bookmarkStart w:id="25" w:name="_Toc20329"/>
      <w:r>
        <w:rPr>
          <w:rFonts w:hint="eastAsia" w:ascii="Times New Roman" w:hAnsi="Times New Roman" w:eastAsia="方正仿宋_GBK" w:cs="Times New Roman"/>
          <w:b w:val="0"/>
          <w:bCs/>
          <w:szCs w:val="32"/>
          <w:lang w:bidi="ar-SA"/>
        </w:rPr>
        <w:t>1.评价目的</w:t>
      </w:r>
      <w:bookmarkEnd w:id="23"/>
      <w:bookmarkEnd w:id="24"/>
      <w:bookmarkEnd w:id="25"/>
    </w:p>
    <w:p>
      <w:pPr>
        <w:pStyle w:val="7"/>
        <w:spacing w:line="600" w:lineRule="exact"/>
        <w:ind w:firstLine="640" w:firstLineChars="200"/>
        <w:jc w:val="both"/>
        <w:rPr>
          <w:rFonts w:ascii="Times New Roman" w:hAnsi="Times New Roman" w:eastAsia="方正仿宋_GBK" w:cs="Times New Roman"/>
          <w:bCs/>
          <w:lang w:val="en-US" w:bidi="ar-SA"/>
        </w:rPr>
      </w:pPr>
      <w:r>
        <w:rPr>
          <w:rFonts w:hint="eastAsia" w:ascii="Times New Roman" w:hAnsi="Times New Roman" w:eastAsia="方正仿宋_GBK" w:cs="Times New Roman"/>
          <w:bCs/>
          <w:lang w:val="en-US" w:bidi="ar-SA"/>
        </w:rPr>
        <w:t>通过绩效评价，衡量和考核项目主管单位酉阳土家族苗族自治县农业农村委员会（以下简称“县农委”）及项目业主单位酉阳县李溪镇人民政府）使用财政资金的绩效目标实现程度、支出效率以及综合效益，了解、分析和检验资金使用是否达到预期目标，资金管理是否规范，资金使用是否有效，资金分配是否合理，对项目的过程管理、产出、效果进行评价，通过总结经验，分析问题，采取切实措施进一步改进和加强财政支出项目管理，提高财政资金使用效益。</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26" w:name="_Toc20729"/>
      <w:bookmarkStart w:id="27" w:name="_Toc3341_WPSOffice_Level3"/>
      <w:bookmarkStart w:id="28" w:name="_Toc4321"/>
      <w:r>
        <w:rPr>
          <w:rFonts w:hint="eastAsia" w:ascii="Times New Roman" w:hAnsi="Times New Roman" w:eastAsia="方正仿宋_GBK" w:cs="Times New Roman"/>
          <w:b w:val="0"/>
          <w:bCs/>
          <w:szCs w:val="32"/>
          <w:lang w:val="en-US" w:bidi="ar-SA"/>
        </w:rPr>
        <w:t>2.</w:t>
      </w:r>
      <w:r>
        <w:rPr>
          <w:rFonts w:hint="eastAsia" w:ascii="Times New Roman" w:hAnsi="Times New Roman" w:eastAsia="方正仿宋_GBK" w:cs="Times New Roman"/>
          <w:b w:val="0"/>
          <w:bCs/>
          <w:szCs w:val="32"/>
          <w:lang w:bidi="ar-SA"/>
        </w:rPr>
        <w:t>评价</w:t>
      </w:r>
      <w:r>
        <w:rPr>
          <w:rFonts w:hint="eastAsia" w:ascii="Times New Roman" w:hAnsi="Times New Roman" w:eastAsia="方正仿宋_GBK" w:cs="Times New Roman"/>
          <w:b w:val="0"/>
          <w:bCs/>
          <w:szCs w:val="32"/>
          <w:lang w:val="en-US" w:bidi="ar-SA"/>
        </w:rPr>
        <w:t>范围</w:t>
      </w:r>
      <w:bookmarkEnd w:id="26"/>
      <w:bookmarkEnd w:id="27"/>
      <w:bookmarkEnd w:id="28"/>
    </w:p>
    <w:p>
      <w:pPr>
        <w:spacing w:line="600" w:lineRule="exact"/>
        <w:ind w:firstLine="640" w:firstLineChars="200"/>
        <w:jc w:val="both"/>
        <w:rPr>
          <w:rFonts w:ascii="Times New Roman" w:hAnsi="Times New Roman" w:eastAsia="方正仿宋_GBK" w:cs="Times New Roman"/>
          <w:lang w:val="en-US" w:bidi="ar-SA"/>
        </w:rPr>
      </w:pPr>
      <w:bookmarkStart w:id="29" w:name="_Toc10183_WPSOffice_Level2"/>
      <w:r>
        <w:rPr>
          <w:rFonts w:hint="eastAsia" w:ascii="Times New Roman" w:hAnsi="Times New Roman" w:eastAsia="方正仿宋_GBK" w:cs="Times New Roman"/>
          <w:bCs/>
          <w:sz w:val="32"/>
          <w:szCs w:val="32"/>
          <w:lang w:val="en-US" w:bidi="ar-SA"/>
        </w:rPr>
        <w:t>酉阳县李溪镇2022年监测户及脱贫户到位产业项目2022年的帮扶情况、项目财政资金237万元的使用情况及综合效益。</w:t>
      </w:r>
    </w:p>
    <w:p>
      <w:pPr>
        <w:pStyle w:val="4"/>
        <w:spacing w:line="600" w:lineRule="exact"/>
        <w:ind w:left="0" w:firstLine="640" w:firstLineChars="200"/>
        <w:jc w:val="both"/>
        <w:rPr>
          <w:rFonts w:ascii="Times New Roman" w:hAnsi="Times New Roman" w:eastAsia="方正楷体_GBK" w:cs="Times New Roman"/>
          <w:b w:val="0"/>
          <w:bCs w:val="0"/>
          <w:lang w:val="en-US" w:bidi="ar-SA"/>
        </w:rPr>
      </w:pPr>
      <w:bookmarkStart w:id="30" w:name="_Toc4513"/>
      <w:bookmarkStart w:id="31" w:name="_Toc16549"/>
      <w:r>
        <w:rPr>
          <w:rFonts w:hint="eastAsia" w:ascii="Times New Roman" w:hAnsi="Times New Roman" w:eastAsia="方正楷体_GBK" w:cs="Times New Roman"/>
          <w:b w:val="0"/>
          <w:lang w:val="en-US" w:bidi="ar-SA"/>
        </w:rPr>
        <w:t>（二）绩效评价原则依据、评价方法、评价指标体系</w:t>
      </w:r>
      <w:bookmarkEnd w:id="29"/>
      <w:bookmarkEnd w:id="30"/>
      <w:bookmarkEnd w:id="31"/>
    </w:p>
    <w:p>
      <w:pPr>
        <w:pStyle w:val="5"/>
        <w:spacing w:before="0" w:after="0" w:line="600" w:lineRule="exact"/>
        <w:ind w:firstLine="640" w:firstLineChars="200"/>
        <w:jc w:val="both"/>
        <w:rPr>
          <w:rFonts w:ascii="Times New Roman" w:hAnsi="Times New Roman" w:eastAsia="方正仿宋_GBK" w:cs="Times New Roman"/>
          <w:lang w:val="en-US"/>
        </w:rPr>
      </w:pPr>
      <w:bookmarkStart w:id="32" w:name="_Toc26620"/>
      <w:bookmarkStart w:id="33" w:name="_Toc13883"/>
      <w:bookmarkStart w:id="34" w:name="_Toc12197"/>
      <w:r>
        <w:rPr>
          <w:rFonts w:hint="eastAsia" w:ascii="Times New Roman" w:hAnsi="Times New Roman" w:eastAsia="方正仿宋_GBK" w:cs="Times New Roman"/>
          <w:b w:val="0"/>
          <w:bCs/>
          <w:szCs w:val="32"/>
          <w:lang w:val="en-US" w:bidi="ar-SA"/>
        </w:rPr>
        <w:t>1.绩效评价原则依据</w:t>
      </w:r>
      <w:bookmarkEnd w:id="32"/>
      <w:bookmarkEnd w:id="33"/>
      <w:bookmarkEnd w:id="34"/>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本次评价工作遵循“客观、公正、科学、规范”的原则， 在评价过程中，依据项目总体绩效目标，评价本年度项目阶段目标任务的执行情况，以及效益的实现情况。</w:t>
      </w:r>
    </w:p>
    <w:p>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5" w:name="_Toc30359"/>
      <w:bookmarkStart w:id="36" w:name="_Toc25243"/>
      <w:bookmarkStart w:id="37" w:name="_Toc21951"/>
      <w:r>
        <w:rPr>
          <w:rFonts w:hint="eastAsia" w:ascii="Times New Roman" w:hAnsi="Times New Roman" w:eastAsia="方正仿宋_GBK" w:cs="Times New Roman"/>
          <w:b w:val="0"/>
          <w:bCs/>
          <w:szCs w:val="32"/>
          <w:lang w:val="en-US" w:bidi="ar-SA"/>
        </w:rPr>
        <w:t>2.绩效评价方法</w:t>
      </w:r>
      <w:bookmarkEnd w:id="35"/>
      <w:bookmarkEnd w:id="36"/>
      <w:bookmarkEnd w:id="37"/>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结合本项目特点，评价方法主要采用现场评价形式，审核、分析和评价项目的实施情况，期间结合了比较分析法、因素分析法、效益分析法等评价方法进行定性分析和定量分析。</w:t>
      </w:r>
    </w:p>
    <w:p>
      <w:pPr>
        <w:pStyle w:val="5"/>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38" w:name="_Toc48"/>
      <w:bookmarkStart w:id="39" w:name="_Toc25924"/>
      <w:bookmarkStart w:id="40" w:name="_Toc9665"/>
      <w:r>
        <w:rPr>
          <w:rFonts w:hint="eastAsia" w:ascii="Times New Roman" w:hAnsi="Times New Roman" w:eastAsia="方正仿宋_GBK" w:cs="Times New Roman"/>
          <w:b w:val="0"/>
          <w:bCs/>
          <w:szCs w:val="32"/>
          <w:lang w:val="en-US" w:bidi="ar-SA"/>
        </w:rPr>
        <w:t>3.绩效评价指标体系</w:t>
      </w:r>
      <w:bookmarkEnd w:id="38"/>
      <w:bookmarkEnd w:id="39"/>
      <w:bookmarkEnd w:id="40"/>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评价工作组结合项目资金使用的具体情况，以资金使用结果为导向，设定了本次评价指标内容和权重，重点对项目过程管理、产出及效果进行综合评价，如</w:t>
      </w:r>
      <w:r>
        <w:rPr>
          <w:rFonts w:ascii="Times New Roman" w:hAnsi="Times New Roman" w:eastAsia="方正仿宋_GBK" w:cs="Times New Roman"/>
          <w:bCs/>
          <w:sz w:val="32"/>
          <w:szCs w:val="32"/>
          <w:lang w:val="en-US" w:bidi="ar-SA"/>
        </w:rPr>
        <w:t>表2.</w:t>
      </w:r>
      <w:r>
        <w:rPr>
          <w:rFonts w:hint="eastAsia" w:ascii="Times New Roman" w:hAnsi="Times New Roman" w:eastAsia="方正仿宋_GBK" w:cs="Times New Roman"/>
          <w:bCs/>
          <w:sz w:val="32"/>
          <w:szCs w:val="32"/>
          <w:lang w:val="en-US" w:bidi="ar-SA"/>
        </w:rPr>
        <w:t>1所示。</w:t>
      </w:r>
    </w:p>
    <w:p>
      <w:pPr>
        <w:autoSpaceDE/>
        <w:autoSpaceDN/>
        <w:spacing w:after="240" w:afterLines="100" w:line="560" w:lineRule="exact"/>
        <w:jc w:val="center"/>
        <w:rPr>
          <w:rFonts w:ascii="Times New Roman" w:hAnsi="Times New Roman" w:eastAsia="方正仿宋_GBK" w:cs="方正仿宋_GBK"/>
          <w:b/>
          <w:bCs/>
          <w:sz w:val="24"/>
          <w:szCs w:val="24"/>
          <w:lang w:val="en-US"/>
        </w:rPr>
      </w:pPr>
      <w:r>
        <w:rPr>
          <w:rFonts w:hint="eastAsia" w:ascii="Times New Roman" w:hAnsi="Times New Roman" w:eastAsia="方正仿宋_GBK" w:cs="方正仿宋_GBK"/>
          <w:b/>
          <w:bCs/>
          <w:sz w:val="24"/>
          <w:szCs w:val="24"/>
          <w:lang w:val="en-US"/>
        </w:rPr>
        <w:t>表2.1酉阳县李溪镇2022年监测户及脱贫户到位产业项目绩效评价指标体系</w:t>
      </w:r>
    </w:p>
    <w:tbl>
      <w:tblPr>
        <w:tblStyle w:val="14"/>
        <w:tblW w:w="4684" w:type="pct"/>
        <w:jc w:val="center"/>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050"/>
        <w:gridCol w:w="1195"/>
        <w:gridCol w:w="1557"/>
        <w:gridCol w:w="4517"/>
      </w:tblGrid>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22" w:hRule="atLeast"/>
          <w:jc w:val="center"/>
        </w:trPr>
        <w:tc>
          <w:tcPr>
            <w:tcW w:w="631"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bookmarkStart w:id="41" w:name="_Toc19775_WPSOffice_Level2"/>
            <w:bookmarkStart w:id="42" w:name="_Toc4879"/>
            <w:r>
              <w:rPr>
                <w:rFonts w:hint="eastAsia" w:ascii="Times New Roman" w:hAnsi="Times New Roman" w:eastAsia="方正仿宋_GBK" w:cs="方正仿宋_GBK"/>
                <w:b/>
                <w:bCs/>
                <w:sz w:val="24"/>
                <w:szCs w:val="24"/>
                <w:lang w:val="en-US" w:bidi="ar"/>
              </w:rPr>
              <w:t>一级</w:t>
            </w:r>
          </w:p>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718"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二级</w:t>
            </w:r>
          </w:p>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三级</w:t>
            </w:r>
          </w:p>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b/>
                <w:bCs/>
                <w:sz w:val="24"/>
                <w:szCs w:val="24"/>
                <w:lang w:val="en-US" w:bidi="ar"/>
              </w:rPr>
            </w:pPr>
            <w:r>
              <w:rPr>
                <w:rFonts w:hint="eastAsia" w:ascii="Times New Roman" w:hAnsi="Times New Roman" w:eastAsia="方正仿宋_GBK" w:cs="方正仿宋_GBK"/>
                <w:b/>
                <w:bCs/>
                <w:sz w:val="24"/>
                <w:szCs w:val="24"/>
                <w:lang w:val="en-US" w:bidi="ar"/>
              </w:rPr>
              <w:t>指标说明</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320" w:hRule="atLeast"/>
          <w:jc w:val="center"/>
        </w:trPr>
        <w:tc>
          <w:tcPr>
            <w:tcW w:w="631"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投 入</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（8分）</w:t>
            </w: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立项</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（4分）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项目立项充分性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①项目立项符合国家法律法规、国民经济发展规划和相关政策；                                                                                  ②项目立项符合行业发展规划和政策要求；                                                                                               ③项目立项与部门职责范围相符，属于部门履职所需；                                                                                      ④该项目未与相关部门同类项目或者部门内部相关项目交叉重复。                                                                               具备一个得分要素增加指标分值的25%。</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89"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项目立项规范性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①项目按照规定的程序申请设立；</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②所提交的文件、材料符合相关要求。                                                                                                   具备一个得分要素增加指标分值的50%。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27"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落实</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（4分）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资金到位率</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资金到位率≦100%，且未对项目开展造成不良影响，得分等于指标分值*资金到位率；                                                                资金到位率﹤100%，且对项目开展造成不良影响，得分等于0。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64"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到位及时率≦100%，且未对项目开展造成不良影响，得分等于指标分值*到位及时率；</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到位及时率﹤100%，且对项目开展造成不良影响，得分等于0。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53" w:hRule="atLeast"/>
          <w:jc w:val="center"/>
        </w:trPr>
        <w:tc>
          <w:tcPr>
            <w:tcW w:w="631"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（27分）</w:t>
            </w: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业务</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（15分）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业务管理制度健全性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①已制定或具有相应的业务管理制度（包括项目实施方案）；</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②业务管理制度合法、合规、完整。                                                                                                     具备一个得分要素增加指标分值的50%。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制度执行有效性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①遵守相关法律法规和业务管理规定（包括但不限于奖补标准执行情况），3分；</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②项目调整及支出调整手续完备，1分；</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③申报表，农业生产、销售登记表，项目进度表（从 2022年6月份开始，各乡镇(街道)每月15日前上报项目进度至县农业农村委）、村社及镇街公示影像、验收等资料齐全并及时归档，4分；</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④项目实施的人员条件落实到位（包括但不限于农业产业指导员落实到位），2分。</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84"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管理</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（12分）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财务管理制度健全性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①已制定或具有相应的项目资金管理办法；</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②项目资金管理办法符合相关财务会计制度的规定。                                                                                        具备一个得分要素增加指标分值的50%。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423"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资金使用合规性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①符合国家财经法规和财务管理制度以及有关专项资金管理办法的规定；</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②资金的拨付有完整的审批程序和手续；</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③符合项目预算批复或合同规定的用途；</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④不存在截留、挤占、挪用、虚列支出等情况。                                                                                              具备一个得分要素增加指标分值的25%。</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95"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财务监控有效性</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（2分）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①已制定或具有相应的监控机制；</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②采取了相应的财务检查等必要的监控措施或手段。（各乡镇(街道)对实施的每个项目现场监督检查不少于2 次）                                                                                        具备一个得分要素增加指标分值的50%。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1" w:hRule="atLeast"/>
          <w:jc w:val="center"/>
        </w:trPr>
        <w:tc>
          <w:tcPr>
            <w:tcW w:w="631"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产 出</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（35分）</w:t>
            </w: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数量指标（15分）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帮扶落实情况</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对983户监测户及脱贫户全部落实帮扶指导。根据抽查情况，每发现一户反映有需求未得到帮扶的，扣1分，扣完为止。其中发展种植业(油作物、菜等经济作物4500亩，发展业(猪、羊、鸡等)3300(头、只)。未完成一项扣1分，扣完为止。</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39"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项目台账建立情况</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农业产业帮扶奖补台账是否建立； 佐证材料是否充分。建立台账且材料真实完整满分；已建立台账但不规范，每发现一例扣0.5分，累计扣分不超过3分；未建立的不得分。</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42"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到户帮扶指导工作完成率</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村支两委、驻村工作队的指导工作完成率达到100%得满分；否则根据抽查情况，每发现一户指导工作未完成的，扣0.5分，扣完为止。</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93"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质量指标（10分）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按标准发放奖补（4分）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按标准发放奖补得满分，每发现一例发放的奖补不符合标准，扣0.5分，扣完为止。</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政策宣传知晓率</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（6分）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项目政策宣传工作是否到位，群众知晓率是否达到相应指标。</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91" w:hRule="atLeast"/>
          <w:jc w:val="center"/>
        </w:trPr>
        <w:tc>
          <w:tcPr>
            <w:tcW w:w="631"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时效指标（10分）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项目执行及时率</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①各村社于2022年5月31日前完成申报工作；</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②各村社于2022年8月31日前完成项目实施；                                                                                                    ③所有到户产业项目核查验收在 2022年8月31日前全面完成；</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④各乡镇(街道)要在 2022 年9月30日前全面完成到户产业发展奖补资金兑付；</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⑤2022年10月30日前完善所有项目档案资料装订,十三五易地扶贫搬迁户发展到户产业档案资料需分开收集归档并建立专门台账。                                                                               具备一个得分要素增加指标分值的20%。</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62" w:hRule="atLeast"/>
          <w:jc w:val="center"/>
        </w:trPr>
        <w:tc>
          <w:tcPr>
            <w:tcW w:w="631"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效 果</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（30分）</w:t>
            </w:r>
          </w:p>
        </w:tc>
        <w:tc>
          <w:tcPr>
            <w:tcW w:w="718"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经济效益</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带动创收、增收</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 xml:space="preserve">根据带动监测户及脱贫户创收、增收情况，增收家庭对解决生活困难程度进行评价。 </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9" w:hRule="atLeast"/>
          <w:jc w:val="center"/>
        </w:trPr>
        <w:tc>
          <w:tcPr>
            <w:tcW w:w="631" w:type="pct"/>
            <w:vMerge w:val="continue"/>
            <w:tcBorders>
              <w:tl2br w:val="nil"/>
              <w:tr2bl w:val="nil"/>
            </w:tcBorders>
            <w:shd w:val="clear" w:color="auto" w:fill="auto"/>
            <w:tcMar>
              <w:top w:w="15" w:type="dxa"/>
              <w:left w:w="15" w:type="dxa"/>
              <w:right w:w="15" w:type="dxa"/>
            </w:tcMa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restar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社会效益（10分）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推进巩固拓展脱贫攻坚成果同乡村振兴有效衔接</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根据农业产业发展情况，帮扶机制健全情况、全区脱贫返贫情况、边缘易致贫户的增减趋势情况、突发严重困难户的帮扶情况进行评价</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7" w:hRule="atLeast"/>
          <w:jc w:val="center"/>
        </w:trPr>
        <w:tc>
          <w:tcPr>
            <w:tcW w:w="631" w:type="pct"/>
            <w:vMerge w:val="continue"/>
            <w:tcBorders>
              <w:tl2br w:val="nil"/>
              <w:tr2bl w:val="nil"/>
            </w:tcBorders>
            <w:shd w:val="clear" w:color="auto" w:fill="auto"/>
            <w:tcMar>
              <w:top w:w="15" w:type="dxa"/>
              <w:left w:w="15" w:type="dxa"/>
              <w:right w:w="15" w:type="dxa"/>
            </w:tcMa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vMerge w:val="continue"/>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多元化发展特色农业产业</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评价要点：</w:t>
            </w:r>
          </w:p>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帮扶模式是否有创新，农业产业是否多元化，是否因地制宜，是否有自身特色（特殊品种、特殊品质、特定区域产品），是否培育打造优势特色产业品牌。</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3" w:hRule="atLeast"/>
          <w:jc w:val="center"/>
        </w:trPr>
        <w:tc>
          <w:tcPr>
            <w:tcW w:w="631" w:type="pct"/>
            <w:vMerge w:val="continue"/>
            <w:tcBorders>
              <w:tl2br w:val="nil"/>
              <w:tr2bl w:val="nil"/>
            </w:tcBorders>
            <w:shd w:val="clear" w:color="auto" w:fill="auto"/>
            <w:tcMar>
              <w:top w:w="15" w:type="dxa"/>
              <w:left w:w="15" w:type="dxa"/>
              <w:right w:w="15" w:type="dxa"/>
            </w:tcMa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可持续效益</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可持续效益</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（5分）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评价要点：项目是否能够充分调动群众发展农业产业的积极性和主动性。结合调查问卷抽查对象反馈情况评价。</w:t>
            </w:r>
          </w:p>
        </w:tc>
      </w:tr>
      <w:tr>
        <w:tblPrEx>
          <w:tblBorders>
            <w:top w:val="single" w:color="000000" w:sz="4" w:space="0"/>
            <w:left w:val="single" w:color="000000" w:sz="4" w:space="0"/>
            <w:bottom w:val="single" w:color="auto"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117" w:hRule="atLeast"/>
          <w:jc w:val="center"/>
        </w:trPr>
        <w:tc>
          <w:tcPr>
            <w:tcW w:w="631" w:type="pct"/>
            <w:vMerge w:val="continue"/>
            <w:tcBorders>
              <w:tl2br w:val="nil"/>
              <w:tr2bl w:val="nil"/>
            </w:tcBorders>
            <w:shd w:val="clear" w:color="auto" w:fill="auto"/>
            <w:tcMar>
              <w:top w:w="15" w:type="dxa"/>
              <w:left w:w="15" w:type="dxa"/>
              <w:right w:w="15" w:type="dxa"/>
            </w:tcMa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p>
        </w:tc>
        <w:tc>
          <w:tcPr>
            <w:tcW w:w="718"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社会公众或服务对象满意度（10分）</w:t>
            </w:r>
          </w:p>
        </w:tc>
        <w:tc>
          <w:tcPr>
            <w:tcW w:w="935"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奖补对象满意度</w:t>
            </w:r>
          </w:p>
          <w:p>
            <w:pPr>
              <w:widowControl/>
              <w:autoSpaceDE/>
              <w:autoSpaceDN/>
              <w:adjustRightInd w:val="0"/>
              <w:snapToGrid w:val="0"/>
              <w:jc w:val="center"/>
              <w:textAlignment w:val="center"/>
              <w:rPr>
                <w:rFonts w:ascii="Times New Roman" w:hAnsi="Times New Roman" w:eastAsia="方正仿宋_GBK" w:cs="方正仿宋_GBK"/>
                <w:sz w:val="21"/>
                <w:szCs w:val="21"/>
                <w:lang w:val="en-US" w:bidi="ar"/>
              </w:rPr>
            </w:pPr>
            <w:r>
              <w:rPr>
                <w:rFonts w:hint="eastAsia" w:ascii="Times New Roman" w:hAnsi="Times New Roman" w:eastAsia="方正仿宋_GBK" w:cs="方正仿宋_GBK"/>
                <w:sz w:val="21"/>
                <w:szCs w:val="21"/>
                <w:lang w:val="en-US" w:bidi="ar"/>
              </w:rPr>
              <w:t>（10分）</w:t>
            </w:r>
          </w:p>
        </w:tc>
        <w:tc>
          <w:tcPr>
            <w:tcW w:w="2713" w:type="pct"/>
            <w:tcBorders>
              <w:tl2br w:val="nil"/>
              <w:tr2bl w:val="nil"/>
            </w:tcBorders>
            <w:shd w:val="clear" w:color="auto" w:fill="auto"/>
            <w:tcMar>
              <w:top w:w="15" w:type="dxa"/>
              <w:left w:w="15" w:type="dxa"/>
              <w:right w:w="15" w:type="dxa"/>
            </w:tcMar>
            <w:vAlign w:val="center"/>
          </w:tcPr>
          <w:p>
            <w:pPr>
              <w:widowControl/>
              <w:autoSpaceDE/>
              <w:autoSpaceDN/>
              <w:adjustRightInd w:val="0"/>
              <w:snapToGrid w:val="0"/>
              <w:textAlignment w:val="center"/>
              <w:rPr>
                <w:rFonts w:ascii="Times New Roman" w:hAnsi="Times New Roman" w:eastAsia="方正仿宋_GBK" w:cs="方正仿宋_GBK"/>
                <w:sz w:val="21"/>
                <w:szCs w:val="21"/>
                <w:lang w:val="en-US" w:bidi="ar"/>
              </w:rPr>
            </w:pPr>
            <w:r>
              <w:rPr>
                <w:rFonts w:ascii="Times New Roman" w:hAnsi="Times New Roman" w:eastAsia="方正仿宋_GBK" w:cs="方正仿宋_GBK"/>
                <w:sz w:val="21"/>
                <w:szCs w:val="21"/>
                <w:lang w:val="en-US" w:bidi="ar"/>
              </w:rPr>
              <w:t>调查问卷中满意度共设4道问题，选A得3分，选B得2分，选C得1分，选D得0分，综合平均得分10.8分及以上得满分（即满意度达90%及以上），综合平均得分较10.8分每下降0.1分，指标扣0.1分，扣完为止。</w:t>
            </w:r>
          </w:p>
        </w:tc>
      </w:tr>
    </w:tbl>
    <w:p>
      <w:pPr>
        <w:pStyle w:val="4"/>
        <w:spacing w:line="600" w:lineRule="exact"/>
        <w:ind w:left="0" w:firstLine="640" w:firstLineChars="200"/>
        <w:jc w:val="both"/>
        <w:rPr>
          <w:rFonts w:ascii="Times New Roman" w:hAnsi="Times New Roman" w:eastAsia="方正楷体_GBK" w:cs="Times New Roman"/>
          <w:b w:val="0"/>
          <w:lang w:val="en-US" w:bidi="ar-SA"/>
        </w:rPr>
      </w:pPr>
      <w:bookmarkStart w:id="43" w:name="_Toc30812"/>
      <w:r>
        <w:rPr>
          <w:rFonts w:hint="eastAsia" w:ascii="Times New Roman" w:hAnsi="Times New Roman" w:eastAsia="方正楷体_GBK" w:cs="Times New Roman"/>
          <w:b w:val="0"/>
          <w:lang w:val="en-US" w:bidi="ar-SA"/>
        </w:rPr>
        <w:t>（三）绩效评价工作过程</w:t>
      </w:r>
      <w:bookmarkEnd w:id="41"/>
      <w:bookmarkEnd w:id="42"/>
      <w:bookmarkEnd w:id="4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4" w:name="_Toc10894"/>
      <w:bookmarkStart w:id="45" w:name="_Toc28708_WPSOffice_Level3"/>
      <w:bookmarkStart w:id="46" w:name="_Toc5773"/>
      <w:r>
        <w:rPr>
          <w:rFonts w:hint="eastAsia" w:ascii="Times New Roman" w:hAnsi="Times New Roman" w:eastAsia="方正仿宋_GBK" w:cs="Times New Roman"/>
          <w:b w:val="0"/>
          <w:bCs/>
          <w:szCs w:val="32"/>
          <w:lang w:val="en-US" w:bidi="ar-SA"/>
        </w:rPr>
        <w:t>1.前期准备</w:t>
      </w:r>
      <w:bookmarkEnd w:id="44"/>
      <w:bookmarkEnd w:id="45"/>
      <w:bookmarkEnd w:id="46"/>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（1）组建评价工作组</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参与评价的中介机构根据任务，组成评价工作组， 工作组成员共6人，设组长1名，副组长2名，组员3名，明确了成员职责及项目分工。</w:t>
      </w:r>
      <w:r>
        <w:rPr>
          <w:rFonts w:ascii="Times New Roman" w:hAnsi="Times New Roman" w:eastAsia="方正仿宋_GBK" w:cs="Times New Roman"/>
          <w:bCs/>
          <w:sz w:val="32"/>
          <w:szCs w:val="32"/>
          <w:lang w:val="en-US" w:bidi="ar-SA"/>
        </w:rPr>
        <w:t>评价工作组人员情况如表2.</w:t>
      </w:r>
      <w:r>
        <w:rPr>
          <w:rFonts w:hint="eastAsia" w:ascii="Times New Roman" w:hAnsi="Times New Roman" w:eastAsia="方正仿宋_GBK" w:cs="Times New Roman"/>
          <w:bCs/>
          <w:sz w:val="32"/>
          <w:szCs w:val="32"/>
          <w:lang w:val="en-US" w:bidi="ar-SA"/>
        </w:rPr>
        <w:t>2</w:t>
      </w:r>
      <w:r>
        <w:rPr>
          <w:rFonts w:ascii="Times New Roman" w:hAnsi="Times New Roman" w:eastAsia="方正仿宋_GBK" w:cs="Times New Roman"/>
          <w:bCs/>
          <w:sz w:val="32"/>
          <w:szCs w:val="32"/>
          <w:lang w:val="en-US" w:bidi="ar-SA"/>
        </w:rPr>
        <w:t>所示</w:t>
      </w:r>
      <w:r>
        <w:rPr>
          <w:rFonts w:hint="eastAsia" w:ascii="Times New Roman" w:hAnsi="Times New Roman" w:eastAsia="方正仿宋_GBK" w:cs="Times New Roman"/>
          <w:bCs/>
          <w:sz w:val="32"/>
          <w:szCs w:val="32"/>
          <w:lang w:val="en-US" w:bidi="ar-SA"/>
        </w:rPr>
        <w:t>：</w:t>
      </w:r>
    </w:p>
    <w:p>
      <w:pPr>
        <w:pStyle w:val="2"/>
        <w:spacing w:line="600" w:lineRule="exact"/>
        <w:jc w:val="center"/>
        <w:rPr>
          <w:rFonts w:ascii="Times New Roman"/>
          <w:color w:val="auto"/>
          <w:sz w:val="28"/>
          <w:szCs w:val="28"/>
        </w:rPr>
      </w:pPr>
      <w:r>
        <w:rPr>
          <w:rFonts w:ascii="Times New Roman" w:eastAsia="方正仿宋_GBK" w:cs="Times New Roman"/>
          <w:b/>
          <w:bCs/>
          <w:color w:val="auto"/>
          <w:sz w:val="28"/>
          <w:szCs w:val="28"/>
        </w:rPr>
        <w:t>表2.</w:t>
      </w:r>
      <w:r>
        <w:rPr>
          <w:rFonts w:hint="eastAsia" w:ascii="Times New Roman" w:eastAsia="方正仿宋_GBK" w:cs="Times New Roman"/>
          <w:b/>
          <w:bCs/>
          <w:color w:val="auto"/>
          <w:sz w:val="28"/>
          <w:szCs w:val="28"/>
        </w:rPr>
        <w:t>2</w:t>
      </w:r>
      <w:r>
        <w:rPr>
          <w:rFonts w:ascii="Times New Roman" w:eastAsia="方正仿宋_GBK" w:cs="Times New Roman"/>
          <w:b/>
          <w:bCs/>
          <w:color w:val="auto"/>
          <w:sz w:val="28"/>
          <w:szCs w:val="28"/>
        </w:rPr>
        <w:t>项目评价工作组名单</w:t>
      </w:r>
    </w:p>
    <w:tbl>
      <w:tblPr>
        <w:tblStyle w:val="15"/>
        <w:tblW w:w="4895"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845"/>
        <w:gridCol w:w="4337"/>
        <w:gridCol w:w="26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姓名</w:t>
            </w:r>
          </w:p>
        </w:tc>
        <w:tc>
          <w:tcPr>
            <w:tcW w:w="2442"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担任职务</w:t>
            </w:r>
          </w:p>
        </w:tc>
        <w:tc>
          <w:tcPr>
            <w:tcW w:w="1517" w:type="pct"/>
            <w:vAlign w:val="center"/>
          </w:tcPr>
          <w:p>
            <w:pPr>
              <w:topLinePunct/>
              <w:autoSpaceDN/>
              <w:spacing w:line="560" w:lineRule="exact"/>
              <w:jc w:val="center"/>
              <w:rPr>
                <w:rFonts w:ascii="Times New Roman" w:hAnsi="Times New Roman" w:eastAsia="方正仿宋_GBK" w:cs="Times New Roman"/>
                <w:b/>
                <w:sz w:val="24"/>
                <w:szCs w:val="24"/>
                <w:lang w:val="en-US"/>
              </w:rPr>
            </w:pPr>
            <w:r>
              <w:rPr>
                <w:rFonts w:hint="eastAsia" w:ascii="Times New Roman" w:hAnsi="Times New Roman" w:eastAsia="方正仿宋_GBK" w:cs="Times New Roman"/>
                <w:b/>
                <w:sz w:val="24"/>
                <w:szCs w:val="24"/>
                <w:lang w:val="en-US"/>
              </w:rPr>
              <w:t>职称或职业资格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沈利</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注册会计师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袁鼎翔</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ICI国际内控师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周天海</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副组长</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中级会计师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廖丽萍</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高级会计师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李林凤</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3" w:hRule="atLeast"/>
          <w:jc w:val="center"/>
        </w:trPr>
        <w:tc>
          <w:tcPr>
            <w:tcW w:w="1039"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何晓航</w:t>
            </w:r>
          </w:p>
        </w:tc>
        <w:tc>
          <w:tcPr>
            <w:tcW w:w="2442"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组员</w:t>
            </w:r>
          </w:p>
        </w:tc>
        <w:tc>
          <w:tcPr>
            <w:tcW w:w="1517" w:type="pct"/>
            <w:vAlign w:val="center"/>
          </w:tcPr>
          <w:p>
            <w:pPr>
              <w:topLinePunct/>
              <w:autoSpaceDN/>
              <w:spacing w:line="560" w:lineRule="exact"/>
              <w:jc w:val="center"/>
              <w:rPr>
                <w:rFonts w:ascii="Times New Roman" w:hAnsi="Times New Roman" w:eastAsia="方正仿宋_GBK" w:cs="Times New Roman"/>
                <w:bCs/>
                <w:sz w:val="24"/>
                <w:szCs w:val="24"/>
                <w:lang w:val="en-US"/>
              </w:rPr>
            </w:pPr>
            <w:r>
              <w:rPr>
                <w:rFonts w:hint="eastAsia" w:ascii="Times New Roman" w:hAnsi="Times New Roman" w:eastAsia="方正仿宋_GBK" w:cs="Times New Roman"/>
                <w:bCs/>
                <w:sz w:val="24"/>
                <w:szCs w:val="24"/>
                <w:lang w:val="en-US"/>
              </w:rPr>
              <w:t>初级会计职称</w:t>
            </w:r>
          </w:p>
        </w:tc>
      </w:tr>
    </w:tbl>
    <w:p>
      <w:pPr>
        <w:spacing w:line="600" w:lineRule="exact"/>
        <w:ind w:left="118" w:right="132" w:firstLine="559"/>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（2）准备项目评价工作方案</w:t>
      </w:r>
    </w:p>
    <w:p>
      <w:pPr>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评价工作组首先与县</w:t>
      </w:r>
      <w:r>
        <w:rPr>
          <w:rFonts w:hint="eastAsia" w:ascii="Times New Roman" w:hAnsi="Times New Roman" w:eastAsia="方正仿宋_GBK" w:cs="Times New Roman"/>
          <w:sz w:val="32"/>
          <w:szCs w:val="32"/>
        </w:rPr>
        <w:t>财政局、</w:t>
      </w:r>
      <w:r>
        <w:rPr>
          <w:rFonts w:hint="eastAsia" w:ascii="Times New Roman" w:hAnsi="Times New Roman" w:eastAsia="方正仿宋_GBK" w:cs="Times New Roman"/>
          <w:sz w:val="32"/>
          <w:szCs w:val="32"/>
          <w:lang w:val="en-US"/>
        </w:rPr>
        <w:t>县农委</w:t>
      </w:r>
      <w:r>
        <w:rPr>
          <w:rFonts w:hint="eastAsia" w:ascii="Times New Roman" w:hAnsi="Times New Roman" w:eastAsia="方正仿宋_GBK" w:cs="Times New Roman"/>
          <w:bCs/>
          <w:sz w:val="32"/>
          <w:szCs w:val="32"/>
          <w:lang w:val="en-US" w:bidi="ar-SA"/>
        </w:rPr>
        <w:t>初步沟通，了解项目的立项背景及具体内容，以及项目基本情况；之后工作组根据掌握的基本情况，针对关注的问题，请县农委、</w:t>
      </w: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收集并提供资料，在此基础上，形成项目绩效评价的工作实施方案。</w:t>
      </w:r>
      <w:bookmarkStart w:id="47" w:name="_Toc13040_WPSOffice_Level3"/>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48" w:name="_Toc31614"/>
      <w:bookmarkStart w:id="49" w:name="_Toc8114"/>
      <w:r>
        <w:rPr>
          <w:rFonts w:hint="eastAsia" w:ascii="Times New Roman" w:hAnsi="Times New Roman" w:eastAsia="方正仿宋_GBK" w:cs="Times New Roman"/>
          <w:b w:val="0"/>
          <w:bCs/>
          <w:szCs w:val="32"/>
          <w:lang w:val="en-US" w:bidi="ar-SA"/>
        </w:rPr>
        <w:t>2.现场实施</w:t>
      </w:r>
      <w:bookmarkEnd w:id="47"/>
      <w:bookmarkEnd w:id="48"/>
      <w:bookmarkEnd w:id="49"/>
    </w:p>
    <w:p>
      <w:pPr>
        <w:spacing w:line="600" w:lineRule="exact"/>
        <w:ind w:firstLine="640" w:firstLineChars="200"/>
        <w:jc w:val="both"/>
        <w:rPr>
          <w:rFonts w:ascii="Times New Roman" w:hAnsi="Times New Roman" w:eastAsia="方正仿宋_GBK" w:cs="Times New Roman"/>
        </w:rPr>
      </w:pPr>
      <w:r>
        <w:rPr>
          <w:rFonts w:hint="eastAsia" w:ascii="Times New Roman" w:hAnsi="Times New Roman" w:eastAsia="方正仿宋_GBK" w:cs="Times New Roman"/>
          <w:bCs/>
          <w:sz w:val="32"/>
          <w:szCs w:val="32"/>
          <w:lang w:val="en-US" w:bidi="ar-SA"/>
        </w:rPr>
        <w:t>为了充分反映项目完成整体情况，我们将项目主管单位县农委、</w:t>
      </w: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作为现场评价对象，对涉及的项目内容进行全覆盖调查评价。</w:t>
      </w:r>
    </w:p>
    <w:p>
      <w:pPr>
        <w:pStyle w:val="5"/>
        <w:keepNext w:val="0"/>
        <w:keepLines w:val="0"/>
        <w:spacing w:before="0" w:after="0" w:line="600" w:lineRule="exact"/>
        <w:ind w:firstLine="640" w:firstLineChars="200"/>
        <w:jc w:val="both"/>
        <w:rPr>
          <w:rFonts w:ascii="Times New Roman" w:hAnsi="Times New Roman" w:eastAsia="方正仿宋_GBK" w:cs="Times New Roman"/>
          <w:b w:val="0"/>
          <w:bCs/>
          <w:szCs w:val="32"/>
          <w:lang w:val="en-US" w:bidi="ar-SA"/>
        </w:rPr>
      </w:pPr>
      <w:bookmarkStart w:id="50" w:name="_Toc31818"/>
      <w:bookmarkStart w:id="51" w:name="_Toc10183_WPSOffice_Level3"/>
      <w:bookmarkStart w:id="52" w:name="_Toc18833"/>
      <w:r>
        <w:rPr>
          <w:rFonts w:hint="eastAsia" w:ascii="Times New Roman" w:hAnsi="Times New Roman" w:eastAsia="方正仿宋_GBK" w:cs="Times New Roman"/>
          <w:b w:val="0"/>
          <w:bCs/>
          <w:szCs w:val="32"/>
          <w:lang w:val="en-US" w:bidi="ar-SA"/>
        </w:rPr>
        <w:t>3.分析评价</w:t>
      </w:r>
      <w:bookmarkEnd w:id="50"/>
      <w:bookmarkEnd w:id="51"/>
      <w:bookmarkEnd w:id="52"/>
    </w:p>
    <w:p>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1）</w:t>
      </w:r>
      <w:r>
        <w:rPr>
          <w:rFonts w:hint="eastAsia" w:ascii="Times New Roman" w:hAnsi="Times New Roman" w:eastAsia="方正仿宋_GBK" w:cs="Times New Roman"/>
          <w:bCs/>
          <w:sz w:val="32"/>
          <w:szCs w:val="32"/>
          <w:lang w:bidi="ar-SA"/>
        </w:rPr>
        <w:t>进行资料信息汇总</w:t>
      </w:r>
    </w:p>
    <w:p>
      <w:pPr>
        <w:spacing w:line="600" w:lineRule="exact"/>
        <w:ind w:firstLine="640" w:firstLineChars="200"/>
        <w:rPr>
          <w:rFonts w:ascii="Times New Roman" w:hAnsi="Times New Roman" w:eastAsia="方正仿宋_GBK" w:cs="Times New Roman"/>
          <w:bCs/>
          <w:sz w:val="32"/>
          <w:szCs w:val="32"/>
          <w:lang w:bidi="ar-SA"/>
        </w:rPr>
      </w:pPr>
      <w:r>
        <w:rPr>
          <w:rFonts w:hint="eastAsia" w:ascii="Times New Roman" w:hAnsi="Times New Roman" w:eastAsia="方正仿宋_GBK" w:cs="Times New Roman"/>
          <w:bCs/>
          <w:sz w:val="32"/>
          <w:szCs w:val="32"/>
          <w:lang w:bidi="ar-SA"/>
        </w:rPr>
        <w:t>评价工作组在充分调研的基础上，对项目资料进行逐一核实，相关各方签字盖章确认。按照指标体系内容和评价重点，工作组对资料进行分类整理，</w:t>
      </w:r>
      <w:r>
        <w:rPr>
          <w:rFonts w:hint="eastAsia" w:ascii="Times New Roman" w:hAnsi="Times New Roman" w:eastAsia="方正仿宋_GBK" w:cs="Times New Roman"/>
          <w:bCs/>
          <w:sz w:val="32"/>
          <w:szCs w:val="32"/>
          <w:lang w:val="en-US" w:bidi="ar-SA"/>
        </w:rPr>
        <w:t>形成初步意见</w:t>
      </w:r>
      <w:r>
        <w:rPr>
          <w:rFonts w:hint="eastAsia" w:ascii="Times New Roman" w:hAnsi="Times New Roman" w:eastAsia="方正仿宋_GBK" w:cs="Times New Roman"/>
          <w:bCs/>
          <w:sz w:val="32"/>
          <w:szCs w:val="32"/>
          <w:lang w:bidi="ar-SA"/>
        </w:rPr>
        <w:t>。</w:t>
      </w:r>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bidi="ar-SA"/>
        </w:rPr>
        <w:t>（</w:t>
      </w:r>
      <w:r>
        <w:rPr>
          <w:rFonts w:hint="eastAsia" w:ascii="Times New Roman" w:hAnsi="Times New Roman" w:eastAsia="方正仿宋_GBK" w:cs="Times New Roman"/>
          <w:bCs/>
          <w:sz w:val="32"/>
          <w:szCs w:val="32"/>
          <w:lang w:val="en-US" w:bidi="ar-SA"/>
        </w:rPr>
        <w:t>2）评价报告生成</w:t>
      </w:r>
    </w:p>
    <w:p>
      <w:pPr>
        <w:spacing w:line="600" w:lineRule="exact"/>
        <w:ind w:firstLine="640" w:firstLineChars="200"/>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评价工作组完成绩效评价报告初稿的撰写工作。报告初稿与县农委沟通反馈后，报经县财政局审核，形成评价报告终稿。</w:t>
      </w:r>
    </w:p>
    <w:p>
      <w:pPr>
        <w:pStyle w:val="3"/>
        <w:spacing w:before="0" w:line="600" w:lineRule="exact"/>
        <w:ind w:right="0" w:firstLine="640" w:firstLineChars="200"/>
        <w:rPr>
          <w:rFonts w:ascii="Times New Roman" w:hAnsi="Times New Roman" w:eastAsia="方正黑体_GBK" w:cs="Times New Roman"/>
          <w:b w:val="0"/>
          <w:sz w:val="32"/>
          <w:szCs w:val="36"/>
          <w:lang w:val="en-US" w:bidi="ar-SA"/>
        </w:rPr>
      </w:pPr>
      <w:bookmarkStart w:id="53" w:name="_Toc15231"/>
      <w:bookmarkStart w:id="54" w:name="_Toc24698"/>
      <w:r>
        <w:rPr>
          <w:rFonts w:hint="eastAsia" w:ascii="Times New Roman" w:hAnsi="Times New Roman" w:eastAsia="方正黑体_GBK" w:cs="Times New Roman"/>
          <w:b w:val="0"/>
          <w:sz w:val="32"/>
          <w:szCs w:val="32"/>
          <w:lang w:val="en-US" w:bidi="ar-SA"/>
        </w:rPr>
        <w:t>三、绩效评价指标分析情况</w:t>
      </w:r>
      <w:bookmarkEnd w:id="53"/>
      <w:bookmarkEnd w:id="54"/>
    </w:p>
    <w:p>
      <w:pPr>
        <w:pStyle w:val="4"/>
        <w:spacing w:line="560" w:lineRule="exact"/>
        <w:ind w:left="0" w:firstLine="640" w:firstLineChars="200"/>
        <w:jc w:val="both"/>
        <w:rPr>
          <w:rFonts w:ascii="Times New Roman" w:hAnsi="Times New Roman" w:eastAsia="方正楷体_GBK" w:cs="方正楷体_GBK"/>
          <w:b w:val="0"/>
          <w:lang w:val="en-US" w:bidi="ar-SA"/>
        </w:rPr>
      </w:pPr>
      <w:bookmarkStart w:id="55" w:name="_Toc13506"/>
      <w:bookmarkStart w:id="56" w:name="_Toc8319"/>
      <w:bookmarkStart w:id="57" w:name="_Toc24544"/>
      <w:bookmarkStart w:id="58" w:name="_Toc26636"/>
      <w:bookmarkStart w:id="59" w:name="_Toc29339"/>
      <w:r>
        <w:rPr>
          <w:rFonts w:hint="eastAsia" w:ascii="Times New Roman" w:hAnsi="Times New Roman" w:eastAsia="方正楷体_GBK" w:cs="方正楷体_GBK"/>
          <w:b w:val="0"/>
          <w:lang w:val="en-US" w:bidi="ar-SA"/>
        </w:rPr>
        <w:t>（一）项目投入指标</w:t>
      </w:r>
      <w:bookmarkEnd w:id="55"/>
      <w:bookmarkEnd w:id="56"/>
      <w:bookmarkEnd w:id="57"/>
      <w:bookmarkEnd w:id="58"/>
    </w:p>
    <w:p>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投入类指标从项目立项、资金落实两个方面对项目的</w:t>
      </w:r>
      <w:r>
        <w:rPr>
          <w:rFonts w:hint="eastAsia" w:ascii="Times New Roman" w:hAnsi="Times New Roman" w:eastAsia="方正仿宋_GBK" w:cs="Arial"/>
          <w:bCs/>
          <w:sz w:val="32"/>
          <w:szCs w:val="32"/>
          <w:lang w:val="en-US" w:bidi="ar-SA"/>
        </w:rPr>
        <w:t>投入</w:t>
      </w:r>
      <w:r>
        <w:rPr>
          <w:rFonts w:hint="eastAsia" w:ascii="Times New Roman" w:hAnsi="Times New Roman" w:eastAsia="方正仿宋_GBK" w:cs="宋体"/>
          <w:bCs/>
          <w:sz w:val="32"/>
          <w:szCs w:val="32"/>
          <w:lang w:val="en-US" w:bidi="ar-SA"/>
        </w:rPr>
        <w:t>类指标完成情况进行考察。投入类指标分值</w:t>
      </w:r>
      <w:r>
        <w:rPr>
          <w:rFonts w:hint="eastAsia" w:ascii="Times New Roman" w:hAnsi="Times New Roman" w:eastAsia="方正仿宋_GBK" w:cs="Arial"/>
          <w:bCs/>
          <w:sz w:val="32"/>
          <w:szCs w:val="32"/>
          <w:lang w:val="en-US" w:bidi="ar-SA"/>
        </w:rPr>
        <w:t>8 分，实际得分8分</w:t>
      </w:r>
      <w:r>
        <w:rPr>
          <w:rFonts w:hint="eastAsia" w:ascii="Times New Roman" w:hAnsi="Times New Roman" w:eastAsia="方正仿宋_GBK" w:cs="宋体"/>
          <w:bCs/>
          <w:sz w:val="32"/>
          <w:szCs w:val="32"/>
          <w:lang w:val="en-US" w:bidi="ar-SA"/>
        </w:rPr>
        <w:t>。指标的得分情况如下图3.1所示：</w:t>
      </w:r>
    </w:p>
    <w:p>
      <w:pPr>
        <w:pStyle w:val="2"/>
        <w:jc w:val="center"/>
        <w:rPr>
          <w:sz w:val="32"/>
          <w:szCs w:val="32"/>
        </w:rPr>
      </w:pPr>
      <w:r>
        <w:rPr>
          <w:sz w:val="32"/>
          <w:szCs w:val="32"/>
        </w:rPr>
        <w:drawing>
          <wp:inline distT="0" distB="0" distL="114300" distR="114300">
            <wp:extent cx="4573270" cy="2916555"/>
            <wp:effectExtent l="4445" t="4445" r="13335" b="12700"/>
            <wp:docPr id="6" name="图表 1"/>
            <wp:cNvGraphicFramePr/>
            <a:graphic xmlns:a="http://schemas.openxmlformats.org/drawingml/2006/main">
              <a:graphicData uri="http://schemas.openxmlformats.org/drawingml/2006/chart">
                <c:chart xmlns:c="http://schemas.openxmlformats.org/drawingml/2006/chart" xmlns:r="http://schemas.openxmlformats.org/officeDocument/2006/relationships" r:id="rId6"/>
              </a:graphicData>
            </a:graphic>
          </wp:inline>
        </w:drawing>
      </w:r>
    </w:p>
    <w:p>
      <w:pPr>
        <w:pStyle w:val="2"/>
        <w:spacing w:line="560" w:lineRule="exact"/>
        <w:jc w:val="center"/>
        <w:rPr>
          <w:rFonts w:ascii="Times New Roman" w:eastAsia="方正仿宋_GBK" w:cs="Arial"/>
          <w:bCs/>
          <w:color w:val="auto"/>
          <w:sz w:val="32"/>
          <w:szCs w:val="32"/>
        </w:rPr>
      </w:pPr>
      <w:r>
        <w:rPr>
          <w:rFonts w:hint="eastAsia" w:ascii="Times New Roman" w:eastAsia="方正仿宋_GBK" w:cs="方正仿宋_GBK"/>
          <w:b/>
          <w:bCs/>
          <w:color w:val="auto"/>
          <w:sz w:val="32"/>
          <w:szCs w:val="32"/>
        </w:rPr>
        <w:t>图3.1  投入类指标得分情况</w:t>
      </w:r>
      <w:bookmarkStart w:id="60" w:name="_Toc29651"/>
      <w:bookmarkStart w:id="61" w:name="_Toc17090"/>
      <w:bookmarkStart w:id="62" w:name="_Toc18718"/>
    </w:p>
    <w:p>
      <w:pPr>
        <w:pStyle w:val="5"/>
        <w:keepNext w:val="0"/>
        <w:keepLines w:val="0"/>
        <w:spacing w:before="0" w:after="0" w:line="560" w:lineRule="exact"/>
        <w:ind w:firstLine="640" w:firstLineChars="200"/>
        <w:jc w:val="both"/>
        <w:rPr>
          <w:rFonts w:ascii="Times New Roman" w:hAnsi="Times New Roman" w:eastAsia="方正仿宋_GBK" w:cs="宋体"/>
          <w:b w:val="0"/>
          <w:bCs/>
          <w:szCs w:val="32"/>
          <w:lang w:val="en-US" w:bidi="ar-SA"/>
        </w:rPr>
      </w:pPr>
      <w:bookmarkStart w:id="63" w:name="_Toc32450"/>
      <w:r>
        <w:rPr>
          <w:rFonts w:hint="eastAsia" w:ascii="Times New Roman" w:hAnsi="Times New Roman" w:eastAsia="方正仿宋_GBK" w:cs="Arial"/>
          <w:b w:val="0"/>
          <w:bCs/>
          <w:szCs w:val="32"/>
          <w:lang w:val="en-US" w:bidi="ar-SA"/>
        </w:rPr>
        <w:t>1、</w:t>
      </w:r>
      <w:r>
        <w:rPr>
          <w:rFonts w:hint="eastAsia" w:ascii="Times New Roman" w:hAnsi="Times New Roman" w:eastAsia="方正仿宋_GBK" w:cs="宋体"/>
          <w:b w:val="0"/>
          <w:bCs/>
          <w:szCs w:val="32"/>
          <w:lang w:val="en-US" w:bidi="ar-SA"/>
        </w:rPr>
        <w:t>项目立项情况分析</w:t>
      </w:r>
      <w:bookmarkEnd w:id="60"/>
      <w:bookmarkEnd w:id="61"/>
      <w:bookmarkEnd w:id="62"/>
      <w:bookmarkEnd w:id="63"/>
    </w:p>
    <w:p>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Arial"/>
          <w:bCs/>
          <w:sz w:val="32"/>
          <w:szCs w:val="32"/>
          <w:lang w:val="en-US" w:bidi="ar-SA"/>
        </w:rPr>
        <w:t>（1）</w:t>
      </w:r>
      <w:r>
        <w:rPr>
          <w:rFonts w:hint="eastAsia" w:ascii="Times New Roman" w:hAnsi="Times New Roman" w:eastAsia="方正仿宋_GBK" w:cs="宋体"/>
          <w:bCs/>
          <w:sz w:val="32"/>
          <w:szCs w:val="32"/>
          <w:lang w:val="en-US" w:bidi="ar-SA"/>
        </w:rPr>
        <w:t>项目立项充分性：经现场查阅核实，李溪镇2022年监测户及脱贫户到位产业项目立项符合国家法律法规、国民经济发展规划和相关政策，符合行业发展规划和政策要求，立项与农业农村委员会相关部门职责范围相符，属于部门履职所需，且该项目未与相关部门同类项目或者部门内部相关项目交叉重复。因此李溪镇2022年监测户及脱贫户到位产业项目具备项目立项充分性，此部分得满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项目立项规范性：经过评价组现场收集的资料显示，李溪镇2022年监测户及脱贫户到位产业项目按照规定的程序申请设立，且立项申请所提交的文件、材料符合相关要求。因此该项目具备立项规范性，此部分得满分。</w:t>
      </w:r>
    </w:p>
    <w:p>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64" w:name="_Toc13974"/>
      <w:bookmarkStart w:id="65" w:name="_Toc5830"/>
      <w:bookmarkStart w:id="66" w:name="_Toc10250"/>
      <w:bookmarkStart w:id="67" w:name="_Toc31387"/>
      <w:r>
        <w:rPr>
          <w:rFonts w:hint="eastAsia" w:ascii="Times New Roman" w:hAnsi="Times New Roman" w:eastAsia="方正仿宋_GBK" w:cs="Arial"/>
          <w:bCs/>
          <w:sz w:val="32"/>
          <w:szCs w:val="32"/>
          <w:lang w:val="en-US" w:bidi="ar-SA"/>
        </w:rPr>
        <w:t>2、项目资金落实情况分析</w:t>
      </w:r>
      <w:bookmarkEnd w:id="64"/>
      <w:bookmarkEnd w:id="65"/>
      <w:bookmarkEnd w:id="66"/>
      <w:bookmarkEnd w:id="67"/>
    </w:p>
    <w:p>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Arial"/>
          <w:bCs/>
          <w:sz w:val="32"/>
          <w:szCs w:val="32"/>
          <w:lang w:val="en-US" w:bidi="ar-SA"/>
        </w:rPr>
        <w:t>（1）资金到位率：该项目实际拨付奖补资金237万元，各村社实际补助到户资金总额为236.928万元，因此资金到位率为100%。此</w:t>
      </w:r>
      <w:r>
        <w:rPr>
          <w:rFonts w:hint="eastAsia" w:ascii="Times New Roman" w:hAnsi="Times New Roman" w:eastAsia="方正仿宋_GBK" w:cs="宋体"/>
          <w:bCs/>
          <w:sz w:val="32"/>
          <w:szCs w:val="32"/>
          <w:lang w:val="en-US" w:bidi="ar-SA"/>
        </w:rPr>
        <w:t>部分得满分。</w:t>
      </w:r>
    </w:p>
    <w:p>
      <w:pPr>
        <w:spacing w:line="560" w:lineRule="exact"/>
        <w:ind w:firstLine="640" w:firstLineChars="200"/>
        <w:jc w:val="both"/>
        <w:rPr>
          <w:rFonts w:ascii="Times New Roman" w:hAnsi="Times New Roman" w:eastAsia="方正楷体_GBK" w:cs="宋体"/>
          <w:sz w:val="32"/>
          <w:szCs w:val="32"/>
          <w:lang w:val="en-US" w:bidi="ar-SA"/>
        </w:rPr>
      </w:pPr>
      <w:r>
        <w:rPr>
          <w:rFonts w:hint="eastAsia" w:ascii="Times New Roman" w:hAnsi="Times New Roman" w:eastAsia="方正仿宋_GBK" w:cs="Arial"/>
          <w:bCs/>
          <w:sz w:val="32"/>
          <w:szCs w:val="32"/>
          <w:lang w:val="en-US" w:bidi="ar-SA"/>
        </w:rPr>
        <w:t>（2）到位及时率：奖补资金在2022年10月前及时拨付到位，因此到位及时率为100%。此部分得满分。</w:t>
      </w:r>
    </w:p>
    <w:p>
      <w:pPr>
        <w:pStyle w:val="4"/>
        <w:spacing w:line="560" w:lineRule="exact"/>
        <w:ind w:left="0" w:firstLine="640" w:firstLineChars="200"/>
        <w:jc w:val="both"/>
        <w:rPr>
          <w:rFonts w:ascii="Times New Roman" w:hAnsi="Times New Roman" w:eastAsia="方正楷体_GBK" w:cs="方正楷体_GBK"/>
          <w:b w:val="0"/>
          <w:lang w:val="en-US" w:bidi="ar-SA"/>
        </w:rPr>
      </w:pPr>
      <w:bookmarkStart w:id="68" w:name="_Toc9819"/>
      <w:bookmarkStart w:id="69" w:name="_Toc17109"/>
      <w:bookmarkStart w:id="70" w:name="_Toc13744"/>
      <w:bookmarkStart w:id="71" w:name="_Toc15733"/>
      <w:r>
        <w:rPr>
          <w:rFonts w:hint="eastAsia" w:ascii="Times New Roman" w:hAnsi="Times New Roman" w:eastAsia="方正楷体_GBK" w:cs="方正楷体_GBK"/>
          <w:b w:val="0"/>
          <w:lang w:val="en-US" w:bidi="ar-SA"/>
        </w:rPr>
        <w:t>（二）项目管理类指标</w:t>
      </w:r>
      <w:bookmarkEnd w:id="68"/>
      <w:bookmarkEnd w:id="69"/>
      <w:bookmarkEnd w:id="70"/>
    </w:p>
    <w:p>
      <w:pPr>
        <w:spacing w:line="560" w:lineRule="exact"/>
        <w:ind w:firstLine="640" w:firstLineChars="200"/>
        <w:jc w:val="both"/>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管理类指标从项目业务管理和财务管理两个方面对项目的</w:t>
      </w:r>
      <w:r>
        <w:rPr>
          <w:rFonts w:hint="eastAsia" w:ascii="Times New Roman" w:hAnsi="Times New Roman" w:eastAsia="方正仿宋_GBK" w:cs="Arial"/>
          <w:bCs/>
          <w:sz w:val="32"/>
          <w:szCs w:val="32"/>
          <w:lang w:val="en-US" w:bidi="ar-SA"/>
        </w:rPr>
        <w:t>管理</w:t>
      </w:r>
      <w:r>
        <w:rPr>
          <w:rFonts w:hint="eastAsia" w:ascii="Times New Roman" w:hAnsi="Times New Roman" w:eastAsia="方正仿宋_GBK" w:cs="宋体"/>
          <w:bCs/>
          <w:sz w:val="32"/>
          <w:szCs w:val="32"/>
          <w:lang w:val="en-US" w:bidi="ar-SA"/>
        </w:rPr>
        <w:t>类指标完成情况进行考察。</w:t>
      </w:r>
      <w:r>
        <w:rPr>
          <w:rFonts w:hint="eastAsia" w:ascii="Times New Roman" w:hAnsi="Times New Roman" w:eastAsia="方正仿宋_GBK" w:cs="Arial"/>
          <w:bCs/>
          <w:sz w:val="32"/>
          <w:szCs w:val="32"/>
          <w:lang w:val="en-US" w:bidi="ar-SA"/>
        </w:rPr>
        <w:t>管理</w:t>
      </w:r>
      <w:r>
        <w:rPr>
          <w:rFonts w:hint="eastAsia" w:ascii="Times New Roman" w:hAnsi="Times New Roman" w:eastAsia="方正仿宋_GBK" w:cs="宋体"/>
          <w:bCs/>
          <w:sz w:val="32"/>
          <w:szCs w:val="32"/>
          <w:lang w:val="en-US" w:bidi="ar-SA"/>
        </w:rPr>
        <w:t>类指标分值</w:t>
      </w:r>
      <w:r>
        <w:rPr>
          <w:rFonts w:hint="eastAsia" w:ascii="Times New Roman" w:hAnsi="Times New Roman" w:eastAsia="方正仿宋_GBK" w:cs="方正仿宋_GBK"/>
          <w:bCs/>
          <w:sz w:val="32"/>
          <w:szCs w:val="32"/>
          <w:lang w:val="en-US" w:bidi="ar-SA"/>
        </w:rPr>
        <w:t>27</w:t>
      </w:r>
      <w:r>
        <w:rPr>
          <w:rFonts w:hint="eastAsia" w:ascii="Times New Roman" w:hAnsi="Times New Roman" w:eastAsia="方正仿宋_GBK" w:cs="宋体"/>
          <w:bCs/>
          <w:sz w:val="32"/>
          <w:szCs w:val="32"/>
          <w:lang w:val="en-US" w:bidi="ar-SA"/>
        </w:rPr>
        <w:t>分，实</w:t>
      </w:r>
      <w:r>
        <w:rPr>
          <w:rFonts w:hint="eastAsia" w:ascii="Times New Roman" w:hAnsi="Times New Roman" w:eastAsia="方正仿宋_GBK" w:cs="Arial"/>
          <w:bCs/>
          <w:sz w:val="32"/>
          <w:szCs w:val="32"/>
          <w:lang w:val="en-US" w:bidi="ar-SA"/>
        </w:rPr>
        <w:t>际得分25分</w:t>
      </w:r>
      <w:r>
        <w:rPr>
          <w:rFonts w:hint="eastAsia" w:ascii="Times New Roman" w:hAnsi="Times New Roman" w:eastAsia="方正仿宋_GBK" w:cs="宋体"/>
          <w:bCs/>
          <w:sz w:val="32"/>
          <w:szCs w:val="32"/>
          <w:lang w:val="en-US" w:bidi="ar-SA"/>
        </w:rPr>
        <w:t>。指标的得分情况如下图3.2所示：</w:t>
      </w:r>
    </w:p>
    <w:p>
      <w:pPr>
        <w:pStyle w:val="2"/>
        <w:jc w:val="center"/>
        <w:rPr>
          <w:sz w:val="32"/>
          <w:szCs w:val="32"/>
        </w:rPr>
      </w:pPr>
      <w:r>
        <w:drawing>
          <wp:inline distT="0" distB="0" distL="114300" distR="114300">
            <wp:extent cx="4171950" cy="2778125"/>
            <wp:effectExtent l="4445" t="4445" r="14605" b="11430"/>
            <wp:docPr id="3"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pPr>
        <w:pStyle w:val="2"/>
        <w:spacing w:line="560" w:lineRule="exact"/>
        <w:jc w:val="center"/>
        <w:rPr>
          <w:rFonts w:ascii="Times New Roman" w:eastAsia="方正仿宋_GBK" w:cs="方正仿宋_GBK"/>
          <w:b/>
          <w:bCs/>
          <w:color w:val="auto"/>
          <w:sz w:val="32"/>
          <w:szCs w:val="32"/>
        </w:rPr>
      </w:pPr>
      <w:r>
        <w:rPr>
          <w:rFonts w:hint="eastAsia" w:ascii="Times New Roman" w:eastAsia="方正仿宋_GBK" w:cs="方正仿宋_GBK"/>
          <w:b/>
          <w:bCs/>
          <w:color w:val="auto"/>
          <w:sz w:val="32"/>
          <w:szCs w:val="32"/>
        </w:rPr>
        <w:t>图3.2  管理类指标得分情况</w:t>
      </w:r>
    </w:p>
    <w:p>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72" w:name="_Toc8204"/>
      <w:bookmarkStart w:id="73" w:name="_Toc26495"/>
      <w:bookmarkStart w:id="74" w:name="_Toc26110"/>
      <w:bookmarkStart w:id="75" w:name="_Toc30014"/>
      <w:r>
        <w:rPr>
          <w:rFonts w:hint="eastAsia" w:ascii="Times New Roman" w:hAnsi="Times New Roman" w:eastAsia="方正仿宋_GBK" w:cs="Arial"/>
          <w:bCs/>
          <w:sz w:val="32"/>
          <w:szCs w:val="32"/>
          <w:lang w:val="en-US" w:bidi="ar-SA"/>
        </w:rPr>
        <w:t>1、项目业务管理情况分析</w:t>
      </w:r>
      <w:bookmarkEnd w:id="72"/>
      <w:bookmarkEnd w:id="73"/>
      <w:bookmarkEnd w:id="74"/>
      <w:bookmarkEnd w:id="75"/>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（1）业务管理制度健全性分析：经核实，该项目制定了实施方案，已具备相应的业务管理制度，各镇街严格按照实施方案实施工作且业务管理制度合法、合规、完整。此部分得满分。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制度执行有效性分析：经核实，该项目遵守相关法律法规和业务管理规定，项目调整及支出调整手续完备、项目实施的人员条件落实到位，申报表、验收表资料齐全，但缺少禽畜购入证明、项目进度表等佐证材料。此部分得8分。</w:t>
      </w:r>
    </w:p>
    <w:p>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76" w:name="_Toc32737"/>
      <w:bookmarkStart w:id="77" w:name="_Toc16790"/>
      <w:bookmarkStart w:id="78" w:name="_Toc2264"/>
      <w:bookmarkStart w:id="79" w:name="_Toc31110"/>
      <w:r>
        <w:rPr>
          <w:rFonts w:hint="eastAsia" w:ascii="Times New Roman" w:hAnsi="Times New Roman" w:eastAsia="方正仿宋_GBK" w:cs="Arial"/>
          <w:bCs/>
          <w:sz w:val="32"/>
          <w:szCs w:val="32"/>
          <w:lang w:val="en-US" w:bidi="ar-SA"/>
        </w:rPr>
        <w:t>2、项目财务管理情况分析</w:t>
      </w:r>
      <w:bookmarkEnd w:id="76"/>
      <w:bookmarkEnd w:id="77"/>
      <w:bookmarkEnd w:id="78"/>
      <w:bookmarkEnd w:id="79"/>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（1）财务管理制度健全性分析：制定的项目实施方案中具有相应的项目资金管理办法，且符合相关财务会计制度的规定。此部分得满分。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（2）资金使用合规性情况分析：评价组通过对李溪镇人民政府</w:t>
      </w:r>
      <w:r>
        <w:rPr>
          <w:rFonts w:hint="eastAsia" w:ascii="Times New Roman" w:hAnsi="Times New Roman" w:eastAsia="方正仿宋_GBK" w:cs="宋体"/>
          <w:bCs/>
          <w:sz w:val="32"/>
          <w:szCs w:val="32"/>
          <w:lang w:val="en-US" w:bidi="ar-SA"/>
        </w:rPr>
        <w:t>进行现场核查，发现资金使用过程符合国家财经法规和财务管理制度以及有关专项资金管理办法的规定，资金的拨付有完整的审批程序和手续，资金的使用符合项目预算批复或合同规定的用途，且不存在截留、挤占、挪用、虚列支出等情况。</w:t>
      </w:r>
      <w:r>
        <w:rPr>
          <w:rFonts w:hint="eastAsia" w:ascii="Times New Roman" w:hAnsi="Times New Roman" w:eastAsia="方正仿宋_GBK" w:cs="Arial"/>
          <w:bCs/>
          <w:sz w:val="32"/>
          <w:szCs w:val="32"/>
          <w:lang w:val="en-US" w:bidi="ar-SA"/>
        </w:rPr>
        <w:t>此部分得满分。</w:t>
      </w:r>
    </w:p>
    <w:p>
      <w:pPr>
        <w:spacing w:line="560" w:lineRule="exact"/>
        <w:ind w:firstLine="640" w:firstLineChars="200"/>
        <w:jc w:val="both"/>
        <w:rPr>
          <w:rFonts w:ascii="Times New Roman" w:hAnsi="Times New Roman"/>
          <w:sz w:val="32"/>
          <w:szCs w:val="32"/>
          <w:lang w:val="en-US"/>
        </w:rPr>
      </w:pPr>
      <w:r>
        <w:rPr>
          <w:rFonts w:hint="eastAsia" w:ascii="Times New Roman" w:hAnsi="Times New Roman" w:eastAsia="方正仿宋_GBK" w:cs="Arial"/>
          <w:bCs/>
          <w:sz w:val="32"/>
          <w:szCs w:val="32"/>
          <w:lang w:val="en-US" w:bidi="ar-SA"/>
        </w:rPr>
        <w:t>（3）财务监控有效性分析：评价组通过对李溪镇进行现场核查，发现镇街已具有相应的财务监控机制且</w:t>
      </w:r>
      <w:r>
        <w:rPr>
          <w:rFonts w:hint="eastAsia" w:ascii="Times New Roman" w:hAnsi="Times New Roman" w:eastAsia="方正仿宋_GBK" w:cs="宋体"/>
          <w:bCs/>
          <w:sz w:val="32"/>
          <w:szCs w:val="32"/>
          <w:lang w:val="en-US" w:bidi="ar-SA"/>
        </w:rPr>
        <w:t>采取了相应的财务检查等监控措施。</w:t>
      </w:r>
      <w:r>
        <w:rPr>
          <w:rFonts w:hint="eastAsia" w:ascii="Times New Roman" w:hAnsi="Times New Roman" w:eastAsia="方正仿宋_GBK" w:cs="Arial"/>
          <w:bCs/>
          <w:sz w:val="32"/>
          <w:szCs w:val="32"/>
          <w:lang w:val="en-US" w:bidi="ar-SA"/>
        </w:rPr>
        <w:t>此部分得满分。</w:t>
      </w:r>
    </w:p>
    <w:p>
      <w:pPr>
        <w:pStyle w:val="4"/>
        <w:spacing w:line="560" w:lineRule="exact"/>
        <w:ind w:left="0" w:firstLine="640" w:firstLineChars="200"/>
        <w:jc w:val="both"/>
        <w:rPr>
          <w:rFonts w:ascii="Times New Roman" w:hAnsi="Times New Roman" w:eastAsia="方正楷体_GBK" w:cs="方正楷体_GBK"/>
          <w:b w:val="0"/>
          <w:lang w:val="en-US" w:bidi="ar-SA"/>
        </w:rPr>
      </w:pPr>
      <w:bookmarkStart w:id="80" w:name="_Toc8367"/>
      <w:bookmarkStart w:id="81" w:name="_Toc31745"/>
      <w:bookmarkStart w:id="82" w:name="_Toc11784"/>
      <w:r>
        <w:rPr>
          <w:rFonts w:hint="eastAsia" w:ascii="Times New Roman" w:hAnsi="Times New Roman" w:eastAsia="方正楷体_GBK" w:cs="方正楷体_GBK"/>
          <w:b w:val="0"/>
          <w:lang w:val="en-US" w:bidi="ar-SA"/>
        </w:rPr>
        <w:t>（三）项目产出指标</w:t>
      </w:r>
      <w:bookmarkEnd w:id="71"/>
      <w:bookmarkEnd w:id="80"/>
      <w:bookmarkEnd w:id="81"/>
      <w:bookmarkEnd w:id="82"/>
    </w:p>
    <w:p>
      <w:pPr>
        <w:spacing w:line="560" w:lineRule="exact"/>
        <w:ind w:firstLine="640" w:firstLineChars="200"/>
        <w:rPr>
          <w:rFonts w:ascii="Times New Roman" w:hAnsi="Times New Roman" w:eastAsia="方正仿宋_GBK" w:cs="宋体"/>
          <w:bCs/>
          <w:sz w:val="32"/>
          <w:szCs w:val="32"/>
          <w:lang w:val="en-US" w:bidi="ar-SA"/>
        </w:rPr>
      </w:pPr>
      <w:r>
        <w:rPr>
          <w:rFonts w:hint="eastAsia" w:ascii="Times New Roman" w:hAnsi="Times New Roman" w:eastAsia="方正仿宋_GBK" w:cs="宋体"/>
          <w:bCs/>
          <w:sz w:val="32"/>
          <w:szCs w:val="32"/>
          <w:lang w:val="en-US" w:bidi="ar-SA"/>
        </w:rPr>
        <w:t>产出类指标从项目产出实际完成情况方面对项目的产出绩效进行考核。产出类指标分值</w:t>
      </w:r>
      <w:r>
        <w:rPr>
          <w:rFonts w:hint="eastAsia" w:ascii="Times New Roman" w:hAnsi="Times New Roman" w:eastAsia="方正仿宋_GBK" w:cs="Arial"/>
          <w:bCs/>
          <w:sz w:val="32"/>
          <w:szCs w:val="32"/>
          <w:lang w:val="en-US" w:bidi="ar-SA"/>
        </w:rPr>
        <w:t>35分，实际得分28.14分</w:t>
      </w:r>
      <w:r>
        <w:rPr>
          <w:rFonts w:hint="eastAsia" w:ascii="Times New Roman" w:hAnsi="Times New Roman" w:eastAsia="方正仿宋_GBK" w:cs="宋体"/>
          <w:bCs/>
          <w:sz w:val="32"/>
          <w:szCs w:val="32"/>
          <w:lang w:val="en-US" w:bidi="ar-SA"/>
        </w:rPr>
        <w:t>。指标的得分情况如下图3.3所示：</w:t>
      </w:r>
    </w:p>
    <w:p>
      <w:pPr>
        <w:spacing w:line="560" w:lineRule="atLeast"/>
        <w:ind w:right="132"/>
        <w:jc w:val="center"/>
        <w:rPr>
          <w:rFonts w:ascii="Times New Roman" w:hAnsi="Times New Roman" w:eastAsia="方正仿宋_GBK" w:cs="方正仿宋_GBK"/>
          <w:b/>
          <w:sz w:val="32"/>
          <w:szCs w:val="32"/>
          <w:lang w:val="en-US" w:bidi="ar-SA"/>
        </w:rPr>
      </w:pPr>
      <w:r>
        <w:rPr>
          <w:lang w:val="en-US" w:bidi="ar-SA"/>
        </w:rPr>
        <w:drawing>
          <wp:inline distT="0" distB="0" distL="114300" distR="114300">
            <wp:extent cx="3764280" cy="3068320"/>
            <wp:effectExtent l="4445" t="4445" r="15875" b="13335"/>
            <wp:docPr id="4"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inline>
        </w:drawing>
      </w:r>
    </w:p>
    <w:p>
      <w:pPr>
        <w:spacing w:line="560" w:lineRule="atLeast"/>
        <w:ind w:right="132"/>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图3.3  产出类指标得分情况</w:t>
      </w:r>
    </w:p>
    <w:p>
      <w:pPr>
        <w:pStyle w:val="5"/>
        <w:keepNext w:val="0"/>
        <w:keepLines w:val="0"/>
        <w:spacing w:before="0" w:after="0" w:line="560" w:lineRule="exact"/>
        <w:ind w:firstLine="640" w:firstLineChars="200"/>
        <w:rPr>
          <w:rFonts w:ascii="Times New Roman" w:hAnsi="Times New Roman" w:eastAsia="方正仿宋_GBK" w:cs="宋体"/>
          <w:b w:val="0"/>
          <w:bCs/>
          <w:szCs w:val="32"/>
          <w:lang w:val="en-US" w:bidi="ar-SA"/>
        </w:rPr>
      </w:pPr>
      <w:bookmarkStart w:id="83" w:name="_Toc9974"/>
      <w:bookmarkStart w:id="84" w:name="_Toc16301"/>
      <w:bookmarkStart w:id="85" w:name="_Toc2997"/>
      <w:bookmarkStart w:id="86" w:name="_Toc2754"/>
      <w:r>
        <w:rPr>
          <w:rFonts w:hint="eastAsia" w:ascii="Times New Roman" w:hAnsi="Times New Roman" w:eastAsia="方正仿宋_GBK" w:cs="Arial"/>
          <w:b w:val="0"/>
          <w:bCs/>
          <w:szCs w:val="32"/>
          <w:lang w:val="en-US" w:bidi="ar-SA"/>
        </w:rPr>
        <w:t>1、</w:t>
      </w:r>
      <w:r>
        <w:rPr>
          <w:rFonts w:hint="eastAsia" w:ascii="Times New Roman" w:hAnsi="Times New Roman" w:eastAsia="方正仿宋_GBK" w:cs="宋体"/>
          <w:b w:val="0"/>
          <w:bCs/>
          <w:szCs w:val="32"/>
          <w:lang w:val="en-US" w:bidi="ar-SA"/>
        </w:rPr>
        <w:t>项目产出实际完成情况分析</w:t>
      </w:r>
      <w:bookmarkEnd w:id="83"/>
      <w:bookmarkEnd w:id="84"/>
      <w:bookmarkEnd w:id="85"/>
      <w:bookmarkEnd w:id="86"/>
    </w:p>
    <w:p>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（1）帮扶落实情况：2022年李溪镇人民政府共计</w:t>
      </w:r>
      <w:r>
        <w:rPr>
          <w:rFonts w:hint="eastAsia" w:ascii="Times New Roman" w:hAnsi="Times New Roman" w:eastAsia="方正仿宋_GBK" w:cs="宋体"/>
          <w:bCs/>
          <w:sz w:val="32"/>
          <w:szCs w:val="32"/>
          <w:lang w:val="en-US" w:bidi="ar-SA"/>
        </w:rPr>
        <w:t>对1044户监测户及脱贫户全部落实帮扶指导。其中共计发展种植业952户25147亩：粮油类916户6456亩、经作类132户18691亩。发展畜牧业603户4208头(只、群)。</w:t>
      </w:r>
      <w:r>
        <w:rPr>
          <w:rFonts w:hint="eastAsia" w:ascii="Times New Roman" w:hAnsi="Times New Roman" w:eastAsia="方正仿宋_GBK" w:cs="Arial"/>
          <w:bCs/>
          <w:sz w:val="32"/>
          <w:szCs w:val="32"/>
          <w:lang w:val="en-US" w:bidi="ar-SA"/>
        </w:rPr>
        <w:t>落实情况率达到100%，此部分得满分。</w:t>
      </w:r>
    </w:p>
    <w:p>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（2）项目台账建立情况：项目台账均已建立且整体较规范，此部分得满分。</w:t>
      </w:r>
    </w:p>
    <w:p>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（3）到户帮扶指导完成率：李溪镇2022年监测户及脱贫户到位产业项目中村支两委、驻村工作队已按照规定每月对脱贫群众进行到户指导，但未提供相应的指导登记记录及图片佐证，此部分得2分。</w:t>
      </w:r>
    </w:p>
    <w:p>
      <w:pPr>
        <w:spacing w:line="560" w:lineRule="exact"/>
        <w:ind w:firstLine="640" w:firstLineChars="200"/>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（4）按标准发放奖补：根据调研情况，奖补发放符合</w:t>
      </w:r>
      <w:r>
        <w:rPr>
          <w:rFonts w:hint="eastAsia" w:ascii="Times New Roman" w:hAnsi="Times New Roman" w:eastAsia="方正仿宋_GBK" w:cs="Times New Roman"/>
          <w:bCs/>
          <w:sz w:val="32"/>
          <w:szCs w:val="32"/>
          <w:lang w:val="en-US" w:bidi="ar-SA"/>
        </w:rPr>
        <w:t>《酉阳土家族苗族自治县农业农村委员会关于印发2022年到户产业发展实施方案的通知》（酉阳农委函〔2022〕117号）</w:t>
      </w:r>
      <w:r>
        <w:rPr>
          <w:rFonts w:hint="eastAsia" w:ascii="Times New Roman" w:hAnsi="Times New Roman" w:eastAsia="方正仿宋_GBK" w:cs="Arial"/>
          <w:bCs/>
          <w:sz w:val="32"/>
          <w:szCs w:val="32"/>
          <w:lang w:val="en-US" w:bidi="ar-SA"/>
        </w:rPr>
        <w:t>标准，此部分得满分。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5）政策宣传知晓率：根据满意度问卷调查结果显示，各村委宣传方式主要为开会宣传、扶贫工作人员到户进行宣传，并附带相应的宣传材料。经统计，脱贫群众对扶贫项目政策的知晓率82.83%，综合平均得分4.14分。</w:t>
      </w:r>
    </w:p>
    <w:p>
      <w:pPr>
        <w:spacing w:line="560" w:lineRule="exact"/>
        <w:ind w:firstLine="640" w:firstLineChars="200"/>
        <w:jc w:val="both"/>
        <w:rPr>
          <w:rFonts w:ascii="Times New Roman" w:hAnsi="Times New Roman"/>
          <w:sz w:val="32"/>
          <w:szCs w:val="32"/>
          <w:lang w:val="en-US"/>
        </w:rPr>
      </w:pPr>
      <w:r>
        <w:rPr>
          <w:rFonts w:hint="eastAsia" w:ascii="Times New Roman" w:hAnsi="Times New Roman" w:eastAsia="方正仿宋_GBK" w:cs="Arial"/>
          <w:bCs/>
          <w:sz w:val="32"/>
          <w:szCs w:val="32"/>
          <w:lang w:val="en-US" w:bidi="ar-SA"/>
        </w:rPr>
        <w:t xml:space="preserve">（6）项目执行及时率：①各村社于2022年5月31日前完成申报工作；②各村社于2022年8月31日前完成项目实施；③所有到户产业项目核查验收在 2022年8月31日前全面完成；④各乡镇(街道)在 2022 年9月30日前全面完成到户产业发展奖补资金兑付；⑤2022年10月30日前完善所有项目档案资料装订,但项目未将十三五易地扶贫搬迁户发展到户产业档案资料需分开收集归档并建立专门台账。 此部分得8分。 </w:t>
      </w:r>
    </w:p>
    <w:p>
      <w:pPr>
        <w:pStyle w:val="4"/>
        <w:spacing w:line="560" w:lineRule="exact"/>
        <w:ind w:left="0" w:firstLine="640" w:firstLineChars="200"/>
        <w:rPr>
          <w:rFonts w:ascii="Times New Roman" w:hAnsi="Times New Roman" w:eastAsia="方正楷体_GBK" w:cs="方正楷体_GBK"/>
          <w:b w:val="0"/>
          <w:lang w:val="en-US" w:bidi="ar-SA"/>
        </w:rPr>
      </w:pPr>
      <w:bookmarkStart w:id="87" w:name="_Toc27663"/>
      <w:bookmarkStart w:id="88" w:name="_Toc30974"/>
      <w:bookmarkStart w:id="89" w:name="_Toc9839"/>
      <w:bookmarkStart w:id="90" w:name="_Toc25468"/>
      <w:r>
        <w:rPr>
          <w:rFonts w:hint="eastAsia" w:ascii="Times New Roman" w:hAnsi="Times New Roman" w:eastAsia="方正楷体_GBK" w:cs="方正楷体_GBK"/>
          <w:b w:val="0"/>
          <w:lang w:val="en-US" w:bidi="ar-SA"/>
        </w:rPr>
        <w:t>（四）项目效果指标</w:t>
      </w:r>
      <w:bookmarkEnd w:id="87"/>
      <w:bookmarkEnd w:id="88"/>
      <w:bookmarkEnd w:id="89"/>
      <w:bookmarkEnd w:id="90"/>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宋体"/>
          <w:bCs/>
          <w:sz w:val="32"/>
          <w:szCs w:val="32"/>
          <w:lang w:val="en-US" w:bidi="ar-SA"/>
        </w:rPr>
        <w:t>效果类指标从项目效益及社会群众满意度两方面对项目的效果进行考核。效果类指标分值</w:t>
      </w:r>
      <w:r>
        <w:rPr>
          <w:rFonts w:hint="eastAsia" w:ascii="Times New Roman" w:hAnsi="Times New Roman" w:eastAsia="方正仿宋_GBK" w:cs="Arial"/>
          <w:bCs/>
          <w:sz w:val="32"/>
          <w:szCs w:val="32"/>
          <w:lang w:val="en-US" w:bidi="ar-SA"/>
        </w:rPr>
        <w:t>30分，实际得分26分</w:t>
      </w:r>
      <w:r>
        <w:rPr>
          <w:rFonts w:hint="eastAsia" w:ascii="Times New Roman" w:hAnsi="Times New Roman" w:eastAsia="方正仿宋_GBK" w:cs="宋体"/>
          <w:bCs/>
          <w:sz w:val="32"/>
          <w:szCs w:val="32"/>
          <w:lang w:val="en-US" w:bidi="ar-SA"/>
        </w:rPr>
        <w:t>。指标的得分情况如下图3.4所示：</w:t>
      </w:r>
    </w:p>
    <w:p>
      <w:pPr>
        <w:spacing w:line="560" w:lineRule="atLeast"/>
        <w:ind w:right="132"/>
        <w:jc w:val="center"/>
        <w:rPr>
          <w:rFonts w:ascii="Times New Roman" w:hAnsi="Times New Roman" w:eastAsia="方正仿宋_GBK" w:cs="方正仿宋_GBK"/>
          <w:b/>
          <w:sz w:val="32"/>
          <w:szCs w:val="32"/>
          <w:lang w:val="en-US" w:bidi="ar-SA"/>
        </w:rPr>
      </w:pPr>
      <w:r>
        <w:rPr>
          <w:lang w:val="en-US" w:bidi="ar-SA"/>
        </w:rPr>
        <w:drawing>
          <wp:inline distT="0" distB="0" distL="114300" distR="114300">
            <wp:extent cx="4572000" cy="1878330"/>
            <wp:effectExtent l="4445" t="4445" r="8255" b="9525"/>
            <wp:docPr id="7" name="图表 6"/>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pPr>
        <w:spacing w:line="560" w:lineRule="atLeast"/>
        <w:ind w:right="132"/>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图3.4  效果类指标得分情况</w:t>
      </w:r>
    </w:p>
    <w:p>
      <w:pPr>
        <w:spacing w:line="560" w:lineRule="exact"/>
        <w:ind w:firstLine="640" w:firstLineChars="200"/>
        <w:jc w:val="both"/>
        <w:outlineLvl w:val="0"/>
        <w:rPr>
          <w:rFonts w:ascii="Times New Roman" w:hAnsi="Times New Roman" w:eastAsia="方正仿宋_GBK" w:cs="Arial"/>
          <w:bCs/>
          <w:sz w:val="32"/>
          <w:szCs w:val="32"/>
          <w:lang w:val="en-US" w:bidi="ar-SA"/>
        </w:rPr>
      </w:pPr>
      <w:bookmarkStart w:id="91" w:name="_Toc2445"/>
      <w:bookmarkStart w:id="92" w:name="_Toc1936"/>
      <w:bookmarkStart w:id="93" w:name="_Toc5320"/>
      <w:bookmarkStart w:id="94" w:name="_Toc15879"/>
      <w:r>
        <w:rPr>
          <w:rFonts w:hint="eastAsia" w:ascii="Times New Roman" w:hAnsi="Times New Roman" w:eastAsia="方正仿宋_GBK" w:cs="Arial"/>
          <w:bCs/>
          <w:sz w:val="32"/>
          <w:szCs w:val="32"/>
          <w:lang w:val="en-US" w:bidi="ar-SA"/>
        </w:rPr>
        <w:t>1、项目效益情况分析</w:t>
      </w:r>
      <w:bookmarkEnd w:id="91"/>
      <w:bookmarkEnd w:id="92"/>
      <w:bookmarkEnd w:id="93"/>
      <w:bookmarkEnd w:id="94"/>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（1）经济效益：通过该奖补政策，脱贫群众进一步加大种植养殖规模，直接影响农副产品销售收入，有效地促进了脱贫群众收入的增加，脱贫群众通过农业产业发展，增收有保障。此部分得满分。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（2）社会效益：</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①推进巩固拓展脱贫攻坚成果同乡村振兴有效衔接：根据农业产业发展情况，帮扶机制健全情况、全县脱贫返贫情况进行评价，项目的开展推进了巩固拓展脱贫攻坚成果同乡村振兴有效衔接。此部分得满分。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eastAsia="方正仿宋_GBK" w:cs="Arial"/>
          <w:bCs/>
          <w:sz w:val="32"/>
          <w:szCs w:val="32"/>
          <w:lang w:val="en-US" w:bidi="ar-SA"/>
        </w:rPr>
        <w:t>②多元化发展特色农业产业：</w:t>
      </w:r>
      <w:r>
        <w:rPr>
          <w:rFonts w:hint="eastAsia" w:ascii="Times New Roman" w:hAnsi="Times New Roman" w:eastAsia="方正仿宋_GBK" w:cs="Arial"/>
          <w:bCs/>
          <w:sz w:val="32"/>
          <w:szCs w:val="32"/>
          <w:lang w:val="en-US" w:bidi="ar-SA"/>
        </w:rPr>
        <w:t>通过项目的实施，进一步完善了农业产业帮扶奖补机制，助力脱贫攻坚成果同乡村振兴有效衔接，为今后的扶贫工作带来一定的启发，使扶贫模式有了创新方向。但镇街农业扶贫产业种类仍较单一，产业发展缺少特色，因此，此部分得2分。</w:t>
      </w:r>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3）可持续效益：经满意度问卷调查统计，多数脱贫群众仍愿意继续发展农业产业并且扩大种植养殖规模，脱贫群众的生产积极性得到有效增强。但仍存在部分脱贫群众受疫病、运输成本、市场价格等因素影响，降低了种植养殖信心与生产积极性。可持续效益部分得4分。</w:t>
      </w:r>
    </w:p>
    <w:p>
      <w:pPr>
        <w:pStyle w:val="5"/>
        <w:keepNext w:val="0"/>
        <w:keepLines w:val="0"/>
        <w:spacing w:before="0" w:after="0" w:line="560" w:lineRule="exact"/>
        <w:ind w:firstLine="640" w:firstLineChars="200"/>
        <w:jc w:val="both"/>
        <w:rPr>
          <w:rFonts w:ascii="Times New Roman" w:hAnsi="Times New Roman" w:eastAsia="方正仿宋_GBK" w:cs="宋体"/>
          <w:b w:val="0"/>
          <w:bCs/>
          <w:szCs w:val="32"/>
          <w:lang w:val="en-US" w:bidi="ar-SA"/>
        </w:rPr>
      </w:pPr>
      <w:bookmarkStart w:id="95" w:name="_Toc31992"/>
      <w:bookmarkStart w:id="96" w:name="_Toc3683"/>
      <w:bookmarkStart w:id="97" w:name="_Toc28318"/>
      <w:bookmarkStart w:id="98" w:name="_Toc30184"/>
      <w:r>
        <w:rPr>
          <w:rFonts w:hint="eastAsia" w:ascii="Times New Roman" w:hAnsi="Times New Roman" w:eastAsia="方正仿宋_GBK" w:cs="Arial"/>
          <w:b w:val="0"/>
          <w:bCs/>
          <w:szCs w:val="32"/>
          <w:lang w:val="en-US" w:bidi="ar-SA"/>
        </w:rPr>
        <w:t>2、</w:t>
      </w:r>
      <w:r>
        <w:rPr>
          <w:rFonts w:hint="eastAsia" w:ascii="Times New Roman" w:hAnsi="Times New Roman" w:eastAsia="方正仿宋_GBK" w:cs="宋体"/>
          <w:b w:val="0"/>
          <w:bCs/>
          <w:szCs w:val="32"/>
          <w:lang w:val="en-US" w:bidi="ar-SA"/>
        </w:rPr>
        <w:t>项目满意度情况分析</w:t>
      </w:r>
      <w:bookmarkEnd w:id="95"/>
      <w:bookmarkEnd w:id="96"/>
      <w:bookmarkEnd w:id="97"/>
      <w:bookmarkEnd w:id="98"/>
    </w:p>
    <w:p>
      <w:pPr>
        <w:spacing w:line="560" w:lineRule="exact"/>
        <w:ind w:firstLine="640" w:firstLineChars="200"/>
        <w:jc w:val="both"/>
        <w:rPr>
          <w:rFonts w:ascii="Times New Roman" w:hAnsi="Times New Roman" w:eastAsia="方正仿宋_GBK" w:cs="Arial"/>
          <w:bCs/>
          <w:sz w:val="32"/>
          <w:szCs w:val="32"/>
          <w:lang w:val="en-US" w:bidi="ar-SA"/>
        </w:rPr>
      </w:pPr>
      <w:r>
        <w:rPr>
          <w:rFonts w:hint="eastAsia" w:ascii="Times New Roman" w:hAnsi="Times New Roman" w:eastAsia="方正仿宋_GBK" w:cs="Arial"/>
          <w:bCs/>
          <w:sz w:val="32"/>
          <w:szCs w:val="32"/>
          <w:lang w:val="en-US" w:bidi="ar-SA"/>
        </w:rPr>
        <w:t>通过受益群众的满意度调查可以看出群众对项目的满意度较高，受益的脱贫群众对于项目的宣传力度、帮扶模式、产业指导员指导访问情况、奖补资金发放的及时性等都较满意。项目满意度部分得满分。</w:t>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99" w:name="_Toc20970"/>
      <w:r>
        <w:rPr>
          <w:rFonts w:hint="eastAsia" w:ascii="Times New Roman" w:hAnsi="Times New Roman" w:eastAsia="方正黑体_GBK" w:cs="Times New Roman"/>
          <w:b w:val="0"/>
          <w:sz w:val="32"/>
          <w:szCs w:val="32"/>
          <w:lang w:val="en-US" w:bidi="ar-SA"/>
        </w:rPr>
        <w:t>四、综合评价情况及评价结论</w:t>
      </w:r>
      <w:bookmarkEnd w:id="59"/>
      <w:bookmarkEnd w:id="99"/>
    </w:p>
    <w:p>
      <w:pPr>
        <w:spacing w:line="600" w:lineRule="exact"/>
        <w:ind w:firstLine="640" w:firstLineChars="200"/>
        <w:jc w:val="both"/>
        <w:rPr>
          <w:rFonts w:ascii="Times New Roman" w:hAnsi="Times New Roman"/>
        </w:rPr>
      </w:pPr>
      <w:r>
        <w:rPr>
          <w:rFonts w:hint="eastAsia" w:ascii="Times New Roman" w:hAnsi="Times New Roman" w:eastAsia="方正仿宋_GBK" w:cs="Times New Roman"/>
          <w:bCs/>
          <w:sz w:val="32"/>
          <w:szCs w:val="32"/>
          <w:lang w:val="en-US" w:bidi="ar-SA"/>
        </w:rPr>
        <w:t>评价工作组通过资料收集分析、指标体系搭建、现场调研访谈等方式，对酉阳县李溪镇2022年监测户及脱贫户到位产业项目进行绩效评分。最终结果：评价总分为</w:t>
      </w:r>
      <w:r>
        <w:rPr>
          <w:rFonts w:hint="eastAsia" w:ascii="Times New Roman" w:hAnsi="Times New Roman" w:eastAsia="方正仿宋_GBK" w:cs="Times New Roman"/>
          <w:b/>
          <w:sz w:val="32"/>
          <w:szCs w:val="32"/>
          <w:lang w:val="en-US" w:bidi="ar-SA"/>
        </w:rPr>
        <w:t>87.14</w:t>
      </w:r>
      <w:r>
        <w:rPr>
          <w:rFonts w:hint="eastAsia" w:ascii="Times New Roman" w:hAnsi="Times New Roman" w:eastAsia="方正仿宋_GBK" w:cs="Times New Roman"/>
          <w:bCs/>
          <w:sz w:val="32"/>
          <w:szCs w:val="32"/>
          <w:lang w:val="en-US" w:bidi="ar-SA"/>
        </w:rPr>
        <w:t>分，评价结果等级为“</w:t>
      </w:r>
      <w:r>
        <w:rPr>
          <w:rFonts w:hint="eastAsia" w:ascii="Times New Roman" w:hAnsi="Times New Roman" w:eastAsia="方正仿宋_GBK" w:cs="Times New Roman"/>
          <w:b/>
          <w:sz w:val="32"/>
          <w:szCs w:val="32"/>
          <w:lang w:val="en-US" w:bidi="ar-SA"/>
        </w:rPr>
        <w:t>良</w:t>
      </w:r>
      <w:r>
        <w:rPr>
          <w:rFonts w:hint="eastAsia" w:ascii="Times New Roman" w:hAnsi="Times New Roman" w:eastAsia="方正仿宋_GBK" w:cs="Times New Roman"/>
          <w:bCs/>
          <w:sz w:val="32"/>
          <w:szCs w:val="32"/>
          <w:lang w:val="en-US" w:bidi="ar-SA"/>
        </w:rPr>
        <w:t>”。</w:t>
      </w:r>
      <w:r>
        <w:rPr>
          <w:rFonts w:ascii="Times New Roman" w:hAnsi="Times New Roman" w:eastAsia="方正仿宋_GBK" w:cs="Times New Roman"/>
          <w:bCs/>
          <w:sz w:val="32"/>
          <w:szCs w:val="32"/>
          <w:lang w:val="en-US" w:bidi="ar-SA"/>
        </w:rPr>
        <w:t>综合得分情况如</w:t>
      </w:r>
      <w:r>
        <w:rPr>
          <w:rFonts w:hint="eastAsia" w:ascii="Times New Roman" w:hAnsi="Times New Roman" w:eastAsia="方正仿宋_GBK" w:cs="Times New Roman"/>
          <w:bCs/>
          <w:sz w:val="32"/>
          <w:szCs w:val="32"/>
          <w:lang w:val="en-US" w:bidi="ar-SA"/>
        </w:rPr>
        <w:t>图</w:t>
      </w:r>
      <w:r>
        <w:rPr>
          <w:rFonts w:ascii="Times New Roman" w:hAnsi="Times New Roman" w:eastAsia="方正仿宋_GBK" w:cs="Times New Roman"/>
          <w:bCs/>
          <w:sz w:val="32"/>
          <w:szCs w:val="32"/>
          <w:lang w:val="en-US" w:bidi="ar-SA"/>
        </w:rPr>
        <w:t>4.1所示：</w:t>
      </w:r>
    </w:p>
    <w:p>
      <w:pPr>
        <w:spacing w:line="600" w:lineRule="exact"/>
        <w:jc w:val="center"/>
        <w:rPr>
          <w:rFonts w:ascii="Times New Roman" w:hAnsi="Times New Roman" w:eastAsia="方正仿宋_GBK" w:cs="方正仿宋_GBK"/>
          <w:b/>
          <w:sz w:val="32"/>
          <w:szCs w:val="32"/>
          <w:lang w:val="en-US" w:bidi="ar-SA"/>
        </w:rPr>
      </w:pPr>
      <w:r>
        <w:rPr>
          <w:rFonts w:hint="eastAsia" w:ascii="Times New Roman" w:hAnsi="Times New Roman" w:eastAsia="方正仿宋_GBK" w:cs="方正仿宋_GBK"/>
          <w:b/>
          <w:sz w:val="32"/>
          <w:szCs w:val="32"/>
          <w:lang w:val="en-US" w:bidi="ar-SA"/>
        </w:rPr>
        <w:t>图4.1 综合得分情况表</w:t>
      </w:r>
    </w:p>
    <w:p>
      <w:pPr>
        <w:pStyle w:val="2"/>
        <w:jc w:val="center"/>
        <w:rPr>
          <w:rFonts w:ascii="Times New Roman"/>
          <w:color w:val="auto"/>
        </w:rPr>
      </w:pPr>
      <w:r>
        <w:drawing>
          <wp:inline distT="0" distB="0" distL="114300" distR="114300">
            <wp:extent cx="3384550" cy="2479040"/>
            <wp:effectExtent l="4445" t="4445" r="14605" b="5715"/>
            <wp:docPr id="5" name="图表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pPr>
        <w:rPr>
          <w:rFonts w:ascii="Times New Roman" w:hAnsi="Times New Roman" w:eastAsia="方正黑体_GBK" w:cs="Times New Roman"/>
          <w:sz w:val="32"/>
          <w:szCs w:val="32"/>
          <w:lang w:val="en-US" w:bidi="ar-SA"/>
        </w:rPr>
      </w:pPr>
      <w:bookmarkStart w:id="100" w:name="_Toc9361"/>
      <w:r>
        <w:rPr>
          <w:rFonts w:hint="eastAsia" w:ascii="Times New Roman" w:hAnsi="Times New Roman" w:eastAsia="方正黑体_GBK" w:cs="Times New Roman"/>
          <w:sz w:val="32"/>
          <w:szCs w:val="32"/>
          <w:lang w:val="en-US" w:bidi="ar-SA"/>
        </w:rPr>
        <w:br w:type="page"/>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01" w:name="_Toc25711"/>
      <w:r>
        <w:rPr>
          <w:rFonts w:hint="eastAsia" w:ascii="Times New Roman" w:hAnsi="Times New Roman" w:eastAsia="方正黑体_GBK" w:cs="Times New Roman"/>
          <w:b w:val="0"/>
          <w:sz w:val="32"/>
          <w:szCs w:val="32"/>
          <w:lang w:val="en-US" w:bidi="ar-SA"/>
        </w:rPr>
        <w:t>五、项目成效</w:t>
      </w:r>
      <w:bookmarkEnd w:id="101"/>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1.助力乡村脱贫，助推乡村振兴</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方正仿宋_GBK"/>
          <w:color w:val="000000"/>
          <w:sz w:val="32"/>
          <w:szCs w:val="32"/>
        </w:rPr>
        <w:t>酉阳县李溪镇人民政府</w:t>
      </w:r>
      <w:r>
        <w:rPr>
          <w:rFonts w:hint="eastAsia" w:ascii="Times New Roman" w:hAnsi="Times New Roman" w:eastAsia="方正仿宋_GBK" w:cs="Times New Roman"/>
          <w:bCs/>
          <w:sz w:val="32"/>
          <w:szCs w:val="32"/>
          <w:lang w:val="en-US" w:bidi="ar-SA"/>
        </w:rPr>
        <w:t>实行“以奖代补”的方法引导、鼓励、支持广大监测对象和脱贫户用自己的辛勤劳动实现稳定增收，激发其内生动力，增加其收入，提高其参与产业发展的积极性，有力地推进了当地农村经济的发展，巩固拓展脱贫攻坚成果同乡村振兴有效衔接。</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2.推动种植产业发展，促进当地农业发展</w:t>
      </w:r>
    </w:p>
    <w:p>
      <w:pPr>
        <w:autoSpaceDE/>
        <w:autoSpaceDN/>
        <w:spacing w:line="600" w:lineRule="exact"/>
        <w:ind w:firstLine="640" w:firstLineChars="2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Cs/>
          <w:sz w:val="32"/>
          <w:szCs w:val="32"/>
          <w:lang w:val="en-US" w:bidi="ar-SA"/>
        </w:rPr>
        <w:t>发展种植产业，满足酉阳县农作物生产稳定发展，确保“服务城市、富裕农民”目标的实现，不断满足人民群众生活日益增长的需要。有效地推动了当地农作物产业的发展，防止土地荒化，有效改善和保护当地生态环境，也有利于保持水土及绿化环境。农村土地的合理流转，促进农村农业规模化、产业化的进程。</w:t>
      </w:r>
    </w:p>
    <w:p>
      <w:pPr>
        <w:rPr>
          <w:rFonts w:ascii="Times New Roman" w:hAnsi="Times New Roman" w:eastAsia="方正黑体_GBK" w:cs="Times New Roman"/>
          <w:sz w:val="32"/>
          <w:szCs w:val="32"/>
          <w:lang w:val="en-US" w:bidi="ar-SA"/>
        </w:rPr>
      </w:pPr>
      <w:r>
        <w:rPr>
          <w:rFonts w:hint="eastAsia" w:ascii="Times New Roman" w:hAnsi="Times New Roman" w:eastAsia="方正黑体_GBK" w:cs="Times New Roman"/>
          <w:sz w:val="32"/>
          <w:szCs w:val="32"/>
          <w:lang w:val="en-US" w:bidi="ar-SA"/>
        </w:rPr>
        <w:br w:type="page"/>
      </w:r>
    </w:p>
    <w:p>
      <w:pPr>
        <w:pStyle w:val="3"/>
        <w:spacing w:before="0" w:line="600" w:lineRule="exact"/>
        <w:ind w:right="0" w:firstLine="640" w:firstLineChars="200"/>
        <w:rPr>
          <w:rFonts w:ascii="Times New Roman" w:hAnsi="Times New Roman" w:eastAsia="方正黑体_GBK" w:cs="Times New Roman"/>
          <w:b w:val="0"/>
          <w:sz w:val="32"/>
          <w:szCs w:val="32"/>
          <w:lang w:val="en-US" w:bidi="ar-SA"/>
        </w:rPr>
      </w:pPr>
      <w:bookmarkStart w:id="102" w:name="_Toc2862"/>
      <w:r>
        <w:rPr>
          <w:rFonts w:hint="eastAsia" w:ascii="Times New Roman" w:hAnsi="Times New Roman" w:eastAsia="方正黑体_GBK" w:cs="Times New Roman"/>
          <w:b w:val="0"/>
          <w:sz w:val="32"/>
          <w:szCs w:val="32"/>
          <w:lang w:val="en-US" w:bidi="ar-SA"/>
        </w:rPr>
        <w:t>六、存在的问题和建议</w:t>
      </w:r>
      <w:bookmarkEnd w:id="100"/>
      <w:bookmarkEnd w:id="102"/>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103" w:name="_Toc22716"/>
      <w:bookmarkStart w:id="104" w:name="_Toc17979"/>
      <w:bookmarkStart w:id="105" w:name="_Toc19097_WPSOffice_Level2"/>
      <w:bookmarkStart w:id="106" w:name="_Toc23955"/>
      <w:r>
        <w:rPr>
          <w:rFonts w:hint="eastAsia" w:ascii="Times New Roman" w:hAnsi="Times New Roman" w:eastAsia="方正楷体_GBK" w:cs="Times New Roman"/>
          <w:b w:val="0"/>
          <w:lang w:val="en-US" w:bidi="ar-SA"/>
        </w:rPr>
        <w:t>（一）存在的问题</w:t>
      </w:r>
      <w:bookmarkEnd w:id="103"/>
      <w:bookmarkEnd w:id="104"/>
    </w:p>
    <w:bookmarkEnd w:id="105"/>
    <w:bookmarkEnd w:id="106"/>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bookmarkStart w:id="107" w:name="_Toc26880"/>
      <w:r>
        <w:rPr>
          <w:rFonts w:hint="eastAsia" w:ascii="Times New Roman" w:hAnsi="Times New Roman" w:eastAsia="方正仿宋_GBK" w:cs="Times New Roman"/>
          <w:bCs/>
          <w:sz w:val="32"/>
          <w:szCs w:val="32"/>
          <w:lang w:val="en-US" w:bidi="ar-SA"/>
        </w:rPr>
        <w:t>1.绩效目标设置不完善，绩效管理意识有待加强</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绩效目标设置不完善，数量指标未包括总体目标中发展种植业（油作物、菜等经济作物）4500亩，发展业(猪、羊、鸡等)3300(头、只)，仅设置帮扶人数。二是生态效益指标设置不科学，帮扶人数与种植生态效益不能直接挂钩，无法直接体现其生态效益，绩效管理工作不严谨，绩效管理意识有待加强。</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2.项目管理有待加强，监管力度不足</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经过评价小组现场核查及走访发现，项目在开展过程中的资料档案管理有待加强，如部分村社项目佐证材料不齐全，缺少禽畜购入证明，佐证照片有雷同相似的情况等；同时，项目执行过程监管力度不足，根据《酉阳土家族苗族自治县农业农村委员会关于印发2022年到户产业发展实施方案的通知》（酉阳农委函〔2022〕117号）文件中对过程监管的要求，指出项目所在地乡镇对实施项目的现场监督检查应不少于2次，并做好相关图片和记录资料的收集，李溪镇人民政府仅提供验收照片及监控表，未附过程监管照片，无法证明完成此项工作。</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3.农业生产发展后劲不足，群众积极性有待提高</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评价小组通过与监测户及脱贫户进行面谈、问卷调查等方式发现以下问题：一是农业生产要素萎缩，农业劳动力整体素质弱化：留守农村青壮年劳动力不足，留守的部分群众文化程度偏低，观念陈旧，主观发展意识不强，具有一定文化知识和技术专长的青壮年劳动力具有强烈的外出就业倾向及极强的兼业性，既不愿留守农村又不愿轻易放弃耕地，只好粗放经营，轻种植、轻管理从而导致劳动生产率不高、农产品质量不高、市场竞争力不强的恶性循环。二是种植及养殖产业受多重因素影响，如饲养成本较高、养殖家禽易受疫病侵害、运输距离等因素，同时市场价格波动也极易导致脱贫户生产积极性下降，从而导致脱贫户的农业产业发展后劲不足，加大农业产业发展难度。</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4.农业产业发展种类需进一步提高</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大部分监测户及脱贫户的种、养殖形式及规模较上年相比差距不大，此部分群众普遍选择易养殖和种植的农业产业，导致农业扶贫产业种类较单一，产业发展缺少特色。大部分群众种植养殖的都为猪、鸡、鸭，种植为玉米、水稻等，种类有待丰富和创新。</w:t>
      </w:r>
    </w:p>
    <w:p>
      <w:pPr>
        <w:pStyle w:val="4"/>
        <w:spacing w:line="600" w:lineRule="exact"/>
        <w:ind w:left="0" w:firstLine="640" w:firstLineChars="200"/>
        <w:jc w:val="both"/>
        <w:rPr>
          <w:rFonts w:ascii="Times New Roman" w:hAnsi="Times New Roman" w:eastAsia="方正楷体_GBK" w:cs="Times New Roman"/>
          <w:b w:val="0"/>
          <w:lang w:val="en-US" w:bidi="ar-SA"/>
        </w:rPr>
      </w:pPr>
      <w:bookmarkStart w:id="108" w:name="_Toc26790"/>
      <w:r>
        <w:rPr>
          <w:rFonts w:hint="eastAsia" w:ascii="Times New Roman" w:hAnsi="Times New Roman" w:eastAsia="方正楷体_GBK" w:cs="Times New Roman"/>
          <w:b w:val="0"/>
          <w:lang w:val="en-US" w:bidi="ar-SA"/>
        </w:rPr>
        <w:t>（二）相关建议</w:t>
      </w:r>
      <w:bookmarkEnd w:id="108"/>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1.提高绩效目标科学性，加强绩效管理意识</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一是建议项目主管单位及项目建设单位根据项目特征，进一步充分论证项目产出及效益，全面评估会对项目实施造成影响的不可控因素，科学合理地扩大专家评审内容及范围，提高绩效实现可控性。</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2.加强项目管理，加大监管力度</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建议各村社进一步完善禽畜购入证明及图片佐证等相关资料，更好地体现扶贫工作过程，加大预算执行过程监管，加强资料的收集统计及审核工作，注重现场验收的佐证工作，从而更加有效地控制预算执行过程。</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3.增强宣传力度，发挥主体作用</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建议通过多种形式，加大产业帮扶政策的宣传力度、教育引导力度，切实提高群众对帮扶政策的知晓度。充分发挥主体作用，激发监测户及脱贫户发展生产的主动性和积极性，用内生动力支撑产业发展。发挥政策的激励引导作用，强化技术跟进指导服务，增强脱贫群众依靠自身发展巩固脱贫成效的信心。</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4.鼓励农业生产发展创新</w:t>
      </w:r>
    </w:p>
    <w:p>
      <w:pPr>
        <w:autoSpaceDE/>
        <w:autoSpaceDN/>
        <w:spacing w:line="600" w:lineRule="exact"/>
        <w:ind w:firstLine="640" w:firstLineChars="2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镇街相关工作部门应创新农业产业扶贫模式，多方面鼓励脱贫群众的生产积极性，加大对脱贫群众农业产业的专业指导。充分利用致富带头人的引导作用，加强不同种植养殖经验之间的交流，带动脱贫群众发展农业产业积极性及创新主动性。</w:t>
      </w:r>
    </w:p>
    <w:p>
      <w:pPr>
        <w:pStyle w:val="2"/>
        <w:rPr>
          <w:rFonts w:ascii="Times New Roman" w:eastAsia="方正仿宋_GBK" w:cs="Times New Roman"/>
          <w:bCs/>
          <w:color w:val="auto"/>
          <w:sz w:val="32"/>
          <w:szCs w:val="32"/>
        </w:rPr>
      </w:pPr>
    </w:p>
    <w:p>
      <w:pPr>
        <w:pStyle w:val="2"/>
        <w:rPr>
          <w:rFonts w:ascii="Times New Roman" w:eastAsia="方正仿宋_GBK" w:cs="Times New Roman"/>
          <w:bCs/>
          <w:color w:val="auto"/>
          <w:sz w:val="32"/>
          <w:szCs w:val="32"/>
        </w:rPr>
      </w:pPr>
    </w:p>
    <w:p>
      <w:pPr>
        <w:topLinePunct/>
        <w:autoSpaceDN/>
        <w:spacing w:line="600" w:lineRule="exact"/>
        <w:ind w:left="1923" w:leftChars="290" w:hanging="1285" w:hangingChars="400"/>
        <w:jc w:val="both"/>
        <w:rPr>
          <w:rFonts w:ascii="Times New Roman" w:hAnsi="Times New Roman" w:eastAsia="方正仿宋_GBK" w:cs="Times New Roman"/>
          <w:bCs/>
          <w:sz w:val="32"/>
          <w:szCs w:val="32"/>
          <w:highlight w:val="yellow"/>
          <w:lang w:val="en-US" w:bidi="ar-SA"/>
        </w:rPr>
      </w:pPr>
      <w:r>
        <w:rPr>
          <w:rFonts w:hint="eastAsia" w:ascii="Times New Roman" w:hAnsi="Times New Roman" w:eastAsia="方正仿宋_GBK" w:cs="Times New Roman"/>
          <w:b/>
          <w:sz w:val="32"/>
          <w:szCs w:val="32"/>
          <w:lang w:val="en-US" w:bidi="ar-SA"/>
        </w:rPr>
        <w:t>附件</w:t>
      </w:r>
      <w:bookmarkEnd w:id="107"/>
      <w:r>
        <w:rPr>
          <w:rFonts w:hint="eastAsia" w:ascii="Times New Roman" w:hAnsi="Times New Roman" w:eastAsia="方正仿宋_GBK" w:cs="Times New Roman"/>
          <w:b/>
          <w:sz w:val="32"/>
          <w:szCs w:val="32"/>
          <w:lang w:val="en-US" w:bidi="ar-SA"/>
        </w:rPr>
        <w:t>：</w:t>
      </w:r>
      <w:r>
        <w:rPr>
          <w:rFonts w:hint="eastAsia" w:ascii="Times New Roman" w:hAnsi="Times New Roman" w:eastAsia="方正仿宋_GBK" w:cs="Times New Roman"/>
          <w:bCs/>
          <w:sz w:val="32"/>
          <w:szCs w:val="32"/>
          <w:lang w:val="en-US" w:bidi="ar-SA"/>
        </w:rPr>
        <w:t>1. 酉阳土家族苗族自治县李溪镇2022年监测户及脱贫户到位产业项目绩效评价综合评分情况表</w:t>
      </w:r>
    </w:p>
    <w:p>
      <w:pPr>
        <w:numPr>
          <w:ilvl w:val="0"/>
          <w:numId w:val="1"/>
        </w:numPr>
        <w:topLinePunct/>
        <w:autoSpaceDN/>
        <w:spacing w:line="600" w:lineRule="exact"/>
        <w:ind w:left="1915" w:leftChars="725" w:hanging="320" w:hangingChars="1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酉阳土家族苗族自治县李溪镇2022年监测户及脱贫户到位产业项目满意度调查问卷</w:t>
      </w:r>
    </w:p>
    <w:p>
      <w:pPr>
        <w:numPr>
          <w:ilvl w:val="0"/>
          <w:numId w:val="1"/>
        </w:numPr>
        <w:topLinePunct/>
        <w:autoSpaceDN/>
        <w:spacing w:line="600" w:lineRule="exact"/>
        <w:ind w:left="1915" w:leftChars="725" w:hanging="320" w:hangingChars="100"/>
        <w:jc w:val="both"/>
        <w:rPr>
          <w:rFonts w:ascii="Times New Roman" w:hAnsi="Times New Roman" w:eastAsia="方正仿宋_GBK" w:cs="Times New Roman"/>
          <w:bCs/>
          <w:sz w:val="32"/>
          <w:szCs w:val="32"/>
          <w:lang w:val="en-US" w:bidi="ar-SA"/>
        </w:rPr>
      </w:pPr>
      <w:r>
        <w:rPr>
          <w:rFonts w:hint="eastAsia" w:ascii="Times New Roman" w:hAnsi="Times New Roman" w:eastAsia="方正仿宋_GBK" w:cs="Times New Roman"/>
          <w:bCs/>
          <w:sz w:val="32"/>
          <w:szCs w:val="32"/>
          <w:lang w:val="en-US" w:bidi="ar-SA"/>
        </w:rPr>
        <w:t>飞如（重庆）企业管理咨询有限公司营业执照复印件</w:t>
      </w:r>
    </w:p>
    <w:p>
      <w:pPr>
        <w:spacing w:line="560" w:lineRule="exact"/>
        <w:rPr>
          <w:rFonts w:ascii="Times New Roman" w:hAnsi="Times New Roman" w:cs="Times New Roman"/>
          <w:lang w:val="en-US"/>
        </w:rPr>
      </w:pPr>
    </w:p>
    <w:p>
      <w:pPr>
        <w:pStyle w:val="2"/>
        <w:rPr>
          <w:rFonts w:ascii="Times New Roman"/>
        </w:rPr>
      </w:pPr>
    </w:p>
    <w:p>
      <w:pPr>
        <w:pStyle w:val="2"/>
        <w:rPr>
          <w:rFonts w:ascii="Times New Roman" w:cs="Times New Roman"/>
          <w:color w:val="auto"/>
        </w:rPr>
      </w:pPr>
    </w:p>
    <w:p>
      <w:pPr>
        <w:pStyle w:val="2"/>
        <w:rPr>
          <w:rFonts w:ascii="Times New Roman" w:cs="Times New Roman"/>
          <w:color w:val="auto"/>
        </w:rPr>
      </w:pPr>
    </w:p>
    <w:p>
      <w:pPr>
        <w:pStyle w:val="2"/>
        <w:rPr>
          <w:rFonts w:ascii="Times New Roman" w:cs="Times New Roman"/>
          <w:color w:val="auto"/>
        </w:rPr>
      </w:pPr>
      <w:r>
        <w:rPr>
          <w:rFonts w:ascii="Times New Roman"/>
          <w:color w:val="auto"/>
          <w:sz w:val="32"/>
        </w:rPr>
        <mc:AlternateContent>
          <mc:Choice Requires="wps">
            <w:drawing>
              <wp:anchor distT="0" distB="0" distL="114300" distR="114300" simplePos="0" relativeHeight="251661312" behindDoc="0" locked="0" layoutInCell="1" allowOverlap="1">
                <wp:simplePos x="0" y="0"/>
                <wp:positionH relativeFrom="column">
                  <wp:posOffset>2738755</wp:posOffset>
                </wp:positionH>
                <wp:positionV relativeFrom="paragraph">
                  <wp:posOffset>49530</wp:posOffset>
                </wp:positionV>
                <wp:extent cx="2755265" cy="1547495"/>
                <wp:effectExtent l="0" t="0" r="6985" b="14605"/>
                <wp:wrapNone/>
                <wp:docPr id="12" name="文本框 12"/>
                <wp:cNvGraphicFramePr/>
                <a:graphic xmlns:a="http://schemas.openxmlformats.org/drawingml/2006/main">
                  <a:graphicData uri="http://schemas.microsoft.com/office/word/2010/wordprocessingShape">
                    <wps:wsp>
                      <wps:cNvSpPr txBox="1"/>
                      <wps:spPr>
                        <a:xfrm>
                          <a:off x="0" y="0"/>
                          <a:ext cx="2755265" cy="15474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pPr>
                              <w:pStyle w:val="2"/>
                              <w:jc w:val="center"/>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pPr>
                              <w:pStyle w:val="2"/>
                              <w:jc w:val="both"/>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215.65pt;margin-top:3.9pt;height:121.85pt;width:216.95pt;z-index:251661312;mso-width-relative:page;mso-height-relative:page;" fillcolor="#FFFFFF [3201]" filled="t" stroked="f" coordsize="21600,21600" o:gfxdata="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">
                <v:fill on="t" focussize="0,0"/>
                <v:stroke on="f" weight="0.5pt"/>
                <v:imagedata o:title=""/>
                <o:lock v:ext="edit" aspectratio="f"/>
                <v:textbox>
                  <w:txbxContent>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注册会计师：</w:t>
                      </w:r>
                    </w:p>
                    <w:p>
                      <w:pPr>
                        <w:pStyle w:val="2"/>
                        <w:jc w:val="center"/>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高级会计师：</w:t>
                      </w:r>
                    </w:p>
                    <w:p>
                      <w:pPr>
                        <w:pStyle w:val="2"/>
                        <w:jc w:val="both"/>
                        <w:rPr>
                          <w:rFonts w:ascii="Times New Roman" w:eastAsia="方正仿宋_GBK" w:cs="方正仿宋_GBK"/>
                          <w:bCs/>
                          <w:color w:val="auto"/>
                          <w:sz w:val="32"/>
                          <w:szCs w:val="32"/>
                        </w:rPr>
                      </w:pPr>
                    </w:p>
                    <w:p>
                      <w:pPr>
                        <w:pStyle w:val="2"/>
                        <w:jc w:val="center"/>
                        <w:rPr>
                          <w:rFonts w:ascii="Times New Roman" w:eastAsia="方正仿宋_GBK" w:cs="方正仿宋_GBK"/>
                          <w:bCs/>
                          <w:color w:val="auto"/>
                          <w:sz w:val="32"/>
                          <w:szCs w:val="32"/>
                        </w:rPr>
                      </w:pPr>
                      <w:r>
                        <w:rPr>
                          <w:rFonts w:hint="eastAsia" w:ascii="Times New Roman" w:eastAsia="方正仿宋_GBK" w:cs="方正仿宋_GBK"/>
                          <w:bCs/>
                          <w:color w:val="auto"/>
                          <w:sz w:val="32"/>
                          <w:szCs w:val="32"/>
                        </w:rPr>
                        <w:t>二O二三年十二月二十五日</w:t>
                      </w:r>
                    </w:p>
                  </w:txbxContent>
                </v:textbox>
              </v:shape>
            </w:pict>
          </mc:Fallback>
        </mc:AlternateContent>
      </w:r>
      <w:r>
        <w:rPr>
          <w:rFonts w:ascii="Times New Roman"/>
          <w:color w:val="auto"/>
          <w:sz w:val="32"/>
        </w:rPr>
        <mc:AlternateContent>
          <mc:Choice Requires="wps">
            <w:drawing>
              <wp:anchor distT="0" distB="0" distL="114300" distR="114300" simplePos="0" relativeHeight="251660288" behindDoc="0" locked="0" layoutInCell="1" allowOverlap="1">
                <wp:simplePos x="0" y="0"/>
                <wp:positionH relativeFrom="column">
                  <wp:posOffset>97790</wp:posOffset>
                </wp:positionH>
                <wp:positionV relativeFrom="paragraph">
                  <wp:posOffset>53975</wp:posOffset>
                </wp:positionV>
                <wp:extent cx="2718435" cy="1471295"/>
                <wp:effectExtent l="0" t="0" r="5715" b="14605"/>
                <wp:wrapNone/>
                <wp:docPr id="13" name="文本框 13"/>
                <wp:cNvGraphicFramePr/>
                <a:graphic xmlns:a="http://schemas.openxmlformats.org/drawingml/2006/main">
                  <a:graphicData uri="http://schemas.microsoft.com/office/word/2010/wordprocessingShape">
                    <wps:wsp>
                      <wps:cNvSpPr txBox="1"/>
                      <wps:spPr>
                        <a:xfrm>
                          <a:off x="0" y="0"/>
                          <a:ext cx="2718435" cy="147129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pPr>
                              <w:pStyle w:val="2"/>
                            </w:pPr>
                          </w:p>
                          <w:p>
                            <w:pPr>
                              <w:pStyle w:val="2"/>
                            </w:pPr>
                          </w:p>
                          <w:p>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7.7pt;margin-top:4.25pt;height:115.85pt;width:214.05pt;z-index:251660288;mso-width-relative:page;mso-height-relative:page;" fillcolor="#FFFFFF [3201]" filled="t" stroked="f" coordsize="21600,21600" o:gfxdata="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">
                <v:fill on="t" focussize="0,0"/>
                <v:stroke on="f" weight="0.5pt"/>
                <v:imagedata o:title=""/>
                <o:lock v:ext="edit" aspectratio="f"/>
                <v:textbox>
                  <w:txbxContent>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飞如（重庆）企业管理</w:t>
                      </w:r>
                    </w:p>
                    <w:p>
                      <w:pPr>
                        <w:jc w:val="center"/>
                        <w:rPr>
                          <w:rFonts w:ascii="Times New Roman" w:hAnsi="Times New Roman" w:eastAsia="方正仿宋_GBK" w:cs="方正仿宋_GBK"/>
                          <w:bCs/>
                          <w:sz w:val="32"/>
                          <w:szCs w:val="32"/>
                          <w:lang w:val="en-US" w:bidi="ar-SA"/>
                        </w:rPr>
                      </w:pPr>
                      <w:r>
                        <w:rPr>
                          <w:rFonts w:hint="eastAsia" w:ascii="Times New Roman" w:hAnsi="Times New Roman" w:eastAsia="方正仿宋_GBK" w:cs="方正仿宋_GBK"/>
                          <w:bCs/>
                          <w:sz w:val="32"/>
                          <w:szCs w:val="32"/>
                          <w:lang w:val="en-US" w:bidi="ar-SA"/>
                        </w:rPr>
                        <w:t>咨询有限公司</w:t>
                      </w:r>
                    </w:p>
                    <w:p>
                      <w:pPr>
                        <w:pStyle w:val="2"/>
                      </w:pPr>
                    </w:p>
                    <w:p>
                      <w:pPr>
                        <w:pStyle w:val="2"/>
                      </w:pPr>
                    </w:p>
                    <w:p>
                      <w:pPr>
                        <w:jc w:val="center"/>
                      </w:pPr>
                      <w:r>
                        <w:rPr>
                          <w:rFonts w:hint="eastAsia" w:ascii="Times New Roman" w:hAnsi="Times New Roman" w:eastAsia="方正仿宋_GBK" w:cs="方正仿宋_GBK"/>
                          <w:bCs/>
                          <w:sz w:val="32"/>
                          <w:szCs w:val="32"/>
                          <w:lang w:val="en-US" w:bidi="ar-SA"/>
                        </w:rPr>
                        <w:t>中国</w:t>
                      </w:r>
                      <w:r>
                        <w:rPr>
                          <w:rFonts w:hint="eastAsia" w:ascii="方正黑体_GBK" w:hAnsi="方正黑体_GBK" w:eastAsia="方正黑体_GBK" w:cs="方正黑体_GBK"/>
                          <w:b/>
                          <w:sz w:val="28"/>
                          <w:szCs w:val="28"/>
                          <w:lang w:val="en-US" w:bidi="ar-SA"/>
                        </w:rPr>
                        <w:t>·</w:t>
                      </w:r>
                      <w:r>
                        <w:rPr>
                          <w:rFonts w:hint="eastAsia" w:ascii="Times New Roman" w:hAnsi="Times New Roman" w:eastAsia="方正仿宋_GBK" w:cs="方正仿宋_GBK"/>
                          <w:bCs/>
                          <w:sz w:val="32"/>
                          <w:szCs w:val="32"/>
                          <w:lang w:val="en-US" w:bidi="ar-SA"/>
                        </w:rPr>
                        <w:t>重庆市</w:t>
                      </w:r>
                    </w:p>
                  </w:txbxContent>
                </v:textbox>
              </v:shape>
            </w:pict>
          </mc:Fallback>
        </mc:AlternateContent>
      </w:r>
    </w:p>
    <w:p>
      <w:pPr>
        <w:spacing w:line="560" w:lineRule="exact"/>
        <w:jc w:val="center"/>
        <w:rPr>
          <w:rFonts w:ascii="Times New Roman" w:hAnsi="Times New Roman" w:cs="Times New Roman"/>
          <w:lang w:val="en-US"/>
        </w:rPr>
        <w:sectPr>
          <w:footerReference r:id="rId3" w:type="default"/>
          <w:pgSz w:w="11911" w:h="16838"/>
          <w:pgMar w:top="2098" w:right="1474" w:bottom="1984" w:left="1587" w:header="0" w:footer="1196" w:gutter="0"/>
          <w:pgNumType w:start="1"/>
          <w:cols w:space="425" w:num="1"/>
        </w:sectPr>
      </w:pPr>
      <w:r>
        <w:rPr>
          <w:rFonts w:hint="eastAsia" w:ascii="Times New Roman" w:hAnsi="Times New Roman" w:cs="Times New Roman"/>
          <w:lang w:val="en-US"/>
        </w:rPr>
        <w:br w:type="page"/>
      </w:r>
    </w:p>
    <w:p>
      <w:pPr>
        <w:rPr>
          <w:rFonts w:ascii="Times New Roman" w:hAnsi="Times New Roman" w:eastAsia="方正黑体_GBK" w:cs="Times New Roman"/>
          <w:sz w:val="32"/>
          <w:szCs w:val="32"/>
          <w:lang w:val="en-US"/>
        </w:rPr>
      </w:pPr>
      <w:bookmarkStart w:id="109" w:name="_Toc18169"/>
      <w:r>
        <w:rPr>
          <w:rFonts w:hint="eastAsia" w:ascii="Times New Roman" w:hAnsi="Times New Roman" w:eastAsia="方正黑体_GBK" w:cs="Times New Roman"/>
          <w:sz w:val="32"/>
          <w:szCs w:val="32"/>
          <w:lang w:val="en-US"/>
        </w:rPr>
        <w:t>附件</w:t>
      </w:r>
      <w:bookmarkEnd w:id="109"/>
      <w:r>
        <w:rPr>
          <w:rFonts w:hint="eastAsia" w:ascii="Times New Roman" w:hAnsi="Times New Roman" w:eastAsia="方正黑体_GBK" w:cs="Times New Roman"/>
          <w:sz w:val="32"/>
          <w:szCs w:val="32"/>
          <w:lang w:val="en-US"/>
        </w:rPr>
        <w:t>1</w:t>
      </w:r>
    </w:p>
    <w:p>
      <w:pPr>
        <w:keepNext/>
        <w:keepLines/>
        <w:spacing w:before="100" w:after="100" w:line="560" w:lineRule="exact"/>
        <w:jc w:val="center"/>
        <w:rPr>
          <w:rFonts w:ascii="Times New Roman" w:hAnsi="Times New Roman" w:eastAsia="方正黑体_GBK" w:cs="方正黑体_GBK"/>
          <w:bCs/>
          <w:sz w:val="32"/>
          <w:szCs w:val="32"/>
          <w:lang w:val="en-US" w:bidi="ar-SA"/>
        </w:rPr>
      </w:pPr>
      <w:r>
        <w:rPr>
          <w:rFonts w:hint="eastAsia" w:ascii="Times New Roman" w:hAnsi="Times New Roman" w:eastAsia="方正黑体_GBK" w:cs="方正黑体_GBK"/>
          <w:bCs/>
          <w:sz w:val="32"/>
          <w:szCs w:val="32"/>
          <w:lang w:val="en-US" w:bidi="ar-SA"/>
        </w:rPr>
        <w:t>酉阳土家族苗族自治县李溪镇2022年监测户及脱贫户到位产业项目绩效评价综合评分情况表</w:t>
      </w:r>
    </w:p>
    <w:tbl>
      <w:tblPr>
        <w:tblStyle w:val="14"/>
        <w:tblW w:w="0" w:type="auto"/>
        <w:tblInd w:w="0" w:type="dxa"/>
        <w:tblLayout w:type="fixed"/>
        <w:tblCellMar>
          <w:top w:w="0" w:type="dxa"/>
          <w:left w:w="0" w:type="dxa"/>
          <w:bottom w:w="0" w:type="dxa"/>
          <w:right w:w="0" w:type="dxa"/>
        </w:tblCellMar>
      </w:tblPr>
      <w:tblGrid>
        <w:gridCol w:w="1233"/>
        <w:gridCol w:w="1850"/>
        <w:gridCol w:w="4775"/>
        <w:gridCol w:w="1021"/>
      </w:tblGrid>
      <w:tr>
        <w:tblPrEx>
          <w:tblCellMar>
            <w:top w:w="0" w:type="dxa"/>
            <w:left w:w="0" w:type="dxa"/>
            <w:bottom w:w="0" w:type="dxa"/>
            <w:right w:w="0" w:type="dxa"/>
          </w:tblCellMar>
        </w:tblPrEx>
        <w:trPr>
          <w:trHeight w:val="760" w:hRule="atLeast"/>
          <w:tblHeader/>
        </w:trPr>
        <w:tc>
          <w:tcPr>
            <w:tcW w:w="12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
                <w:sz w:val="24"/>
                <w:szCs w:val="24"/>
                <w:lang w:val="en-US" w:bidi="ar-SA"/>
              </w:rPr>
            </w:pPr>
            <w:bookmarkStart w:id="110" w:name="_Toc1725"/>
            <w:r>
              <w:rPr>
                <w:rFonts w:ascii="Times New Roman" w:hAnsi="Times New Roman" w:eastAsia="方正仿宋_GBK" w:cs="Arial"/>
                <w:b/>
                <w:sz w:val="24"/>
                <w:szCs w:val="24"/>
                <w:lang w:val="en-US" w:bidi="ar-SA"/>
              </w:rPr>
              <w:t>一级指标</w:t>
            </w: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二级指标</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三级指标</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
                <w:sz w:val="24"/>
                <w:szCs w:val="24"/>
                <w:lang w:val="en-US" w:bidi="ar-SA"/>
              </w:rPr>
            </w:pPr>
            <w:r>
              <w:rPr>
                <w:rFonts w:ascii="Times New Roman" w:hAnsi="Times New Roman" w:eastAsia="方正仿宋_GBK" w:cs="Arial"/>
                <w:b/>
                <w:sz w:val="24"/>
                <w:szCs w:val="24"/>
                <w:lang w:val="en-US" w:bidi="ar-SA"/>
              </w:rPr>
              <w:t>得分</w:t>
            </w:r>
          </w:p>
        </w:tc>
      </w:tr>
      <w:tr>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keepLines/>
              <w:spacing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投入</w:t>
            </w:r>
          </w:p>
          <w:p>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8</w:t>
            </w:r>
            <w:r>
              <w:rPr>
                <w:rFonts w:ascii="Times New Roman" w:hAnsi="Times New Roman" w:eastAsia="方正仿宋_GBK" w:cs="Arial"/>
                <w:bCs/>
                <w:sz w:val="28"/>
                <w:szCs w:val="28"/>
                <w:lang w:val="en-US" w:bidi="ar-SA"/>
              </w:rPr>
              <w:t>分）</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项目立项  </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（4分）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项目立项充分性（2分）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项目立项规范性（2分）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资金落实  </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（4分）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资金到位率（2分）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到位及时率（2分）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管理</w:t>
            </w:r>
          </w:p>
          <w:p>
            <w:pPr>
              <w:pStyle w:val="2"/>
              <w:jc w:val="center"/>
              <w:rPr>
                <w:rFonts w:ascii="Times New Roman"/>
                <w:color w:val="auto"/>
                <w:sz w:val="28"/>
                <w:szCs w:val="28"/>
              </w:rPr>
            </w:pPr>
            <w:r>
              <w:rPr>
                <w:rFonts w:hint="eastAsia" w:ascii="Times New Roman" w:eastAsia="方正仿宋_GBK" w:cs="Arial"/>
                <w:bCs/>
                <w:color w:val="auto"/>
                <w:sz w:val="28"/>
                <w:szCs w:val="28"/>
              </w:rPr>
              <w:t>（27分）</w:t>
            </w: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业务管理  </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业务管理制度健全性（</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制度执行有效性（</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 xml:space="preserve">财务管理 </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12</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财务管理制度健全性（</w:t>
            </w:r>
            <w:r>
              <w:rPr>
                <w:rFonts w:hint="eastAsia" w:ascii="Times New Roman" w:hAnsi="Times New Roman" w:eastAsia="方正仿宋_GBK" w:cs="Arial"/>
                <w:bCs/>
                <w:sz w:val="28"/>
                <w:szCs w:val="28"/>
                <w:lang w:val="en-US" w:bidi="ar-SA"/>
              </w:rPr>
              <w:t>4</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资金使用</w:t>
            </w:r>
            <w:r>
              <w:rPr>
                <w:rFonts w:hint="eastAsia" w:ascii="Times New Roman" w:hAnsi="Times New Roman" w:eastAsia="方正仿宋_GBK" w:cs="Arial"/>
                <w:bCs/>
                <w:sz w:val="28"/>
                <w:szCs w:val="28"/>
                <w:lang w:val="en-US" w:bidi="ar-SA"/>
              </w:rPr>
              <w:t>合规性</w:t>
            </w: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4</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财务监控有效性（4分）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产 出</w:t>
            </w:r>
          </w:p>
          <w:p>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（3</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8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数量指标</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（3</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帮扶落实情况（5分）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项目台账建立情况（5分）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到户帮扶指导工作完成率（5分）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restart"/>
            <w:tcBorders>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质量指标</w:t>
            </w:r>
          </w:p>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按标准发放奖补</w:t>
            </w:r>
            <w:r>
              <w:rPr>
                <w:rFonts w:ascii="Times New Roman" w:hAnsi="Times New Roman" w:eastAsia="方正仿宋_GBK" w:cs="Arial"/>
                <w:bCs/>
                <w:sz w:val="28"/>
                <w:szCs w:val="28"/>
                <w:lang w:val="en-US" w:bidi="ar-SA"/>
              </w:rPr>
              <w:t>（4分）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政策宣传知晓率（6分）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4.14</w:t>
            </w:r>
          </w:p>
        </w:tc>
      </w:tr>
      <w:tr>
        <w:tblPrEx>
          <w:tblCellMar>
            <w:top w:w="0" w:type="dxa"/>
            <w:left w:w="0" w:type="dxa"/>
            <w:bottom w:w="0" w:type="dxa"/>
            <w:right w:w="0" w:type="dxa"/>
          </w:tblCellMar>
        </w:tblPrEx>
        <w:trPr>
          <w:trHeight w:val="760" w:hRule="atLeast"/>
        </w:trPr>
        <w:tc>
          <w:tcPr>
            <w:tcW w:w="1233"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时效指标</w:t>
            </w:r>
          </w:p>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项目执行及时率（10分）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w:t>
            </w:r>
          </w:p>
        </w:tc>
      </w:tr>
      <w:tr>
        <w:tblPrEx>
          <w:tblCellMar>
            <w:top w:w="0" w:type="dxa"/>
            <w:left w:w="0" w:type="dxa"/>
            <w:bottom w:w="0" w:type="dxa"/>
            <w:right w:w="0" w:type="dxa"/>
          </w:tblCellMar>
        </w:tblPrEx>
        <w:trPr>
          <w:trHeight w:val="760" w:hRule="atLeast"/>
        </w:trPr>
        <w:tc>
          <w:tcPr>
            <w:tcW w:w="12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效 果</w:t>
            </w:r>
          </w:p>
          <w:p>
            <w:pPr>
              <w:keepNext/>
              <w:keepLines/>
              <w:spacing w:line="560" w:lineRule="exact"/>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35</w:t>
            </w:r>
            <w:r>
              <w:rPr>
                <w:rFonts w:ascii="Times New Roman" w:hAnsi="Times New Roman" w:eastAsia="方正仿宋_GBK" w:cs="Arial"/>
                <w:bCs/>
                <w:sz w:val="28"/>
                <w:szCs w:val="28"/>
                <w:lang w:val="en-US" w:bidi="ar-SA"/>
              </w:rPr>
              <w:t>分）</w:t>
            </w: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经济效益</w:t>
            </w:r>
          </w:p>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带动创收、增收（5分）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keepLines/>
              <w:spacing w:before="100" w:after="100" w:line="560" w:lineRule="exact"/>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restart"/>
            <w:tcBorders>
              <w:top w:val="single" w:color="000000" w:sz="4" w:space="0"/>
              <w:left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社会</w:t>
            </w:r>
            <w:r>
              <w:rPr>
                <w:rFonts w:ascii="Times New Roman" w:hAnsi="Times New Roman" w:eastAsia="方正仿宋_GBK" w:cs="Arial"/>
                <w:bCs/>
                <w:sz w:val="28"/>
                <w:szCs w:val="28"/>
                <w:lang w:val="en-US" w:bidi="ar-SA"/>
              </w:rPr>
              <w:t>效益</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10</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推进巩固拓展脱贫攻坚成果同乡村振兴有效衔接（5分）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5</w:t>
            </w:r>
          </w:p>
        </w:tc>
      </w:tr>
      <w:tr>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vMerge w:val="continue"/>
            <w:tcBorders>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多元化发展特色农业产业（5分）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2</w:t>
            </w:r>
          </w:p>
        </w:tc>
      </w:tr>
      <w:tr>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可持续效益</w:t>
            </w:r>
          </w:p>
          <w:p>
            <w:pPr>
              <w:jc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可持续效益（</w:t>
            </w:r>
            <w:r>
              <w:rPr>
                <w:rFonts w:hint="eastAsia" w:ascii="Times New Roman" w:hAnsi="Times New Roman" w:eastAsia="方正仿宋_GBK" w:cs="Arial"/>
                <w:bCs/>
                <w:sz w:val="28"/>
                <w:szCs w:val="28"/>
                <w:lang w:val="en-US" w:bidi="ar-SA"/>
              </w:rPr>
              <w:t>5</w:t>
            </w:r>
            <w:r>
              <w:rPr>
                <w:rFonts w:ascii="Times New Roman" w:hAnsi="Times New Roman" w:eastAsia="方正仿宋_GBK" w:cs="Arial"/>
                <w:bCs/>
                <w:sz w:val="28"/>
                <w:szCs w:val="28"/>
                <w:lang w:val="en-US" w:bidi="ar-SA"/>
              </w:rPr>
              <w:t>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4</w:t>
            </w:r>
          </w:p>
        </w:tc>
      </w:tr>
      <w:tr>
        <w:tblPrEx>
          <w:tblCellMar>
            <w:top w:w="0" w:type="dxa"/>
            <w:left w:w="0" w:type="dxa"/>
            <w:bottom w:w="0" w:type="dxa"/>
            <w:right w:w="0" w:type="dxa"/>
          </w:tblCellMar>
        </w:tblPrEx>
        <w:trPr>
          <w:trHeight w:val="760" w:hRule="atLeast"/>
        </w:trPr>
        <w:tc>
          <w:tcPr>
            <w:tcW w:w="12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p>
        </w:tc>
        <w:tc>
          <w:tcPr>
            <w:tcW w:w="18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社会公众或服务对象满意度</w:t>
            </w:r>
          </w:p>
          <w:p>
            <w:pPr>
              <w:widowControl/>
              <w:jc w:val="center"/>
              <w:textAlignment w:val="center"/>
              <w:rPr>
                <w:rFonts w:ascii="Times New Roman" w:hAnsi="Times New Roman" w:eastAsia="方正仿宋_GBK" w:cs="Arial"/>
                <w:bCs/>
                <w:sz w:val="28"/>
                <w:szCs w:val="28"/>
                <w:lang w:val="en-US" w:bidi="ar-SA"/>
              </w:rPr>
            </w:pPr>
            <w:r>
              <w:rPr>
                <w:rFonts w:ascii="Times New Roman" w:hAnsi="Times New Roman" w:eastAsia="方正仿宋_GBK" w:cs="Arial"/>
                <w:bCs/>
                <w:sz w:val="28"/>
                <w:szCs w:val="28"/>
                <w:lang w:val="en-US" w:bidi="ar-SA"/>
              </w:rPr>
              <w:t>（10分）</w:t>
            </w:r>
          </w:p>
        </w:tc>
        <w:tc>
          <w:tcPr>
            <w:tcW w:w="477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奖补对象</w:t>
            </w:r>
            <w:r>
              <w:rPr>
                <w:rFonts w:ascii="Times New Roman" w:hAnsi="Times New Roman" w:eastAsia="方正仿宋_GBK" w:cs="Arial"/>
                <w:bCs/>
                <w:sz w:val="28"/>
                <w:szCs w:val="28"/>
                <w:lang w:val="en-US" w:bidi="ar-SA"/>
              </w:rPr>
              <w:t>满意度（10分）</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10</w:t>
            </w:r>
          </w:p>
        </w:tc>
      </w:tr>
      <w:tr>
        <w:tblPrEx>
          <w:tblCellMar>
            <w:top w:w="0" w:type="dxa"/>
            <w:left w:w="0" w:type="dxa"/>
            <w:bottom w:w="0" w:type="dxa"/>
            <w:right w:w="0" w:type="dxa"/>
          </w:tblCellMar>
        </w:tblPrEx>
        <w:trPr>
          <w:trHeight w:val="675" w:hRule="atLeast"/>
        </w:trPr>
        <w:tc>
          <w:tcPr>
            <w:tcW w:w="7858"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jc w:val="center"/>
              <w:rPr>
                <w:rFonts w:ascii="Times New Roman" w:hAnsi="Times New Roman" w:eastAsia="方正仿宋_GBK" w:cs="Arial"/>
                <w:bCs/>
                <w:sz w:val="28"/>
                <w:szCs w:val="28"/>
                <w:lang w:val="en-US" w:bidi="ar-SA"/>
              </w:rPr>
            </w:pPr>
            <w:r>
              <w:rPr>
                <w:rFonts w:hint="eastAsia" w:ascii="Times New Roman" w:hAnsi="Times New Roman" w:eastAsia="方正仿宋_GBK" w:cs="Arial"/>
                <w:b/>
                <w:sz w:val="28"/>
                <w:szCs w:val="28"/>
                <w:lang w:val="en-US" w:bidi="ar-SA"/>
              </w:rPr>
              <w:t>合 计</w:t>
            </w:r>
          </w:p>
        </w:tc>
        <w:tc>
          <w:tcPr>
            <w:tcW w:w="1021"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widowControl/>
              <w:jc w:val="center"/>
              <w:textAlignment w:val="center"/>
              <w:rPr>
                <w:rFonts w:ascii="Times New Roman" w:hAnsi="Times New Roman" w:eastAsia="方正仿宋_GBK" w:cs="Arial"/>
                <w:bCs/>
                <w:sz w:val="28"/>
                <w:szCs w:val="28"/>
                <w:lang w:val="en-US" w:bidi="ar-SA"/>
              </w:rPr>
            </w:pPr>
            <w:r>
              <w:rPr>
                <w:rFonts w:hint="eastAsia" w:ascii="Times New Roman" w:hAnsi="Times New Roman" w:eastAsia="方正仿宋_GBK" w:cs="Arial"/>
                <w:bCs/>
                <w:sz w:val="28"/>
                <w:szCs w:val="28"/>
                <w:lang w:val="en-US" w:bidi="ar-SA"/>
              </w:rPr>
              <w:t>87.14</w:t>
            </w:r>
          </w:p>
        </w:tc>
      </w:tr>
    </w:tbl>
    <w:p>
      <w:pPr>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br w:type="page"/>
      </w:r>
    </w:p>
    <w:p>
      <w:pPr>
        <w:spacing w:line="600" w:lineRule="exact"/>
        <w:rPr>
          <w:rFonts w:ascii="Times New Roman" w:hAnsi="Times New Roman" w:eastAsia="方正黑体_GBK" w:cs="Times New Roman"/>
          <w:sz w:val="32"/>
          <w:szCs w:val="32"/>
          <w:lang w:val="en-US"/>
        </w:rPr>
      </w:pPr>
      <w:r>
        <w:rPr>
          <w:rFonts w:hint="eastAsia" w:ascii="Times New Roman" w:hAnsi="Times New Roman" w:eastAsia="方正黑体_GBK" w:cs="Times New Roman"/>
          <w:sz w:val="32"/>
          <w:szCs w:val="32"/>
          <w:lang w:val="en-US"/>
        </w:rPr>
        <w:t>附件</w:t>
      </w:r>
      <w:bookmarkEnd w:id="110"/>
      <w:r>
        <w:rPr>
          <w:rFonts w:hint="eastAsia" w:ascii="Times New Roman" w:hAnsi="Times New Roman" w:eastAsia="方正黑体_GBK" w:cs="Times New Roman"/>
          <w:sz w:val="32"/>
          <w:szCs w:val="32"/>
          <w:lang w:val="en-US"/>
        </w:rPr>
        <w:t>2</w:t>
      </w:r>
    </w:p>
    <w:p>
      <w:pPr>
        <w:spacing w:after="240" w:afterLines="100"/>
        <w:jc w:val="center"/>
        <w:rPr>
          <w:rFonts w:ascii="Times New Roman" w:hAnsi="Times New Roman" w:eastAsia="方正仿宋_GBK" w:cs="方正仿宋_GBK"/>
          <w:b/>
          <w:bCs/>
          <w:sz w:val="32"/>
          <w:szCs w:val="32"/>
          <w:lang w:val="en-US"/>
        </w:rPr>
      </w:pPr>
      <w:r>
        <w:rPr>
          <w:rFonts w:hint="eastAsia" w:ascii="Times New Roman" w:hAnsi="Times New Roman" w:eastAsia="方正仿宋_GBK" w:cs="方正仿宋_GBK"/>
          <w:b/>
          <w:bCs/>
          <w:sz w:val="32"/>
          <w:szCs w:val="32"/>
          <w:lang w:val="en-US"/>
        </w:rPr>
        <w:t>李溪镇2022年监测户及脱贫户到位产业项目满意度调查问卷</w:t>
      </w:r>
    </w:p>
    <w:p>
      <w:pPr>
        <w:spacing w:after="120" w:afterLines="50" w:line="500" w:lineRule="exact"/>
        <w:rPr>
          <w:rFonts w:ascii="Times New Roman" w:hAnsi="Times New Roman" w:eastAsia="方正仿宋_GBK" w:cs="方正仿宋_GBK"/>
          <w:b/>
          <w:bCs/>
          <w:sz w:val="28"/>
          <w:szCs w:val="28"/>
          <w:lang w:val="en-US"/>
        </w:rPr>
      </w:pPr>
      <w:bookmarkStart w:id="111" w:name="_Toc3770"/>
      <w:r>
        <w:rPr>
          <w:rFonts w:hint="eastAsia" w:ascii="Times New Roman" w:hAnsi="Times New Roman" w:eastAsia="方正仿宋_GBK" w:cs="方正仿宋_GBK"/>
          <w:b/>
          <w:bCs/>
          <w:sz w:val="28"/>
          <w:szCs w:val="28"/>
          <w:lang w:val="en-US"/>
        </w:rPr>
        <w:t>一、调查群众基本信息</w:t>
      </w:r>
      <w:bookmarkEnd w:id="111"/>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所属镇街：               姓名：            是否参加利益联结：是/否</w:t>
      </w:r>
    </w:p>
    <w:p>
      <w:pPr>
        <w:spacing w:after="120" w:afterLines="50" w:line="500" w:lineRule="exact"/>
        <w:rPr>
          <w:rFonts w:ascii="Times New Roman" w:hAnsi="Times New Roman" w:eastAsia="方正仿宋_GBK" w:cs="方正仿宋_GBK"/>
          <w:b/>
          <w:bCs/>
          <w:sz w:val="28"/>
          <w:szCs w:val="28"/>
          <w:lang w:val="en-US"/>
        </w:rPr>
      </w:pPr>
      <w:bookmarkStart w:id="112" w:name="_Toc5766"/>
      <w:r>
        <w:rPr>
          <w:rFonts w:hint="eastAsia" w:ascii="Times New Roman" w:hAnsi="Times New Roman" w:eastAsia="方正仿宋_GBK" w:cs="方正仿宋_GBK"/>
          <w:b/>
          <w:bCs/>
          <w:sz w:val="28"/>
          <w:szCs w:val="28"/>
          <w:lang w:val="en-US"/>
        </w:rPr>
        <w:t>二、调查问题</w:t>
      </w:r>
      <w:bookmarkEnd w:id="112"/>
    </w:p>
    <w:p>
      <w:pPr>
        <w:spacing w:line="500" w:lineRule="exact"/>
        <w:rPr>
          <w:rFonts w:ascii="Times New Roman" w:hAnsi="Times New Roman" w:eastAsia="方正仿宋_GBK" w:cs="方正仿宋_GBK"/>
          <w:b/>
          <w:bCs/>
          <w:sz w:val="28"/>
          <w:szCs w:val="28"/>
          <w:lang w:val="en-US"/>
        </w:rPr>
      </w:pPr>
      <w:bookmarkStart w:id="113" w:name="_Toc32010"/>
      <w:r>
        <w:rPr>
          <w:rFonts w:hint="eastAsia" w:ascii="Times New Roman" w:hAnsi="Times New Roman" w:eastAsia="方正仿宋_GBK" w:cs="方正仿宋_GBK"/>
          <w:b/>
          <w:bCs/>
          <w:sz w:val="28"/>
          <w:szCs w:val="28"/>
          <w:lang w:val="en-US"/>
        </w:rPr>
        <w:t>（一）知晓度问题</w:t>
      </w:r>
      <w:bookmarkEnd w:id="113"/>
    </w:p>
    <w:p>
      <w:pPr>
        <w:spacing w:line="500" w:lineRule="exact"/>
        <w:rPr>
          <w:rFonts w:ascii="Times New Roman" w:hAnsi="Times New Roman" w:eastAsia="方正仿宋_GBK" w:cs="方正仿宋_GBK"/>
          <w:sz w:val="28"/>
          <w:szCs w:val="28"/>
          <w:lang w:val="en-US"/>
        </w:rPr>
      </w:pPr>
      <w:bookmarkStart w:id="114" w:name="_Toc21297"/>
      <w:r>
        <w:rPr>
          <w:rFonts w:hint="eastAsia" w:ascii="Times New Roman" w:hAnsi="Times New Roman" w:eastAsia="方正仿宋_GBK" w:cs="方正仿宋_GBK"/>
          <w:sz w:val="28"/>
          <w:szCs w:val="28"/>
          <w:lang w:val="en-US"/>
        </w:rPr>
        <w:t>1、您对李溪镇2022年监测户及脱贫户到位产业项目的了解程度为（  ）</w:t>
      </w:r>
      <w:bookmarkEnd w:id="114"/>
    </w:p>
    <w:p>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A.非常了解           B.比较了解 </w:t>
      </w:r>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15" w:name="_Toc26967"/>
      <w:r>
        <w:rPr>
          <w:rFonts w:hint="eastAsia" w:ascii="Times New Roman" w:hAnsi="Times New Roman" w:eastAsia="方正仿宋_GBK" w:cs="方正仿宋_GBK"/>
          <w:sz w:val="28"/>
          <w:szCs w:val="28"/>
          <w:lang w:val="en-US"/>
        </w:rPr>
        <w:t xml:space="preserve">  C.基本了解           D.不太了解</w:t>
      </w:r>
      <w:bookmarkEnd w:id="115"/>
    </w:p>
    <w:p>
      <w:pPr>
        <w:spacing w:line="500" w:lineRule="exact"/>
        <w:rPr>
          <w:rFonts w:ascii="Times New Roman" w:hAnsi="Times New Roman" w:eastAsia="方正仿宋_GBK" w:cs="方正仿宋_GBK"/>
          <w:sz w:val="28"/>
          <w:szCs w:val="28"/>
          <w:lang w:val="en-US"/>
        </w:rPr>
      </w:pPr>
      <w:bookmarkStart w:id="116" w:name="_Toc31749"/>
      <w:r>
        <w:rPr>
          <w:rFonts w:hint="eastAsia" w:ascii="Times New Roman" w:hAnsi="Times New Roman" w:eastAsia="方正仿宋_GBK" w:cs="方正仿宋_GBK"/>
          <w:sz w:val="28"/>
          <w:szCs w:val="28"/>
          <w:lang w:val="en-US"/>
        </w:rPr>
        <w:t>2、您认为李溪镇2022年监测户及脱贫户到位产业项目宣传工作是否到位（  ）</w:t>
      </w:r>
      <w:bookmarkEnd w:id="116"/>
    </w:p>
    <w:p>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A.非常到位           B.比较到位  </w:t>
      </w:r>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C.基本到位           D.不太到位</w:t>
      </w:r>
    </w:p>
    <w:p>
      <w:pPr>
        <w:spacing w:line="500" w:lineRule="exact"/>
        <w:rPr>
          <w:rFonts w:ascii="Times New Roman" w:hAnsi="Times New Roman" w:eastAsia="方正仿宋_GBK" w:cs="方正仿宋_GBK"/>
          <w:b/>
          <w:bCs/>
          <w:sz w:val="28"/>
          <w:szCs w:val="28"/>
          <w:lang w:val="en-US"/>
        </w:rPr>
      </w:pPr>
      <w:bookmarkStart w:id="117" w:name="_Toc10190"/>
      <w:r>
        <w:rPr>
          <w:rFonts w:hint="eastAsia" w:ascii="Times New Roman" w:hAnsi="Times New Roman" w:eastAsia="方正仿宋_GBK" w:cs="方正仿宋_GBK"/>
          <w:b/>
          <w:bCs/>
          <w:sz w:val="28"/>
          <w:szCs w:val="28"/>
          <w:lang w:val="en-US"/>
        </w:rPr>
        <w:t>（二）满意度问题</w:t>
      </w:r>
      <w:bookmarkEnd w:id="117"/>
      <w:r>
        <w:rPr>
          <w:rFonts w:hint="eastAsia" w:ascii="Times New Roman" w:hAnsi="Times New Roman" w:eastAsia="方正仿宋_GBK" w:cs="方正仿宋_GBK"/>
          <w:b/>
          <w:bCs/>
          <w:sz w:val="28"/>
          <w:szCs w:val="28"/>
          <w:lang w:val="en-US"/>
        </w:rPr>
        <w:t xml:space="preserve"> </w:t>
      </w:r>
    </w:p>
    <w:p>
      <w:pPr>
        <w:spacing w:line="500" w:lineRule="exact"/>
        <w:rPr>
          <w:rFonts w:ascii="Times New Roman" w:hAnsi="Times New Roman" w:eastAsia="方正仿宋_GBK" w:cs="方正仿宋_GBK"/>
          <w:sz w:val="28"/>
          <w:szCs w:val="28"/>
          <w:lang w:val="en-US"/>
        </w:rPr>
      </w:pPr>
      <w:bookmarkStart w:id="118" w:name="_Toc3945"/>
      <w:r>
        <w:rPr>
          <w:rFonts w:hint="eastAsia" w:ascii="Times New Roman" w:hAnsi="Times New Roman" w:eastAsia="方正仿宋_GBK" w:cs="方正仿宋_GBK"/>
          <w:sz w:val="28"/>
          <w:szCs w:val="28"/>
          <w:lang w:val="en-US"/>
        </w:rPr>
        <w:t>1、您对李溪镇2022年监测户及脱贫户到位产业项目整体评价为（  ）</w:t>
      </w:r>
      <w:bookmarkEnd w:id="118"/>
    </w:p>
    <w:p>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19" w:name="_Toc5219"/>
      <w:r>
        <w:rPr>
          <w:rFonts w:hint="eastAsia" w:ascii="Times New Roman" w:hAnsi="Times New Roman" w:eastAsia="方正仿宋_GBK" w:cs="方正仿宋_GBK"/>
          <w:sz w:val="28"/>
          <w:szCs w:val="28"/>
          <w:lang w:val="en-US"/>
        </w:rPr>
        <w:t xml:space="preserve">  C.基本满意           D.不太满意</w:t>
      </w:r>
      <w:bookmarkEnd w:id="119"/>
    </w:p>
    <w:p>
      <w:pPr>
        <w:spacing w:line="500" w:lineRule="exact"/>
        <w:rPr>
          <w:rFonts w:ascii="Times New Roman" w:hAnsi="Times New Roman" w:eastAsia="方正仿宋_GBK" w:cs="方正仿宋_GBK"/>
          <w:sz w:val="28"/>
          <w:szCs w:val="28"/>
          <w:lang w:val="en-US"/>
        </w:rPr>
      </w:pPr>
      <w:bookmarkStart w:id="120" w:name="_Toc7175"/>
      <w:r>
        <w:rPr>
          <w:rFonts w:hint="eastAsia" w:ascii="Times New Roman" w:hAnsi="Times New Roman" w:eastAsia="方正仿宋_GBK" w:cs="方正仿宋_GBK"/>
          <w:sz w:val="28"/>
          <w:szCs w:val="28"/>
          <w:lang w:val="en-US"/>
        </w:rPr>
        <w:t>2、您对农业产业指导员到户走访帮扶工作的满意度评价为（  ）</w:t>
      </w:r>
      <w:bookmarkEnd w:id="120"/>
    </w:p>
    <w:p>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C.基本满意           D.不太满意 </w:t>
      </w:r>
    </w:p>
    <w:p>
      <w:pPr>
        <w:spacing w:line="500" w:lineRule="exact"/>
        <w:rPr>
          <w:rFonts w:ascii="Times New Roman" w:hAnsi="Times New Roman" w:eastAsia="方正仿宋_GBK" w:cs="方正仿宋_GBK"/>
          <w:sz w:val="28"/>
          <w:szCs w:val="28"/>
          <w:lang w:val="en-US"/>
        </w:rPr>
      </w:pPr>
      <w:bookmarkStart w:id="121" w:name="_Toc9105"/>
      <w:r>
        <w:rPr>
          <w:rFonts w:hint="eastAsia" w:ascii="Times New Roman" w:hAnsi="Times New Roman" w:eastAsia="方正仿宋_GBK" w:cs="方正仿宋_GBK"/>
          <w:sz w:val="28"/>
          <w:szCs w:val="28"/>
          <w:lang w:val="en-US"/>
        </w:rPr>
        <w:t>3、您对项目实现增收的效果满意度评价为（  ）</w:t>
      </w:r>
      <w:bookmarkEnd w:id="121"/>
    </w:p>
    <w:p>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22" w:name="_Toc19197"/>
      <w:r>
        <w:rPr>
          <w:rFonts w:hint="eastAsia" w:ascii="Times New Roman" w:hAnsi="Times New Roman" w:eastAsia="方正仿宋_GBK" w:cs="方正仿宋_GBK"/>
          <w:sz w:val="28"/>
          <w:szCs w:val="28"/>
          <w:lang w:val="en-US"/>
        </w:rPr>
        <w:t xml:space="preserve">  C.基本满意           D.不太满意</w:t>
      </w:r>
      <w:bookmarkEnd w:id="122"/>
    </w:p>
    <w:p>
      <w:pPr>
        <w:spacing w:line="500" w:lineRule="exact"/>
        <w:rPr>
          <w:rFonts w:ascii="Times New Roman" w:hAnsi="Times New Roman" w:eastAsia="方正仿宋_GBK" w:cs="方正仿宋_GBK"/>
          <w:sz w:val="28"/>
          <w:szCs w:val="28"/>
          <w:lang w:val="en-US"/>
        </w:rPr>
      </w:pPr>
      <w:bookmarkStart w:id="123" w:name="_Toc3662"/>
      <w:r>
        <w:rPr>
          <w:rFonts w:hint="eastAsia" w:ascii="Times New Roman" w:hAnsi="Times New Roman" w:eastAsia="方正仿宋_GBK" w:cs="方正仿宋_GBK"/>
          <w:sz w:val="28"/>
          <w:szCs w:val="28"/>
          <w:lang w:val="en-US"/>
        </w:rPr>
        <w:t>4、您对奖补金额发放到位时间是否满意（  ）</w:t>
      </w:r>
      <w:bookmarkEnd w:id="123"/>
    </w:p>
    <w:p>
      <w:pPr>
        <w:spacing w:line="500" w:lineRule="exact"/>
        <w:ind w:firstLine="280" w:firstLineChars="100"/>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A.非常满意           B.比较满意  </w:t>
      </w:r>
    </w:p>
    <w:p>
      <w:pPr>
        <w:spacing w:line="500" w:lineRule="exact"/>
        <w:rPr>
          <w:rFonts w:ascii="Times New Roman" w:hAnsi="Times New Roman" w:eastAsia="方正仿宋_GBK" w:cs="方正仿宋_GBK"/>
          <w:sz w:val="28"/>
          <w:szCs w:val="28"/>
          <w:lang w:val="en-US"/>
        </w:rPr>
      </w:pPr>
      <w:r>
        <w:rPr>
          <w:rFonts w:hint="eastAsia" w:ascii="Times New Roman" w:hAnsi="Times New Roman" w:eastAsia="方正仿宋_GBK" w:cs="方正仿宋_GBK"/>
          <w:sz w:val="28"/>
          <w:szCs w:val="28"/>
          <w:lang w:val="en-US"/>
        </w:rPr>
        <w:t xml:space="preserve">  </w:t>
      </w:r>
      <w:bookmarkStart w:id="124" w:name="_Toc31887"/>
      <w:r>
        <w:rPr>
          <w:rFonts w:hint="eastAsia" w:ascii="Times New Roman" w:hAnsi="Times New Roman" w:eastAsia="方正仿宋_GBK" w:cs="方正仿宋_GBK"/>
          <w:sz w:val="28"/>
          <w:szCs w:val="28"/>
          <w:lang w:val="en-US"/>
        </w:rPr>
        <w:t xml:space="preserve">  C.基本满意           D.不太满意</w:t>
      </w:r>
      <w:bookmarkEnd w:id="124"/>
    </w:p>
    <w:p>
      <w:pPr>
        <w:spacing w:line="500" w:lineRule="exact"/>
        <w:rPr>
          <w:rFonts w:ascii="Times New Roman" w:hAnsi="Times New Roman" w:eastAsia="方正黑体_GBK" w:cs="Times New Roman"/>
          <w:sz w:val="32"/>
          <w:szCs w:val="32"/>
          <w:lang w:val="en-US"/>
        </w:rPr>
      </w:pPr>
      <w:r>
        <w:rPr>
          <w:rFonts w:hint="eastAsia" w:ascii="Times New Roman" w:hAnsi="Times New Roman" w:eastAsia="方正仿宋_GBK" w:cs="方正仿宋_GBK"/>
          <w:sz w:val="28"/>
          <w:szCs w:val="28"/>
          <w:lang w:val="en-US"/>
        </w:rPr>
        <w:t>5、您对李溪镇2022年监测户及脱贫户到位产业项目有哪些意见或建议？</w:t>
      </w:r>
      <w:r>
        <w:rPr>
          <w:rFonts w:hint="eastAsia" w:ascii="Times New Roman" w:hAnsi="Times New Roman" w:eastAsia="方正仿宋_GBK" w:cs="方正仿宋_GBK"/>
          <w:sz w:val="32"/>
          <w:szCs w:val="32"/>
        </w:rPr>
        <w:br w:type="page"/>
      </w:r>
      <w:r>
        <w:rPr>
          <w:rFonts w:hint="eastAsia" w:ascii="Times New Roman" w:hAnsi="Times New Roman" w:eastAsia="方正黑体_GBK" w:cs="Times New Roman"/>
          <w:sz w:val="32"/>
          <w:szCs w:val="32"/>
          <w:lang w:val="en-US"/>
        </w:rPr>
        <w:t>附件3</w:t>
      </w:r>
    </w:p>
    <w:p>
      <w:pPr>
        <w:pStyle w:val="32"/>
        <w:autoSpaceDE/>
        <w:autoSpaceDN/>
        <w:ind w:firstLine="0" w:firstLineChars="0"/>
        <w:rPr>
          <w:rFonts w:ascii="Times New Roman" w:hAnsi="Times New Roman" w:eastAsia="方正仿宋_GBK" w:cs="方正仿宋_GBK"/>
          <w:sz w:val="32"/>
          <w:szCs w:val="32"/>
          <w:lang w:val="en-US"/>
        </w:rPr>
      </w:pPr>
      <w:r>
        <w:rPr>
          <w:rFonts w:hint="eastAsia" w:ascii="Times New Roman" w:hAnsi="Times New Roman" w:eastAsia="方正仿宋_GBK" w:cs="方正仿宋_GBK"/>
          <w:sz w:val="32"/>
          <w:szCs w:val="32"/>
          <w:lang w:val="en-US" w:bidi="ar-SA"/>
        </w:rPr>
        <w:drawing>
          <wp:inline distT="0" distB="0" distL="114300" distR="114300">
            <wp:extent cx="8775700" cy="5574665"/>
            <wp:effectExtent l="0" t="0" r="6985" b="6350"/>
            <wp:docPr id="2" name="图片 2" descr="飞如咨询营业执照副本_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飞如咨询营业执照副本_00"/>
                    <pic:cNvPicPr>
                      <a:picLocks noChangeAspect="1"/>
                    </pic:cNvPicPr>
                  </pic:nvPicPr>
                  <pic:blipFill>
                    <a:blip r:embed="rId11"/>
                    <a:stretch>
                      <a:fillRect/>
                    </a:stretch>
                  </pic:blipFill>
                  <pic:spPr>
                    <a:xfrm rot="16200000">
                      <a:off x="0" y="0"/>
                      <a:ext cx="8775700" cy="5574665"/>
                    </a:xfrm>
                    <a:prstGeom prst="rect">
                      <a:avLst/>
                    </a:prstGeom>
                  </pic:spPr>
                </pic:pic>
              </a:graphicData>
            </a:graphic>
          </wp:inline>
        </w:drawing>
      </w:r>
    </w:p>
    <w:sectPr>
      <w:footerReference r:id="rId4" w:type="default"/>
      <w:pgSz w:w="11911" w:h="16838"/>
      <w:pgMar w:top="1134" w:right="1531" w:bottom="1134" w:left="1531" w:header="0" w:footer="1196" w:gutter="0"/>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仿宋_GB2312">
    <w:altName w:val="仿宋"/>
    <w:panose1 w:val="02010609030101010101"/>
    <w:charset w:val="86"/>
    <w:family w:val="modern"/>
    <w:pitch w:val="default"/>
    <w:sig w:usb0="00000000" w:usb1="00000000" w:usb2="00000010" w:usb3="00000000" w:csb0="00040000" w:csb1="00000000"/>
  </w:font>
  <w:font w:name="方正小标宋_GBK">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auto"/>
    <w:pitch w:val="default"/>
    <w:sig w:usb0="00000000" w:usb1="0000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Arial">
    <w:panose1 w:val="020B0604020202020204"/>
    <w:charset w:val="00"/>
    <w:family w:val="swiss"/>
    <w:pitch w:val="default"/>
    <w:sig w:usb0="E0002EFF" w:usb1="C000785B" w:usb2="00000009" w:usb3="00000000" w:csb0="400001FF" w:csb1="FFFF0000"/>
  </w:font>
  <w:font w:name="方正楷体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r>
      <w:rPr>
        <w:sz w:val="20"/>
        <w:lang w:val="en-US" w:bidi="ar-SA"/>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9"/>
                    </w:pPr>
                    <w:r>
                      <w:rPr>
                        <w:rFonts w:hint="eastAsia"/>
                      </w:rPr>
                      <w:fldChar w:fldCharType="begin"/>
                    </w:r>
                    <w:r>
                      <w:rPr>
                        <w:rFonts w:hint="eastAsia"/>
                      </w:rPr>
                      <w:instrText xml:space="preserve"> PAGE  \* MERGEFORMAT </w:instrText>
                    </w:r>
                    <w:r>
                      <w:rPr>
                        <w:rFonts w:hint="eastAsia"/>
                      </w:rPr>
                      <w:fldChar w:fldCharType="separate"/>
                    </w:r>
                    <w:r>
                      <w:t>3</w:t>
                    </w:r>
                    <w:r>
                      <w:rPr>
                        <w:rFonts w:hint="eastAsia"/>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603794E"/>
    <w:multiLevelType w:val="singleLevel"/>
    <w:tmpl w:val="E603794E"/>
    <w:lvl w:ilvl="0" w:tentative="0">
      <w:start w:val="2"/>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documentProtection w:enforcement="0"/>
  <w:defaultTabStop w:val="720"/>
  <w:drawingGridHorizontalSpacing w:val="110"/>
  <w:noPunctuationKerning w:val="1"/>
  <w:characterSpacingControl w:val="doNotCompress"/>
  <w:compat>
    <w:ulTrailSpac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RlMTI0ZmZkNWVkNDk2ZTg4NWYwOTQyMjQxMmY4NGEifQ=="/>
    <w:docVar w:name="KSO_WPS_MARK_KEY" w:val="d9964f6e-18f3-437f-805d-9ff0eac714c3"/>
  </w:docVars>
  <w:rsids>
    <w:rsidRoot w:val="006244D5"/>
    <w:rsid w:val="0004550B"/>
    <w:rsid w:val="00067D85"/>
    <w:rsid w:val="00241F9A"/>
    <w:rsid w:val="00352991"/>
    <w:rsid w:val="004249AF"/>
    <w:rsid w:val="00512410"/>
    <w:rsid w:val="00565E7A"/>
    <w:rsid w:val="005933F6"/>
    <w:rsid w:val="006244D5"/>
    <w:rsid w:val="00790E96"/>
    <w:rsid w:val="00CA4056"/>
    <w:rsid w:val="00D5495D"/>
    <w:rsid w:val="00E21C6F"/>
    <w:rsid w:val="015A3F5B"/>
    <w:rsid w:val="01683783"/>
    <w:rsid w:val="019874FD"/>
    <w:rsid w:val="01D55DDE"/>
    <w:rsid w:val="01D63375"/>
    <w:rsid w:val="02003D01"/>
    <w:rsid w:val="029C6870"/>
    <w:rsid w:val="02A172F7"/>
    <w:rsid w:val="02BA0C0F"/>
    <w:rsid w:val="02C42123"/>
    <w:rsid w:val="02E252C9"/>
    <w:rsid w:val="02E828A9"/>
    <w:rsid w:val="02F9038C"/>
    <w:rsid w:val="031102F2"/>
    <w:rsid w:val="03166721"/>
    <w:rsid w:val="032C395A"/>
    <w:rsid w:val="03806EEB"/>
    <w:rsid w:val="038250C9"/>
    <w:rsid w:val="03C90905"/>
    <w:rsid w:val="03EC404F"/>
    <w:rsid w:val="042104B6"/>
    <w:rsid w:val="046F1E35"/>
    <w:rsid w:val="046F36B0"/>
    <w:rsid w:val="04793EA6"/>
    <w:rsid w:val="04C81350"/>
    <w:rsid w:val="04EE3780"/>
    <w:rsid w:val="04F80D9E"/>
    <w:rsid w:val="05083A6D"/>
    <w:rsid w:val="05240026"/>
    <w:rsid w:val="055B0EDE"/>
    <w:rsid w:val="05972CC9"/>
    <w:rsid w:val="05A30AD4"/>
    <w:rsid w:val="05EB09CA"/>
    <w:rsid w:val="06C175FD"/>
    <w:rsid w:val="06DA2E91"/>
    <w:rsid w:val="07083A18"/>
    <w:rsid w:val="0711795A"/>
    <w:rsid w:val="075306D3"/>
    <w:rsid w:val="077F71B4"/>
    <w:rsid w:val="079B2C23"/>
    <w:rsid w:val="07AB17E5"/>
    <w:rsid w:val="07F5211D"/>
    <w:rsid w:val="082D69F6"/>
    <w:rsid w:val="082F71DB"/>
    <w:rsid w:val="083E7AE7"/>
    <w:rsid w:val="0863197F"/>
    <w:rsid w:val="08C3672A"/>
    <w:rsid w:val="08F137D2"/>
    <w:rsid w:val="08F858A4"/>
    <w:rsid w:val="09044958"/>
    <w:rsid w:val="092E38C6"/>
    <w:rsid w:val="09306D58"/>
    <w:rsid w:val="095C7B4D"/>
    <w:rsid w:val="0965108F"/>
    <w:rsid w:val="098A5507"/>
    <w:rsid w:val="098C6D85"/>
    <w:rsid w:val="09934E69"/>
    <w:rsid w:val="09A97220"/>
    <w:rsid w:val="09C86CDE"/>
    <w:rsid w:val="09F5047C"/>
    <w:rsid w:val="0A1874BB"/>
    <w:rsid w:val="0A2A3A2F"/>
    <w:rsid w:val="0A316AA0"/>
    <w:rsid w:val="0A3F72FF"/>
    <w:rsid w:val="0A6673DA"/>
    <w:rsid w:val="0ABD2B14"/>
    <w:rsid w:val="0B1F3CF3"/>
    <w:rsid w:val="0B534AEA"/>
    <w:rsid w:val="0B7A453D"/>
    <w:rsid w:val="0B7B582E"/>
    <w:rsid w:val="0BA45E9D"/>
    <w:rsid w:val="0BB12263"/>
    <w:rsid w:val="0BBD516A"/>
    <w:rsid w:val="0C4853E3"/>
    <w:rsid w:val="0C547C5B"/>
    <w:rsid w:val="0C836789"/>
    <w:rsid w:val="0CE52586"/>
    <w:rsid w:val="0CE852BF"/>
    <w:rsid w:val="0D2C1532"/>
    <w:rsid w:val="0D426E03"/>
    <w:rsid w:val="0D5F1D2F"/>
    <w:rsid w:val="0D842B28"/>
    <w:rsid w:val="0DC112E7"/>
    <w:rsid w:val="0DC31C70"/>
    <w:rsid w:val="0DE34E63"/>
    <w:rsid w:val="0DED5359"/>
    <w:rsid w:val="0E2E6128"/>
    <w:rsid w:val="0E4A4EFD"/>
    <w:rsid w:val="0E53520E"/>
    <w:rsid w:val="0E5F38A6"/>
    <w:rsid w:val="0E820056"/>
    <w:rsid w:val="0EAD08CB"/>
    <w:rsid w:val="0ED7055A"/>
    <w:rsid w:val="0EE86771"/>
    <w:rsid w:val="0EEA4D73"/>
    <w:rsid w:val="0F133A47"/>
    <w:rsid w:val="0F3D0999"/>
    <w:rsid w:val="0F6F0288"/>
    <w:rsid w:val="0F8B4523"/>
    <w:rsid w:val="0FA04579"/>
    <w:rsid w:val="0FAC69A2"/>
    <w:rsid w:val="0FBA495B"/>
    <w:rsid w:val="0FD214A3"/>
    <w:rsid w:val="103B592F"/>
    <w:rsid w:val="10480502"/>
    <w:rsid w:val="108E438F"/>
    <w:rsid w:val="109B0B7C"/>
    <w:rsid w:val="10B55C89"/>
    <w:rsid w:val="114C3107"/>
    <w:rsid w:val="115B7B25"/>
    <w:rsid w:val="11824F75"/>
    <w:rsid w:val="1189460F"/>
    <w:rsid w:val="118D7DA0"/>
    <w:rsid w:val="11B60B2B"/>
    <w:rsid w:val="11B90F2C"/>
    <w:rsid w:val="11BA77DC"/>
    <w:rsid w:val="11BB7121"/>
    <w:rsid w:val="11BE581C"/>
    <w:rsid w:val="121F6908"/>
    <w:rsid w:val="126A07BD"/>
    <w:rsid w:val="12AA4FE8"/>
    <w:rsid w:val="12C7422C"/>
    <w:rsid w:val="12EF7287"/>
    <w:rsid w:val="130F5F5B"/>
    <w:rsid w:val="139B6C01"/>
    <w:rsid w:val="13E41F25"/>
    <w:rsid w:val="13F90453"/>
    <w:rsid w:val="140E5EE8"/>
    <w:rsid w:val="14331EE2"/>
    <w:rsid w:val="14347C98"/>
    <w:rsid w:val="14590AE5"/>
    <w:rsid w:val="14681AE4"/>
    <w:rsid w:val="14AF695E"/>
    <w:rsid w:val="14B23F21"/>
    <w:rsid w:val="14C03DC6"/>
    <w:rsid w:val="14C21CB9"/>
    <w:rsid w:val="15362824"/>
    <w:rsid w:val="15516C94"/>
    <w:rsid w:val="159F7737"/>
    <w:rsid w:val="15B42132"/>
    <w:rsid w:val="15BA3129"/>
    <w:rsid w:val="15C4237D"/>
    <w:rsid w:val="15E738E4"/>
    <w:rsid w:val="15F871B9"/>
    <w:rsid w:val="16206EA7"/>
    <w:rsid w:val="16585AA6"/>
    <w:rsid w:val="16743D7A"/>
    <w:rsid w:val="16AE5D10"/>
    <w:rsid w:val="16D669B7"/>
    <w:rsid w:val="16DE579C"/>
    <w:rsid w:val="16E752D0"/>
    <w:rsid w:val="16F9788C"/>
    <w:rsid w:val="173A5BFF"/>
    <w:rsid w:val="17416797"/>
    <w:rsid w:val="1744435A"/>
    <w:rsid w:val="17A02689"/>
    <w:rsid w:val="17A65E45"/>
    <w:rsid w:val="17B85B31"/>
    <w:rsid w:val="17CB398B"/>
    <w:rsid w:val="18074676"/>
    <w:rsid w:val="180B65AB"/>
    <w:rsid w:val="18172726"/>
    <w:rsid w:val="18187942"/>
    <w:rsid w:val="182E0B2E"/>
    <w:rsid w:val="18521F51"/>
    <w:rsid w:val="18FA0228"/>
    <w:rsid w:val="18FF6BF1"/>
    <w:rsid w:val="193667C5"/>
    <w:rsid w:val="19484C7F"/>
    <w:rsid w:val="196D49B7"/>
    <w:rsid w:val="1983795E"/>
    <w:rsid w:val="19AF2F90"/>
    <w:rsid w:val="19BB0C68"/>
    <w:rsid w:val="19BC3524"/>
    <w:rsid w:val="19CB55E1"/>
    <w:rsid w:val="19DA7C15"/>
    <w:rsid w:val="19EB27D8"/>
    <w:rsid w:val="1A2367C2"/>
    <w:rsid w:val="1A314890"/>
    <w:rsid w:val="1A807514"/>
    <w:rsid w:val="1ABA6F1D"/>
    <w:rsid w:val="1AD87B7D"/>
    <w:rsid w:val="1ADC6053"/>
    <w:rsid w:val="1ADF004E"/>
    <w:rsid w:val="1B1D48D7"/>
    <w:rsid w:val="1B656C9B"/>
    <w:rsid w:val="1B6A434C"/>
    <w:rsid w:val="1B775C21"/>
    <w:rsid w:val="1B81713C"/>
    <w:rsid w:val="1B861F29"/>
    <w:rsid w:val="1BAE55F8"/>
    <w:rsid w:val="1BED1EC2"/>
    <w:rsid w:val="1BEE68D0"/>
    <w:rsid w:val="1C6A6503"/>
    <w:rsid w:val="1C8054D8"/>
    <w:rsid w:val="1CE80A97"/>
    <w:rsid w:val="1D036703"/>
    <w:rsid w:val="1D162AF5"/>
    <w:rsid w:val="1D181666"/>
    <w:rsid w:val="1D183F2A"/>
    <w:rsid w:val="1D1C4952"/>
    <w:rsid w:val="1D213F28"/>
    <w:rsid w:val="1D690CE3"/>
    <w:rsid w:val="1DC238A2"/>
    <w:rsid w:val="1DD1262B"/>
    <w:rsid w:val="1E232711"/>
    <w:rsid w:val="1E242AE4"/>
    <w:rsid w:val="1E414B44"/>
    <w:rsid w:val="1E430C83"/>
    <w:rsid w:val="1E5F309E"/>
    <w:rsid w:val="1E8862E1"/>
    <w:rsid w:val="1E963843"/>
    <w:rsid w:val="1E9F5DBC"/>
    <w:rsid w:val="1EB479C7"/>
    <w:rsid w:val="1EBB6E23"/>
    <w:rsid w:val="1EDC4E98"/>
    <w:rsid w:val="1EEC0D97"/>
    <w:rsid w:val="1F186FC2"/>
    <w:rsid w:val="1F25612C"/>
    <w:rsid w:val="1F262C04"/>
    <w:rsid w:val="1F3268A8"/>
    <w:rsid w:val="1F346211"/>
    <w:rsid w:val="1F383EEA"/>
    <w:rsid w:val="1F3D5929"/>
    <w:rsid w:val="1F9C1140"/>
    <w:rsid w:val="1F9E5604"/>
    <w:rsid w:val="1FE67D19"/>
    <w:rsid w:val="1FEF3661"/>
    <w:rsid w:val="1FFB1F7F"/>
    <w:rsid w:val="20141263"/>
    <w:rsid w:val="201C701D"/>
    <w:rsid w:val="20245242"/>
    <w:rsid w:val="207E0A2F"/>
    <w:rsid w:val="209938BA"/>
    <w:rsid w:val="20A822D2"/>
    <w:rsid w:val="20DC578E"/>
    <w:rsid w:val="20E12535"/>
    <w:rsid w:val="20F61D14"/>
    <w:rsid w:val="211117B9"/>
    <w:rsid w:val="212F76CD"/>
    <w:rsid w:val="213F5A5C"/>
    <w:rsid w:val="215221FA"/>
    <w:rsid w:val="216953D5"/>
    <w:rsid w:val="217D5FB8"/>
    <w:rsid w:val="22014A35"/>
    <w:rsid w:val="226B069B"/>
    <w:rsid w:val="22731DD5"/>
    <w:rsid w:val="229009FF"/>
    <w:rsid w:val="229D2BF1"/>
    <w:rsid w:val="22A0270B"/>
    <w:rsid w:val="22D7355D"/>
    <w:rsid w:val="22E96DB0"/>
    <w:rsid w:val="22EB15A1"/>
    <w:rsid w:val="230C58A1"/>
    <w:rsid w:val="2332324E"/>
    <w:rsid w:val="2335523F"/>
    <w:rsid w:val="233F3995"/>
    <w:rsid w:val="23427276"/>
    <w:rsid w:val="2346360F"/>
    <w:rsid w:val="23B13C20"/>
    <w:rsid w:val="23D45BCF"/>
    <w:rsid w:val="23D62E94"/>
    <w:rsid w:val="244E44AC"/>
    <w:rsid w:val="244F7307"/>
    <w:rsid w:val="247817E2"/>
    <w:rsid w:val="24D76C97"/>
    <w:rsid w:val="24DF4C76"/>
    <w:rsid w:val="24EC7B7F"/>
    <w:rsid w:val="25126491"/>
    <w:rsid w:val="2578281E"/>
    <w:rsid w:val="25C30CC5"/>
    <w:rsid w:val="25D15A56"/>
    <w:rsid w:val="25D41BFA"/>
    <w:rsid w:val="25D85641"/>
    <w:rsid w:val="25F1402B"/>
    <w:rsid w:val="26131D32"/>
    <w:rsid w:val="261C3F69"/>
    <w:rsid w:val="26334646"/>
    <w:rsid w:val="26FC5277"/>
    <w:rsid w:val="271F6352"/>
    <w:rsid w:val="272A498F"/>
    <w:rsid w:val="27383287"/>
    <w:rsid w:val="278A5BD4"/>
    <w:rsid w:val="279C6C3D"/>
    <w:rsid w:val="27DC2E17"/>
    <w:rsid w:val="27FF2675"/>
    <w:rsid w:val="28062143"/>
    <w:rsid w:val="28212DE4"/>
    <w:rsid w:val="28453634"/>
    <w:rsid w:val="288264BF"/>
    <w:rsid w:val="288822B5"/>
    <w:rsid w:val="28A10753"/>
    <w:rsid w:val="28CE6B0E"/>
    <w:rsid w:val="28F2772E"/>
    <w:rsid w:val="290F11CF"/>
    <w:rsid w:val="2912437C"/>
    <w:rsid w:val="291C141B"/>
    <w:rsid w:val="292F7EA3"/>
    <w:rsid w:val="293042C6"/>
    <w:rsid w:val="293729A5"/>
    <w:rsid w:val="295C1F92"/>
    <w:rsid w:val="299562FB"/>
    <w:rsid w:val="29EE17D8"/>
    <w:rsid w:val="2A4454A6"/>
    <w:rsid w:val="2A50414F"/>
    <w:rsid w:val="2A8D5A53"/>
    <w:rsid w:val="2A9A247E"/>
    <w:rsid w:val="2AD00C84"/>
    <w:rsid w:val="2AEB5F9F"/>
    <w:rsid w:val="2B166B29"/>
    <w:rsid w:val="2B192634"/>
    <w:rsid w:val="2B342032"/>
    <w:rsid w:val="2B805EE8"/>
    <w:rsid w:val="2BAA530D"/>
    <w:rsid w:val="2BDB4839"/>
    <w:rsid w:val="2C106027"/>
    <w:rsid w:val="2C2D6333"/>
    <w:rsid w:val="2CD072F7"/>
    <w:rsid w:val="2D051035"/>
    <w:rsid w:val="2D1847C8"/>
    <w:rsid w:val="2D1A3E74"/>
    <w:rsid w:val="2D9C4F6B"/>
    <w:rsid w:val="2DA21206"/>
    <w:rsid w:val="2DA47E3B"/>
    <w:rsid w:val="2DD15E75"/>
    <w:rsid w:val="2E9F0E21"/>
    <w:rsid w:val="2EC21E8A"/>
    <w:rsid w:val="2ED41554"/>
    <w:rsid w:val="2EE36470"/>
    <w:rsid w:val="2EEC43A2"/>
    <w:rsid w:val="2EEC7CD3"/>
    <w:rsid w:val="2F3D28DF"/>
    <w:rsid w:val="2F7D494F"/>
    <w:rsid w:val="2F872A1B"/>
    <w:rsid w:val="2FAE64B8"/>
    <w:rsid w:val="2FD460A4"/>
    <w:rsid w:val="2FE93B75"/>
    <w:rsid w:val="30003A0B"/>
    <w:rsid w:val="30170C5D"/>
    <w:rsid w:val="30F319F4"/>
    <w:rsid w:val="30F53D11"/>
    <w:rsid w:val="30FF07C0"/>
    <w:rsid w:val="310A7178"/>
    <w:rsid w:val="31496CAF"/>
    <w:rsid w:val="317B0A9C"/>
    <w:rsid w:val="31C15B7B"/>
    <w:rsid w:val="31C83A3D"/>
    <w:rsid w:val="31FF107D"/>
    <w:rsid w:val="326F5AEB"/>
    <w:rsid w:val="32BA4CAB"/>
    <w:rsid w:val="32D06BD2"/>
    <w:rsid w:val="32F605B3"/>
    <w:rsid w:val="331165AB"/>
    <w:rsid w:val="335860FC"/>
    <w:rsid w:val="338D5AB7"/>
    <w:rsid w:val="33D66908"/>
    <w:rsid w:val="34125C7E"/>
    <w:rsid w:val="34471347"/>
    <w:rsid w:val="345937F0"/>
    <w:rsid w:val="348C2DFC"/>
    <w:rsid w:val="34AA710F"/>
    <w:rsid w:val="34B53B87"/>
    <w:rsid w:val="350A6CCB"/>
    <w:rsid w:val="3525715A"/>
    <w:rsid w:val="352C3C1A"/>
    <w:rsid w:val="35503A46"/>
    <w:rsid w:val="35980838"/>
    <w:rsid w:val="35A41971"/>
    <w:rsid w:val="35C96FCE"/>
    <w:rsid w:val="35DB576F"/>
    <w:rsid w:val="35F63027"/>
    <w:rsid w:val="36602F53"/>
    <w:rsid w:val="36735AD6"/>
    <w:rsid w:val="36AA3C6A"/>
    <w:rsid w:val="36DF0081"/>
    <w:rsid w:val="372458E9"/>
    <w:rsid w:val="37625BCA"/>
    <w:rsid w:val="3778343C"/>
    <w:rsid w:val="37F83CDF"/>
    <w:rsid w:val="38540446"/>
    <w:rsid w:val="385F3343"/>
    <w:rsid w:val="38A40239"/>
    <w:rsid w:val="38C11CBD"/>
    <w:rsid w:val="39376D02"/>
    <w:rsid w:val="39871166"/>
    <w:rsid w:val="399A59DB"/>
    <w:rsid w:val="39A2484C"/>
    <w:rsid w:val="39AF7E03"/>
    <w:rsid w:val="39B052D2"/>
    <w:rsid w:val="39CD1B01"/>
    <w:rsid w:val="39D500AE"/>
    <w:rsid w:val="39DE4D17"/>
    <w:rsid w:val="39E745A6"/>
    <w:rsid w:val="39FA7CB2"/>
    <w:rsid w:val="39FD310A"/>
    <w:rsid w:val="3A1453C1"/>
    <w:rsid w:val="3A7625CE"/>
    <w:rsid w:val="3A876EC2"/>
    <w:rsid w:val="3AD348E0"/>
    <w:rsid w:val="3AEF1E6D"/>
    <w:rsid w:val="3B784F71"/>
    <w:rsid w:val="3B7B161F"/>
    <w:rsid w:val="3B9D3BD6"/>
    <w:rsid w:val="3BCE2ED2"/>
    <w:rsid w:val="3C207F65"/>
    <w:rsid w:val="3C27170E"/>
    <w:rsid w:val="3CA342DD"/>
    <w:rsid w:val="3CB10672"/>
    <w:rsid w:val="3CC01978"/>
    <w:rsid w:val="3CCF1C40"/>
    <w:rsid w:val="3D385409"/>
    <w:rsid w:val="3D450A35"/>
    <w:rsid w:val="3D600ED4"/>
    <w:rsid w:val="3D8E3CF2"/>
    <w:rsid w:val="3D963862"/>
    <w:rsid w:val="3DAA5760"/>
    <w:rsid w:val="3DB46D0B"/>
    <w:rsid w:val="3DE67FB2"/>
    <w:rsid w:val="3E597DC7"/>
    <w:rsid w:val="3E8D1E9E"/>
    <w:rsid w:val="3E95332D"/>
    <w:rsid w:val="3EA206CB"/>
    <w:rsid w:val="3EE82646"/>
    <w:rsid w:val="3FA717FA"/>
    <w:rsid w:val="3FE20D64"/>
    <w:rsid w:val="3FE23C01"/>
    <w:rsid w:val="3FF316B1"/>
    <w:rsid w:val="3FF81456"/>
    <w:rsid w:val="3FF90C62"/>
    <w:rsid w:val="400E2C48"/>
    <w:rsid w:val="401720E5"/>
    <w:rsid w:val="4023000A"/>
    <w:rsid w:val="404E158E"/>
    <w:rsid w:val="40594958"/>
    <w:rsid w:val="405E05B5"/>
    <w:rsid w:val="406330A4"/>
    <w:rsid w:val="40A35A72"/>
    <w:rsid w:val="41024F18"/>
    <w:rsid w:val="410563DD"/>
    <w:rsid w:val="410818CC"/>
    <w:rsid w:val="410C38D9"/>
    <w:rsid w:val="41161CB7"/>
    <w:rsid w:val="41436A02"/>
    <w:rsid w:val="4176237F"/>
    <w:rsid w:val="41821292"/>
    <w:rsid w:val="418B5436"/>
    <w:rsid w:val="41AC267E"/>
    <w:rsid w:val="41B67C34"/>
    <w:rsid w:val="41BD4926"/>
    <w:rsid w:val="41C8158D"/>
    <w:rsid w:val="41CE2F2A"/>
    <w:rsid w:val="41E63DC8"/>
    <w:rsid w:val="41ED06D7"/>
    <w:rsid w:val="42BF7FF3"/>
    <w:rsid w:val="42FA0102"/>
    <w:rsid w:val="42FB58A0"/>
    <w:rsid w:val="432D0083"/>
    <w:rsid w:val="43557DEF"/>
    <w:rsid w:val="435905E4"/>
    <w:rsid w:val="43C72595"/>
    <w:rsid w:val="43FB634F"/>
    <w:rsid w:val="44414E08"/>
    <w:rsid w:val="447162F6"/>
    <w:rsid w:val="447C0600"/>
    <w:rsid w:val="449D0A3E"/>
    <w:rsid w:val="4571395B"/>
    <w:rsid w:val="45EF6A40"/>
    <w:rsid w:val="462F1A6E"/>
    <w:rsid w:val="4633371B"/>
    <w:rsid w:val="463B4324"/>
    <w:rsid w:val="46472A10"/>
    <w:rsid w:val="464F0997"/>
    <w:rsid w:val="465515D1"/>
    <w:rsid w:val="46577051"/>
    <w:rsid w:val="46B54692"/>
    <w:rsid w:val="46B6369B"/>
    <w:rsid w:val="46BD4085"/>
    <w:rsid w:val="46CD560B"/>
    <w:rsid w:val="46E57B7C"/>
    <w:rsid w:val="47201C8D"/>
    <w:rsid w:val="477B7EAF"/>
    <w:rsid w:val="47A03F0A"/>
    <w:rsid w:val="47A4436E"/>
    <w:rsid w:val="47AF799A"/>
    <w:rsid w:val="47B82258"/>
    <w:rsid w:val="47C914E4"/>
    <w:rsid w:val="47C954FA"/>
    <w:rsid w:val="47DA7B13"/>
    <w:rsid w:val="47F35602"/>
    <w:rsid w:val="487336F2"/>
    <w:rsid w:val="488D2019"/>
    <w:rsid w:val="49611CA6"/>
    <w:rsid w:val="49663916"/>
    <w:rsid w:val="49780211"/>
    <w:rsid w:val="4A4765E8"/>
    <w:rsid w:val="4A665290"/>
    <w:rsid w:val="4A760296"/>
    <w:rsid w:val="4A913D8B"/>
    <w:rsid w:val="4ADF571F"/>
    <w:rsid w:val="4AE34F6A"/>
    <w:rsid w:val="4AFF42EE"/>
    <w:rsid w:val="4B8F3D4F"/>
    <w:rsid w:val="4BB52B12"/>
    <w:rsid w:val="4BC03B26"/>
    <w:rsid w:val="4BC12BD0"/>
    <w:rsid w:val="4BCF22AF"/>
    <w:rsid w:val="4BFE1C90"/>
    <w:rsid w:val="4BFE4849"/>
    <w:rsid w:val="4C107FF0"/>
    <w:rsid w:val="4C183521"/>
    <w:rsid w:val="4C2D49A5"/>
    <w:rsid w:val="4C840F82"/>
    <w:rsid w:val="4CB555B4"/>
    <w:rsid w:val="4D003873"/>
    <w:rsid w:val="4D0841AC"/>
    <w:rsid w:val="4D0B4BF9"/>
    <w:rsid w:val="4D32018A"/>
    <w:rsid w:val="4D7165A9"/>
    <w:rsid w:val="4DAD7BA9"/>
    <w:rsid w:val="4DC372D1"/>
    <w:rsid w:val="4DE1776B"/>
    <w:rsid w:val="4E2F131B"/>
    <w:rsid w:val="4E30447D"/>
    <w:rsid w:val="4E380969"/>
    <w:rsid w:val="4E5D3DCC"/>
    <w:rsid w:val="4E60009F"/>
    <w:rsid w:val="4EA57984"/>
    <w:rsid w:val="4ED041FE"/>
    <w:rsid w:val="4EE872FC"/>
    <w:rsid w:val="4EF61BBB"/>
    <w:rsid w:val="4F0F0F98"/>
    <w:rsid w:val="4F1160ED"/>
    <w:rsid w:val="4F172D6D"/>
    <w:rsid w:val="4F2560CB"/>
    <w:rsid w:val="4F557EFB"/>
    <w:rsid w:val="4F6939F7"/>
    <w:rsid w:val="4F8456B5"/>
    <w:rsid w:val="4F9055B9"/>
    <w:rsid w:val="4FA03935"/>
    <w:rsid w:val="4FBD2448"/>
    <w:rsid w:val="4FD63283"/>
    <w:rsid w:val="4FFE79AD"/>
    <w:rsid w:val="502665C5"/>
    <w:rsid w:val="504F4530"/>
    <w:rsid w:val="5058272A"/>
    <w:rsid w:val="505B7687"/>
    <w:rsid w:val="506D6973"/>
    <w:rsid w:val="50783B64"/>
    <w:rsid w:val="50995100"/>
    <w:rsid w:val="50A53EF8"/>
    <w:rsid w:val="50A91647"/>
    <w:rsid w:val="50B07693"/>
    <w:rsid w:val="513D38B5"/>
    <w:rsid w:val="51AB7907"/>
    <w:rsid w:val="51C70D88"/>
    <w:rsid w:val="51CA4DA4"/>
    <w:rsid w:val="51D96346"/>
    <w:rsid w:val="51E042EF"/>
    <w:rsid w:val="51FF18E6"/>
    <w:rsid w:val="520428E6"/>
    <w:rsid w:val="52151E72"/>
    <w:rsid w:val="52496620"/>
    <w:rsid w:val="524F41CB"/>
    <w:rsid w:val="52FA5894"/>
    <w:rsid w:val="531C01DD"/>
    <w:rsid w:val="53396A70"/>
    <w:rsid w:val="53445A89"/>
    <w:rsid w:val="53585F26"/>
    <w:rsid w:val="53875A21"/>
    <w:rsid w:val="53FD1138"/>
    <w:rsid w:val="5408377A"/>
    <w:rsid w:val="541B0AE9"/>
    <w:rsid w:val="54337B8B"/>
    <w:rsid w:val="546464D2"/>
    <w:rsid w:val="547E5EAC"/>
    <w:rsid w:val="549B4B9B"/>
    <w:rsid w:val="549C661D"/>
    <w:rsid w:val="54A96914"/>
    <w:rsid w:val="54AA329E"/>
    <w:rsid w:val="54F04900"/>
    <w:rsid w:val="5511263D"/>
    <w:rsid w:val="558B2E46"/>
    <w:rsid w:val="55AE6A96"/>
    <w:rsid w:val="55E656B5"/>
    <w:rsid w:val="55F13E0C"/>
    <w:rsid w:val="56262642"/>
    <w:rsid w:val="563332FB"/>
    <w:rsid w:val="569C10C3"/>
    <w:rsid w:val="56C56958"/>
    <w:rsid w:val="57164992"/>
    <w:rsid w:val="5718173F"/>
    <w:rsid w:val="573B211D"/>
    <w:rsid w:val="57BA6D87"/>
    <w:rsid w:val="581E3971"/>
    <w:rsid w:val="583E755A"/>
    <w:rsid w:val="584D392F"/>
    <w:rsid w:val="588E4FB9"/>
    <w:rsid w:val="590100F9"/>
    <w:rsid w:val="590621C5"/>
    <w:rsid w:val="59160223"/>
    <w:rsid w:val="59345076"/>
    <w:rsid w:val="596A3CB8"/>
    <w:rsid w:val="59914706"/>
    <w:rsid w:val="5994136E"/>
    <w:rsid w:val="59C6764E"/>
    <w:rsid w:val="59C86212"/>
    <w:rsid w:val="59D47005"/>
    <w:rsid w:val="5A274662"/>
    <w:rsid w:val="5A2F4173"/>
    <w:rsid w:val="5A395EA7"/>
    <w:rsid w:val="5A493218"/>
    <w:rsid w:val="5A733228"/>
    <w:rsid w:val="5ABB196A"/>
    <w:rsid w:val="5AD05F93"/>
    <w:rsid w:val="5AE07915"/>
    <w:rsid w:val="5AE170B4"/>
    <w:rsid w:val="5AE4678E"/>
    <w:rsid w:val="5B5204B8"/>
    <w:rsid w:val="5B5C5E6F"/>
    <w:rsid w:val="5B9F361E"/>
    <w:rsid w:val="5BB634EB"/>
    <w:rsid w:val="5BB95776"/>
    <w:rsid w:val="5BFD3D99"/>
    <w:rsid w:val="5C2A28E8"/>
    <w:rsid w:val="5C3E4367"/>
    <w:rsid w:val="5C77670F"/>
    <w:rsid w:val="5C8E4BD6"/>
    <w:rsid w:val="5CCA7E59"/>
    <w:rsid w:val="5CD528C3"/>
    <w:rsid w:val="5CF93415"/>
    <w:rsid w:val="5D044E45"/>
    <w:rsid w:val="5D1B5DA0"/>
    <w:rsid w:val="5D650BAD"/>
    <w:rsid w:val="5D8F75D6"/>
    <w:rsid w:val="5D9442DC"/>
    <w:rsid w:val="5D954A77"/>
    <w:rsid w:val="5DB11B95"/>
    <w:rsid w:val="5DB27E16"/>
    <w:rsid w:val="5DB402DB"/>
    <w:rsid w:val="5E2F770E"/>
    <w:rsid w:val="5E507E67"/>
    <w:rsid w:val="5E7C0071"/>
    <w:rsid w:val="5E8069F0"/>
    <w:rsid w:val="5EA20306"/>
    <w:rsid w:val="5EAC285D"/>
    <w:rsid w:val="5ED14739"/>
    <w:rsid w:val="5EE40301"/>
    <w:rsid w:val="5EFB63C2"/>
    <w:rsid w:val="5F1B2BEC"/>
    <w:rsid w:val="5F1E3FE1"/>
    <w:rsid w:val="5F2F0EE5"/>
    <w:rsid w:val="5F574A90"/>
    <w:rsid w:val="5F796DBA"/>
    <w:rsid w:val="5FA743E0"/>
    <w:rsid w:val="5FA85D98"/>
    <w:rsid w:val="5FB15373"/>
    <w:rsid w:val="5FCB7D27"/>
    <w:rsid w:val="5FE658C7"/>
    <w:rsid w:val="600D0297"/>
    <w:rsid w:val="60270E10"/>
    <w:rsid w:val="605E16FE"/>
    <w:rsid w:val="6060501D"/>
    <w:rsid w:val="608004CF"/>
    <w:rsid w:val="60990DCB"/>
    <w:rsid w:val="60A712DC"/>
    <w:rsid w:val="60C14B55"/>
    <w:rsid w:val="60F31E23"/>
    <w:rsid w:val="61234C46"/>
    <w:rsid w:val="613E426D"/>
    <w:rsid w:val="61447C12"/>
    <w:rsid w:val="614D0A29"/>
    <w:rsid w:val="61591BA1"/>
    <w:rsid w:val="61961A8A"/>
    <w:rsid w:val="619A3FB7"/>
    <w:rsid w:val="61FA0D2D"/>
    <w:rsid w:val="6205181D"/>
    <w:rsid w:val="620D3DB7"/>
    <w:rsid w:val="621D4AC0"/>
    <w:rsid w:val="62472EFB"/>
    <w:rsid w:val="625667D6"/>
    <w:rsid w:val="62630812"/>
    <w:rsid w:val="62911FEF"/>
    <w:rsid w:val="629172E2"/>
    <w:rsid w:val="62C6671E"/>
    <w:rsid w:val="62C73E2E"/>
    <w:rsid w:val="62DA6058"/>
    <w:rsid w:val="62E3578E"/>
    <w:rsid w:val="62E90DB7"/>
    <w:rsid w:val="62FA2787"/>
    <w:rsid w:val="63083C0F"/>
    <w:rsid w:val="63184F16"/>
    <w:rsid w:val="634B45A8"/>
    <w:rsid w:val="63940887"/>
    <w:rsid w:val="63A75940"/>
    <w:rsid w:val="63B16569"/>
    <w:rsid w:val="63D35241"/>
    <w:rsid w:val="64043FCC"/>
    <w:rsid w:val="64331993"/>
    <w:rsid w:val="64594BEE"/>
    <w:rsid w:val="647C3E01"/>
    <w:rsid w:val="64BD4976"/>
    <w:rsid w:val="64BE7818"/>
    <w:rsid w:val="64C305FB"/>
    <w:rsid w:val="6500554E"/>
    <w:rsid w:val="650D158F"/>
    <w:rsid w:val="65264D45"/>
    <w:rsid w:val="6555661D"/>
    <w:rsid w:val="65653C9B"/>
    <w:rsid w:val="65806115"/>
    <w:rsid w:val="659E6EBC"/>
    <w:rsid w:val="65B137D4"/>
    <w:rsid w:val="65C85EC3"/>
    <w:rsid w:val="65CA63E3"/>
    <w:rsid w:val="661A790E"/>
    <w:rsid w:val="669205DF"/>
    <w:rsid w:val="66CB6B86"/>
    <w:rsid w:val="66E0683D"/>
    <w:rsid w:val="66FC2FF1"/>
    <w:rsid w:val="67130530"/>
    <w:rsid w:val="6726656C"/>
    <w:rsid w:val="67353A82"/>
    <w:rsid w:val="678751FE"/>
    <w:rsid w:val="67DF1928"/>
    <w:rsid w:val="683D6686"/>
    <w:rsid w:val="6842203A"/>
    <w:rsid w:val="68597819"/>
    <w:rsid w:val="688857D6"/>
    <w:rsid w:val="689D264A"/>
    <w:rsid w:val="68A641D1"/>
    <w:rsid w:val="68AC0F5E"/>
    <w:rsid w:val="68CD19D8"/>
    <w:rsid w:val="68DF3400"/>
    <w:rsid w:val="68EB7EDD"/>
    <w:rsid w:val="690E5E14"/>
    <w:rsid w:val="695C053F"/>
    <w:rsid w:val="69854892"/>
    <w:rsid w:val="69907069"/>
    <w:rsid w:val="69B15FFD"/>
    <w:rsid w:val="6A0C0BDF"/>
    <w:rsid w:val="6A2353BE"/>
    <w:rsid w:val="6A363050"/>
    <w:rsid w:val="6A442A2C"/>
    <w:rsid w:val="6ABC5F1A"/>
    <w:rsid w:val="6AD52FE6"/>
    <w:rsid w:val="6B0443DF"/>
    <w:rsid w:val="6B3C3D82"/>
    <w:rsid w:val="6BA07421"/>
    <w:rsid w:val="6BC26F5B"/>
    <w:rsid w:val="6BEB7217"/>
    <w:rsid w:val="6BF3345F"/>
    <w:rsid w:val="6C0F6C19"/>
    <w:rsid w:val="6C1125DF"/>
    <w:rsid w:val="6C413D4B"/>
    <w:rsid w:val="6C554B01"/>
    <w:rsid w:val="6C67530A"/>
    <w:rsid w:val="6CA108CC"/>
    <w:rsid w:val="6CB075B5"/>
    <w:rsid w:val="6CD50F66"/>
    <w:rsid w:val="6CD61499"/>
    <w:rsid w:val="6CF631A1"/>
    <w:rsid w:val="6D2E4F07"/>
    <w:rsid w:val="6D3B5103"/>
    <w:rsid w:val="6D4B3997"/>
    <w:rsid w:val="6D5F224C"/>
    <w:rsid w:val="6D644FAE"/>
    <w:rsid w:val="6D653784"/>
    <w:rsid w:val="6DC34DF4"/>
    <w:rsid w:val="6E326F12"/>
    <w:rsid w:val="6E446928"/>
    <w:rsid w:val="6E567AD5"/>
    <w:rsid w:val="6E8A42D1"/>
    <w:rsid w:val="6EBC1751"/>
    <w:rsid w:val="6EBC327A"/>
    <w:rsid w:val="6ED0708B"/>
    <w:rsid w:val="6F2135E0"/>
    <w:rsid w:val="6F30067C"/>
    <w:rsid w:val="6F346230"/>
    <w:rsid w:val="6F3F5972"/>
    <w:rsid w:val="6F7F7031"/>
    <w:rsid w:val="6FC0002D"/>
    <w:rsid w:val="700F0BF2"/>
    <w:rsid w:val="70282C03"/>
    <w:rsid w:val="7091014D"/>
    <w:rsid w:val="70D866A8"/>
    <w:rsid w:val="710B2AC1"/>
    <w:rsid w:val="7114182C"/>
    <w:rsid w:val="718D3EE6"/>
    <w:rsid w:val="71937695"/>
    <w:rsid w:val="71C231A3"/>
    <w:rsid w:val="71EF487C"/>
    <w:rsid w:val="720832E0"/>
    <w:rsid w:val="720D425E"/>
    <w:rsid w:val="72140F8B"/>
    <w:rsid w:val="722217DF"/>
    <w:rsid w:val="72B7138B"/>
    <w:rsid w:val="72D15C3A"/>
    <w:rsid w:val="72EB4ACD"/>
    <w:rsid w:val="7348740E"/>
    <w:rsid w:val="73506E19"/>
    <w:rsid w:val="73581DD3"/>
    <w:rsid w:val="737F023F"/>
    <w:rsid w:val="739F65EF"/>
    <w:rsid w:val="73DC5739"/>
    <w:rsid w:val="73F70242"/>
    <w:rsid w:val="744203E7"/>
    <w:rsid w:val="744C0A3B"/>
    <w:rsid w:val="74AA2334"/>
    <w:rsid w:val="74CD1315"/>
    <w:rsid w:val="75646839"/>
    <w:rsid w:val="75A30D32"/>
    <w:rsid w:val="75BB7601"/>
    <w:rsid w:val="75C60E30"/>
    <w:rsid w:val="75CF02E7"/>
    <w:rsid w:val="75D215E5"/>
    <w:rsid w:val="76355688"/>
    <w:rsid w:val="76407B85"/>
    <w:rsid w:val="76460F60"/>
    <w:rsid w:val="764619A4"/>
    <w:rsid w:val="76474442"/>
    <w:rsid w:val="76860814"/>
    <w:rsid w:val="769402EF"/>
    <w:rsid w:val="769B0FA7"/>
    <w:rsid w:val="76DB6A92"/>
    <w:rsid w:val="770E787D"/>
    <w:rsid w:val="77923A4B"/>
    <w:rsid w:val="77C925FD"/>
    <w:rsid w:val="77FF2C1B"/>
    <w:rsid w:val="781106FC"/>
    <w:rsid w:val="783D2124"/>
    <w:rsid w:val="78490FE8"/>
    <w:rsid w:val="78504536"/>
    <w:rsid w:val="788913B9"/>
    <w:rsid w:val="788E0CDC"/>
    <w:rsid w:val="78B8729C"/>
    <w:rsid w:val="78DB4272"/>
    <w:rsid w:val="78DC5373"/>
    <w:rsid w:val="78DD7CDF"/>
    <w:rsid w:val="78F10974"/>
    <w:rsid w:val="79165EAD"/>
    <w:rsid w:val="794364F0"/>
    <w:rsid w:val="794F1EF5"/>
    <w:rsid w:val="79510FB6"/>
    <w:rsid w:val="79640FCA"/>
    <w:rsid w:val="798D3252"/>
    <w:rsid w:val="799D2D80"/>
    <w:rsid w:val="79CA29C3"/>
    <w:rsid w:val="79DA54A3"/>
    <w:rsid w:val="79EF4A2B"/>
    <w:rsid w:val="7A0C6A1F"/>
    <w:rsid w:val="7A15297A"/>
    <w:rsid w:val="7A1B0D3B"/>
    <w:rsid w:val="7A721197"/>
    <w:rsid w:val="7A837320"/>
    <w:rsid w:val="7A954DE7"/>
    <w:rsid w:val="7AB10EDD"/>
    <w:rsid w:val="7AC93C30"/>
    <w:rsid w:val="7AE55ECF"/>
    <w:rsid w:val="7AE962AA"/>
    <w:rsid w:val="7B117EEE"/>
    <w:rsid w:val="7B230A7F"/>
    <w:rsid w:val="7B522D1D"/>
    <w:rsid w:val="7B7E5CB7"/>
    <w:rsid w:val="7B886D4F"/>
    <w:rsid w:val="7BC311C4"/>
    <w:rsid w:val="7BCC0659"/>
    <w:rsid w:val="7C0301CA"/>
    <w:rsid w:val="7C3B4DA0"/>
    <w:rsid w:val="7C4630A6"/>
    <w:rsid w:val="7C4E46EC"/>
    <w:rsid w:val="7C510313"/>
    <w:rsid w:val="7C582AD5"/>
    <w:rsid w:val="7C5B4F35"/>
    <w:rsid w:val="7C6816EB"/>
    <w:rsid w:val="7C823B8D"/>
    <w:rsid w:val="7C882840"/>
    <w:rsid w:val="7CA9653F"/>
    <w:rsid w:val="7CCB4754"/>
    <w:rsid w:val="7CF55250"/>
    <w:rsid w:val="7D1A51BC"/>
    <w:rsid w:val="7D2A1DBE"/>
    <w:rsid w:val="7D481CC2"/>
    <w:rsid w:val="7D53064C"/>
    <w:rsid w:val="7D682254"/>
    <w:rsid w:val="7D6B2997"/>
    <w:rsid w:val="7D6C1216"/>
    <w:rsid w:val="7DAE2D99"/>
    <w:rsid w:val="7DF37A09"/>
    <w:rsid w:val="7DFB7131"/>
    <w:rsid w:val="7E3537C1"/>
    <w:rsid w:val="7E5D0C46"/>
    <w:rsid w:val="7E7F6511"/>
    <w:rsid w:val="7E8232A9"/>
    <w:rsid w:val="7E835FD4"/>
    <w:rsid w:val="7E867566"/>
    <w:rsid w:val="7EBC5E02"/>
    <w:rsid w:val="7ECC3373"/>
    <w:rsid w:val="7F2A554B"/>
    <w:rsid w:val="7F52243A"/>
    <w:rsid w:val="7F724086"/>
    <w:rsid w:val="7F7D0BF3"/>
    <w:rsid w:val="7FA142B1"/>
    <w:rsid w:val="7FCC5758"/>
    <w:rsid w:val="7FD669BC"/>
    <w:rsid w:val="7FE335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1" w:semiHidden="0" w:name="heading 1"/>
    <w:lsdException w:qFormat="1" w:unhideWhenUsed="0" w:uiPriority="1"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1" w:semiHidden="0" w:name="toc 1"/>
    <w:lsdException w:qFormat="1" w:unhideWhenUsed="0" w:uiPriority="1" w:semiHidden="0" w:name="toc 2"/>
    <w:lsdException w:qFormat="1" w:unhideWhenUsed="0" w:uiPriority="1"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iPriority="99"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1"/>
    <w:pPr>
      <w:widowControl w:val="0"/>
      <w:autoSpaceDE w:val="0"/>
      <w:autoSpaceDN w:val="0"/>
    </w:pPr>
    <w:rPr>
      <w:rFonts w:ascii="微软雅黑" w:hAnsi="微软雅黑" w:eastAsia="微软雅黑" w:cs="微软雅黑"/>
      <w:sz w:val="22"/>
      <w:szCs w:val="22"/>
      <w:lang w:val="zh-CN" w:eastAsia="zh-CN" w:bidi="zh-CN"/>
    </w:rPr>
  </w:style>
  <w:style w:type="paragraph" w:styleId="3">
    <w:name w:val="heading 1"/>
    <w:basedOn w:val="1"/>
    <w:next w:val="1"/>
    <w:qFormat/>
    <w:uiPriority w:val="1"/>
    <w:pPr>
      <w:spacing w:before="18"/>
      <w:ind w:right="1136" w:hanging="1307"/>
      <w:outlineLvl w:val="0"/>
    </w:pPr>
    <w:rPr>
      <w:rFonts w:ascii="宋体" w:hAnsi="宋体" w:eastAsia="宋体" w:cs="宋体"/>
      <w:b/>
      <w:bCs/>
      <w:sz w:val="48"/>
      <w:szCs w:val="48"/>
    </w:rPr>
  </w:style>
  <w:style w:type="paragraph" w:styleId="4">
    <w:name w:val="heading 2"/>
    <w:basedOn w:val="1"/>
    <w:next w:val="1"/>
    <w:qFormat/>
    <w:uiPriority w:val="1"/>
    <w:pPr>
      <w:ind w:left="1058"/>
      <w:outlineLvl w:val="1"/>
    </w:pPr>
    <w:rPr>
      <w:b/>
      <w:bCs/>
      <w:sz w:val="32"/>
      <w:szCs w:val="32"/>
    </w:rPr>
  </w:style>
  <w:style w:type="paragraph" w:styleId="5">
    <w:name w:val="heading 3"/>
    <w:basedOn w:val="1"/>
    <w:next w:val="1"/>
    <w:unhideWhenUsed/>
    <w:qFormat/>
    <w:uiPriority w:val="0"/>
    <w:pPr>
      <w:keepNext/>
      <w:keepLines/>
      <w:spacing w:before="260" w:after="260" w:line="413" w:lineRule="auto"/>
      <w:outlineLvl w:val="2"/>
    </w:pPr>
    <w:rPr>
      <w:b/>
      <w:sz w:val="32"/>
    </w:rPr>
  </w:style>
  <w:style w:type="character" w:default="1" w:styleId="16">
    <w:name w:val="Default Paragraph Font"/>
    <w:semiHidden/>
    <w:unhideWhenUsed/>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styleId="6">
    <w:name w:val="annotation text"/>
    <w:basedOn w:val="1"/>
    <w:semiHidden/>
    <w:unhideWhenUsed/>
    <w:qFormat/>
    <w:uiPriority w:val="99"/>
  </w:style>
  <w:style w:type="paragraph" w:styleId="7">
    <w:name w:val="Body Text"/>
    <w:basedOn w:val="1"/>
    <w:qFormat/>
    <w:uiPriority w:val="1"/>
    <w:rPr>
      <w:sz w:val="32"/>
      <w:szCs w:val="32"/>
    </w:rPr>
  </w:style>
  <w:style w:type="paragraph" w:styleId="8">
    <w:name w:val="toc 3"/>
    <w:basedOn w:val="1"/>
    <w:next w:val="1"/>
    <w:qFormat/>
    <w:uiPriority w:val="1"/>
    <w:pPr>
      <w:spacing w:before="233"/>
      <w:ind w:left="741"/>
    </w:pPr>
    <w:rPr>
      <w:sz w:val="32"/>
      <w:szCs w:val="32"/>
    </w:rPr>
  </w:style>
  <w:style w:type="paragraph" w:styleId="9">
    <w:name w:val="footer"/>
    <w:basedOn w:val="1"/>
    <w:qFormat/>
    <w:uiPriority w:val="0"/>
    <w:pPr>
      <w:tabs>
        <w:tab w:val="center" w:pos="4153"/>
        <w:tab w:val="right" w:pos="8306"/>
      </w:tabs>
      <w:snapToGrid w:val="0"/>
    </w:pPr>
    <w:rPr>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jc w:val="both"/>
    </w:pPr>
    <w:rPr>
      <w:sz w:val="18"/>
    </w:rPr>
  </w:style>
  <w:style w:type="paragraph" w:styleId="11">
    <w:name w:val="toc 1"/>
    <w:basedOn w:val="1"/>
    <w:next w:val="1"/>
    <w:qFormat/>
    <w:uiPriority w:val="1"/>
    <w:pPr>
      <w:spacing w:before="6"/>
      <w:ind w:left="101"/>
    </w:pPr>
    <w:rPr>
      <w:rFonts w:ascii="宋体" w:hAnsi="宋体" w:eastAsia="宋体" w:cs="宋体"/>
      <w:b/>
      <w:bCs/>
      <w:sz w:val="32"/>
      <w:szCs w:val="32"/>
    </w:rPr>
  </w:style>
  <w:style w:type="paragraph" w:styleId="12">
    <w:name w:val="toc 2"/>
    <w:basedOn w:val="1"/>
    <w:next w:val="1"/>
    <w:qFormat/>
    <w:uiPriority w:val="1"/>
    <w:pPr>
      <w:spacing w:before="211"/>
      <w:ind w:left="101"/>
    </w:pPr>
    <w:rPr>
      <w:rFonts w:ascii="宋体" w:hAnsi="宋体" w:eastAsia="宋体" w:cs="宋体"/>
      <w:b/>
      <w:bCs/>
      <w:i/>
    </w:rPr>
  </w:style>
  <w:style w:type="paragraph" w:styleId="13">
    <w:name w:val="Normal (Web)"/>
    <w:basedOn w:val="1"/>
    <w:semiHidden/>
    <w:unhideWhenUsed/>
    <w:qFormat/>
    <w:uiPriority w:val="99"/>
    <w:pPr>
      <w:widowControl/>
      <w:spacing w:before="100" w:beforeAutospacing="1" w:after="100" w:afterAutospacing="1"/>
    </w:pPr>
    <w:rPr>
      <w:rFonts w:ascii="宋体" w:hAnsi="宋体" w:eastAsia="宋体" w:cs="宋体"/>
      <w:sz w:val="24"/>
      <w:szCs w:val="24"/>
    </w:rPr>
  </w:style>
  <w:style w:type="table" w:styleId="15">
    <w:name w:val="Table Grid"/>
    <w:basedOn w:val="1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7">
    <w:name w:val="Hyperlink"/>
    <w:basedOn w:val="16"/>
    <w:qFormat/>
    <w:uiPriority w:val="0"/>
    <w:rPr>
      <w:color w:val="0000FF"/>
      <w:u w:val="single"/>
    </w:rPr>
  </w:style>
  <w:style w:type="table" w:customStyle="1" w:styleId="18">
    <w:name w:val="Table Normal"/>
    <w:semiHidden/>
    <w:unhideWhenUsed/>
    <w:qFormat/>
    <w:uiPriority w:val="2"/>
    <w:tblPr>
      <w:tblCellMar>
        <w:top w:w="0" w:type="dxa"/>
        <w:left w:w="0" w:type="dxa"/>
        <w:bottom w:w="0" w:type="dxa"/>
        <w:right w:w="0" w:type="dxa"/>
      </w:tblCellMar>
    </w:tblPr>
  </w:style>
  <w:style w:type="paragraph" w:styleId="19">
    <w:name w:val="List Paragraph"/>
    <w:basedOn w:val="1"/>
    <w:qFormat/>
    <w:uiPriority w:val="1"/>
    <w:pPr>
      <w:ind w:left="1885" w:hanging="828"/>
    </w:pPr>
  </w:style>
  <w:style w:type="paragraph" w:customStyle="1" w:styleId="20">
    <w:name w:val="Table Paragraph"/>
    <w:basedOn w:val="1"/>
    <w:qFormat/>
    <w:uiPriority w:val="1"/>
    <w:rPr>
      <w:rFonts w:ascii="宋体" w:hAnsi="宋体" w:eastAsia="宋体" w:cs="宋体"/>
    </w:rPr>
  </w:style>
  <w:style w:type="character" w:customStyle="1" w:styleId="21">
    <w:name w:val="font31"/>
    <w:basedOn w:val="16"/>
    <w:qFormat/>
    <w:uiPriority w:val="0"/>
    <w:rPr>
      <w:rFonts w:hint="default" w:ascii="Times New Roman" w:hAnsi="Times New Roman" w:cs="Times New Roman"/>
      <w:color w:val="000000"/>
      <w:sz w:val="22"/>
      <w:szCs w:val="22"/>
      <w:u w:val="none"/>
    </w:rPr>
  </w:style>
  <w:style w:type="character" w:customStyle="1" w:styleId="22">
    <w:name w:val="font01"/>
    <w:basedOn w:val="16"/>
    <w:qFormat/>
    <w:uiPriority w:val="0"/>
    <w:rPr>
      <w:rFonts w:hint="default" w:ascii="方正小标宋_GBK" w:hAnsi="方正小标宋_GBK" w:eastAsia="方正小标宋_GBK" w:cs="方正小标宋_GBK"/>
      <w:color w:val="000000"/>
      <w:sz w:val="36"/>
      <w:szCs w:val="36"/>
      <w:u w:val="none"/>
    </w:rPr>
  </w:style>
  <w:style w:type="character" w:customStyle="1" w:styleId="23">
    <w:name w:val="font51"/>
    <w:basedOn w:val="16"/>
    <w:qFormat/>
    <w:uiPriority w:val="0"/>
    <w:rPr>
      <w:rFonts w:hint="default" w:ascii="方正小标宋_GBK" w:hAnsi="方正小标宋_GBK" w:eastAsia="方正小标宋_GBK" w:cs="方正小标宋_GBK"/>
      <w:color w:val="000000"/>
      <w:sz w:val="28"/>
      <w:szCs w:val="28"/>
      <w:u w:val="none"/>
    </w:rPr>
  </w:style>
  <w:style w:type="paragraph" w:customStyle="1" w:styleId="24">
    <w:name w:val="WPSOffice手动目录 1"/>
    <w:qFormat/>
    <w:uiPriority w:val="0"/>
    <w:rPr>
      <w:rFonts w:ascii="Times New Roman" w:hAnsi="Times New Roman" w:eastAsia="宋体" w:cs="Times New Roman"/>
      <w:lang w:val="en-US" w:eastAsia="zh-CN" w:bidi="ar-SA"/>
    </w:rPr>
  </w:style>
  <w:style w:type="paragraph" w:customStyle="1" w:styleId="25">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26">
    <w:name w:val="WPSOffice手动目录 3"/>
    <w:qFormat/>
    <w:uiPriority w:val="0"/>
    <w:pPr>
      <w:ind w:left="400" w:leftChars="400"/>
    </w:pPr>
    <w:rPr>
      <w:rFonts w:ascii="Times New Roman" w:hAnsi="Times New Roman" w:eastAsia="宋体" w:cs="Times New Roman"/>
      <w:lang w:val="en-US" w:eastAsia="zh-CN" w:bidi="ar-SA"/>
    </w:rPr>
  </w:style>
  <w:style w:type="character" w:customStyle="1" w:styleId="27">
    <w:name w:val="font81"/>
    <w:basedOn w:val="16"/>
    <w:qFormat/>
    <w:uiPriority w:val="0"/>
    <w:rPr>
      <w:rFonts w:hint="eastAsia" w:ascii="宋体" w:hAnsi="宋体" w:eastAsia="宋体" w:cs="宋体"/>
      <w:color w:val="000000"/>
      <w:sz w:val="20"/>
      <w:szCs w:val="20"/>
      <w:u w:val="none"/>
    </w:rPr>
  </w:style>
  <w:style w:type="character" w:customStyle="1" w:styleId="28">
    <w:name w:val="font71"/>
    <w:basedOn w:val="16"/>
    <w:qFormat/>
    <w:uiPriority w:val="0"/>
    <w:rPr>
      <w:rFonts w:hint="default" w:ascii="楷体_GB2312" w:eastAsia="楷体_GB2312" w:cs="楷体_GB2312"/>
      <w:color w:val="000000"/>
      <w:sz w:val="20"/>
      <w:szCs w:val="20"/>
      <w:u w:val="none"/>
    </w:rPr>
  </w:style>
  <w:style w:type="character" w:customStyle="1" w:styleId="29">
    <w:name w:val="font91"/>
    <w:basedOn w:val="16"/>
    <w:qFormat/>
    <w:uiPriority w:val="0"/>
    <w:rPr>
      <w:rFonts w:ascii="宋体" w:hAnsi="宋体" w:eastAsia="宋体" w:cs="宋体"/>
      <w:color w:val="000000"/>
      <w:sz w:val="20"/>
      <w:szCs w:val="20"/>
      <w:u w:val="none"/>
    </w:rPr>
  </w:style>
  <w:style w:type="character" w:customStyle="1" w:styleId="30">
    <w:name w:val="font11"/>
    <w:basedOn w:val="16"/>
    <w:qFormat/>
    <w:uiPriority w:val="0"/>
    <w:rPr>
      <w:rFonts w:hint="eastAsia" w:ascii="宋体" w:hAnsi="宋体" w:eastAsia="宋体" w:cs="宋体"/>
      <w:color w:val="000000"/>
      <w:sz w:val="20"/>
      <w:szCs w:val="20"/>
      <w:u w:val="none"/>
    </w:rPr>
  </w:style>
  <w:style w:type="character" w:customStyle="1" w:styleId="31">
    <w:name w:val="font61"/>
    <w:basedOn w:val="16"/>
    <w:qFormat/>
    <w:uiPriority w:val="0"/>
    <w:rPr>
      <w:rFonts w:hint="default" w:ascii="楷体_GB2312" w:eastAsia="楷体_GB2312" w:cs="楷体_GB2312"/>
      <w:color w:val="000000"/>
      <w:sz w:val="20"/>
      <w:szCs w:val="20"/>
      <w:u w:val="none"/>
    </w:rPr>
  </w:style>
  <w:style w:type="paragraph" w:customStyle="1" w:styleId="32">
    <w:name w:val="List Paragraph1"/>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chart" Target="charts/chart4.xml"/><Relationship Id="rId8" Type="http://schemas.openxmlformats.org/officeDocument/2006/relationships/chart" Target="charts/chart3.xml"/><Relationship Id="rId7" Type="http://schemas.openxmlformats.org/officeDocument/2006/relationships/chart" Target="charts/chart2.xml"/><Relationship Id="rId6" Type="http://schemas.openxmlformats.org/officeDocument/2006/relationships/chart" Target="charts/chart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image" Target="media/image1.jpeg"/><Relationship Id="rId10" Type="http://schemas.openxmlformats.org/officeDocument/2006/relationships/chart" Target="charts/chart5.xml"/><Relationship Id="rId1" Type="http://schemas.openxmlformats.org/officeDocument/2006/relationships/styles" Target="styles.xml"/></Relationships>
</file>

<file path=word/charts/_rels/chart1.xml.rels><?xml version="1.0" encoding="UTF-8" standalone="yes"?>
<Relationships xmlns="http://schemas.openxmlformats.org/package/2006/relationships"><Relationship Id="rId1" Type="http://schemas.openxmlformats.org/officeDocument/2006/relationships/oleObject" Target="file:///E:\1&#24453;&#20570;\1&#39044;&#31639;&#32489;&#25928;&#31649;&#29702;\&#29863;&#23665;&#20892;&#22996;&#32489;&#25928;&#35780;&#20215;2022&#24180;&#24230;\2&#35780;&#20215;&#25253;&#21578;\&#29863;&#23665;&#20892;&#22996;&#32489;&#25928;&#35780;&#20215;&#30456;&#20851;&#25968;&#25454;&#20998;&#26512;&#24773;&#20917;(2).xlsx" TargetMode="External"/></Relationships>
</file>

<file path=word/charts/_rels/chart2.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4.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_rels/chart5.xml.rels><?xml version="1.0" encoding="UTF-8" standalone="yes"?>
<Relationships xmlns="http://schemas.openxmlformats.org/package/2006/relationships"><Relationship Id="rId1" Type="http://schemas.openxmlformats.org/officeDocument/2006/relationships/oleObject" Target="file:///D:\&#39134;&#22914;\&#32489;&#25928;\&#32489;&#25928;&#35780;&#20215;\2022&#24180;\&#29863;&#23665;&#20892;&#22996;&#20135;&#19994;&#25206;&#36139;\&#29863;&#23665;&#21306;&#20892;&#22996;2021&#24180;&#24230;&#22870;&#34917;&#39033;&#30446;&#25968;&#25454;\&#29863;&#23665;&#20892;&#22996;&#32489;&#25928;&#35780;&#20215;&#30456;&#20851;&#25968;&#25454;&#20998;&#26512;&#24773;&#20917;(2).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'[璧山农委绩效评价相关数据分析情况(2).xlsx]中医院指标得分情况'!$B$1</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'[璧山农委绩效评价相关数据分析情况(2).xlsx]中医院指标得分情况'!$A$2:$A$5</c:f>
              <c:strCache>
                <c:ptCount val="4"/>
                <c:pt idx="0">
                  <c:v>项目立项充分性</c:v>
                </c:pt>
                <c:pt idx="1">
                  <c:v>项目立项规范性</c:v>
                </c:pt>
                <c:pt idx="2">
                  <c:v>资金到位率</c:v>
                </c:pt>
                <c:pt idx="3">
                  <c:v>到位及时率</c:v>
                </c:pt>
              </c:strCache>
            </c:strRef>
          </c:cat>
          <c:val>
            <c:numRef>
              <c:f>'[璧山农委绩效评价相关数据分析情况(2).xlsx]中医院指标得分情况'!$B$2:$B$5</c:f>
              <c:numCache>
                <c:formatCode>General</c:formatCode>
                <c:ptCount val="4"/>
                <c:pt idx="0">
                  <c:v>2</c:v>
                </c:pt>
                <c:pt idx="1">
                  <c:v>2</c:v>
                </c:pt>
                <c:pt idx="2">
                  <c:v>2</c:v>
                </c:pt>
                <c:pt idx="3">
                  <c:v>2</c:v>
                </c:pt>
              </c:numCache>
            </c:numRef>
          </c:val>
        </c:ser>
        <c:ser>
          <c:idx val="1"/>
          <c:order val="1"/>
          <c:tx>
            <c:strRef>
              <c:f>'[璧山农委绩效评价相关数据分析情况(2).xlsx]中医院指标得分情况'!$C$1</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'[璧山农委绩效评价相关数据分析情况(2).xlsx]中医院指标得分情况'!$A$2:$A$5</c:f>
              <c:strCache>
                <c:ptCount val="4"/>
                <c:pt idx="0">
                  <c:v>项目立项充分性</c:v>
                </c:pt>
                <c:pt idx="1">
                  <c:v>项目立项规范性</c:v>
                </c:pt>
                <c:pt idx="2">
                  <c:v>资金到位率</c:v>
                </c:pt>
                <c:pt idx="3">
                  <c:v>到位及时率</c:v>
                </c:pt>
              </c:strCache>
            </c:strRef>
          </c:cat>
          <c:val>
            <c:numRef>
              <c:f>'[璧山农委绩效评价相关数据分析情况(2).xlsx]中医院指标得分情况'!$C$2:$C$5</c:f>
              <c:numCache>
                <c:formatCode>General</c:formatCode>
                <c:ptCount val="4"/>
                <c:pt idx="0">
                  <c:v>2</c:v>
                </c:pt>
                <c:pt idx="1">
                  <c:v>2</c:v>
                </c:pt>
                <c:pt idx="2">
                  <c:v>2</c:v>
                </c:pt>
                <c:pt idx="3">
                  <c:v>2</c:v>
                </c:pt>
              </c:numCache>
            </c:numRef>
          </c:val>
        </c:ser>
        <c:dLbls>
          <c:showLegendKey val="0"/>
          <c:showVal val="0"/>
          <c:showCatName val="0"/>
          <c:showSerName val="0"/>
          <c:showPercent val="0"/>
          <c:showBubbleSize val="0"/>
        </c:dLbls>
        <c:gapWidth val="150"/>
        <c:axId val="268207616"/>
        <c:axId val="268411456"/>
      </c:barChart>
      <c:catAx>
        <c:axId val="268207616"/>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411456"/>
        <c:crosses val="autoZero"/>
        <c:auto val="1"/>
        <c:lblAlgn val="ctr"/>
        <c:lblOffset val="100"/>
        <c:noMultiLvlLbl val="0"/>
      </c:catAx>
      <c:valAx>
        <c:axId val="26841145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20761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'[璧山农委绩效评价相关数据分析情况(2).xlsx]中医院指标得分情况'!$B$10</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'[璧山农委绩效评价相关数据分析情况(2).xlsx]中医院指标得分情况'!$A$11:$A$15</c:f>
              <c:strCache>
                <c:ptCount val="5"/>
                <c:pt idx="0">
                  <c:v>业务管理制度健全性</c:v>
                </c:pt>
                <c:pt idx="1">
                  <c:v>制度执行有效性</c:v>
                </c:pt>
                <c:pt idx="2">
                  <c:v>财务管理制度健全性</c:v>
                </c:pt>
                <c:pt idx="3">
                  <c:v>资金使用合规性</c:v>
                </c:pt>
                <c:pt idx="4">
                  <c:v>财务监控有效性</c:v>
                </c:pt>
              </c:strCache>
            </c:strRef>
          </c:cat>
          <c:val>
            <c:numRef>
              <c:f>'[璧山农委绩效评价相关数据分析情况(2).xlsx]中医院指标得分情况'!$B$11:$B$15</c:f>
              <c:numCache>
                <c:formatCode>General</c:formatCode>
                <c:ptCount val="5"/>
                <c:pt idx="0">
                  <c:v>5</c:v>
                </c:pt>
                <c:pt idx="1">
                  <c:v>10</c:v>
                </c:pt>
                <c:pt idx="2">
                  <c:v>5</c:v>
                </c:pt>
                <c:pt idx="3">
                  <c:v>5</c:v>
                </c:pt>
                <c:pt idx="4">
                  <c:v>2</c:v>
                </c:pt>
              </c:numCache>
            </c:numRef>
          </c:val>
        </c:ser>
        <c:ser>
          <c:idx val="1"/>
          <c:order val="1"/>
          <c:tx>
            <c:strRef>
              <c:f>'[璧山农委绩效评价相关数据分析情况(2).xlsx]中医院指标得分情况'!$C$10</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'[璧山农委绩效评价相关数据分析情况(2).xlsx]中医院指标得分情况'!$A$11:$A$15</c:f>
              <c:strCache>
                <c:ptCount val="5"/>
                <c:pt idx="0">
                  <c:v>业务管理制度健全性</c:v>
                </c:pt>
                <c:pt idx="1">
                  <c:v>制度执行有效性</c:v>
                </c:pt>
                <c:pt idx="2">
                  <c:v>财务管理制度健全性</c:v>
                </c:pt>
                <c:pt idx="3">
                  <c:v>资金使用合规性</c:v>
                </c:pt>
                <c:pt idx="4">
                  <c:v>财务监控有效性</c:v>
                </c:pt>
              </c:strCache>
            </c:strRef>
          </c:cat>
          <c:val>
            <c:numRef>
              <c:f>'[璧山农委绩效评价相关数据分析情况(2).xlsx]中医院指标得分情况'!$C$11:$C$15</c:f>
              <c:numCache>
                <c:formatCode>General</c:formatCode>
                <c:ptCount val="5"/>
                <c:pt idx="0">
                  <c:v>5</c:v>
                </c:pt>
                <c:pt idx="1">
                  <c:v>8</c:v>
                </c:pt>
                <c:pt idx="2">
                  <c:v>5</c:v>
                </c:pt>
                <c:pt idx="3">
                  <c:v>5</c:v>
                </c:pt>
                <c:pt idx="4">
                  <c:v>2</c:v>
                </c:pt>
              </c:numCache>
            </c:numRef>
          </c:val>
        </c:ser>
        <c:dLbls>
          <c:showLegendKey val="0"/>
          <c:showVal val="0"/>
          <c:showCatName val="0"/>
          <c:showSerName val="0"/>
          <c:showPercent val="0"/>
          <c:showBubbleSize val="0"/>
        </c:dLbls>
        <c:gapWidth val="150"/>
        <c:axId val="256346624"/>
        <c:axId val="139342336"/>
      </c:barChart>
      <c:catAx>
        <c:axId val="256346624"/>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342336"/>
        <c:crosses val="autoZero"/>
        <c:auto val="1"/>
        <c:lblAlgn val="ctr"/>
        <c:lblOffset val="100"/>
        <c:noMultiLvlLbl val="0"/>
      </c:catAx>
      <c:valAx>
        <c:axId val="13934233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56346624"/>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'[璧山农委绩效评价相关数据分析情况(2).xlsx]中医院指标得分情况'!$B$26</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'[璧山农委绩效评价相关数据分析情况(2).xlsx]中医院指标得分情况'!$A$27:$A$32</c:f>
              <c:strCache>
                <c:ptCount val="6"/>
                <c:pt idx="0">
                  <c:v>帮扶落实情况</c:v>
                </c:pt>
                <c:pt idx="1">
                  <c:v>项目台账建立情况</c:v>
                </c:pt>
                <c:pt idx="2">
                  <c:v>到户帮扶指导工作完成率</c:v>
                </c:pt>
                <c:pt idx="3">
                  <c:v>按标准发放奖补</c:v>
                </c:pt>
                <c:pt idx="4">
                  <c:v>政策宣传知晓率</c:v>
                </c:pt>
                <c:pt idx="5">
                  <c:v>项目执行及时率</c:v>
                </c:pt>
              </c:strCache>
            </c:strRef>
          </c:cat>
          <c:val>
            <c:numRef>
              <c:f>'[璧山农委绩效评价相关数据分析情况(2).xlsx]中医院指标得分情况'!$B$27:$B$32</c:f>
              <c:numCache>
                <c:formatCode>General</c:formatCode>
                <c:ptCount val="6"/>
                <c:pt idx="0">
                  <c:v>5</c:v>
                </c:pt>
                <c:pt idx="1">
                  <c:v>5</c:v>
                </c:pt>
                <c:pt idx="2">
                  <c:v>5</c:v>
                </c:pt>
                <c:pt idx="3">
                  <c:v>4</c:v>
                </c:pt>
                <c:pt idx="4">
                  <c:v>6</c:v>
                </c:pt>
                <c:pt idx="5">
                  <c:v>10</c:v>
                </c:pt>
              </c:numCache>
            </c:numRef>
          </c:val>
        </c:ser>
        <c:ser>
          <c:idx val="1"/>
          <c:order val="1"/>
          <c:tx>
            <c:strRef>
              <c:f>'[璧山农委绩效评价相关数据分析情况(2).xlsx]中医院指标得分情况'!$C$26</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'[璧山农委绩效评价相关数据分析情况(2).xlsx]中医院指标得分情况'!$A$27:$A$32</c:f>
              <c:strCache>
                <c:ptCount val="6"/>
                <c:pt idx="0">
                  <c:v>帮扶落实情况</c:v>
                </c:pt>
                <c:pt idx="1">
                  <c:v>项目台账建立情况</c:v>
                </c:pt>
                <c:pt idx="2">
                  <c:v>到户帮扶指导工作完成率</c:v>
                </c:pt>
                <c:pt idx="3">
                  <c:v>按标准发放奖补</c:v>
                </c:pt>
                <c:pt idx="4">
                  <c:v>政策宣传知晓率</c:v>
                </c:pt>
                <c:pt idx="5">
                  <c:v>项目执行及时率</c:v>
                </c:pt>
              </c:strCache>
            </c:strRef>
          </c:cat>
          <c:val>
            <c:numRef>
              <c:f>'[璧山农委绩效评价相关数据分析情况(2).xlsx]中医院指标得分情况'!$C$27:$C$32</c:f>
              <c:numCache>
                <c:formatCode>General</c:formatCode>
                <c:ptCount val="6"/>
                <c:pt idx="0">
                  <c:v>5</c:v>
                </c:pt>
                <c:pt idx="1">
                  <c:v>5</c:v>
                </c:pt>
                <c:pt idx="2">
                  <c:v>2</c:v>
                </c:pt>
                <c:pt idx="3">
                  <c:v>4</c:v>
                </c:pt>
                <c:pt idx="4">
                  <c:v>4.14</c:v>
                </c:pt>
                <c:pt idx="5">
                  <c:v>8</c:v>
                </c:pt>
              </c:numCache>
            </c:numRef>
          </c:val>
        </c:ser>
        <c:dLbls>
          <c:showLegendKey val="0"/>
          <c:showVal val="0"/>
          <c:showCatName val="0"/>
          <c:showSerName val="0"/>
          <c:showPercent val="0"/>
          <c:showBubbleSize val="0"/>
        </c:dLbls>
        <c:gapWidth val="150"/>
        <c:axId val="256356352"/>
        <c:axId val="139345216"/>
      </c:barChart>
      <c:catAx>
        <c:axId val="256356352"/>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139345216"/>
        <c:crosses val="autoZero"/>
        <c:auto val="1"/>
        <c:lblAlgn val="ctr"/>
        <c:lblOffset val="100"/>
        <c:noMultiLvlLbl val="0"/>
      </c:catAx>
      <c:valAx>
        <c:axId val="139345216"/>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56356352"/>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'[璧山农委绩效评价相关数据分析情况(2).xlsx]中医院指标得分情况'!$N$49</c:f>
              <c:strCache>
                <c:ptCount val="1"/>
                <c:pt idx="0">
                  <c:v>权重</c:v>
                </c:pt>
              </c:strCache>
            </c:strRef>
          </c:tx>
          <c:spPr>
            <a:solidFill>
              <a:schemeClr val="accent1">
                <a:alpha val="70000"/>
              </a:schemeClr>
            </a:solidFill>
            <a:ln>
              <a:noFill/>
            </a:ln>
            <a:effectLst/>
          </c:spPr>
          <c:invertIfNegative val="0"/>
          <c:dLbls>
            <c:delete val="1"/>
          </c:dLbls>
          <c:cat>
            <c:strRef>
              <c:f>'[璧山农委绩效评价相关数据分析情况(2).xlsx]中医院指标得分情况'!$M$50:$M$53</c:f>
              <c:strCache>
                <c:ptCount val="4"/>
                <c:pt idx="0">
                  <c:v>经济效益</c:v>
                </c:pt>
                <c:pt idx="1">
                  <c:v>社会效益</c:v>
                </c:pt>
                <c:pt idx="2">
                  <c:v>可持续效益</c:v>
                </c:pt>
                <c:pt idx="3">
                  <c:v>奖补对象满意度</c:v>
                </c:pt>
              </c:strCache>
            </c:strRef>
          </c:cat>
          <c:val>
            <c:numRef>
              <c:f>'[璧山农委绩效评价相关数据分析情况(2).xlsx]中医院指标得分情况'!$N$50:$N$53</c:f>
              <c:numCache>
                <c:formatCode>General</c:formatCode>
                <c:ptCount val="4"/>
                <c:pt idx="0">
                  <c:v>5</c:v>
                </c:pt>
                <c:pt idx="1">
                  <c:v>10</c:v>
                </c:pt>
                <c:pt idx="2">
                  <c:v>5</c:v>
                </c:pt>
                <c:pt idx="3">
                  <c:v>10</c:v>
                </c:pt>
              </c:numCache>
            </c:numRef>
          </c:val>
        </c:ser>
        <c:ser>
          <c:idx val="1"/>
          <c:order val="1"/>
          <c:tx>
            <c:strRef>
              <c:f>'[璧山农委绩效评价相关数据分析情况(2).xlsx]中医院指标得分情况'!$O$49</c:f>
              <c:strCache>
                <c:ptCount val="1"/>
                <c:pt idx="0">
                  <c:v>得分</c:v>
                </c:pt>
              </c:strCache>
            </c:strRef>
          </c:tx>
          <c:spPr>
            <a:solidFill>
              <a:schemeClr val="accent2">
                <a:alpha val="70000"/>
              </a:schemeClr>
            </a:solidFill>
            <a:ln>
              <a:noFill/>
            </a:ln>
            <a:effectLst/>
          </c:spPr>
          <c:invertIfNegative val="0"/>
          <c:dLbls>
            <c:delete val="1"/>
          </c:dLbls>
          <c:cat>
            <c:strRef>
              <c:f>'[璧山农委绩效评价相关数据分析情况(2).xlsx]中医院指标得分情况'!$M$50:$M$53</c:f>
              <c:strCache>
                <c:ptCount val="4"/>
                <c:pt idx="0">
                  <c:v>经济效益</c:v>
                </c:pt>
                <c:pt idx="1">
                  <c:v>社会效益</c:v>
                </c:pt>
                <c:pt idx="2">
                  <c:v>可持续效益</c:v>
                </c:pt>
                <c:pt idx="3">
                  <c:v>奖补对象满意度</c:v>
                </c:pt>
              </c:strCache>
            </c:strRef>
          </c:cat>
          <c:val>
            <c:numRef>
              <c:f>'[璧山农委绩效评价相关数据分析情况(2).xlsx]中医院指标得分情况'!$O$50:$O$53</c:f>
              <c:numCache>
                <c:formatCode>General</c:formatCode>
                <c:ptCount val="4"/>
                <c:pt idx="0">
                  <c:v>5</c:v>
                </c:pt>
                <c:pt idx="1">
                  <c:v>7</c:v>
                </c:pt>
                <c:pt idx="2">
                  <c:v>4</c:v>
                </c:pt>
                <c:pt idx="3">
                  <c:v>10</c:v>
                </c:pt>
              </c:numCache>
            </c:numRef>
          </c:val>
        </c:ser>
        <c:dLbls>
          <c:showLegendKey val="0"/>
          <c:showVal val="0"/>
          <c:showCatName val="0"/>
          <c:showSerName val="0"/>
          <c:showPercent val="0"/>
          <c:showBubbleSize val="0"/>
        </c:dLbls>
        <c:gapWidth val="150"/>
        <c:axId val="256347136"/>
        <c:axId val="268413184"/>
      </c:barChart>
      <c:catAx>
        <c:axId val="256347136"/>
        <c:scaling>
          <c:orientation val="minMax"/>
        </c:scaling>
        <c:delete val="0"/>
        <c:axPos val="b"/>
        <c:majorTickMark val="none"/>
        <c:minorTickMark val="none"/>
        <c:tickLblPos val="nextTo"/>
        <c:spPr>
          <a:noFill/>
          <a:ln w="15875" cap="flat" cmpd="sng" algn="ctr">
            <a:solidFill>
              <a:schemeClr val="tx1">
                <a:lumMod val="25000"/>
                <a:lumOff val="75000"/>
              </a:schemeClr>
            </a:solidFill>
            <a:prstDash val="solid"/>
            <a:round/>
          </a:ln>
          <a:effectLst/>
        </c:spPr>
        <c:txPr>
          <a:bodyPr rot="-60000000" spcFirstLastPara="0" vertOverflow="ellipsis" vert="horz" wrap="square" anchor="ctr" anchorCtr="1"/>
          <a:lstStyle/>
          <a:p>
            <a:pPr>
              <a:defRPr lang="zh-CN" sz="900" b="0" i="0" u="none" strike="noStrike" kern="1200" cap="none" spc="20" normalizeH="0" baseline="0">
                <a:solidFill>
                  <a:schemeClr val="tx1">
                    <a:lumMod val="65000"/>
                    <a:lumOff val="35000"/>
                  </a:schemeClr>
                </a:solidFill>
                <a:latin typeface="+mn-lt"/>
                <a:ea typeface="+mn-ea"/>
                <a:cs typeface="+mn-cs"/>
              </a:defRPr>
            </a:pPr>
          </a:p>
        </c:txPr>
        <c:crossAx val="268413184"/>
        <c:crosses val="autoZero"/>
        <c:auto val="1"/>
        <c:lblAlgn val="ctr"/>
        <c:lblOffset val="100"/>
        <c:noMultiLvlLbl val="0"/>
      </c:catAx>
      <c:valAx>
        <c:axId val="268413184"/>
        <c:scaling>
          <c:orientation val="minMax"/>
        </c:scaling>
        <c:delete val="0"/>
        <c:axPos val="l"/>
        <c:majorGridlines>
          <c:spPr>
            <a:ln w="9525" cap="flat" cmpd="sng" algn="ctr">
              <a:solidFill>
                <a:schemeClr val="tx1">
                  <a:lumMod val="5000"/>
                  <a:lumOff val="9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65000"/>
                        <a:lumOff val="35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spc="20" baseline="0">
                <a:solidFill>
                  <a:schemeClr val="tx1">
                    <a:lumMod val="65000"/>
                    <a:lumOff val="35000"/>
                  </a:schemeClr>
                </a:solidFill>
                <a:latin typeface="+mn-lt"/>
                <a:ea typeface="+mn-ea"/>
                <a:cs typeface="+mn-cs"/>
              </a:defRPr>
            </a:pPr>
          </a:p>
        </c:txPr>
        <c:crossAx val="256347136"/>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65000"/>
                    <a:lumOff val="35000"/>
                  </a:schemeClr>
                </a:solidFill>
                <a:latin typeface="+mn-lt"/>
                <a:ea typeface="+mn-ea"/>
                <a:cs typeface="+mn-cs"/>
              </a:defRPr>
            </a:pPr>
          </a:p>
        </c:txPr>
      </c:dTable>
      <c:spPr>
        <a:noFill/>
        <a:ln>
          <a:noFill/>
        </a:ln>
        <a:effectLst/>
      </c:spPr>
    </c:plotArea>
    <c:plotVisOnly val="1"/>
    <c:dispBlanksAs val="gap"/>
    <c:showDLblsOverMax val="0"/>
  </c:chart>
  <c:spPr>
    <a:solidFill>
      <a:schemeClr val="lt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barChart>
        <c:barDir val="col"/>
        <c:grouping val="clustered"/>
        <c:varyColors val="0"/>
        <c:ser>
          <c:idx val="0"/>
          <c:order val="0"/>
          <c:tx>
            <c:strRef>
              <c:f>'[璧山农委绩效评价相关数据分析情况(2).xlsx]中医院指标得分情况'!$B$42</c:f>
              <c:strCache>
                <c:ptCount val="1"/>
                <c:pt idx="0">
                  <c:v>权重</c:v>
                </c:pt>
              </c:strCache>
            </c:strRef>
          </c:tx>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strRef>
              <c:f>'[璧山农委绩效评价相关数据分析情况(2).xlsx]中医院指标得分情况'!$A$43:$A$46</c:f>
              <c:strCache>
                <c:ptCount val="4"/>
                <c:pt idx="0">
                  <c:v>投入</c:v>
                </c:pt>
                <c:pt idx="1">
                  <c:v>管理</c:v>
                </c:pt>
                <c:pt idx="2">
                  <c:v>产出</c:v>
                </c:pt>
                <c:pt idx="3">
                  <c:v>效果</c:v>
                </c:pt>
              </c:strCache>
            </c:strRef>
          </c:cat>
          <c:val>
            <c:numRef>
              <c:f>'[璧山农委绩效评价相关数据分析情况(2).xlsx]中医院指标得分情况'!$B$43:$B$46</c:f>
              <c:numCache>
                <c:formatCode>General</c:formatCode>
                <c:ptCount val="4"/>
                <c:pt idx="0">
                  <c:v>8</c:v>
                </c:pt>
                <c:pt idx="1">
                  <c:v>27</c:v>
                </c:pt>
                <c:pt idx="2">
                  <c:v>35</c:v>
                </c:pt>
                <c:pt idx="3">
                  <c:v>30</c:v>
                </c:pt>
              </c:numCache>
            </c:numRef>
          </c:val>
        </c:ser>
        <c:ser>
          <c:idx val="1"/>
          <c:order val="1"/>
          <c:tx>
            <c:strRef>
              <c:f>'[璧山农委绩效评价相关数据分析情况(2).xlsx]中医院指标得分情况'!$C$42</c:f>
              <c:strCache>
                <c:ptCount val="1"/>
                <c:pt idx="0">
                  <c:v>得分</c:v>
                </c:pt>
              </c:strCache>
            </c:strRef>
          </c:tx>
          <c:spPr>
            <a:gradFill rotWithShape="1">
              <a:gsLst>
                <a:gs pos="0">
                  <a:schemeClr val="accent2">
                    <a:lumMod val="110000"/>
                    <a:satMod val="105000"/>
                    <a:tint val="67000"/>
                  </a:schemeClr>
                </a:gs>
                <a:gs pos="50000">
                  <a:schemeClr val="accent2">
                    <a:lumMod val="105000"/>
                    <a:satMod val="103000"/>
                    <a:tint val="73000"/>
                  </a:schemeClr>
                </a:gs>
                <a:gs pos="100000">
                  <a:schemeClr val="accent2">
                    <a:lumMod val="105000"/>
                    <a:satMod val="109000"/>
                    <a:tint val="81000"/>
                  </a:schemeClr>
                </a:gs>
              </a:gsLst>
              <a:lin ang="5400000" scaled="0"/>
            </a:gradFill>
            <a:ln w="9525" cap="flat" cmpd="sng" algn="ctr">
              <a:solidFill>
                <a:schemeClr val="accent2">
                  <a:shade val="95000"/>
                </a:schemeClr>
              </a:solidFill>
              <a:round/>
            </a:ln>
            <a:effectLst/>
          </c:spPr>
          <c:invertIfNegative val="0"/>
          <c:dLbls>
            <c:delete val="1"/>
          </c:dLbls>
          <c:cat>
            <c:strRef>
              <c:f>'[璧山农委绩效评价相关数据分析情况(2).xlsx]中医院指标得分情况'!$A$43:$A$46</c:f>
              <c:strCache>
                <c:ptCount val="4"/>
                <c:pt idx="0">
                  <c:v>投入</c:v>
                </c:pt>
                <c:pt idx="1">
                  <c:v>管理</c:v>
                </c:pt>
                <c:pt idx="2">
                  <c:v>产出</c:v>
                </c:pt>
                <c:pt idx="3">
                  <c:v>效果</c:v>
                </c:pt>
              </c:strCache>
            </c:strRef>
          </c:cat>
          <c:val>
            <c:numRef>
              <c:f>'[璧山农委绩效评价相关数据分析情况(2).xlsx]中医院指标得分情况'!$C$43:$C$46</c:f>
              <c:numCache>
                <c:formatCode>General</c:formatCode>
                <c:ptCount val="4"/>
                <c:pt idx="0">
                  <c:v>8</c:v>
                </c:pt>
                <c:pt idx="1">
                  <c:v>25</c:v>
                </c:pt>
                <c:pt idx="2">
                  <c:v>28.14</c:v>
                </c:pt>
                <c:pt idx="3">
                  <c:v>26</c:v>
                </c:pt>
              </c:numCache>
            </c:numRef>
          </c:val>
        </c:ser>
        <c:dLbls>
          <c:showLegendKey val="0"/>
          <c:showVal val="0"/>
          <c:showCatName val="0"/>
          <c:showSerName val="0"/>
          <c:showPercent val="0"/>
          <c:showBubbleSize val="0"/>
        </c:dLbls>
        <c:gapWidth val="150"/>
        <c:axId val="268206080"/>
        <c:axId val="268414912"/>
      </c:barChart>
      <c:catAx>
        <c:axId val="268206080"/>
        <c:scaling>
          <c:orientation val="minMax"/>
        </c:scaling>
        <c:delete val="0"/>
        <c:axPos val="b"/>
        <c:majorTickMark val="none"/>
        <c:minorTickMark val="none"/>
        <c:tickLblPos val="nextTo"/>
        <c:spPr>
          <a:noFill/>
          <a:ln w="9525" cap="flat" cmpd="sng" algn="ctr">
            <a:solidFill>
              <a:schemeClr val="tx1">
                <a:lumMod val="15000"/>
                <a:lumOff val="85000"/>
              </a:schemeClr>
            </a:solid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414912"/>
        <c:crosses val="autoZero"/>
        <c:auto val="1"/>
        <c:lblAlgn val="ctr"/>
        <c:lblOffset val="100"/>
        <c:noMultiLvlLbl val="0"/>
      </c:catAx>
      <c:valAx>
        <c:axId val="268414912"/>
        <c:scaling>
          <c:orientation val="minMax"/>
        </c:scaling>
        <c:delete val="0"/>
        <c:axPos val="l"/>
        <c:majorGridlines>
          <c:spPr>
            <a:ln w="9525" cap="flat" cmpd="sng" algn="ctr">
              <a:solidFill>
                <a:schemeClr val="tx1">
                  <a:lumMod val="15000"/>
                  <a:lumOff val="85000"/>
                </a:schemeClr>
              </a:solidFill>
              <a:prstDash val="solid"/>
              <a:round/>
            </a:ln>
            <a:effectLst/>
          </c:spPr>
        </c:majorGridlines>
        <c:title>
          <c:tx>
            <c:rich>
              <a:bodyPr rot="-5400000" spcFirstLastPara="0" vertOverflow="ellipsis" vert="horz" wrap="square" anchor="ctr" anchorCtr="1"/>
              <a:lstStyle/>
              <a:p>
                <a:pPr defTabSz="914400">
                  <a:defRPr lang="zh-CN" sz="900" b="0" i="0" u="none" strike="noStrike" kern="1200" cap="all" baseline="0">
                    <a:solidFill>
                      <a:schemeClr val="tx1">
                        <a:lumMod val="50000"/>
                        <a:lumOff val="50000"/>
                      </a:schemeClr>
                    </a:solidFill>
                    <a:latin typeface="+mn-lt"/>
                    <a:ea typeface="+mn-ea"/>
                    <a:cs typeface="+mn-cs"/>
                  </a:defRPr>
                </a:pPr>
                <a:r>
                  <a:t>分值</a:t>
                </a:r>
              </a:p>
            </c:rich>
          </c:tx>
          <c:layout/>
          <c:overlay val="0"/>
          <c:spPr>
            <a:noFill/>
            <a:ln>
              <a:noFill/>
            </a:ln>
            <a:effectLst/>
          </c:spPr>
        </c:title>
        <c:numFmt formatCode="General" sourceLinked="1"/>
        <c:majorTickMark val="none"/>
        <c:minorTickMark val="none"/>
        <c:tickLblPos val="nextTo"/>
        <c:spPr>
          <a:noFill/>
          <a:ln w="9525" cap="flat" cmpd="sng" algn="ctr">
            <a:noFill/>
            <a:prstDash val="solid"/>
            <a:round/>
          </a:ln>
          <a:effectLst/>
        </c:spPr>
        <c:txPr>
          <a:bodyPr rot="-6000000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crossAx val="268206080"/>
        <c:crosses val="autoZero"/>
        <c:crossBetween val="between"/>
      </c:valAx>
      <c:dTable>
        <c:showHorzBorder val="1"/>
        <c:showVertBorder val="1"/>
        <c:showOutline val="1"/>
        <c:showKeys val="1"/>
        <c:spPr>
          <a:noFill/>
          <a:ln w="9525" cap="flat" cmpd="sng" algn="ctr">
            <a:solidFill>
              <a:schemeClr val="tx1">
                <a:lumMod val="15000"/>
                <a:lumOff val="85000"/>
              </a:schemeClr>
            </a:solidFill>
            <a:prstDash val="solid"/>
            <a:round/>
          </a:ln>
          <a:effectLst/>
        </c:spPr>
        <c:txPr>
          <a:bodyPr rot="0" spcFirstLastPara="0" vertOverflow="ellipsis" vert="horz" wrap="square" anchor="ctr" anchorCtr="1"/>
          <a:lstStyle/>
          <a:p>
            <a:pPr>
              <a:defRPr lang="zh-CN" sz="900" b="0" i="0" u="none" strike="noStrike" kern="1200" baseline="0">
                <a:solidFill>
                  <a:schemeClr val="tx1">
                    <a:lumMod val="50000"/>
                    <a:lumOff val="50000"/>
                  </a:schemeClr>
                </a:solidFill>
                <a:latin typeface="+mn-lt"/>
                <a:ea typeface="+mn-ea"/>
                <a:cs typeface="+mn-cs"/>
              </a:defRPr>
            </a:pPr>
          </a:p>
        </c:txPr>
      </c:dTable>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prstDash val="solid"/>
      <a:round/>
    </a:ln>
    <a:effectLst/>
  </c:spPr>
  <c:txPr>
    <a:bodyPr/>
    <a:lstStyle/>
    <a:p>
      <a:pPr>
        <a:defRPr lang="zh-CN"/>
      </a:pPr>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Micorosoft</Company>
  <Pages>32</Pages>
  <Words>11442</Words>
  <Characters>11941</Characters>
  <Lines>111</Lines>
  <Paragraphs>31</Paragraphs>
  <TotalTime>1</TotalTime>
  <ScaleCrop>false</ScaleCrop>
  <LinksUpToDate>false</LinksUpToDate>
  <CharactersWithSpaces>13411</CharactersWithSpaces>
  <Application>WPS Office_12.1.0.16929_F1E327BC-269C-435d-A152-05C5408002CA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2021-08-16T03:20:00Z</dcterms:created>
  <dc:creator>微软用户</dc:creator>
  <cp:lastModifiedBy>温星星</cp:lastModifiedBy>
  <cp:lastPrinted>2023-03-02T01:44:00Z</cp:lastPrinted>
  <dcterms:modified xsi:type="dcterms:W3CDTF">2024-06-20T01:46:17Z</dcterms:modified>
  <dc:title>北京市市级预算支出项目</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2019-07-05T00:00:00Z</vt:filetime>
  </property>
  <property fmtid="{D5CDD505-2E9C-101B-9397-08002B2CF9AE}" pid="3" name="Creator">
    <vt:lpwstr>Microsoft® Word 适用于 Office 365</vt:lpwstr>
  </property>
  <property fmtid="{D5CDD505-2E9C-101B-9397-08002B2CF9AE}" pid="4" name="LastSaved">
    <vt:filetime>2019-07-15T00:00:00Z</vt:filetime>
  </property>
  <property fmtid="{D5CDD505-2E9C-101B-9397-08002B2CF9AE}" pid="5" name="KSOProductBuildVer">
    <vt:lpwstr>2052-12.1.0.16929</vt:lpwstr>
  </property>
  <property fmtid="{D5CDD505-2E9C-101B-9397-08002B2CF9AE}" pid="6" name="KSOSaveFontToCloudKey">
    <vt:lpwstr>697201468_btnclosed</vt:lpwstr>
  </property>
  <property fmtid="{D5CDD505-2E9C-101B-9397-08002B2CF9AE}" pid="7" name="ICV">
    <vt:lpwstr>7210E1BC3AA9438BBD4972BCF3170FD4_13</vt:lpwstr>
  </property>
</Properties>
</file>