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line="560" w:lineRule="exact"/>
        <w:jc w:val="cente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pPr>
    </w:p>
    <w:p>
      <w:pPr>
        <w:autoSpaceDE/>
        <w:autoSpaceDN/>
        <w:spacing w:after="120" w:afterLines="50" w:line="560" w:lineRule="exact"/>
        <w:jc w:val="center"/>
        <w:rPr>
          <w:rFonts w:ascii="Times New Roman" w:hAnsi="Times New Roman" w:eastAsia="方正小标宋_GBK" w:cs="方正小标宋_GBK"/>
          <w:color w:val="000000" w:themeColor="text1"/>
          <w:kern w:val="2"/>
          <w:sz w:val="44"/>
          <w:szCs w:val="44"/>
          <w:lang w:val="en-US" w:bidi="ar-SA"/>
          <w14:textFill>
            <w14:solidFill>
              <w14:schemeClr w14:val="tx1"/>
            </w14:solidFill>
          </w14:textFill>
        </w:rPr>
      </w:pPr>
      <w: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t>重庆市</w:t>
      </w:r>
      <w:r>
        <w:rPr>
          <w:rFonts w:hint="eastAsia" w:ascii="Times New Roman" w:hAnsi="Times New Roman" w:eastAsia="方正小标宋_GBK" w:cs="方正小标宋_GBK"/>
          <w:kern w:val="2"/>
          <w:sz w:val="44"/>
          <w:szCs w:val="44"/>
          <w:lang w:val="en-US" w:bidi="ar-SA"/>
        </w:rPr>
        <w:t>酉阳土家族苗族自治县</w:t>
      </w:r>
      <w: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t>财政支出</w:t>
      </w:r>
    </w:p>
    <w:p>
      <w:pPr>
        <w:autoSpaceDE/>
        <w:autoSpaceDN/>
        <w:spacing w:after="120" w:afterLines="50" w:line="560" w:lineRule="exact"/>
        <w:jc w:val="center"/>
        <w:rPr>
          <w:rFonts w:ascii="Times New Roman" w:hAnsi="Times New Roman" w:eastAsia="方正小标宋_GBK" w:cs="方正小标宋_GBK"/>
          <w:color w:val="000000" w:themeColor="text1"/>
          <w:kern w:val="2"/>
          <w:sz w:val="44"/>
          <w:szCs w:val="44"/>
          <w:lang w:val="en-US" w:bidi="ar-SA"/>
          <w14:textFill>
            <w14:solidFill>
              <w14:schemeClr w14:val="tx1"/>
            </w14:solidFill>
          </w14:textFill>
        </w:rPr>
      </w:pPr>
      <w: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t>绩效评价报告</w:t>
      </w:r>
    </w:p>
    <w:p>
      <w:pPr>
        <w:pStyle w:val="7"/>
        <w:spacing w:before="7" w:line="560" w:lineRule="exact"/>
        <w:jc w:val="center"/>
        <w:rPr>
          <w:rFonts w:ascii="Times New Roman" w:hAnsi="Times New Roman" w:eastAsia="方正小标宋_GBK" w:cs="方正小标宋_GBK"/>
          <w:color w:val="000000" w:themeColor="text1"/>
          <w:sz w:val="44"/>
          <w:szCs w:val="44"/>
          <w14:textFill>
            <w14:solidFill>
              <w14:schemeClr w14:val="tx1"/>
            </w14:solidFill>
          </w14:textFill>
        </w:rPr>
      </w:pPr>
    </w:p>
    <w:p>
      <w:pPr>
        <w:pStyle w:val="7"/>
        <w:spacing w:line="560" w:lineRule="exact"/>
        <w:jc w:val="center"/>
        <w:rPr>
          <w:rFonts w:ascii="Times New Roman" w:hAnsi="Times New Roman" w:eastAsia="方正小标宋_GBK" w:cs="方正小标宋_GBK"/>
          <w:color w:val="000000" w:themeColor="text1"/>
          <w:kern w:val="2"/>
          <w:sz w:val="44"/>
          <w:szCs w:val="44"/>
          <w:lang w:val="en-US" w:bidi="ar-SA"/>
          <w14:textFill>
            <w14:solidFill>
              <w14:schemeClr w14:val="tx1"/>
            </w14:solidFill>
          </w14:textFill>
        </w:rPr>
      </w:pPr>
      <w:r>
        <w:rPr>
          <w:rFonts w:hint="eastAsia" w:ascii="Times New Roman" w:hAnsi="Times New Roman" w:eastAsia="方正小标宋_GBK" w:cs="方正小标宋_GBK"/>
          <w:color w:val="000000" w:themeColor="text1"/>
          <w:kern w:val="2"/>
          <w:sz w:val="44"/>
          <w:szCs w:val="44"/>
          <w:lang w:val="en-US" w:bidi="ar-SA"/>
          <w14:textFill>
            <w14:solidFill>
              <w14:schemeClr w14:val="tx1"/>
            </w14:solidFill>
          </w14:textFill>
        </w:rPr>
        <w:t>（2022年度）</w:t>
      </w:r>
    </w:p>
    <w:p>
      <w:pPr>
        <w:pStyle w:val="7"/>
        <w:spacing w:line="560" w:lineRule="exact"/>
        <w:jc w:val="center"/>
        <w:rPr>
          <w:rFonts w:ascii="Times New Roman" w:hAnsi="Times New Roman" w:eastAsia="方正小标宋_GBK" w:cs="方正小标宋_GBK"/>
          <w:color w:val="000000" w:themeColor="text1"/>
          <w:kern w:val="2"/>
          <w:sz w:val="44"/>
          <w:szCs w:val="44"/>
          <w:lang w:val="en-US" w:bidi="ar-SA"/>
          <w14:textFill>
            <w14:solidFill>
              <w14:schemeClr w14:val="tx1"/>
            </w14:solidFill>
          </w14:textFill>
        </w:rPr>
      </w:pPr>
    </w:p>
    <w:p>
      <w:pPr>
        <w:autoSpaceDE/>
        <w:autoSpaceDN/>
        <w:spacing w:line="560" w:lineRule="exact"/>
        <w:ind w:firstLine="640" w:firstLineChars="200"/>
        <w:rPr>
          <w:rFonts w:ascii="Times New Roman" w:hAnsi="Times New Roman" w:eastAsia="方正仿宋_GBK" w:cs="Times New Roman"/>
          <w:bCs/>
          <w:color w:val="000000" w:themeColor="text1"/>
          <w:sz w:val="32"/>
          <w:szCs w:val="32"/>
          <w:lang w:val="en-US" w:bidi="ar-SA"/>
          <w14:textFill>
            <w14:solidFill>
              <w14:schemeClr w14:val="tx1"/>
            </w14:solidFill>
          </w14:textFill>
        </w:rPr>
      </w:pP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 xml:space="preserve">     </w:t>
      </w:r>
    </w:p>
    <w:p>
      <w:pPr>
        <w:autoSpaceDE/>
        <w:autoSpaceDN/>
        <w:spacing w:line="560" w:lineRule="exact"/>
        <w:ind w:firstLine="440" w:firstLineChars="200"/>
        <w:rPr>
          <w:rFonts w:ascii="Times New Roman" w:hAnsi="Times New Roman" w:eastAsia="方正仿宋_GBK" w:cs="方正仿宋_GBK"/>
          <w:color w:val="000000" w:themeColor="text1"/>
          <w14:textFill>
            <w14:solidFill>
              <w14:schemeClr w14:val="tx1"/>
            </w14:solidFill>
          </w14:textFill>
        </w:rPr>
      </w:pPr>
      <w:r>
        <w:rPr>
          <w:rFonts w:hint="eastAsia" w:ascii="Times New Roman" w:hAnsi="Times New Roman" w:eastAsia="方正仿宋_GBK" w:cs="方正仿宋_GBK"/>
          <w:color w:val="000000" w:themeColor="text1"/>
          <w:lang w:val="en-US" w:bidi="ar-SA"/>
          <w14:textFill>
            <w14:solidFill>
              <w14:schemeClr w14:val="tx1"/>
            </w14:solidFill>
          </w14:textFill>
        </w:rPr>
        <w:t xml:space="preserve">    </w:t>
      </w:r>
      <w:r>
        <w:rPr>
          <w:rFonts w:hint="eastAsia" w:ascii="Times New Roman" w:hAnsi="Times New Roman" w:eastAsia="方正仿宋_GBK" w:cs="方正仿宋_GBK"/>
          <w:color w:val="000000" w:themeColor="text1"/>
          <w14:textFill>
            <w14:solidFill>
              <w14:schemeClr w14:val="tx1"/>
            </w14:solidFill>
          </w14:textFill>
        </w:rPr>
        <w:t xml:space="preserve">    </w:t>
      </w:r>
    </w:p>
    <w:p>
      <w:pPr>
        <w:pStyle w:val="7"/>
        <w:spacing w:before="3" w:line="560" w:lineRule="exact"/>
        <w:rPr>
          <w:rFonts w:ascii="Times New Roman" w:hAnsi="Times New Roman" w:eastAsia="方正仿宋_GBK" w:cs="方正仿宋_GBK"/>
          <w:color w:val="000000" w:themeColor="text1"/>
          <w:sz w:val="33"/>
          <w14:textFill>
            <w14:solidFill>
              <w14:schemeClr w14:val="tx1"/>
            </w14:solidFill>
          </w14:textFill>
        </w:rPr>
      </w:pPr>
    </w:p>
    <w:tbl>
      <w:tblPr>
        <w:tblStyle w:val="14"/>
        <w:tblW w:w="5018" w:type="pct"/>
        <w:jc w:val="center"/>
        <w:tblLayout w:type="fixed"/>
        <w:tblCellMar>
          <w:top w:w="0" w:type="dxa"/>
          <w:left w:w="108" w:type="dxa"/>
          <w:bottom w:w="0" w:type="dxa"/>
          <w:right w:w="108" w:type="dxa"/>
        </w:tblCellMar>
      </w:tblPr>
      <w:tblGrid>
        <w:gridCol w:w="1823"/>
        <w:gridCol w:w="7276"/>
      </w:tblGrid>
      <w:tr>
        <w:tblPrEx>
          <w:tblCellMar>
            <w:top w:w="0" w:type="dxa"/>
            <w:left w:w="108" w:type="dxa"/>
            <w:bottom w:w="0" w:type="dxa"/>
            <w:right w:w="108" w:type="dxa"/>
          </w:tblCellMar>
        </w:tblPrEx>
        <w:trPr>
          <w:trHeight w:val="821" w:hRule="atLeast"/>
          <w:jc w:val="center"/>
        </w:trPr>
        <w:tc>
          <w:tcPr>
            <w:tcW w:w="1002" w:type="pct"/>
            <w:tcBorders>
              <w:top w:val="nil"/>
              <w:left w:val="nil"/>
              <w:bottom w:val="nil"/>
              <w:right w:val="nil"/>
            </w:tcBorders>
            <w:shd w:val="clear" w:color="auto" w:fill="auto"/>
            <w:noWrap/>
            <w:vAlign w:val="center"/>
          </w:tcPr>
          <w:p>
            <w:pPr>
              <w:widowControl/>
              <w:textAlignment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lang w:val="en-US" w:bidi="ar"/>
                <w14:textFill>
                  <w14:solidFill>
                    <w14:schemeClr w14:val="tx1"/>
                  </w14:solidFill>
                </w14:textFill>
              </w:rPr>
              <w:t>项目单位:</w:t>
            </w:r>
          </w:p>
        </w:tc>
        <w:tc>
          <w:tcPr>
            <w:tcW w:w="3997" w:type="pct"/>
            <w:tcBorders>
              <w:top w:val="nil"/>
              <w:left w:val="nil"/>
              <w:bottom w:val="single" w:color="auto" w:sz="4" w:space="0"/>
              <w:right w:val="nil"/>
            </w:tcBorders>
            <w:shd w:val="clear" w:color="auto" w:fill="auto"/>
            <w:noWrap/>
            <w:vAlign w:val="center"/>
          </w:tcPr>
          <w:p>
            <w:pPr>
              <w:jc w:val="center"/>
              <w:rPr>
                <w:rFonts w:ascii="Times New Roman" w:hAnsi="Times New Roman" w:eastAsia="方正仿宋_GBK" w:cs="方正仿宋_GBK"/>
                <w:color w:val="000000" w:themeColor="text1"/>
                <w:sz w:val="32"/>
                <w:szCs w:val="32"/>
                <w:lang w:val="en-US"/>
                <w14:textFill>
                  <w14:solidFill>
                    <w14:schemeClr w14:val="tx1"/>
                  </w14:solidFill>
                </w14:textFill>
              </w:rPr>
            </w:pPr>
            <w:r>
              <w:rPr>
                <w:rFonts w:hint="eastAsia" w:ascii="Times New Roman" w:hAnsi="Times New Roman" w:eastAsia="方正仿宋_GBK" w:cs="方正仿宋_GBK"/>
                <w:color w:val="000000" w:themeColor="text1"/>
                <w:sz w:val="32"/>
                <w:szCs w:val="32"/>
                <w:lang w:val="en-US"/>
                <w14:textFill>
                  <w14:solidFill>
                    <w14:schemeClr w14:val="tx1"/>
                  </w14:solidFill>
                </w14:textFill>
              </w:rPr>
              <w:t xml:space="preserve"> 重庆市酉阳土家族苗族自治县农业农村委员会</w:t>
            </w:r>
          </w:p>
        </w:tc>
      </w:tr>
      <w:tr>
        <w:tblPrEx>
          <w:tblCellMar>
            <w:top w:w="0" w:type="dxa"/>
            <w:left w:w="108" w:type="dxa"/>
            <w:bottom w:w="0" w:type="dxa"/>
            <w:right w:w="108" w:type="dxa"/>
          </w:tblCellMar>
        </w:tblPrEx>
        <w:trPr>
          <w:trHeight w:val="771" w:hRule="atLeast"/>
          <w:jc w:val="center"/>
        </w:trPr>
        <w:tc>
          <w:tcPr>
            <w:tcW w:w="1002" w:type="pct"/>
            <w:tcBorders>
              <w:top w:val="nil"/>
              <w:left w:val="nil"/>
              <w:bottom w:val="nil"/>
              <w:right w:val="nil"/>
            </w:tcBorders>
            <w:shd w:val="clear" w:color="auto" w:fill="auto"/>
            <w:noWrap/>
            <w:vAlign w:val="center"/>
          </w:tcPr>
          <w:p>
            <w:pPr>
              <w:widowControl/>
              <w:textAlignment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lang w:val="en-US" w:bidi="ar"/>
                <w14:textFill>
                  <w14:solidFill>
                    <w14:schemeClr w14:val="tx1"/>
                  </w14:solidFill>
                </w14:textFill>
              </w:rPr>
              <w:t>项目名称:</w:t>
            </w:r>
          </w:p>
        </w:tc>
        <w:tc>
          <w:tcPr>
            <w:tcW w:w="3997" w:type="pct"/>
            <w:tcBorders>
              <w:top w:val="single" w:color="auto" w:sz="4" w:space="0"/>
              <w:left w:val="nil"/>
              <w:bottom w:val="single" w:color="auto" w:sz="4" w:space="0"/>
              <w:right w:val="nil"/>
            </w:tcBorders>
            <w:shd w:val="clear" w:color="auto" w:fill="auto"/>
            <w:noWrap/>
            <w:vAlign w:val="center"/>
          </w:tcPr>
          <w:p>
            <w:pPr>
              <w:jc w:val="center"/>
              <w:rPr>
                <w:rFonts w:ascii="Times New Roman" w:hAnsi="Times New Roman" w:eastAsia="方正仿宋_GBK" w:cs="方正仿宋_GBK"/>
                <w:color w:val="000000" w:themeColor="text1"/>
                <w:sz w:val="32"/>
                <w:szCs w:val="32"/>
                <w:lang w:val="en-US"/>
                <w14:textFill>
                  <w14:solidFill>
                    <w14:schemeClr w14:val="tx1"/>
                  </w14:solidFill>
                </w14:textFill>
              </w:rPr>
            </w:pPr>
            <w:r>
              <w:rPr>
                <w:rFonts w:hint="eastAsia" w:ascii="Times New Roman" w:hAnsi="Times New Roman" w:eastAsia="方正仿宋_GBK" w:cs="方正仿宋_GBK"/>
                <w:color w:val="000000" w:themeColor="text1"/>
                <w:sz w:val="32"/>
                <w:szCs w:val="32"/>
                <w:lang w:val="en-US"/>
                <w14:textFill>
                  <w14:solidFill>
                    <w14:schemeClr w14:val="tx1"/>
                  </w14:solidFill>
                </w14:textFill>
              </w:rPr>
              <w:t>酉阳自治县青华林场林区信息化管理系统建设项目</w:t>
            </w:r>
          </w:p>
        </w:tc>
      </w:tr>
      <w:tr>
        <w:tblPrEx>
          <w:tblCellMar>
            <w:top w:w="0" w:type="dxa"/>
            <w:left w:w="108" w:type="dxa"/>
            <w:bottom w:w="0" w:type="dxa"/>
            <w:right w:w="108" w:type="dxa"/>
          </w:tblCellMar>
        </w:tblPrEx>
        <w:trPr>
          <w:trHeight w:val="693" w:hRule="atLeast"/>
          <w:jc w:val="center"/>
        </w:trPr>
        <w:tc>
          <w:tcPr>
            <w:tcW w:w="1002" w:type="pct"/>
            <w:tcBorders>
              <w:top w:val="nil"/>
              <w:left w:val="nil"/>
              <w:bottom w:val="nil"/>
              <w:right w:val="nil"/>
            </w:tcBorders>
            <w:shd w:val="clear" w:color="auto" w:fill="auto"/>
            <w:noWrap/>
            <w:vAlign w:val="center"/>
          </w:tcPr>
          <w:p>
            <w:pPr>
              <w:widowControl/>
              <w:textAlignment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lang w:val="en-US" w:bidi="ar"/>
                <w14:textFill>
                  <w14:solidFill>
                    <w14:schemeClr w14:val="tx1"/>
                  </w14:solidFill>
                </w14:textFill>
              </w:rPr>
              <w:t>评价机构:</w:t>
            </w:r>
          </w:p>
        </w:tc>
        <w:tc>
          <w:tcPr>
            <w:tcW w:w="3997" w:type="pct"/>
            <w:tcBorders>
              <w:top w:val="single" w:color="auto" w:sz="4" w:space="0"/>
              <w:left w:val="nil"/>
              <w:bottom w:val="single" w:color="auto" w:sz="4" w:space="0"/>
              <w:right w:val="nil"/>
            </w:tcBorders>
            <w:shd w:val="clear" w:color="auto" w:fill="auto"/>
            <w:noWrap/>
            <w:vAlign w:val="center"/>
          </w:tcPr>
          <w:p>
            <w:pPr>
              <w:jc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14:textFill>
                  <w14:solidFill>
                    <w14:schemeClr w14:val="tx1"/>
                  </w14:solidFill>
                </w14:textFill>
              </w:rPr>
              <w:t>飞如（重庆）企业管理咨询有限公司</w:t>
            </w:r>
          </w:p>
        </w:tc>
      </w:tr>
      <w:tr>
        <w:tblPrEx>
          <w:tblCellMar>
            <w:top w:w="0" w:type="dxa"/>
            <w:left w:w="108" w:type="dxa"/>
            <w:bottom w:w="0" w:type="dxa"/>
            <w:right w:w="108" w:type="dxa"/>
          </w:tblCellMar>
        </w:tblPrEx>
        <w:trPr>
          <w:trHeight w:val="751" w:hRule="atLeast"/>
          <w:jc w:val="center"/>
        </w:trPr>
        <w:tc>
          <w:tcPr>
            <w:tcW w:w="1002" w:type="pct"/>
            <w:tcBorders>
              <w:top w:val="nil"/>
              <w:left w:val="nil"/>
              <w:bottom w:val="nil"/>
              <w:right w:val="nil"/>
            </w:tcBorders>
            <w:shd w:val="clear" w:color="auto" w:fill="auto"/>
            <w:noWrap/>
            <w:vAlign w:val="center"/>
          </w:tcPr>
          <w:p>
            <w:pPr>
              <w:widowControl/>
              <w:textAlignment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lang w:val="en-US" w:bidi="ar"/>
                <w14:textFill>
                  <w14:solidFill>
                    <w14:schemeClr w14:val="tx1"/>
                  </w14:solidFill>
                </w14:textFill>
              </w:rPr>
              <w:t>评价时间:</w:t>
            </w:r>
          </w:p>
        </w:tc>
        <w:tc>
          <w:tcPr>
            <w:tcW w:w="3997" w:type="pct"/>
            <w:tcBorders>
              <w:top w:val="single" w:color="auto" w:sz="4" w:space="0"/>
              <w:left w:val="nil"/>
              <w:bottom w:val="single" w:color="auto" w:sz="4" w:space="0"/>
              <w:right w:val="nil"/>
            </w:tcBorders>
            <w:shd w:val="clear" w:color="auto" w:fill="auto"/>
            <w:noWrap/>
            <w:vAlign w:val="center"/>
          </w:tcPr>
          <w:p>
            <w:pPr>
              <w:jc w:val="center"/>
              <w:rPr>
                <w:rFonts w:ascii="Times New Roman" w:hAnsi="Times New Roman"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方正仿宋_GBK"/>
                <w:color w:val="000000" w:themeColor="text1"/>
                <w:sz w:val="32"/>
                <w:szCs w:val="32"/>
                <w14:textFill>
                  <w14:solidFill>
                    <w14:schemeClr w14:val="tx1"/>
                  </w14:solidFill>
                </w14:textFill>
              </w:rPr>
              <w:t>2023年</w:t>
            </w:r>
            <w:r>
              <w:rPr>
                <w:rFonts w:hint="eastAsia" w:ascii="Times New Roman" w:hAnsi="Times New Roman" w:eastAsia="方正仿宋_GBK" w:cs="方正仿宋_GBK"/>
                <w:color w:val="000000" w:themeColor="text1"/>
                <w:sz w:val="32"/>
                <w:szCs w:val="32"/>
                <w:lang w:val="en-US"/>
                <w14:textFill>
                  <w14:solidFill>
                    <w14:schemeClr w14:val="tx1"/>
                  </w14:solidFill>
                </w14:textFill>
              </w:rPr>
              <w:t>12</w:t>
            </w:r>
            <w:r>
              <w:rPr>
                <w:rFonts w:hint="eastAsia" w:ascii="Times New Roman" w:hAnsi="Times New Roman" w:eastAsia="方正仿宋_GBK" w:cs="方正仿宋_GBK"/>
                <w:color w:val="000000" w:themeColor="text1"/>
                <w:sz w:val="32"/>
                <w:szCs w:val="32"/>
                <w14:textFill>
                  <w14:solidFill>
                    <w14:schemeClr w14:val="tx1"/>
                  </w14:solidFill>
                </w14:textFill>
              </w:rPr>
              <w:t>月</w:t>
            </w:r>
          </w:p>
        </w:tc>
      </w:tr>
    </w:tbl>
    <w:p>
      <w:pPr>
        <w:autoSpaceDE/>
        <w:autoSpaceDN/>
        <w:spacing w:line="560" w:lineRule="exact"/>
        <w:jc w:val="both"/>
        <w:rPr>
          <w:rFonts w:ascii="Times New Roman" w:hAnsi="Times New Roman" w:eastAsia="方正仿宋_GBK" w:cs="方正仿宋_GBK"/>
          <w:bCs/>
          <w:color w:val="000000" w:themeColor="text1"/>
          <w:sz w:val="32"/>
          <w:szCs w:val="32"/>
          <w:lang w:val="en-US" w:bidi="ar-SA"/>
          <w14:textFill>
            <w14:solidFill>
              <w14:schemeClr w14:val="tx1"/>
            </w14:solidFill>
          </w14:textFill>
        </w:rPr>
      </w:pPr>
    </w:p>
    <w:p>
      <w:pPr>
        <w:pStyle w:val="2"/>
        <w:rPr>
          <w:rFonts w:ascii="Times New Roman" w:eastAsia="方正仿宋_GBK" w:cs="方正仿宋_GBK"/>
          <w:bCs/>
          <w:color w:val="000000" w:themeColor="text1"/>
          <w:sz w:val="32"/>
          <w:szCs w:val="32"/>
          <w14:textFill>
            <w14:solidFill>
              <w14:schemeClr w14:val="tx1"/>
            </w14:solidFill>
          </w14:textFill>
        </w:rPr>
      </w:pPr>
    </w:p>
    <w:p>
      <w:pPr>
        <w:pStyle w:val="2"/>
        <w:rPr>
          <w:rFonts w:ascii="Times New Roman" w:eastAsia="方正仿宋_GBK" w:cs="方正仿宋_GBK"/>
          <w:bCs/>
          <w:color w:val="000000" w:themeColor="text1"/>
          <w:sz w:val="32"/>
          <w:szCs w:val="32"/>
          <w14:textFill>
            <w14:solidFill>
              <w14:schemeClr w14:val="tx1"/>
            </w14:solidFill>
          </w14:textFill>
        </w:rPr>
      </w:pPr>
    </w:p>
    <w:p>
      <w:pPr>
        <w:pStyle w:val="2"/>
        <w:rPr>
          <w:rFonts w:ascii="Times New Roman" w:eastAsia="方正仿宋_GBK" w:cs="方正仿宋_GBK"/>
          <w:bCs/>
          <w:color w:val="000000" w:themeColor="text1"/>
          <w:sz w:val="32"/>
          <w:szCs w:val="32"/>
          <w14:textFill>
            <w14:solidFill>
              <w14:schemeClr w14:val="tx1"/>
            </w14:solidFill>
          </w14:textFill>
        </w:rPr>
      </w:pPr>
    </w:p>
    <w:p>
      <w:pPr>
        <w:pStyle w:val="2"/>
        <w:rPr>
          <w:rFonts w:ascii="Times New Roman" w:eastAsia="方正仿宋_GBK" w:cs="方正仿宋_GBK"/>
          <w:bCs/>
          <w:color w:val="000000" w:themeColor="text1"/>
          <w:sz w:val="32"/>
          <w:szCs w:val="32"/>
          <w14:textFill>
            <w14:solidFill>
              <w14:schemeClr w14:val="tx1"/>
            </w14:solidFill>
          </w14:textFill>
        </w:rPr>
      </w:pPr>
    </w:p>
    <w:p>
      <w:pPr>
        <w:pStyle w:val="2"/>
        <w:rPr>
          <w:rFonts w:ascii="Times New Roman"/>
          <w:color w:val="000000" w:themeColor="text1"/>
          <w14:textFill>
            <w14:solidFill>
              <w14:schemeClr w14:val="tx1"/>
            </w14:solidFill>
          </w14:textFill>
        </w:rPr>
      </w:pPr>
    </w:p>
    <w:p>
      <w:pPr>
        <w:autoSpaceDE/>
        <w:autoSpaceDN/>
        <w:spacing w:line="560" w:lineRule="exact"/>
        <w:jc w:val="center"/>
        <w:rPr>
          <w:rFonts w:ascii="Times New Roman" w:hAnsi="Times New Roman" w:eastAsia="方正仿宋_GBK" w:cs="方正仿宋_GBK"/>
          <w:bCs/>
          <w:color w:val="000000" w:themeColor="text1"/>
          <w:sz w:val="32"/>
          <w:szCs w:val="32"/>
          <w:lang w:val="en-US" w:bidi="ar-SA"/>
          <w14:textFill>
            <w14:solidFill>
              <w14:schemeClr w14:val="tx1"/>
            </w14:solidFill>
          </w14:textFill>
        </w:rPr>
      </w:pPr>
    </w:p>
    <w:p>
      <w:pPr>
        <w:autoSpaceDE/>
        <w:autoSpaceDN/>
        <w:spacing w:line="560" w:lineRule="exact"/>
        <w:jc w:val="center"/>
        <w:rPr>
          <w:rFonts w:ascii="Times New Roman" w:hAnsi="Times New Roman" w:eastAsia="方正仿宋_GBK" w:cs="方正仿宋_GBK"/>
          <w:color w:val="000000" w:themeColor="text1"/>
          <w:sz w:val="32"/>
          <w:szCs w:val="32"/>
          <w:lang w:val="en-US" w:bidi="ar-SA"/>
          <w14:textFill>
            <w14:solidFill>
              <w14:schemeClr w14:val="tx1"/>
            </w14:solidFill>
          </w14:textFill>
        </w:rPr>
      </w:pPr>
      <w:r>
        <w:rPr>
          <w:rFonts w:hint="eastAsia" w:ascii="Times New Roman" w:hAnsi="Times New Roman" w:eastAsia="方正仿宋_GBK" w:cs="方正仿宋_GBK"/>
          <w:bCs/>
          <w:color w:val="000000" w:themeColor="text1"/>
          <w:sz w:val="32"/>
          <w:szCs w:val="32"/>
          <w:lang w:val="en-US" w:bidi="ar-SA"/>
          <w14:textFill>
            <w14:solidFill>
              <w14:schemeClr w14:val="tx1"/>
            </w14:solidFill>
          </w14:textFill>
        </w:rPr>
        <w:t>二〇二三年十二月</w:t>
      </w:r>
    </w:p>
    <w:p>
      <w:pPr>
        <w:rPr>
          <w:rFonts w:ascii="Times New Roman" w:hAnsi="Times New Roman" w:eastAsia="方正仿宋_GBK" w:cs="方正仿宋_GBK"/>
          <w:b/>
          <w:bCs/>
          <w:color w:val="000000" w:themeColor="text1"/>
          <w:sz w:val="32"/>
          <w:szCs w:val="32"/>
          <w14:textFill>
            <w14:solidFill>
              <w14:schemeClr w14:val="tx1"/>
            </w14:solidFill>
          </w14:textFill>
        </w:rPr>
      </w:pPr>
      <w:r>
        <w:rPr>
          <w:rFonts w:hint="eastAsia" w:ascii="Times New Roman" w:hAnsi="Times New Roman" w:eastAsia="方正仿宋_GBK" w:cs="方正仿宋_GBK"/>
          <w:b/>
          <w:bCs/>
          <w:color w:val="000000" w:themeColor="text1"/>
          <w:sz w:val="32"/>
          <w:szCs w:val="32"/>
          <w14:textFill>
            <w14:solidFill>
              <w14:schemeClr w14:val="tx1"/>
            </w14:solidFill>
          </w14:textFill>
        </w:rPr>
        <w:br w:type="page"/>
      </w:r>
    </w:p>
    <w:p>
      <w:pPr>
        <w:spacing w:line="600" w:lineRule="exact"/>
        <w:jc w:val="center"/>
        <w:rPr>
          <w:rFonts w:ascii="Times New Roman" w:hAnsi="Times New Roman" w:eastAsia="方正仿宋_GBK" w:cs="方正仿宋_GBK"/>
          <w:color w:val="000000" w:themeColor="text1"/>
          <w:sz w:val="28"/>
          <w:szCs w:val="28"/>
          <w14:textFill>
            <w14:solidFill>
              <w14:schemeClr w14:val="tx1"/>
            </w14:solidFill>
          </w14:textFill>
        </w:rPr>
      </w:pPr>
      <w:r>
        <w:rPr>
          <w:rFonts w:hint="eastAsia" w:ascii="Times New Roman" w:hAnsi="Times New Roman" w:eastAsia="方正仿宋_GBK" w:cs="方正仿宋_GBK"/>
          <w:color w:val="000000" w:themeColor="text1"/>
          <w:sz w:val="28"/>
          <w:szCs w:val="28"/>
          <w14:textFill>
            <w14:solidFill>
              <w14:schemeClr w14:val="tx1"/>
            </w14:solidFill>
          </w14:textFill>
        </w:rPr>
        <w:t>目</w:t>
      </w: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  </w:t>
      </w:r>
      <w:r>
        <w:rPr>
          <w:rFonts w:hint="eastAsia" w:ascii="Times New Roman" w:hAnsi="Times New Roman" w:eastAsia="方正仿宋_GBK" w:cs="方正仿宋_GBK"/>
          <w:color w:val="000000" w:themeColor="text1"/>
          <w:sz w:val="28"/>
          <w:szCs w:val="28"/>
          <w14:textFill>
            <w14:solidFill>
              <w14:schemeClr w14:val="tx1"/>
            </w14:solidFill>
          </w14:textFill>
        </w:rPr>
        <w:t>录</w:t>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TOC \o "1-3" \h \u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fldChar w:fldCharType="begin"/>
      </w:r>
      <w:r>
        <w:instrText xml:space="preserve"> HYPERLINK \l "_Toc32517"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摘  要</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_Toc32517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1</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"_Toc16403"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一、项目基本情况</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_Toc16403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4</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"_Toc1338"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（一）项目背景</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_Toc1338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4</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"_Toc20420"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（二）项目内容</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_Toc20420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4</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"_Toc18775"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（三）绩效目标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_Toc18775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4</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"_Toc7037"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二、绩效评价工作情况</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_Toc7037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5</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"_Toc18714"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（一）绩效评价目的、范围</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_Toc18714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5</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"_Toc29190" </w:instrText>
      </w:r>
      <w:r>
        <w:fldChar w:fldCharType="separate"/>
      </w:r>
      <w:r>
        <w:rPr>
          <w:rFonts w:hint="eastAsia" w:ascii="Times New Roman" w:hAnsi="Times New Roman" w:eastAsia="方正仿宋_GBK" w:cs="方正仿宋_GBK"/>
          <w:color w:val="000000" w:themeColor="text1"/>
          <w:sz w:val="28"/>
          <w:szCs w:val="28"/>
          <w:lang w:bidi="ar-SA"/>
          <w14:textFill>
            <w14:solidFill>
              <w14:schemeClr w14:val="tx1"/>
            </w14:solidFill>
          </w14:textFill>
        </w:rPr>
        <w:t>1.评价目的</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_Toc29190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5</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"_Toc18470"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w:t>
      </w:r>
      <w:r>
        <w:rPr>
          <w:rFonts w:hint="eastAsia" w:ascii="Times New Roman" w:hAnsi="Times New Roman" w:eastAsia="方正仿宋_GBK" w:cs="方正仿宋_GBK"/>
          <w:color w:val="000000" w:themeColor="text1"/>
          <w:sz w:val="28"/>
          <w:szCs w:val="28"/>
          <w:lang w:bidi="ar-SA"/>
          <w14:textFill>
            <w14:solidFill>
              <w14:schemeClr w14:val="tx1"/>
            </w14:solidFill>
          </w14:textFill>
        </w:rPr>
        <w:t>评价</w:t>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范围</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_Toc18470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5</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"_Toc24713"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（二）绩效评价原则依据、评价方法、评价指标体系</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_Toc24713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7</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"_Toc24265"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1.绩效评价原则依据</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_Toc24265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"_Toc1727"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2.绩效评价方法</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_Toc1727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"_Toc31730"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3.绩效评价指标体系</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_Toc31730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8</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"_Toc5513"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（三）绩效评价工作过程</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_Toc5513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8</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"_Toc23523"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1.前期准备</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_Toc23523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8</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"_Toc4965"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2.现场实施</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_Toc4965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9</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"_Toc16738"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3.分析评价</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_Toc16738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9</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"_Toc7508"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三、绩效评价指标分析情况</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_Toc7508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10</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"_Toc28017"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 资金投入指标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_Toc28017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10</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"_Toc20529"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1.区本级预算安排财政衔接资金投入情况分析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_Toc20529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10</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"_Toc29147"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2.资金分解下达进度情况分析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_Toc29147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11</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"_Toc9613"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3.中央财政衔接资金用于产业比例</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_Toc9613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11</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"_Toc7448"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 项目管理指标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_Toc7448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12</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"_Toc10371"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1.项目库建设管理情况分析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_Toc10371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12</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"_Toc29265"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2.项目绩效管理情况分析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_Toc29265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13</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"_Toc18984"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3.信息公开和公告公示制度落实情况分析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_Toc18984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14</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"_Toc30352"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4.跟踪督促及发现问题整改情况分析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_Toc30352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14</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"_Toc6786"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5.资料报送情况分析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_Toc6786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15</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"_Toc9309"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6.预算执行率情况分析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_Toc9309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16</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"_Toc4649"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 项目产出指标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_Toc4649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16</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"_Toc8536"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1.项目实际完成任务量分析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_Toc8536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"_Toc14850"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2.项目完成质量分析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_Toc14850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"_Toc28048"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3.项目完成时效分析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_Toc28048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17</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"_Toc10671"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4.项目成本控制分析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_Toc10671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18</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"_Toc17064"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（四） 使用成效指标</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_Toc17064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19</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"_Toc23212"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1.有序推进项目实施等工作情况分析</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_Toc23212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19</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"_Toc18696"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2.巩固拓展脱贫攻坚成果情况</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_Toc18696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19</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"_Toc32050"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3.资金使用效益</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_Toc32050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20</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8"/>
        <w:tabs>
          <w:tab w:val="right" w:leader="dot" w:pos="8850"/>
        </w:tabs>
        <w:rPr>
          <w:rFonts w:ascii="Times New Roman" w:hAnsi="Times New Roman" w:eastAsia="方正仿宋_GBK" w:cs="方正仿宋_GBK"/>
          <w:color w:val="000000" w:themeColor="text1"/>
          <w:sz w:val="28"/>
          <w:szCs w:val="28"/>
          <w14:textFill>
            <w14:solidFill>
              <w14:schemeClr w14:val="tx1"/>
            </w14:solidFill>
          </w14:textFill>
        </w:rPr>
      </w:pPr>
      <w:r>
        <w:fldChar w:fldCharType="begin"/>
      </w:r>
      <w:r>
        <w:instrText xml:space="preserve"> HYPERLINK \l "_Toc15272" </w:instrText>
      </w:r>
      <w:r>
        <w:fldChar w:fldCharType="separate"/>
      </w:r>
      <w:r>
        <w:rPr>
          <w:rFonts w:hint="eastAsia" w:ascii="Times New Roman" w:hAnsi="Times New Roman" w:eastAsia="方正仿宋_GBK" w:cs="方正仿宋_GBK"/>
          <w:color w:val="000000" w:themeColor="text1"/>
          <w:sz w:val="28"/>
          <w:szCs w:val="28"/>
          <w:lang w:val="en-US" w:bidi="ar-SA"/>
          <w14:textFill>
            <w14:solidFill>
              <w14:schemeClr w14:val="tx1"/>
            </w14:solidFill>
          </w14:textFill>
        </w:rPr>
        <w:t>4.项目满意度情况</w:t>
      </w:r>
      <w:r>
        <w:rPr>
          <w:rFonts w:hint="eastAsia" w:ascii="Times New Roman" w:hAnsi="Times New Roman" w:eastAsia="方正仿宋_GBK" w:cs="方正仿宋_GBK"/>
          <w:color w:val="000000" w:themeColor="text1"/>
          <w:sz w:val="28"/>
          <w:szCs w:val="28"/>
          <w14:textFill>
            <w14:solidFill>
              <w14:schemeClr w14:val="tx1"/>
            </w14:solidFill>
          </w14:textFill>
        </w:rPr>
        <w:tab/>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color w:val="000000" w:themeColor="text1"/>
          <w:sz w:val="28"/>
          <w:szCs w:val="28"/>
          <w14:textFill>
            <w14:solidFill>
              <w14:schemeClr w14:val="tx1"/>
            </w14:solidFill>
          </w14:textFill>
        </w:rPr>
        <w:instrText xml:space="preserve"> PAGEREF _Toc15272 \h </w:instrTex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color w:val="000000" w:themeColor="text1"/>
          <w:sz w:val="28"/>
          <w:szCs w:val="28"/>
          <w14:textFill>
            <w14:solidFill>
              <w14:schemeClr w14:val="tx1"/>
            </w14:solidFill>
          </w14:textFill>
        </w:rPr>
        <w:t>22</w:t>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"_Toc9560"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四、加减分指标</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_Toc9560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22</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"_Toc5952"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五、综合评价情况及评价结论</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_Toc5952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23</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"_Toc6665"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六、项目成效</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_Toc6665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23</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"_Toc6111"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七、存在的问题</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_Toc6111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25</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"_Toc7358"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（一）项目管理方面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_Toc7358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25</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"_Toc8236"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（二）项目产出方面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_Toc8236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27</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"_Toc30767"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（三）项目使用成效方面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_Toc30767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28</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"_Toc16366"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八、相关建议</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_Toc16366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29</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"_Toc21838"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（一）项目管理方面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_Toc21838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29</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"_Toc31622"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（二）项目产出方面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_Toc31622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30</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3"/>
        <w:tabs>
          <w:tab w:val="right" w:leader="dot" w:pos="8850"/>
        </w:tabs>
        <w:rPr>
          <w:rFonts w:ascii="Times New Roman" w:hAnsi="Times New Roman" w:eastAsia="方正仿宋_GBK" w:cs="方正仿宋_GBK"/>
          <w:b w:val="0"/>
          <w:bCs w:val="0"/>
          <w:i w:val="0"/>
          <w:color w:val="000000" w:themeColor="text1"/>
          <w:sz w:val="28"/>
          <w:szCs w:val="28"/>
          <w14:textFill>
            <w14:solidFill>
              <w14:schemeClr w14:val="tx1"/>
            </w14:solidFill>
          </w14:textFill>
        </w:rPr>
      </w:pPr>
      <w:r>
        <w:fldChar w:fldCharType="begin"/>
      </w:r>
      <w:r>
        <w:instrText xml:space="preserve"> HYPERLINK \l "_Toc4422" </w:instrText>
      </w:r>
      <w:r>
        <w:fldChar w:fldCharType="separate"/>
      </w:r>
      <w:r>
        <w:rPr>
          <w:rFonts w:hint="eastAsia" w:ascii="Times New Roman" w:hAnsi="Times New Roman" w:eastAsia="方正仿宋_GBK" w:cs="方正仿宋_GBK"/>
          <w:b w:val="0"/>
          <w:bCs w:val="0"/>
          <w:i w:val="0"/>
          <w:color w:val="000000" w:themeColor="text1"/>
          <w:sz w:val="28"/>
          <w:szCs w:val="28"/>
          <w:lang w:val="en-US" w:bidi="ar-SA"/>
          <w14:textFill>
            <w14:solidFill>
              <w14:schemeClr w14:val="tx1"/>
            </w14:solidFill>
          </w14:textFill>
        </w:rPr>
        <w:t>（三）项目使用成效方面</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instrText xml:space="preserve"> PAGEREF _Toc4422 \h </w:instrTex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t>31</w:t>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i w:val="0"/>
          <w:color w:val="000000" w:themeColor="text1"/>
          <w:sz w:val="28"/>
          <w:szCs w:val="28"/>
          <w14:textFill>
            <w14:solidFill>
              <w14:schemeClr w14:val="tx1"/>
            </w14:solidFill>
          </w14:textFill>
        </w:rPr>
        <w:fldChar w:fldCharType="end"/>
      </w:r>
    </w:p>
    <w:p>
      <w:pPr>
        <w:pStyle w:val="12"/>
        <w:tabs>
          <w:tab w:val="right" w:leader="dot" w:pos="8850"/>
        </w:tabs>
        <w:rPr>
          <w:rFonts w:ascii="Times New Roman" w:hAnsi="Times New Roman" w:eastAsia="方正仿宋_GBK" w:cs="方正仿宋_GBK"/>
          <w:b w:val="0"/>
          <w:bCs w:val="0"/>
          <w:color w:val="000000" w:themeColor="text1"/>
          <w:sz w:val="28"/>
          <w:szCs w:val="28"/>
          <w14:textFill>
            <w14:solidFill>
              <w14:schemeClr w14:val="tx1"/>
            </w14:solidFill>
          </w14:textFill>
        </w:rPr>
      </w:pPr>
      <w:r>
        <w:fldChar w:fldCharType="begin"/>
      </w:r>
      <w:r>
        <w:instrText xml:space="preserve"> HYPERLINK \l "_Toc17534" </w:instrText>
      </w:r>
      <w:r>
        <w:fldChar w:fldCharType="separate"/>
      </w:r>
      <w:r>
        <w:rPr>
          <w:rFonts w:hint="eastAsia" w:ascii="Times New Roman" w:hAnsi="Times New Roman" w:eastAsia="方正仿宋_GBK" w:cs="方正仿宋_GBK"/>
          <w:b w:val="0"/>
          <w:bCs w:val="0"/>
          <w:color w:val="000000" w:themeColor="text1"/>
          <w:sz w:val="28"/>
          <w:szCs w:val="28"/>
          <w:lang w:val="en-US" w:bidi="ar-SA"/>
          <w14:textFill>
            <w14:solidFill>
              <w14:schemeClr w14:val="tx1"/>
            </w14:solidFill>
          </w14:textFill>
        </w:rPr>
        <w:t>八、其他</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ab/>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begin"/>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instrText xml:space="preserve"> PAGEREF _Toc17534 \h </w:instrTex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separate"/>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t>31</w:t>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r>
        <w:rPr>
          <w:rFonts w:hint="eastAsia" w:ascii="Times New Roman" w:hAnsi="Times New Roman" w:eastAsia="方正仿宋_GBK" w:cs="方正仿宋_GBK"/>
          <w:b w:val="0"/>
          <w:bCs w:val="0"/>
          <w:color w:val="000000" w:themeColor="text1"/>
          <w:sz w:val="28"/>
          <w:szCs w:val="28"/>
          <w14:textFill>
            <w14:solidFill>
              <w14:schemeClr w14:val="tx1"/>
            </w14:solidFill>
          </w14:textFill>
        </w:rPr>
        <w:fldChar w:fldCharType="end"/>
      </w:r>
    </w:p>
    <w:p>
      <w:pPr>
        <w:spacing w:before="171" w:line="240" w:lineRule="atLeast"/>
        <w:rPr>
          <w:rFonts w:ascii="Times New Roman" w:hAnsi="Times New Roman" w:eastAsia="方正仿宋_GBK" w:cs="方正仿宋_GBK"/>
          <w:color w:val="000000" w:themeColor="text1"/>
          <w:sz w:val="28"/>
          <w:szCs w:val="28"/>
          <w14:textFill>
            <w14:solidFill>
              <w14:schemeClr w14:val="tx1"/>
            </w14:solidFill>
          </w14:textFill>
        </w:rPr>
      </w:pPr>
      <w:r>
        <w:rPr>
          <w:rFonts w:hint="eastAsia" w:ascii="Times New Roman" w:hAnsi="Times New Roman" w:eastAsia="方正仿宋_GBK" w:cs="方正仿宋_GBK"/>
          <w:color w:val="000000" w:themeColor="text1"/>
          <w:sz w:val="28"/>
          <w:szCs w:val="28"/>
          <w14:textFill>
            <w14:solidFill>
              <w14:schemeClr w14:val="tx1"/>
            </w14:solidFill>
          </w14:textFill>
        </w:rPr>
        <w:fldChar w:fldCharType="end"/>
      </w:r>
    </w:p>
    <w:p>
      <w:p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br w:type="page"/>
      </w:r>
    </w:p>
    <w:p>
      <w:pPr>
        <w:pStyle w:val="2"/>
        <w:rPr>
          <w:rFonts w:ascii="Times New Roman"/>
          <w:color w:val="000000" w:themeColor="text1"/>
          <w14:textFill>
            <w14:solidFill>
              <w14:schemeClr w14:val="tx1"/>
            </w14:solidFill>
          </w14:textFill>
        </w:rPr>
        <w:sectPr>
          <w:pgSz w:w="11911" w:h="16838"/>
          <w:pgMar w:top="2098" w:right="1474" w:bottom="1984" w:left="1587" w:header="0" w:footer="1196" w:gutter="0"/>
          <w:cols w:space="425" w:num="1"/>
        </w:sectPr>
      </w:pPr>
    </w:p>
    <w:p>
      <w:pPr>
        <w:topLinePunct/>
        <w:autoSpaceDE/>
        <w:autoSpaceDN/>
        <w:spacing w:line="600" w:lineRule="exact"/>
        <w:jc w:val="center"/>
        <w:outlineLvl w:val="0"/>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bookmarkStart w:id="0" w:name="_Toc16626"/>
      <w:bookmarkStart w:id="1" w:name="_Toc32517"/>
      <w:r>
        <w:rPr>
          <w:rFonts w:hint="eastAsia" w:ascii="Times New Roman" w:hAnsi="Times New Roman" w:eastAsia="方正黑体_GBK" w:cs="Times New Roman"/>
          <w:bCs/>
          <w:color w:val="000000" w:themeColor="text1"/>
          <w:sz w:val="32"/>
          <w:szCs w:val="32"/>
          <w:lang w:val="en-US" w:bidi="ar-SA"/>
          <w14:textFill>
            <w14:solidFill>
              <w14:schemeClr w14:val="tx1"/>
            </w14:solidFill>
          </w14:textFill>
        </w:rPr>
        <w:t>摘  要</w:t>
      </w:r>
      <w:bookmarkEnd w:id="0"/>
      <w:bookmarkEnd w:id="1"/>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为了加强预算绩效管理，强化支出责任，建立科学、合理的财政支出绩效评价管理体系，提高财政资金使用效益，飞如（重庆）企业管理咨询有限公司接受酉阳土家族苗族自治县财政局（以下简称“县财政局”）委托，成立了项目绩效评价工作组，对重庆市酉阳自治县青华林场林区信息化管理系统建设项目2022年度财政衔接推进乡村振兴补助资金项目的绩效情况实施评价，形成本绩效评价报告。</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为进一步巩固拓展脱贫攻坚成果，实现巩固拓展脱贫攻坚成果同乡村振兴有效衔接，高质量完成巩固拓展脱贫攻坚成果和乡村振兴任务，酉阳自治县青华林场林区信息化管理系统建设项目2022年度开展衔接资金项目财政预算资金40万元。</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本次绩效评价工作围绕项目立项、预算安排、财政资金投入情况、项目管理责任落实情况、资金使用效果等方面进行考量，保证评价的科学性、严谨性和可行性。</w:t>
      </w:r>
    </w:p>
    <w:p>
      <w:pPr>
        <w:autoSpaceDE/>
        <w:autoSpaceDN/>
        <w:spacing w:line="560" w:lineRule="exact"/>
        <w:ind w:firstLine="560" w:firstLineChars="200"/>
        <w:jc w:val="both"/>
        <w:rPr>
          <w:rFonts w:ascii="Times New Roman" w:hAnsi="Times New Roman" w:eastAsia="方正仿宋_GBK" w:cs="方正仿宋_GBK"/>
          <w:b/>
          <w:bCs/>
          <w:kern w:val="2"/>
          <w:sz w:val="28"/>
          <w:szCs w:val="28"/>
          <w:lang w:val="en-US" w:bidi="ar-SA"/>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评价工作组综合通过资料收集分析、现场调研访谈、问卷调查等方式，对重庆市酉阳自治县青华林场林区信息化管理系统建设项目2022年度财政衔接推进乡村振兴补助资金项目进行绩效评分。</w:t>
      </w:r>
      <w:r>
        <w:rPr>
          <w:rFonts w:hint="eastAsia" w:ascii="Times New Roman" w:hAnsi="Times New Roman" w:eastAsia="方正仿宋_GBK" w:cs="方正仿宋_GBK"/>
          <w:b/>
          <w:bCs/>
          <w:color w:val="000000" w:themeColor="text1"/>
          <w:kern w:val="2"/>
          <w:sz w:val="28"/>
          <w:szCs w:val="28"/>
          <w:lang w:val="en-US" w:bidi="ar-SA"/>
          <w14:textFill>
            <w14:solidFill>
              <w14:schemeClr w14:val="tx1"/>
            </w14:solidFill>
          </w14:textFill>
        </w:rPr>
        <w:t>评价的最终结果：评价得分</w:t>
      </w:r>
      <w:r>
        <w:rPr>
          <w:rFonts w:hint="eastAsia" w:ascii="Times New Roman" w:hAnsi="Times New Roman" w:eastAsia="方正仿宋_GBK" w:cs="方正仿宋_GBK"/>
          <w:b/>
          <w:bCs/>
          <w:kern w:val="2"/>
          <w:sz w:val="28"/>
          <w:szCs w:val="28"/>
          <w:lang w:val="en-US" w:bidi="ar-SA"/>
        </w:rPr>
        <w:t>为</w:t>
      </w:r>
      <w:r>
        <w:rPr>
          <w:rFonts w:hint="eastAsia" w:ascii="Times New Roman" w:hAnsi="Times New Roman" w:eastAsia="方正仿宋_GBK" w:cs="Times New Roman"/>
          <w:b/>
          <w:bCs/>
          <w:sz w:val="28"/>
          <w:szCs w:val="28"/>
          <w:lang w:val="en-US" w:bidi="ar-SA"/>
        </w:rPr>
        <w:t>95.97分</w:t>
      </w:r>
      <w:r>
        <w:rPr>
          <w:rFonts w:hint="eastAsia" w:ascii="Times New Roman" w:hAnsi="Times New Roman" w:eastAsia="方正仿宋_GBK" w:cs="方正仿宋_GBK"/>
          <w:b/>
          <w:bCs/>
          <w:kern w:val="2"/>
          <w:sz w:val="28"/>
          <w:szCs w:val="28"/>
          <w:lang w:val="en-US" w:bidi="ar-SA"/>
        </w:rPr>
        <w:t>，评价结果等级为“优”。</w:t>
      </w:r>
    </w:p>
    <w:p>
      <w:pPr>
        <w:topLinePunct/>
        <w:autoSpaceDN/>
        <w:spacing w:line="560" w:lineRule="exact"/>
        <w:ind w:firstLine="562"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bookmarkStart w:id="2" w:name="_Toc26413_WPSOffice_Level1"/>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一、项目成效</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（一）巩固拓展脱贫攻坚成果，助推乡村振兴和少数民族发展</w:t>
      </w:r>
    </w:p>
    <w:p>
      <w:pPr>
        <w:autoSpaceDE/>
        <w:autoSpaceDN/>
        <w:spacing w:line="60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项目建设符合渝林计〔2018〕113号文件指出的“把加强国有林场基础设施与改善农村基础设施建设相结合，共同改善生产生活条件”的要求，全力支持项目有效实施，推动了新农村发展，助力乡村全面振兴，进一步巩固拓展了脱贫攻坚成果。</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（二）信息化管理，助力乡村全面振兴</w:t>
      </w:r>
    </w:p>
    <w:p>
      <w:pPr>
        <w:autoSpaceDE/>
        <w:autoSpaceDN/>
        <w:spacing w:line="600" w:lineRule="exact"/>
        <w:ind w:firstLine="560"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青华林场信息化管理系统建设项目为青华林场打下“智能林场”坚实基础，项目建设与重庆市林业局创建“五型”国有林场的智慧林场建设目标一致，是践行</w:t>
      </w:r>
      <w:bookmarkStart w:id="110" w:name="_GoBack"/>
      <w:bookmarkEnd w:id="110"/>
      <w:r>
        <w:rPr>
          <w:rFonts w:hint="eastAsia" w:ascii="Times New Roman" w:hAnsi="Times New Roman" w:eastAsia="方正仿宋_GBK" w:cs="方正仿宋_GBK"/>
          <w:color w:val="000000" w:themeColor="text1"/>
          <w:kern w:val="2"/>
          <w:sz w:val="28"/>
          <w:szCs w:val="28"/>
          <w:lang w:val="en-US" w:eastAsia="zh-CN" w:bidi="ar-SA"/>
          <w14:textFill>
            <w14:solidFill>
              <w14:schemeClr w14:val="tx1"/>
            </w14:solidFill>
          </w14:textFill>
        </w:rPr>
        <w:t>习近平总书记</w:t>
      </w: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提出的建设“绿水青山就是金山银山”理念的重要体现。保障了财政资金使用效益，让村集体实现增收，提高了村集体发展农村经济能力，助力乡村全面振兴，为2023年衔接资金的实施打下了夯实基础。</w:t>
      </w:r>
    </w:p>
    <w:p>
      <w:pPr>
        <w:topLinePunct/>
        <w:autoSpaceDN/>
        <w:spacing w:line="600" w:lineRule="exact"/>
        <w:ind w:firstLine="562" w:firstLineChars="200"/>
        <w:jc w:val="both"/>
        <w:rPr>
          <w:rFonts w:ascii="Times New Roman" w:hAnsi="Times New Roman" w:eastAsia="方正仿宋_GBK" w:cs="Times New Roman"/>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二、存在的问题</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（一）项目管理方面</w:t>
      </w:r>
    </w:p>
    <w:p>
      <w:pPr>
        <w:autoSpaceDE/>
        <w:autoSpaceDN/>
        <w:spacing w:line="560" w:lineRule="exact"/>
        <w:ind w:firstLine="560" w:firstLineChars="200"/>
        <w:jc w:val="both"/>
        <w:rPr>
          <w:rFonts w:ascii="Times New Roman" w:hAnsi="Times New Roman" w:eastAsia="方正仿宋_GBK" w:cs="方正仿宋_GBK"/>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1.绩效管理工作有待提升，资料填写科学、逻辑性需进一步加强；</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2.项目管理有待加强，报送资料质量有待提高。</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（二）项目产出方面</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1.</w:t>
      </w: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项目设计方案合理性有待提高，成本控制力度需进一步加大。</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（三）项目使用成效方面</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1.个别项目前期调研工作有待加强，财政资金使用未达预期效果；</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2.后续管护力度不足，后续重视程度不高。</w:t>
      </w:r>
    </w:p>
    <w:p>
      <w:pPr>
        <w:topLinePunct/>
        <w:autoSpaceDN/>
        <w:spacing w:line="600" w:lineRule="exact"/>
        <w:ind w:firstLine="562" w:firstLineChars="200"/>
        <w:jc w:val="both"/>
        <w:rPr>
          <w:rFonts w:ascii="Times New Roman" w:hAnsi="Times New Roman" w:eastAsia="方正仿宋_GBK" w:cs="Times New Roman"/>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三、相关建议</w:t>
      </w:r>
      <w:bookmarkStart w:id="3" w:name="_Toc15230"/>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（一）项目管理方面</w:t>
      </w:r>
    </w:p>
    <w:p>
      <w:pPr>
        <w:autoSpaceDE/>
        <w:autoSpaceDN/>
        <w:spacing w:line="560" w:lineRule="exact"/>
        <w:ind w:firstLine="560" w:firstLineChars="200"/>
        <w:jc w:val="both"/>
        <w:rPr>
          <w:rFonts w:ascii="Times New Roman" w:hAnsi="Times New Roman" w:eastAsia="方正仿宋_GBK" w:cs="方正仿宋_GBK"/>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1.加强绩效管理工作，提高绩效资料规范性、逻辑性；</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2.项目主管部门提高监管力度，项目实施单位加强监理采购管理。</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（二）项目产出方面</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1.</w:t>
      </w: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加强项目成本控制，提高财政资金使用效果。</w:t>
      </w:r>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（三）项目使用成效方面</w:t>
      </w:r>
    </w:p>
    <w:p>
      <w:pPr>
        <w:autoSpaceDE/>
        <w:autoSpaceDN/>
        <w:spacing w:line="560" w:lineRule="exact"/>
        <w:ind w:firstLine="560" w:firstLineChars="200"/>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1.进一步加强项目前期调研工作，加大后续管护力度。</w:t>
      </w:r>
    </w:p>
    <w:p>
      <w:pPr>
        <w:topLinePunct/>
        <w:autoSpaceDN/>
        <w:spacing w:line="600" w:lineRule="exact"/>
        <w:ind w:firstLine="562" w:firstLineChars="200"/>
        <w:jc w:val="both"/>
        <w:rPr>
          <w:rFonts w:ascii="Times New Roman" w:hAnsi="Times New Roman" w:eastAsia="方正仿宋_GBK" w:cs="Times New Roman"/>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三、其他</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除本报告所反映的上述问题外，评价小组还注意到还有其他客观因素影响项目实施效果，建议给予适当关注：</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1.项目前期入库至财评时间耗时过长；</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2.不同镇街之间缺乏项目成果信息共享，技术指导不到位。</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sectPr>
          <w:footerReference r:id="rId3" w:type="default"/>
          <w:pgSz w:w="11911" w:h="16838"/>
          <w:pgMar w:top="2098" w:right="1474" w:bottom="1984" w:left="1587" w:header="0" w:footer="1196" w:gutter="0"/>
          <w:pgNumType w:start="1"/>
          <w:cols w:space="0" w:num="1"/>
        </w:sectPr>
      </w:pP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4" w:name="_Toc16403"/>
      <w:bookmarkStart w:id="5" w:name="_Toc13483"/>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一、项目基本情况</w:t>
      </w:r>
      <w:bookmarkEnd w:id="4"/>
      <w:bookmarkEnd w:id="5"/>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6" w:name="_Toc1338"/>
      <w:bookmarkStart w:id="7" w:name="_Toc6723"/>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（一）项目背景</w:t>
      </w:r>
      <w:bookmarkEnd w:id="6"/>
      <w:bookmarkEnd w:id="7"/>
    </w:p>
    <w:p>
      <w:pPr>
        <w:topLinePunct/>
        <w:autoSpaceDN/>
        <w:spacing w:line="600" w:lineRule="exact"/>
        <w:ind w:firstLine="560" w:firstLineChars="200"/>
        <w:jc w:val="both"/>
        <w:rPr>
          <w:rFonts w:ascii="Times New Roman" w:hAnsi="Times New Roman" w:eastAsia="方正仿宋_GBK" w:cs="Times New Roman"/>
          <w:bCs/>
          <w:color w:val="000000" w:themeColor="text1"/>
          <w:sz w:val="32"/>
          <w:szCs w:val="32"/>
          <w:lang w:val="en-US" w:bidi="ar-SA"/>
          <w14:textFill>
            <w14:solidFill>
              <w14:schemeClr w14:val="tx1"/>
            </w14:solidFill>
          </w14:textFill>
        </w:rPr>
      </w:pPr>
      <w:bookmarkStart w:id="8" w:name="_Toc4711"/>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为贯彻落实《中共重庆市委 重庆市人民政府关于实现巩固拓展脱贫攻坚成果同乡村振兴有效衔接的实施意见》（渝委发〔2021〕6号）精神，实现打赢脱贫攻坚战、全面建成小康社会。酉阳自治县以习近平新时代中国特色社会主义思想为指导，认真贯彻落实习近平总书记视察重庆重要讲话精神，2022年为进一步巩固拓展脱贫攻坚成果，实现巩固拓展脱贫攻坚成果同乡村振兴有效衔接，坚持不懈抓好各项工作落地落实，高质量完成巩固拓展脱贫攻坚成果和乡村振兴任务、少数民族发展任务。</w:t>
      </w:r>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9" w:name="_Toc20420"/>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（二）项目内容</w:t>
      </w:r>
      <w:bookmarkEnd w:id="8"/>
      <w:bookmarkEnd w:id="9"/>
    </w:p>
    <w:p>
      <w:pPr>
        <w:topLinePunct/>
        <w:autoSpaceDN/>
        <w:spacing w:line="600" w:lineRule="exact"/>
        <w:ind w:firstLine="560" w:firstLineChars="200"/>
        <w:jc w:val="both"/>
        <w:rPr>
          <w:rFonts w:ascii="Times New Roman" w:hAnsi="Times New Roman" w:eastAsia="方正仿宋_GBK" w:cs="Times New Roman"/>
          <w:bCs/>
          <w:color w:val="FF0000"/>
          <w:sz w:val="28"/>
          <w:szCs w:val="28"/>
          <w:lang w:val="en-US" w:bidi="ar-SA"/>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酉阳自治县青华林场林区信息化管理系统建设项目</w:t>
      </w:r>
      <w:r>
        <w:rPr>
          <w:rFonts w:hint="eastAsia" w:ascii="Times New Roman" w:hAnsi="Times New Roman" w:eastAsia="方正仿宋_GBK" w:cs="Times New Roman"/>
          <w:bCs/>
          <w:sz w:val="28"/>
          <w:szCs w:val="28"/>
          <w:lang w:val="en-US" w:bidi="ar-SA"/>
        </w:rPr>
        <w:t>新建场部森林防火视频调度指挥中心1个，管护站站址视频监控系统、广播系统各8套以及对现有视频进行组网建设，财政支出金额</w:t>
      </w:r>
      <w:r>
        <w:rPr>
          <w:rFonts w:hint="eastAsia" w:ascii="Times New Roman" w:hAnsi="Times New Roman" w:eastAsia="仿宋_GB2312" w:cs="Times New Roman"/>
          <w:sz w:val="30"/>
          <w:szCs w:val="30"/>
          <w:lang w:val="en-US"/>
        </w:rPr>
        <w:t>40</w:t>
      </w:r>
      <w:r>
        <w:rPr>
          <w:rFonts w:hint="eastAsia" w:ascii="Times New Roman" w:hAnsi="Times New Roman" w:eastAsia="方正仿宋_GBK" w:cs="Times New Roman"/>
          <w:bCs/>
          <w:sz w:val="28"/>
          <w:szCs w:val="28"/>
          <w:lang w:val="en-US" w:bidi="ar-SA"/>
        </w:rPr>
        <w:t>万元。</w:t>
      </w:r>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10" w:name="_Toc18775"/>
      <w:bookmarkStart w:id="11" w:name="_Toc11684"/>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（三）绩效目标</w:t>
      </w:r>
      <w:bookmarkEnd w:id="10"/>
      <w:bookmarkEnd w:id="11"/>
    </w:p>
    <w:p>
      <w:pPr>
        <w:pStyle w:val="7"/>
        <w:spacing w:line="56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sz w:val="28"/>
          <w:szCs w:val="28"/>
          <w:lang w:val="en-US" w:bidi="ar-SA"/>
        </w:rPr>
        <w:t>酉阳自治县2022年度衔接资金项目绩效目标为巩固拓展脱贫攻坚成果和乡村振兴，通过实施本项目，预计2022年年底国有青华林场完成新建场部森林防火视频调度指挥中心1个，管护站站址视频监控系统、广播系统各8套以及对现有视频进行组网建设；受益脱贫户人口1人以上；增加当地农户及脱贫户工资性总收入5000元及以上。</w:t>
      </w: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12" w:name="_Toc7037"/>
      <w:bookmarkStart w:id="13" w:name="_Toc5537"/>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二、绩效评价工作情况</w:t>
      </w:r>
      <w:bookmarkEnd w:id="12"/>
      <w:bookmarkEnd w:id="13"/>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14" w:name="_Toc18714"/>
      <w:bookmarkStart w:id="15" w:name="_Toc8831"/>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（一）绩效评价目的、范围</w:t>
      </w:r>
      <w:bookmarkEnd w:id="14"/>
      <w:bookmarkEnd w:id="15"/>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16" w:name="_Toc29190"/>
      <w:bookmarkStart w:id="17" w:name="_Toc6037"/>
      <w:r>
        <w:rPr>
          <w:rFonts w:hint="eastAsia" w:ascii="Times New Roman" w:hAnsi="Times New Roman" w:eastAsia="方正仿宋_GBK" w:cs="Times New Roman"/>
          <w:b w:val="0"/>
          <w:bCs/>
          <w:color w:val="000000" w:themeColor="text1"/>
          <w:sz w:val="28"/>
          <w:szCs w:val="28"/>
          <w:lang w:bidi="ar-SA"/>
          <w14:textFill>
            <w14:solidFill>
              <w14:schemeClr w14:val="tx1"/>
            </w14:solidFill>
          </w14:textFill>
        </w:rPr>
        <w:t>1.评价目的</w:t>
      </w:r>
      <w:bookmarkEnd w:id="16"/>
      <w:bookmarkEnd w:id="17"/>
    </w:p>
    <w:p>
      <w:pPr>
        <w:pStyle w:val="7"/>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通过绩效评价，衡量和考核项目主管单位酉阳土家族苗族自治县林业局（以下简称“县林业局”）及项目建设单位酉阳自治县青华林场对衔接资金投入和安排情况，项目主管部门和项目责任单位的项目管理责任落实情况，了解、分析和检验资金使用是否达到预期目标，资金管理是否规范，资金使用是否有效，资金分配是否合理，对项目的投入、管理、产出、成效进行评价，结合机制创新和违规违纪情况，通过总结经验，分析问题，采取切实措施进一步改进和加强财政支出项目管理，提高财政资金使用效益。</w:t>
      </w:r>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18" w:name="_Toc18470"/>
      <w:bookmarkStart w:id="19" w:name="_Toc26287"/>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2.</w:t>
      </w:r>
      <w:r>
        <w:rPr>
          <w:rFonts w:hint="eastAsia" w:ascii="Times New Roman" w:hAnsi="Times New Roman" w:eastAsia="方正仿宋_GBK" w:cs="Times New Roman"/>
          <w:b w:val="0"/>
          <w:bCs/>
          <w:color w:val="000000" w:themeColor="text1"/>
          <w:sz w:val="28"/>
          <w:szCs w:val="28"/>
          <w:lang w:bidi="ar-SA"/>
          <w14:textFill>
            <w14:solidFill>
              <w14:schemeClr w14:val="tx1"/>
            </w14:solidFill>
          </w14:textFill>
        </w:rPr>
        <w:t>评价</w:t>
      </w:r>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范围</w:t>
      </w:r>
      <w:bookmarkEnd w:id="18"/>
      <w:bookmarkEnd w:id="19"/>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本次评价的范围是酉阳自治县青华林场信息化管理系统建设项目2022年的建设情况、项目财政资金40万元的使用情况及综合效益。</w:t>
      </w:r>
    </w:p>
    <w:p>
      <w:pPr>
        <w:pStyle w:val="4"/>
        <w:spacing w:line="560" w:lineRule="exact"/>
        <w:ind w:left="0" w:firstLine="560" w:firstLineChars="200"/>
        <w:jc w:val="both"/>
        <w:rPr>
          <w:rFonts w:ascii="Times New Roman" w:hAnsi="Times New Roman" w:eastAsia="方正楷体_GBK" w:cs="Times New Roman"/>
          <w:b w:val="0"/>
          <w:bCs w:val="0"/>
          <w:color w:val="000000" w:themeColor="text1"/>
          <w:sz w:val="28"/>
          <w:szCs w:val="28"/>
          <w:lang w:val="en-US" w:bidi="ar-SA"/>
          <w14:textFill>
            <w14:solidFill>
              <w14:schemeClr w14:val="tx1"/>
            </w14:solidFill>
          </w14:textFill>
        </w:rPr>
      </w:pPr>
      <w:bookmarkStart w:id="20" w:name="_Toc10751"/>
      <w:bookmarkStart w:id="21" w:name="_Toc24713"/>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（二）绩效评价原则依据、评价方法、评价指标体系</w:t>
      </w:r>
      <w:bookmarkEnd w:id="20"/>
      <w:bookmarkEnd w:id="21"/>
    </w:p>
    <w:p>
      <w:pPr>
        <w:pStyle w:val="5"/>
        <w:spacing w:before="0" w:after="0" w:line="560" w:lineRule="exact"/>
        <w:ind w:firstLine="560" w:firstLineChars="200"/>
        <w:jc w:val="both"/>
        <w:rPr>
          <w:rFonts w:ascii="Times New Roman" w:hAnsi="Times New Roman" w:eastAsia="方正仿宋_GBK" w:cs="Times New Roman"/>
          <w:color w:val="000000" w:themeColor="text1"/>
          <w:sz w:val="28"/>
          <w:szCs w:val="28"/>
          <w:lang w:val="en-US"/>
          <w14:textFill>
            <w14:solidFill>
              <w14:schemeClr w14:val="tx1"/>
            </w14:solidFill>
          </w14:textFill>
        </w:rPr>
      </w:pPr>
      <w:bookmarkStart w:id="22" w:name="_Toc23332"/>
      <w:bookmarkStart w:id="23" w:name="_Toc24265"/>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1.绩效评价原则依据</w:t>
      </w:r>
      <w:bookmarkEnd w:id="22"/>
      <w:bookmarkEnd w:id="23"/>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本次评价工作遵循“客观、公正、科学、规范”的原则， 在评价过程中，</w:t>
      </w:r>
      <w:r>
        <w:rPr>
          <w:rFonts w:hint="eastAsia" w:ascii="Times New Roman" w:hAnsi="Times New Roman" w:eastAsia="方正仿宋_GBK" w:cs="Times New Roman"/>
          <w:bCs/>
          <w:sz w:val="28"/>
          <w:szCs w:val="28"/>
          <w:lang w:val="en-US" w:bidi="ar-SA"/>
        </w:rPr>
        <w:t>依据项目总体绩效目标，评价本</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年度项目开展的执行情况以及效益的实现情况。</w:t>
      </w:r>
    </w:p>
    <w:p>
      <w:pPr>
        <w:pStyle w:val="5"/>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24" w:name="_Toc28583"/>
      <w:bookmarkStart w:id="25" w:name="_Toc1727"/>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2.绩效评价方法</w:t>
      </w:r>
      <w:bookmarkEnd w:id="24"/>
      <w:bookmarkEnd w:id="25"/>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结合本项目特点，评价方法主要采用现场评价形式，审核、分析和评价项目的实施情况，其间结合了成本效益分析法、比较法、因素分析法、最低成本法、公众评判法、标杆管理法等评价方法进行定性分析和定量分析。</w:t>
      </w:r>
    </w:p>
    <w:p>
      <w:pPr>
        <w:pStyle w:val="5"/>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26" w:name="_Toc11960"/>
      <w:bookmarkStart w:id="27" w:name="_Toc31730"/>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3.绩效评价指标体系</w:t>
      </w:r>
      <w:bookmarkEnd w:id="26"/>
      <w:bookmarkEnd w:id="27"/>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评价工作组根据前期资料收</w:t>
      </w:r>
      <w:r>
        <w:rPr>
          <w:rFonts w:hint="eastAsia" w:ascii="Times New Roman" w:hAnsi="Times New Roman" w:eastAsia="方正仿宋_GBK" w:cs="Times New Roman"/>
          <w:bCs/>
          <w:sz w:val="28"/>
          <w:szCs w:val="28"/>
          <w:lang w:val="en-US" w:bidi="ar-SA"/>
        </w:rPr>
        <w:t>集，根据《重庆市财政衔接推进乡村振兴补助资金绩效评价及考核办法》内容，在“重庆市酉阳县衔接资金绩效评价及考核指标评分表”基础</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上，设置本次绩效评价指标体系，其中涉及具体项目的指标，按照项目数量加权计算，重点对项目资金投入、项目管理、项目产出、使用成效进行评价，根据机制创新和违规违纪情况，调整指标最高加5分、最高减35分。（详见附件3）</w:t>
      </w:r>
    </w:p>
    <w:p>
      <w:pPr>
        <w:jc w:val="both"/>
        <w:outlineLvl w:val="1"/>
        <w:rPr>
          <w:rFonts w:ascii="Times New Roman" w:hAnsi="Times New Roman" w:eastAsia="方正楷体_GBK" w:cs="Times New Roman"/>
          <w:color w:val="000000" w:themeColor="text1"/>
          <w:sz w:val="28"/>
          <w:szCs w:val="28"/>
          <w:lang w:val="en-US" w:bidi="ar-SA"/>
          <w14:textFill>
            <w14:solidFill>
              <w14:schemeClr w14:val="tx1"/>
            </w14:solidFill>
          </w14:textFill>
        </w:rPr>
      </w:pPr>
      <w:bookmarkStart w:id="28" w:name="_Toc24170"/>
      <w:bookmarkStart w:id="29" w:name="_Toc5513"/>
      <w:r>
        <w:rPr>
          <w:rFonts w:hint="eastAsia" w:ascii="Times New Roman" w:hAnsi="Times New Roman" w:eastAsia="方正楷体_GBK" w:cs="Times New Roman"/>
          <w:color w:val="000000" w:themeColor="text1"/>
          <w:sz w:val="28"/>
          <w:szCs w:val="28"/>
          <w:lang w:val="en-US" w:bidi="ar-SA"/>
          <w14:textFill>
            <w14:solidFill>
              <w14:schemeClr w14:val="tx1"/>
            </w14:solidFill>
          </w14:textFill>
        </w:rPr>
        <w:t>（三）绩效评价工作过程</w:t>
      </w:r>
      <w:bookmarkEnd w:id="28"/>
      <w:bookmarkEnd w:id="29"/>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30" w:name="_Toc8341"/>
      <w:bookmarkStart w:id="31" w:name="_Toc23523"/>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1.前期准备</w:t>
      </w:r>
      <w:bookmarkEnd w:id="30"/>
      <w:bookmarkEnd w:id="31"/>
    </w:p>
    <w:p>
      <w:pPr>
        <w:spacing w:line="560" w:lineRule="exact"/>
        <w:ind w:firstLine="560" w:firstLineChars="200"/>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（1）组建评价工作组</w:t>
      </w:r>
    </w:p>
    <w:p>
      <w:pPr>
        <w:spacing w:line="56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sz w:val="28"/>
          <w:szCs w:val="28"/>
          <w:lang w:val="en-US" w:bidi="ar-SA"/>
        </w:rPr>
        <w:t>参与评价的中介机构根据任务，组成评价工作组， 工作组成员共6人，设组长1名，副组长2名，组员3名，明确了成员职责及项目分工。</w:t>
      </w:r>
      <w:r>
        <w:rPr>
          <w:rFonts w:ascii="Times New Roman" w:hAnsi="Times New Roman" w:eastAsia="方正仿宋_GBK" w:cs="Times New Roman"/>
          <w:bCs/>
          <w:sz w:val="28"/>
          <w:szCs w:val="28"/>
          <w:lang w:val="en-US" w:bidi="ar-SA"/>
        </w:rPr>
        <w:t>评价工作组人员情况如表</w:t>
      </w:r>
      <w:r>
        <w:rPr>
          <w:rFonts w:hint="eastAsia" w:ascii="Times New Roman" w:hAnsi="Times New Roman" w:eastAsia="方正仿宋_GBK" w:cs="Times New Roman"/>
          <w:bCs/>
          <w:sz w:val="28"/>
          <w:szCs w:val="28"/>
          <w:lang w:val="en-US" w:bidi="ar-SA"/>
        </w:rPr>
        <w:t>3</w:t>
      </w:r>
      <w:r>
        <w:rPr>
          <w:rFonts w:ascii="Times New Roman" w:hAnsi="Times New Roman" w:eastAsia="方正仿宋_GBK" w:cs="Times New Roman"/>
          <w:bCs/>
          <w:sz w:val="28"/>
          <w:szCs w:val="28"/>
          <w:lang w:val="en-US" w:bidi="ar-SA"/>
        </w:rPr>
        <w:t>.</w:t>
      </w:r>
      <w:r>
        <w:rPr>
          <w:rFonts w:hint="eastAsia" w:ascii="Times New Roman" w:hAnsi="Times New Roman" w:eastAsia="方正仿宋_GBK" w:cs="Times New Roman"/>
          <w:bCs/>
          <w:sz w:val="28"/>
          <w:szCs w:val="28"/>
          <w:lang w:val="en-US" w:bidi="ar-SA"/>
        </w:rPr>
        <w:t>1</w:t>
      </w:r>
      <w:r>
        <w:rPr>
          <w:rFonts w:ascii="Times New Roman" w:hAnsi="Times New Roman" w:eastAsia="方正仿宋_GBK" w:cs="Times New Roman"/>
          <w:bCs/>
          <w:sz w:val="28"/>
          <w:szCs w:val="28"/>
          <w:lang w:val="en-US" w:bidi="ar-SA"/>
        </w:rPr>
        <w:t>所示</w:t>
      </w:r>
      <w:r>
        <w:rPr>
          <w:rFonts w:hint="eastAsia" w:ascii="Times New Roman" w:hAnsi="Times New Roman" w:eastAsia="方正仿宋_GBK" w:cs="Times New Roman"/>
          <w:bCs/>
          <w:sz w:val="28"/>
          <w:szCs w:val="28"/>
          <w:lang w:val="en-US" w:bidi="ar-SA"/>
        </w:rPr>
        <w:t>：</w:t>
      </w:r>
    </w:p>
    <w:p>
      <w:pPr>
        <w:pStyle w:val="2"/>
        <w:spacing w:line="600" w:lineRule="exact"/>
        <w:jc w:val="center"/>
        <w:rPr>
          <w:rFonts w:ascii="Times New Roman" w:eastAsia="方正仿宋_GBK" w:cs="方正仿宋_GBK"/>
          <w:color w:val="000000" w:themeColor="text1"/>
          <w:sz w:val="28"/>
          <w:szCs w:val="28"/>
          <w14:textFill>
            <w14:solidFill>
              <w14:schemeClr w14:val="tx1"/>
            </w14:solidFill>
          </w14:textFill>
        </w:rPr>
      </w:pPr>
      <w:r>
        <w:rPr>
          <w:rFonts w:hint="eastAsia" w:ascii="Times New Roman" w:eastAsia="方正仿宋_GBK" w:cs="方正仿宋_GBK"/>
          <w:b/>
          <w:bCs/>
          <w:color w:val="000000" w:themeColor="text1"/>
          <w:sz w:val="28"/>
          <w:szCs w:val="28"/>
          <w14:textFill>
            <w14:solidFill>
              <w14:schemeClr w14:val="tx1"/>
            </w14:solidFill>
          </w14:textFill>
        </w:rPr>
        <w:t>表3.1 项目评价工作组名单</w:t>
      </w:r>
    </w:p>
    <w:tbl>
      <w:tblPr>
        <w:tblStyle w:val="15"/>
        <w:tblW w:w="45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0"/>
        <w:gridCol w:w="3182"/>
        <w:gridCol w:w="2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
                <w:color w:val="000000" w:themeColor="text1"/>
                <w:sz w:val="21"/>
                <w:szCs w:val="21"/>
                <w:lang w:val="en-US"/>
                <w14:textFill>
                  <w14:solidFill>
                    <w14:schemeClr w14:val="tx1"/>
                  </w14:solidFill>
                </w14:textFill>
              </w:rPr>
              <w:t>姓名</w:t>
            </w:r>
          </w:p>
        </w:tc>
        <w:tc>
          <w:tcPr>
            <w:tcW w:w="1913" w:type="pct"/>
            <w:vAlign w:val="center"/>
          </w:tcPr>
          <w:p>
            <w:pPr>
              <w:topLinePunct/>
              <w:autoSpaceDN/>
              <w:jc w:val="center"/>
              <w:rPr>
                <w:rFonts w:ascii="Times New Roman" w:hAnsi="Times New Roman" w:eastAsia="方正仿宋_GBK" w:cs="方正仿宋_GBK"/>
                <w:b/>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
                <w:color w:val="000000" w:themeColor="text1"/>
                <w:sz w:val="21"/>
                <w:szCs w:val="21"/>
                <w:lang w:val="en-US"/>
                <w14:textFill>
                  <w14:solidFill>
                    <w14:schemeClr w14:val="tx1"/>
                  </w14:solidFill>
                </w14:textFill>
              </w:rPr>
              <w:t>担任职务</w:t>
            </w:r>
          </w:p>
        </w:tc>
        <w:tc>
          <w:tcPr>
            <w:tcW w:w="1666" w:type="pct"/>
            <w:vAlign w:val="center"/>
          </w:tcPr>
          <w:p>
            <w:pPr>
              <w:topLinePunct/>
              <w:autoSpaceDN/>
              <w:jc w:val="center"/>
              <w:rPr>
                <w:rFonts w:ascii="Times New Roman" w:hAnsi="Times New Roman" w:eastAsia="方正仿宋_GBK" w:cs="方正仿宋_GBK"/>
                <w:b/>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
                <w:color w:val="000000" w:themeColor="text1"/>
                <w:sz w:val="21"/>
                <w:szCs w:val="21"/>
                <w:lang w:val="en-US"/>
                <w14:textFill>
                  <w14:solidFill>
                    <w14:schemeClr w14:val="tx1"/>
                  </w14:solidFill>
                </w14:textFill>
              </w:rPr>
              <w:t>职称或职业资格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沈利</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组长</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注册会计师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袁鼎翔</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副组长</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ICI国际内控师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周天海</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副组长</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中级会计师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廖丽萍</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组员</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高级会计师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彭婷</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组员</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初级会计职称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419"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何晓航</w:t>
            </w:r>
          </w:p>
        </w:tc>
        <w:tc>
          <w:tcPr>
            <w:tcW w:w="1913"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组员</w:t>
            </w:r>
          </w:p>
        </w:tc>
        <w:tc>
          <w:tcPr>
            <w:tcW w:w="1666" w:type="pct"/>
            <w:vAlign w:val="center"/>
          </w:tcPr>
          <w:p>
            <w:pPr>
              <w:topLinePunct/>
              <w:autoSpaceDN/>
              <w:jc w:val="center"/>
              <w:rPr>
                <w:rFonts w:ascii="Times New Roman" w:hAnsi="Times New Roman" w:eastAsia="方正仿宋_GBK" w:cs="方正仿宋_GBK"/>
                <w:bCs/>
                <w:color w:val="000000" w:themeColor="text1"/>
                <w:sz w:val="21"/>
                <w:szCs w:val="21"/>
                <w:lang w:val="en-US"/>
                <w14:textFill>
                  <w14:solidFill>
                    <w14:schemeClr w14:val="tx1"/>
                  </w14:solidFill>
                </w14:textFill>
              </w:rPr>
            </w:pPr>
            <w:r>
              <w:rPr>
                <w:rFonts w:hint="eastAsia" w:ascii="Times New Roman" w:hAnsi="Times New Roman" w:eastAsia="方正仿宋_GBK" w:cs="方正仿宋_GBK"/>
                <w:bCs/>
                <w:color w:val="000000" w:themeColor="text1"/>
                <w:sz w:val="21"/>
                <w:szCs w:val="21"/>
                <w:lang w:val="en-US"/>
                <w14:textFill>
                  <w14:solidFill>
                    <w14:schemeClr w14:val="tx1"/>
                  </w14:solidFill>
                </w14:textFill>
              </w:rPr>
              <w:t>初级会计职称</w:t>
            </w:r>
          </w:p>
        </w:tc>
      </w:tr>
    </w:tbl>
    <w:p>
      <w:pPr>
        <w:spacing w:line="560" w:lineRule="exact"/>
        <w:ind w:firstLine="560" w:firstLineChars="200"/>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（2）准备项目评价工作方案</w:t>
      </w:r>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评价工作组首先与</w:t>
      </w:r>
      <w:r>
        <w:rPr>
          <w:rFonts w:hint="eastAsia" w:ascii="Times New Roman" w:hAnsi="Times New Roman" w:eastAsia="方正仿宋_GBK" w:cs="Times New Roman"/>
          <w:bCs/>
          <w:sz w:val="28"/>
          <w:szCs w:val="28"/>
          <w:lang w:val="en-US" w:bidi="ar-SA"/>
        </w:rPr>
        <w:t>县财政局、县林业局</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初步沟通，了解项目的立项背景及具体内容，以及项目基本情况；之后工作组根据掌握的基本情况，针对关注的问题，请县林业局、青华林场收集并提供项目资料，在此基础上，形成项目绩效评价的工作实施方案。</w:t>
      </w:r>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32" w:name="_Toc4965"/>
      <w:bookmarkStart w:id="33" w:name="_Toc24195"/>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2.现场实施</w:t>
      </w:r>
      <w:bookmarkEnd w:id="32"/>
      <w:bookmarkEnd w:id="33"/>
    </w:p>
    <w:p>
      <w:pPr>
        <w:spacing w:line="560" w:lineRule="exact"/>
        <w:ind w:firstLine="560" w:firstLineChars="200"/>
        <w:jc w:val="both"/>
        <w:rPr>
          <w:rFonts w:ascii="Times New Roman" w:hAnsi="Times New Roman" w:eastAsia="方正仿宋_GBK" w:cs="Times New Roman"/>
          <w:bCs/>
          <w:sz w:val="28"/>
          <w:szCs w:val="28"/>
          <w:lang w:val="en-US" w:bidi="ar-SA"/>
        </w:rPr>
      </w:pPr>
      <w:bookmarkStart w:id="34" w:name="_Toc28377"/>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为了充分反映项目完成情况，</w:t>
      </w:r>
      <w:r>
        <w:rPr>
          <w:rFonts w:hint="eastAsia" w:ascii="Times New Roman" w:hAnsi="Times New Roman" w:eastAsia="方正仿宋_GBK" w:cs="Times New Roman"/>
          <w:bCs/>
          <w:sz w:val="28"/>
          <w:szCs w:val="28"/>
          <w:lang w:val="en-US" w:bidi="ar-SA"/>
        </w:rPr>
        <w:t>根据前期项目沟通会、收集资料，我们将项目主管单位县林业局、酉阳县青华林场作为现场评价对象，对涉及项目中的建设内容进行全覆盖调查评价。</w:t>
      </w:r>
    </w:p>
    <w:p>
      <w:pPr>
        <w:pStyle w:val="5"/>
        <w:keepNext w:val="0"/>
        <w:keepLines w:val="0"/>
        <w:spacing w:before="0" w:after="0" w:line="56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35" w:name="_Toc16738"/>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3.分析评价</w:t>
      </w:r>
      <w:bookmarkEnd w:id="34"/>
      <w:bookmarkEnd w:id="35"/>
    </w:p>
    <w:p>
      <w:pPr>
        <w:spacing w:line="560" w:lineRule="exact"/>
        <w:ind w:firstLine="560" w:firstLineChars="200"/>
        <w:rPr>
          <w:rFonts w:ascii="Times New Roman" w:hAnsi="Times New Roman" w:eastAsia="方正仿宋_GBK" w:cs="Times New Roman"/>
          <w:bCs/>
          <w:color w:val="000000" w:themeColor="text1"/>
          <w:sz w:val="28"/>
          <w:szCs w:val="28"/>
          <w:lang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w:t>
      </w: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进行资料信息汇总</w:t>
      </w:r>
    </w:p>
    <w:p>
      <w:pPr>
        <w:spacing w:line="560" w:lineRule="exact"/>
        <w:ind w:firstLine="560" w:firstLineChars="200"/>
        <w:jc w:val="both"/>
        <w:rPr>
          <w:rFonts w:ascii="Times New Roman" w:hAnsi="Times New Roman" w:eastAsia="方正仿宋_GBK" w:cs="Times New Roman"/>
          <w:bCs/>
          <w:color w:val="000000" w:themeColor="text1"/>
          <w:sz w:val="28"/>
          <w:szCs w:val="28"/>
          <w:lang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评价工作组在充分调研的基础上，对项目资料进行逐一核实，</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由</w:t>
      </w: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相关各方签字确认。按照指标体系内容和评价重点，工作组对资料进行分类整理，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形成初步意见</w:t>
      </w: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w:t>
      </w:r>
    </w:p>
    <w:p>
      <w:pPr>
        <w:spacing w:line="560" w:lineRule="exact"/>
        <w:ind w:firstLine="560" w:firstLineChars="200"/>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bidi="ar-SA"/>
          <w14:textFill>
            <w14:solidFill>
              <w14:schemeClr w14:val="tx1"/>
            </w14:solidFill>
          </w14:textFill>
        </w:rPr>
        <w:t>（</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2）评价报告生成</w:t>
      </w:r>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评价工作组完成绩效评价报告初稿的撰写工作。报告初稿与县林业局沟通反馈后，报经县</w:t>
      </w: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财政局</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审核，形成绩效评价报告终稿。</w:t>
      </w:r>
    </w:p>
    <w:bookmarkEnd w:id="2"/>
    <w:bookmarkEnd w:id="3"/>
    <w:p>
      <w:pPr>
        <w:pStyle w:val="3"/>
        <w:spacing w:before="0" w:line="60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36" w:name="_Toc7508"/>
      <w:bookmarkStart w:id="37" w:name="_Toc6432"/>
      <w:bookmarkStart w:id="38" w:name="_Toc15231"/>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三、绩效评价指标分析情况</w:t>
      </w:r>
      <w:bookmarkEnd w:id="36"/>
      <w:bookmarkEnd w:id="37"/>
      <w:bookmarkEnd w:id="38"/>
    </w:p>
    <w:p>
      <w:pPr>
        <w:pStyle w:val="4"/>
        <w:numPr>
          <w:ilvl w:val="0"/>
          <w:numId w:val="1"/>
        </w:numPr>
        <w:spacing w:line="600" w:lineRule="exact"/>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39" w:name="_Toc28017"/>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资金投入指标</w:t>
      </w:r>
      <w:bookmarkEnd w:id="39"/>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资金投入指标从区本级预算安排财政衔接资金投入、资金分解下达进度、中央财政衔接资金用于产业比例三个方面对项目区本级财政资金投入和安排情况进行考核。资金投入指标分值15分，实际得分15分，得分率100%。指标的得分情况如表3.1所示：</w:t>
      </w:r>
    </w:p>
    <w:p>
      <w:pPr>
        <w:pStyle w:val="2"/>
        <w:jc w:val="cente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drawing>
          <wp:inline distT="0" distB="0" distL="114300" distR="114300">
            <wp:extent cx="4778375" cy="2329815"/>
            <wp:effectExtent l="4445" t="4445" r="17780" b="889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ind w:firstLine="2650" w:firstLineChars="1100"/>
        <w:rPr>
          <w:rFonts w:ascii="Times New Roman" w:eastAsia="方正仿宋_GBK" w:cs="Times New Roman"/>
          <w:b/>
          <w:color w:val="000000" w:themeColor="text1"/>
          <w14:textFill>
            <w14:solidFill>
              <w14:schemeClr w14:val="tx1"/>
            </w14:solidFill>
          </w14:textFill>
        </w:rPr>
      </w:pPr>
      <w:r>
        <w:rPr>
          <w:rFonts w:hint="eastAsia" w:ascii="Times New Roman" w:eastAsia="方正仿宋_GBK" w:cs="Times New Roman"/>
          <w:b/>
          <w:color w:val="000000" w:themeColor="text1"/>
          <w14:textFill>
            <w14:solidFill>
              <w14:schemeClr w14:val="tx1"/>
            </w14:solidFill>
          </w14:textFill>
        </w:rPr>
        <w:t>表3.1  资金投入指标得分情况</w:t>
      </w:r>
    </w:p>
    <w:p>
      <w:pPr>
        <w:pStyle w:val="5"/>
        <w:keepNext w:val="0"/>
        <w:keepLines w:val="0"/>
        <w:spacing w:before="0" w:after="0" w:line="600" w:lineRule="exact"/>
        <w:ind w:firstLine="560" w:firstLine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40" w:name="_Toc12813"/>
      <w:bookmarkStart w:id="41" w:name="_Toc20529"/>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1.区本级预算安排财政衔接资金投入情况分析</w:t>
      </w:r>
      <w:bookmarkEnd w:id="40"/>
      <w:bookmarkEnd w:id="41"/>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区本级预算安排的衔接资金增幅：2022年，各级财政安排酉阳县用于巩固拓展脱贫攻坚成果同乡村振兴有效衔接资金4258万元，其中：中央财政衔接资金1112万元，市级财政衔接资金2296万元，区级配套资金850万元。区级资金安排较2021年度增加了10万元，增幅1.19%。因此区本级预算安排的衔接资金增幅&gt;0。</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42" w:name="_Toc29147"/>
      <w:bookmarkStart w:id="43" w:name="_Toc13756"/>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2.资金分解下达进度情况分析</w:t>
      </w:r>
      <w:bookmarkEnd w:id="42"/>
      <w:bookmarkEnd w:id="43"/>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（1）下达资金项目计划的时长：</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44" w:name="_Toc9613"/>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3.中央财政衔接资金用于产业比例</w:t>
      </w:r>
      <w:bookmarkEnd w:id="44"/>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w:t>
      </w:r>
    </w:p>
    <w:p>
      <w:pPr>
        <w:pStyle w:val="4"/>
        <w:numPr>
          <w:ilvl w:val="0"/>
          <w:numId w:val="1"/>
        </w:numPr>
        <w:spacing w:line="560" w:lineRule="exact"/>
        <w:ind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45" w:name="_Toc7448"/>
      <w:bookmarkStart w:id="46" w:name="_Toc15733"/>
      <w:bookmarkStart w:id="47" w:name="_Toc13246"/>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项目管理指标</w:t>
      </w:r>
      <w:bookmarkEnd w:id="45"/>
      <w:bookmarkEnd w:id="46"/>
      <w:bookmarkEnd w:id="47"/>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48" w:name="_Toc25571"/>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项目管理指标从项目库建设管理情况、项目绩效管理情况、信息公开和公告公示制度落实情况、跟踪督促及发现问题整改情况、资料报送情况、预算执行率六个方面对项目管理责任落实情况进行考核。项目管理指标分值35分，实际得分28分，得分率80%。指标的得分情况如表3.2所示：</w:t>
      </w:r>
    </w:p>
    <w:p>
      <w:pPr>
        <w:pStyle w:val="2"/>
        <w:jc w:val="center"/>
        <w:rPr>
          <w:rFonts w:asci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466080" cy="2479040"/>
            <wp:effectExtent l="4445" t="4445" r="15875" b="1206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
        <w:ind w:firstLine="2650" w:firstLineChars="1100"/>
        <w:rPr>
          <w:rFonts w:ascii="Times New Roman" w:eastAsia="方正仿宋_GBK" w:cs="Times New Roman"/>
          <w:b/>
          <w:color w:val="000000" w:themeColor="text1"/>
          <w14:textFill>
            <w14:solidFill>
              <w14:schemeClr w14:val="tx1"/>
            </w14:solidFill>
          </w14:textFill>
        </w:rPr>
      </w:pPr>
      <w:r>
        <w:rPr>
          <w:rFonts w:hint="eastAsia" w:ascii="Times New Roman" w:eastAsia="方正仿宋_GBK" w:cs="Times New Roman"/>
          <w:b/>
          <w:color w:val="000000" w:themeColor="text1"/>
          <w14:textFill>
            <w14:solidFill>
              <w14:schemeClr w14:val="tx1"/>
            </w14:solidFill>
          </w14:textFill>
        </w:rPr>
        <w:t>表3.2  项目管理指标得分情况表</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49" w:name="_Toc2754"/>
      <w:bookmarkStart w:id="50" w:name="_Toc18973"/>
      <w:bookmarkStart w:id="51" w:name="_Toc10371"/>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1.项目库建设管理情况分析</w:t>
      </w:r>
      <w:bookmarkEnd w:id="49"/>
      <w:bookmarkEnd w:id="50"/>
      <w:bookmarkEnd w:id="51"/>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（1）及时充分、程序规范、内容完整及具备实施条件等：经评价小组现场调研，项目责任单位根据</w:t>
      </w:r>
      <w:r>
        <w:rPr>
          <w:rFonts w:hint="eastAsia" w:ascii="Times New Roman" w:hAnsi="Times New Roman" w:eastAsia="方正仿宋_GBK" w:cs="Times New Roman"/>
          <w:bCs/>
          <w:sz w:val="28"/>
          <w:szCs w:val="28"/>
          <w:lang w:val="en-US" w:bidi="ar-SA"/>
        </w:rPr>
        <w:t>《重庆市财政衔接推进乡村振兴补助资金管理办法》（渝财农〔2021〕31号）等文件要求，严格按照村申报、镇街审核，经项目主管部门评审</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后报县财政局审定入库，项目入库程序规范、内容完整、入库项目具备实施条件、衔接资金全部用于项目库之内的项目。</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52" w:name="_Toc29265"/>
      <w:bookmarkStart w:id="53" w:name="_Toc25266"/>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2.项目绩效管理情况分析</w:t>
      </w:r>
      <w:bookmarkEnd w:id="52"/>
      <w:bookmarkEnd w:id="53"/>
    </w:p>
    <w:p>
      <w:pPr>
        <w:spacing w:line="60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项目实施方案明确绩效目标、开展跟踪监督、事后评价：根据《重庆市市级政策和项目预算绩效管理办法（试行）》（渝财绩〔2019〕19号）等文件要求，各预算部门（单位）应实施绩效目标管理、绩效监控管理、绩效评价管理。经现场调研，该项目存在绩效管理不规范情况，效益指标中的社会效益指标设置不明确，该项目建设前青华林场已有44名正式员工，未达到绩效目标值，可持续影响指标中可持续年限设置1年，设置目标值过低，不符合实际。依据评分标准，此部分扣1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54" w:name="_Toc18984"/>
      <w:bookmarkStart w:id="55" w:name="_Toc8006"/>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3.信息公开和公告公示制度落实情况分析</w:t>
      </w:r>
      <w:bookmarkEnd w:id="54"/>
      <w:bookmarkEnd w:id="55"/>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信息公开和公告公示制度落实情况：根据《中共重庆市委农村工作暨实施乡村振兴战略工作领导小组办公室关于加强财政衔接推进乡村振兴补助资金项目公告</w:t>
      </w:r>
      <w:r>
        <w:rPr>
          <w:rFonts w:hint="eastAsia" w:ascii="Times New Roman" w:hAnsi="Times New Roman" w:eastAsia="方正仿宋_GBK" w:cs="Times New Roman"/>
          <w:bCs/>
          <w:sz w:val="28"/>
          <w:szCs w:val="28"/>
          <w:lang w:val="en-US" w:bidi="ar-SA"/>
        </w:rPr>
        <w:t>公示的通知》（渝委农办〔2021〕31号）要求，酉阳县对资金分配、项目库、资金项目计划、计划完成情况进行公示公告。</w:t>
      </w:r>
      <w:r>
        <w:rPr>
          <w:rFonts w:hint="eastAsia" w:ascii="Times New Roman" w:hAnsi="Times New Roman" w:eastAsia="方正仿宋_GBK" w:cs="Times New Roman"/>
          <w:bCs/>
          <w:sz w:val="28"/>
          <w:szCs w:val="28"/>
        </w:rPr>
        <w:t>依据评分标准，</w:t>
      </w:r>
      <w:r>
        <w:rPr>
          <w:rFonts w:hint="eastAsia" w:ascii="Times New Roman" w:hAnsi="Times New Roman" w:eastAsia="方正仿宋_GBK" w:cs="Times New Roman"/>
          <w:bCs/>
          <w:sz w:val="28"/>
          <w:szCs w:val="28"/>
          <w:lang w:val="en-US" w:bidi="ar-SA"/>
        </w:rPr>
        <w:t>此</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（1）县级信息公开：经调研，酉阳县严格落实了信息公开要求，按要求将公开资金分配结果、项目库、资金项目计划、计划完成情况等进行公示。</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（2）镇（街）级公开公示：项目实施前和实施后项目属地镇街分别在镇街政府公开栏中进行了公开公示，符合项目申报入库公示10天、完工后公示15个工作日要求，且资料完整。此部分得满分。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（3）村（社区）公开公示：项目实施前和实施后项目村（社）分别在村（社）公开栏中进行公开公示，符合项目申报入库公示10天、完工后公示15个工作日要求，且资料完整。</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56" w:name="_Toc30352"/>
      <w:bookmarkStart w:id="57" w:name="_Toc21245"/>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4.跟踪督促及发现问题整改情况分析</w:t>
      </w:r>
      <w:bookmarkEnd w:id="56"/>
      <w:bookmarkEnd w:id="57"/>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（1）项目主管部门定期开展项目实施和资金支出进度等跟踪督促：经调研资料显示，未发现县林业未局定期对项目实施和资金支出进度等进行跟踪督促的资料。</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此部分扣2分。</w:t>
      </w:r>
    </w:p>
    <w:p>
      <w:pPr>
        <w:spacing w:line="60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（2）跟踪督促及各类检查</w:t>
      </w:r>
      <w:r>
        <w:rPr>
          <w:rFonts w:hint="eastAsia" w:ascii="Times New Roman" w:hAnsi="Times New Roman" w:eastAsia="方正仿宋_GBK" w:cs="Times New Roman"/>
          <w:bCs/>
          <w:sz w:val="28"/>
          <w:szCs w:val="28"/>
          <w:lang w:val="en-US" w:bidi="ar-SA"/>
        </w:rPr>
        <w:t>发现问题整改到位：经调研，根据《2022年巩固拓展脱贫攻坚和乡村振兴衔接项目进展情况表》发现，2022年以来项目统筹部门及县林业局未跟踪督促及检查项目</w:t>
      </w:r>
      <w:r>
        <w:rPr>
          <w:rFonts w:hint="eastAsia" w:ascii="Times New Roman" w:hAnsi="Times New Roman" w:eastAsia="方正仿宋_GBK" w:cs="Times New Roman"/>
          <w:bCs/>
          <w:sz w:val="28"/>
          <w:szCs w:val="28"/>
        </w:rPr>
        <w:t>依据评分标准，</w:t>
      </w:r>
      <w:r>
        <w:rPr>
          <w:rFonts w:hint="eastAsia" w:ascii="Times New Roman" w:hAnsi="Times New Roman" w:eastAsia="方正仿宋_GBK" w:cs="Times New Roman"/>
          <w:bCs/>
          <w:sz w:val="28"/>
          <w:szCs w:val="28"/>
          <w:lang w:val="en-US" w:bidi="ar-SA"/>
        </w:rPr>
        <w:t>此部分扣2分。</w:t>
      </w:r>
    </w:p>
    <w:p>
      <w:pPr>
        <w:spacing w:line="600" w:lineRule="exact"/>
        <w:ind w:firstLine="560" w:firstLineChars="200"/>
        <w:jc w:val="both"/>
        <w:rPr>
          <w:rFonts w:ascii="Times New Roman" w:hAnsi="Times New Roman" w:eastAsia="方正仿宋_GBK" w:cs="Times New Roman"/>
          <w:bCs/>
          <w:sz w:val="28"/>
          <w:szCs w:val="28"/>
          <w:lang w:val="en-US" w:bidi="ar-SA"/>
        </w:rPr>
      </w:pPr>
      <w:r>
        <w:rPr>
          <w:rFonts w:hint="eastAsia" w:ascii="Times New Roman" w:hAnsi="Times New Roman" w:eastAsia="方正仿宋_GBK" w:cs="Times New Roman"/>
          <w:bCs/>
          <w:sz w:val="28"/>
          <w:szCs w:val="28"/>
          <w:lang w:val="en-US" w:bidi="ar-SA"/>
        </w:rPr>
        <w:t>（3）乡村振兴部门对全国12317防止返贫监测和乡村振兴咨询服务平台（简称12317平台）反馈问题处理：县乡村振兴局项目日常检查推送酉阳县相关问题并进行整改。</w:t>
      </w:r>
      <w:r>
        <w:rPr>
          <w:rFonts w:hint="eastAsia" w:ascii="Times New Roman" w:hAnsi="Times New Roman" w:eastAsia="方正仿宋_GBK" w:cs="Times New Roman"/>
          <w:bCs/>
          <w:sz w:val="28"/>
          <w:szCs w:val="28"/>
        </w:rPr>
        <w:t>依据评分标准，</w:t>
      </w:r>
      <w:r>
        <w:rPr>
          <w:rFonts w:hint="eastAsia" w:ascii="Times New Roman" w:hAnsi="Times New Roman" w:eastAsia="方正仿宋_GBK" w:cs="Times New Roman"/>
          <w:bCs/>
          <w:sz w:val="28"/>
          <w:szCs w:val="28"/>
          <w:lang w:val="en-US" w:bidi="ar-SA"/>
        </w:rPr>
        <w:t>此部分得满分。</w:t>
      </w:r>
    </w:p>
    <w:p>
      <w:pPr>
        <w:spacing w:line="600" w:lineRule="exact"/>
        <w:ind w:firstLine="560" w:firstLineChars="200"/>
        <w:jc w:val="both"/>
        <w:outlineLvl w:val="2"/>
        <w:rPr>
          <w:rFonts w:ascii="Times New Roman" w:hAnsi="Times New Roman" w:eastAsia="方正仿宋_GBK" w:cs="Times New Roman"/>
          <w:bCs/>
          <w:sz w:val="28"/>
          <w:szCs w:val="28"/>
          <w:lang w:val="en-US" w:bidi="ar-SA"/>
        </w:rPr>
      </w:pPr>
      <w:bookmarkStart w:id="58" w:name="_Toc17968"/>
      <w:bookmarkStart w:id="59" w:name="_Toc6786"/>
      <w:r>
        <w:rPr>
          <w:rFonts w:hint="eastAsia" w:ascii="Times New Roman" w:hAnsi="Times New Roman" w:eastAsia="方正仿宋_GBK" w:cs="Times New Roman"/>
          <w:bCs/>
          <w:sz w:val="28"/>
          <w:szCs w:val="28"/>
          <w:lang w:val="en-US" w:bidi="ar-SA"/>
        </w:rPr>
        <w:t>5.资料报送情况分析</w:t>
      </w:r>
      <w:bookmarkEnd w:id="58"/>
      <w:bookmarkEnd w:id="59"/>
      <w:r>
        <w:rPr>
          <w:rFonts w:hint="eastAsia" w:ascii="Times New Roman" w:hAnsi="Times New Roman" w:eastAsia="方正仿宋_GBK" w:cs="Times New Roman"/>
          <w:bCs/>
          <w:sz w:val="28"/>
          <w:szCs w:val="28"/>
          <w:lang w:val="en-US" w:bidi="ar-SA"/>
        </w:rPr>
        <w:t xml:space="preserve"> </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sz w:val="28"/>
          <w:szCs w:val="28"/>
          <w:lang w:val="en-US" w:bidi="ar-SA"/>
        </w:rPr>
        <w:t>（1）绩效评价资料及时报送：根据市级文件要求，预算单位应及时报送2022年度项目绩效自评材料，该项目的绩效评价资料及时报送。</w:t>
      </w:r>
      <w:r>
        <w:rPr>
          <w:rFonts w:hint="eastAsia" w:ascii="Times New Roman" w:hAnsi="Times New Roman" w:eastAsia="方正仿宋_GBK" w:cs="Times New Roman"/>
          <w:bCs/>
          <w:sz w:val="28"/>
          <w:szCs w:val="28"/>
        </w:rPr>
        <w:t>依</w:t>
      </w:r>
      <w:r>
        <w:rPr>
          <w:rFonts w:hint="eastAsia" w:ascii="Times New Roman" w:hAnsi="Times New Roman" w:eastAsia="方正仿宋_GBK" w:cs="Times New Roman"/>
          <w:bCs/>
          <w:color w:val="000000" w:themeColor="text1"/>
          <w:sz w:val="28"/>
          <w:szCs w:val="28"/>
          <w14:textFill>
            <w14:solidFill>
              <w14:schemeClr w14:val="tx1"/>
            </w14:solidFill>
          </w14:textFill>
        </w:rPr>
        <w:t>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（2）日常管理资料高质量及时报送：</w:t>
      </w:r>
      <w:r>
        <w:rPr>
          <w:rFonts w:hint="eastAsia" w:ascii="Times New Roman" w:hAnsi="Times New Roman" w:eastAsia="方正仿宋_GBK" w:cs="Times New Roman"/>
          <w:bCs/>
          <w:sz w:val="28"/>
          <w:szCs w:val="28"/>
          <w:lang w:val="en-US" w:bidi="ar-SA"/>
        </w:rPr>
        <w:t>经调研，2022年度项目日常管理资料比较齐全，按要求及时完成了报送，但未有相关监理材料、监理月报无法体现项目建设进度等情况，</w:t>
      </w:r>
      <w:r>
        <w:rPr>
          <w:rFonts w:hint="eastAsia" w:ascii="Times New Roman" w:hAnsi="Times New Roman" w:eastAsia="方正仿宋_GBK" w:cs="Times New Roman"/>
          <w:bCs/>
          <w:color w:val="000000" w:themeColor="text1"/>
          <w:sz w:val="28"/>
          <w:szCs w:val="28"/>
          <w:lang w:val="en-US"/>
          <w14:textFill>
            <w14:solidFill>
              <w14:schemeClr w14:val="tx1"/>
            </w14:solidFill>
          </w14:textFill>
        </w:rPr>
        <w:t>政府采购招标代理委托合同未签订日期，</w:t>
      </w:r>
      <w:r>
        <w:rPr>
          <w:rFonts w:hint="eastAsia" w:ascii="Times New Roman" w:hAnsi="Times New Roman" w:eastAsia="方正仿宋_GBK" w:cs="方正仿宋_GBK"/>
          <w:color w:val="000000" w:themeColor="text1"/>
          <w:sz w:val="28"/>
          <w:szCs w:val="28"/>
          <w:lang w:val="en-US"/>
          <w14:textFill>
            <w14:solidFill>
              <w14:schemeClr w14:val="tx1"/>
            </w14:solidFill>
          </w14:textFill>
        </w:rPr>
        <w:t>验收单（形象进度一.3）建设单位验收意见未签署名字，</w:t>
      </w:r>
      <w:r>
        <w:rPr>
          <w:rFonts w:hint="eastAsia" w:ascii="Times New Roman" w:hAnsi="Times New Roman" w:eastAsia="方正仿宋_GBK" w:cs="Times New Roman"/>
          <w:bCs/>
          <w:sz w:val="28"/>
          <w:szCs w:val="28"/>
          <w:lang w:val="en-US" w:bidi="ar-SA"/>
        </w:rPr>
        <w:t>报送质量有待提高。</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此部分扣2分。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60" w:name="_Toc31992"/>
      <w:bookmarkStart w:id="61" w:name="_Toc7593"/>
      <w:bookmarkStart w:id="62" w:name="_Toc9309"/>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6.预算执行率情况分析</w:t>
      </w:r>
      <w:bookmarkEnd w:id="60"/>
      <w:bookmarkEnd w:id="61"/>
      <w:bookmarkEnd w:id="62"/>
    </w:p>
    <w:p>
      <w:pPr>
        <w:spacing w:line="600" w:lineRule="exact"/>
        <w:ind w:firstLine="560" w:firstLineChars="200"/>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sz w:val="28"/>
          <w:szCs w:val="28"/>
          <w:lang w:val="en-US" w:bidi="ar-SA"/>
        </w:rPr>
        <w:t>预算执行情况：2022年青华林场林区信息化管理系统建设项目衔接资金预算共下达40万元，该衔接资金申报预算项目支出39.52万元，结余0.48元</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预算执行率98.8%。</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依据评分标准，此部分得</w:t>
      </w:r>
      <w:r>
        <w:rPr>
          <w:rFonts w:hint="eastAsia" w:ascii="Times New Roman" w:hAnsi="Times New Roman" w:eastAsia="方正仿宋_GBK" w:cs="Times New Roman"/>
          <w:bCs/>
          <w:color w:val="000000" w:themeColor="text1"/>
          <w:sz w:val="28"/>
          <w:szCs w:val="28"/>
          <w:lang w:val="en-US"/>
          <w14:textFill>
            <w14:solidFill>
              <w14:schemeClr w14:val="tx1"/>
            </w14:solidFill>
          </w14:textFill>
        </w:rPr>
        <w:t>满分</w:t>
      </w:r>
      <w:r>
        <w:rPr>
          <w:rFonts w:hint="eastAsia" w:ascii="Times New Roman" w:hAnsi="Times New Roman" w:eastAsia="方正仿宋_GBK" w:cs="Times New Roman"/>
          <w:bCs/>
          <w:color w:val="000000" w:themeColor="text1"/>
          <w:sz w:val="28"/>
          <w:szCs w:val="28"/>
          <w14:textFill>
            <w14:solidFill>
              <w14:schemeClr w14:val="tx1"/>
            </w14:solidFill>
          </w14:textFill>
        </w:rPr>
        <w:t>。</w:t>
      </w:r>
    </w:p>
    <w:p>
      <w:pPr>
        <w:pStyle w:val="4"/>
        <w:numPr>
          <w:ilvl w:val="0"/>
          <w:numId w:val="1"/>
        </w:numPr>
        <w:spacing w:line="560" w:lineRule="exact"/>
        <w:ind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63" w:name="_Toc4649"/>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项目产出指标</w:t>
      </w:r>
      <w:bookmarkEnd w:id="48"/>
      <w:bookmarkEnd w:id="63"/>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项目产出指标从项目实际完成任务量、项目完成质量、项目完成时效、项目成</w:t>
      </w:r>
      <w:r>
        <w:rPr>
          <w:rFonts w:hint="eastAsia" w:ascii="Times New Roman" w:hAnsi="Times New Roman" w:eastAsia="方正仿宋_GBK" w:cs="Times New Roman"/>
          <w:bCs/>
          <w:sz w:val="28"/>
          <w:szCs w:val="28"/>
          <w:lang w:val="en-US" w:bidi="ar-SA"/>
        </w:rPr>
        <w:t>本控制四方面对项目资金使用效果进行考核。项目产出指标分值15分，实际得分15分，得分率100%。指标的得</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分情况如表3.3所示：</w:t>
      </w:r>
    </w:p>
    <w:p>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14:textFill>
            <w14:solidFill>
              <w14:schemeClr w14:val="tx1"/>
            </w14:solidFill>
          </w14:textFill>
        </w:rPr>
        <w:t xml:space="preserve">   </w:t>
      </w:r>
      <w:r>
        <w:rPr>
          <w:rFonts w:ascii="Times New Roman" w:hAnsi="Times New Roman"/>
          <w:color w:val="000000" w:themeColor="text1"/>
          <w:lang w:val="en-US" w:bidi="ar-SA"/>
          <w14:textFill>
            <w14:solidFill>
              <w14:schemeClr w14:val="tx1"/>
            </w14:solidFill>
          </w14:textFill>
        </w:rPr>
        <w:drawing>
          <wp:inline distT="0" distB="0" distL="114300" distR="114300">
            <wp:extent cx="5151755" cy="2567940"/>
            <wp:effectExtent l="4445" t="4445" r="6350" b="18415"/>
            <wp:docPr id="1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Times New Roman" w:hAnsi="Times New Roman"/>
          <w:color w:val="000000" w:themeColor="text1"/>
          <w14:textFill>
            <w14:solidFill>
              <w14:schemeClr w14:val="tx1"/>
            </w14:solidFill>
          </w14:textFill>
        </w:rPr>
      </w:pPr>
      <w:r>
        <w:rPr>
          <w:rFonts w:hint="eastAsia" w:ascii="Times New Roman" w:hAnsi="Times New Roman" w:eastAsia="方正仿宋_GBK" w:cs="Times New Roman"/>
          <w:b/>
          <w:color w:val="000000" w:themeColor="text1"/>
          <w:sz w:val="24"/>
          <w:szCs w:val="24"/>
          <w:lang w:val="en-US" w:bidi="ar-SA"/>
          <w14:textFill>
            <w14:solidFill>
              <w14:schemeClr w14:val="tx1"/>
            </w14:solidFill>
          </w14:textFill>
        </w:rPr>
        <w:t>图3.3  项目产出指标得分情况</w:t>
      </w:r>
    </w:p>
    <w:p>
      <w:pPr>
        <w:pStyle w:val="5"/>
        <w:keepNext w:val="0"/>
        <w:keepLines w:val="0"/>
        <w:spacing w:before="0" w:after="0" w:line="560" w:lineRule="exact"/>
        <w:ind w:left="440" w:left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64" w:name="_Toc8536"/>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1.项目实际完成任务量分析</w:t>
      </w:r>
      <w:bookmarkEnd w:id="64"/>
    </w:p>
    <w:p>
      <w:pPr>
        <w:pStyle w:val="2"/>
        <w:spacing w:line="560" w:lineRule="exact"/>
        <w:ind w:firstLine="560" w:firstLineChars="200"/>
        <w:jc w:val="both"/>
        <w:rPr>
          <w:rFonts w:ascii="Times New Roman" w:eastAsia="方正仿宋_GBK" w:cs="Times New Roman"/>
          <w:bCs/>
          <w:color w:val="000000" w:themeColor="text1"/>
          <w:sz w:val="28"/>
          <w:szCs w:val="28"/>
          <w14:textFill>
            <w14:solidFill>
              <w14:schemeClr w14:val="tx1"/>
            </w14:solidFill>
          </w14:textFill>
        </w:rPr>
      </w:pPr>
      <w:r>
        <w:rPr>
          <w:rFonts w:hint="eastAsia" w:ascii="Times New Roman" w:eastAsia="方正仿宋_GBK" w:cs="Times New Roman"/>
          <w:bCs/>
          <w:color w:val="000000" w:themeColor="text1"/>
          <w:sz w:val="28"/>
          <w:szCs w:val="28"/>
          <w14:textFill>
            <w14:solidFill>
              <w14:schemeClr w14:val="tx1"/>
            </w14:solidFill>
          </w14:textFill>
        </w:rPr>
        <w:t>经调研，项目实际完成任务量均达到绩效目标任务量。依据评分标准，此部分得满分。</w:t>
      </w:r>
    </w:p>
    <w:p>
      <w:pPr>
        <w:pStyle w:val="5"/>
        <w:keepNext w:val="0"/>
        <w:keepLines w:val="0"/>
        <w:spacing w:before="0" w:after="0" w:line="560" w:lineRule="exact"/>
        <w:ind w:left="440" w:left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65" w:name="_Toc18031"/>
      <w:bookmarkStart w:id="66" w:name="_Toc14850"/>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2.项目完成质量分析</w:t>
      </w:r>
      <w:bookmarkEnd w:id="65"/>
      <w:bookmarkEnd w:id="66"/>
    </w:p>
    <w:p>
      <w:pPr>
        <w:pStyle w:val="2"/>
        <w:spacing w:line="560" w:lineRule="exact"/>
        <w:ind w:firstLine="560" w:firstLineChars="200"/>
        <w:jc w:val="both"/>
        <w:rPr>
          <w:rFonts w:ascii="Times New Roman"/>
          <w:color w:val="000000" w:themeColor="text1"/>
          <w:sz w:val="28"/>
          <w:szCs w:val="28"/>
          <w14:textFill>
            <w14:solidFill>
              <w14:schemeClr w14:val="tx1"/>
            </w14:solidFill>
          </w14:textFill>
        </w:rPr>
      </w:pPr>
      <w:r>
        <w:rPr>
          <w:rFonts w:hint="eastAsia" w:ascii="Times New Roman" w:eastAsia="方正仿宋_GBK" w:cs="Times New Roman"/>
          <w:bCs/>
          <w:color w:val="000000" w:themeColor="text1"/>
          <w:sz w:val="28"/>
          <w:szCs w:val="28"/>
          <w14:textFill>
            <w14:solidFill>
              <w14:schemeClr w14:val="tx1"/>
            </w14:solidFill>
          </w14:textFill>
        </w:rPr>
        <w:t>青华林场信息</w:t>
      </w:r>
      <w:r>
        <w:rPr>
          <w:rFonts w:hint="eastAsia" w:ascii="Times New Roman" w:eastAsia="方正仿宋_GBK" w:cs="方正仿宋_GBK"/>
          <w:color w:val="000000" w:themeColor="text1"/>
          <w:sz w:val="28"/>
          <w:szCs w:val="28"/>
          <w14:textFill>
            <w14:solidFill>
              <w14:schemeClr w14:val="tx1"/>
            </w14:solidFill>
          </w14:textFill>
        </w:rPr>
        <w:t>化管理系统建设项目在</w:t>
      </w:r>
      <w:r>
        <w:rPr>
          <w:rFonts w:hint="eastAsia" w:ascii="Times New Roman" w:eastAsia="方正仿宋_GBK" w:cs="Times New Roman"/>
          <w:bCs/>
          <w:color w:val="000000" w:themeColor="text1"/>
          <w:sz w:val="28"/>
          <w:szCs w:val="28"/>
          <w14:textFill>
            <w14:solidFill>
              <w14:schemeClr w14:val="tx1"/>
            </w14:solidFill>
          </w14:textFill>
        </w:rPr>
        <w:t>2022年酉阳财政衔接推进乡村振兴补助资金项目中涉及基础设施项目，经调研，项目已完成竣工验收，质量达到相应标准</w:t>
      </w:r>
      <w:r>
        <w:rPr>
          <w:rFonts w:hint="eastAsia" w:ascii="Times New Roman" w:eastAsia="方正仿宋_GBK" w:cs="方正仿宋_GBK"/>
          <w:color w:val="000000" w:themeColor="text1"/>
          <w:sz w:val="28"/>
          <w:szCs w:val="28"/>
          <w14:textFill>
            <w14:solidFill>
              <w14:schemeClr w14:val="tx1"/>
            </w14:solidFill>
          </w14:textFill>
        </w:rPr>
        <w:t>。</w:t>
      </w:r>
      <w:r>
        <w:rPr>
          <w:rFonts w:hint="eastAsia" w:ascii="Times New Roman" w:eastAsia="方正仿宋_GBK" w:cs="Times New Roman"/>
          <w:bCs/>
          <w:color w:val="000000" w:themeColor="text1"/>
          <w:sz w:val="28"/>
          <w:szCs w:val="28"/>
          <w14:textFill>
            <w14:solidFill>
              <w14:schemeClr w14:val="tx1"/>
            </w14:solidFill>
          </w14:textFill>
        </w:rPr>
        <w:t>依据评分标准，此部分得满分。</w:t>
      </w:r>
    </w:p>
    <w:p>
      <w:pPr>
        <w:pStyle w:val="5"/>
        <w:keepNext w:val="0"/>
        <w:keepLines w:val="0"/>
        <w:spacing w:before="0" w:after="0" w:line="560" w:lineRule="exact"/>
        <w:ind w:left="440" w:left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67" w:name="_Toc18225"/>
      <w:bookmarkStart w:id="68" w:name="_Toc28048"/>
      <w:bookmarkStart w:id="69" w:name="_Toc30974"/>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3.项目完成时效分析</w:t>
      </w:r>
      <w:bookmarkEnd w:id="67"/>
      <w:bookmarkEnd w:id="68"/>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 xml:space="preserve"> </w:t>
      </w:r>
    </w:p>
    <w:p>
      <w:pPr>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14:textFill>
            <w14:solidFill>
              <w14:schemeClr w14:val="tx1"/>
            </w14:solidFill>
          </w14:textFill>
        </w:rPr>
        <w:t>经调研，项目在规定时间内按照实施方案、合同、协议完成项目立项、设计、招投标、施工、竣工验收等，项目完成及时性较好。</w:t>
      </w:r>
      <w:r>
        <w:rPr>
          <w:rFonts w:hint="eastAsia" w:ascii="Times New Roman" w:hAnsi="Times New Roman" w:eastAsia="方正仿宋_GBK" w:cs="Times New Roman"/>
          <w:bCs/>
          <w:color w:val="000000" w:themeColor="text1"/>
          <w:sz w:val="28"/>
          <w:szCs w:val="28"/>
          <w14:textFill>
            <w14:solidFill>
              <w14:schemeClr w14:val="tx1"/>
            </w14:solidFill>
          </w14:textFill>
        </w:rPr>
        <w:t>依据评分标准，此部分</w:t>
      </w:r>
      <w:r>
        <w:rPr>
          <w:rFonts w:hint="eastAsia" w:ascii="Times New Roman" w:hAnsi="Times New Roman" w:eastAsia="方正仿宋_GBK" w:cs="Times New Roman"/>
          <w:bCs/>
          <w:color w:val="000000" w:themeColor="text1"/>
          <w:sz w:val="28"/>
          <w:szCs w:val="28"/>
          <w:lang w:val="en-US"/>
          <w14:textFill>
            <w14:solidFill>
              <w14:schemeClr w14:val="tx1"/>
            </w14:solidFill>
          </w14:textFill>
        </w:rPr>
        <w:t>得满分</w:t>
      </w:r>
      <w:r>
        <w:rPr>
          <w:rFonts w:hint="eastAsia" w:ascii="Times New Roman" w:hAnsi="Times New Roman" w:eastAsia="方正仿宋_GBK" w:cs="Times New Roman"/>
          <w:bCs/>
          <w:color w:val="000000" w:themeColor="text1"/>
          <w:sz w:val="28"/>
          <w:szCs w:val="28"/>
          <w14:textFill>
            <w14:solidFill>
              <w14:schemeClr w14:val="tx1"/>
            </w14:solidFill>
          </w14:textFill>
        </w:rPr>
        <w:t>。</w:t>
      </w:r>
    </w:p>
    <w:p>
      <w:pPr>
        <w:pStyle w:val="5"/>
        <w:keepNext w:val="0"/>
        <w:keepLines w:val="0"/>
        <w:spacing w:before="0" w:after="0" w:line="560" w:lineRule="exact"/>
        <w:ind w:left="440" w:leftChars="200"/>
        <w:jc w:val="both"/>
        <w:rPr>
          <w:rFonts w:ascii="Times New Roman" w:hAnsi="Times New Roman" w:eastAsia="方正仿宋_GBK" w:cs="Times New Roman"/>
          <w:b w:val="0"/>
          <w:bCs/>
          <w:color w:val="000000" w:themeColor="text1"/>
          <w:sz w:val="28"/>
          <w:szCs w:val="28"/>
          <w:lang w:val="en-US" w:bidi="ar-SA"/>
          <w14:textFill>
            <w14:solidFill>
              <w14:schemeClr w14:val="tx1"/>
            </w14:solidFill>
          </w14:textFill>
        </w:rPr>
      </w:pPr>
      <w:bookmarkStart w:id="70" w:name="_Toc10671"/>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4.项目成本控制分析</w:t>
      </w:r>
      <w:bookmarkEnd w:id="70"/>
      <w:r>
        <w:rPr>
          <w:rFonts w:hint="eastAsia" w:ascii="Times New Roman" w:hAnsi="Times New Roman" w:eastAsia="方正仿宋_GBK" w:cs="Times New Roman"/>
          <w:b w:val="0"/>
          <w:bCs/>
          <w:color w:val="000000" w:themeColor="text1"/>
          <w:sz w:val="28"/>
          <w:szCs w:val="28"/>
          <w:lang w:val="en-US" w:bidi="ar-SA"/>
          <w14:textFill>
            <w14:solidFill>
              <w14:schemeClr w14:val="tx1"/>
            </w14:solidFill>
          </w14:textFill>
        </w:rPr>
        <w:t xml:space="preserve"> </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经调研，</w:t>
      </w:r>
      <w:r>
        <w:rPr>
          <w:rFonts w:hint="eastAsia" w:ascii="Times New Roman" w:hAnsi="Times New Roman" w:eastAsia="方正仿宋_GBK" w:cs="方正仿宋_GBK"/>
          <w:color w:val="000000" w:themeColor="text1"/>
          <w:sz w:val="28"/>
          <w:szCs w:val="28"/>
          <w:lang w:val="en-US"/>
          <w14:textFill>
            <w14:solidFill>
              <w14:schemeClr w14:val="tx1"/>
            </w14:solidFill>
          </w14:textFill>
        </w:rPr>
        <w:t>青华林场信息化管理系统建设项目</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未存在设计方案不科学、不合理的情况。依据评分标准，此部分得满分。</w:t>
      </w:r>
    </w:p>
    <w:p>
      <w:pPr>
        <w:pStyle w:val="4"/>
        <w:numPr>
          <w:ilvl w:val="0"/>
          <w:numId w:val="1"/>
        </w:numPr>
        <w:spacing w:line="560" w:lineRule="exact"/>
        <w:ind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71" w:name="_Toc17064"/>
      <w:bookmarkStart w:id="72" w:name="_Toc7044"/>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使用成效指标</w:t>
      </w:r>
      <w:bookmarkEnd w:id="69"/>
      <w:bookmarkEnd w:id="71"/>
      <w:bookmarkEnd w:id="72"/>
    </w:p>
    <w:p>
      <w:pPr>
        <w:spacing w:line="560" w:lineRule="exact"/>
        <w:ind w:firstLine="560" w:firstLineChars="200"/>
        <w:jc w:val="both"/>
        <w:rPr>
          <w:rFonts w:ascii="Times New Roman" w:hAnsi="Times New Roman" w:eastAsia="方正仿宋_GBK" w:cs="Times New Roman"/>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使用成效指标从有序推进项目实施等工作情况、巩固拓展脱贫攻坚成果情况、资金使用效益、项目满意度情况四方面对项目资金使用效果进行考核。使用成效指标分值35分，实际得分33.67分，得分率96.2%。指标的得分情况如表3.3所示：</w:t>
      </w:r>
    </w:p>
    <w:p>
      <w:pPr>
        <w:pStyle w:val="2"/>
        <w:jc w:val="cente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drawing>
          <wp:inline distT="0" distB="0" distL="114300" distR="114300">
            <wp:extent cx="5146040" cy="2554605"/>
            <wp:effectExtent l="4445" t="4445" r="12065" b="12700"/>
            <wp:docPr id="1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jc w:val="center"/>
        <w:rPr>
          <w:rFonts w:ascii="Times New Roman" w:hAnsi="Times New Roman"/>
          <w:color w:val="000000" w:themeColor="text1"/>
          <w14:textFill>
            <w14:solidFill>
              <w14:schemeClr w14:val="tx1"/>
            </w14:solidFill>
          </w14:textFill>
        </w:rPr>
      </w:pPr>
      <w:r>
        <w:rPr>
          <w:rFonts w:hint="eastAsia" w:ascii="Times New Roman" w:hAnsi="Times New Roman" w:eastAsia="方正仿宋_GBK" w:cs="Times New Roman"/>
          <w:b/>
          <w:color w:val="000000" w:themeColor="text1"/>
          <w:sz w:val="24"/>
          <w:szCs w:val="24"/>
          <w:lang w:val="en-US" w:bidi="ar-SA"/>
          <w14:textFill>
            <w14:solidFill>
              <w14:schemeClr w14:val="tx1"/>
            </w14:solidFill>
          </w14:textFill>
        </w:rPr>
        <w:t>图3.4  使用成效指标得分情况表</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73" w:name="_Toc23212"/>
      <w:bookmarkStart w:id="74" w:name="_Toc4349"/>
      <w:bookmarkStart w:id="75" w:name="_Toc1936"/>
      <w:bookmarkStart w:id="76" w:name="_Toc29339"/>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1.有序推进项目实施等工作情况分析</w:t>
      </w:r>
      <w:bookmarkEnd w:id="73"/>
      <w:bookmarkEnd w:id="74"/>
      <w:bookmarkEnd w:id="75"/>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（1）7月中旬支出进度：根据防返贫监测信息系统显示，酉阳县7月衔接资金支出进度58.5%（市平均进度57%），达到了全市平均进度。此部分得满分。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（2）10月中旬支出进度：根据防返贫监测信息系统显示，酉阳县10月中旬衔接资金支出进度81%（市平均进度80.3%），达到了全市平均进度。依据评分标准，此部分得满分。</w:t>
      </w:r>
    </w:p>
    <w:p>
      <w:pPr>
        <w:spacing w:line="600" w:lineRule="exact"/>
        <w:ind w:firstLine="560" w:firstLine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77" w:name="_Toc2047"/>
      <w:bookmarkStart w:id="78" w:name="_Toc18696"/>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w:t>
      </w:r>
      <w:bookmarkEnd w:id="77"/>
      <w:bookmarkEnd w:id="78"/>
      <w:bookmarkStart w:id="79" w:name="_Toc32050"/>
      <w:bookmarkStart w:id="80" w:name="_Toc29407"/>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资金使用效益</w:t>
      </w:r>
      <w:bookmarkEnd w:id="79"/>
      <w:bookmarkEnd w:id="80"/>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（1）增收</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青华林场职工人均收入增速高于县林业系统职工平均收入增速的，或欠发达国有林场职工平均收入较上年有所提高的2022年酉阳县衔接资金按照《中央财政衔接推进乡村振兴补助资金管理办法》、市级、县级资金文件，全部用于完成巩固拓展脱贫攻坚成果和乡村振兴任务及少数民族发展任务。衔接资金用途未突破管理办法。依据评分标准，此部分得满分。</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（2）项目成效</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项目质量是已达到相应标准，实现预期目标，达到相应效益，项目明确了联农带农机制（利益联结机制），实施的项目与脱贫成效紧密挂钩，及时制定了利益联结机制。</w:t>
      </w:r>
    </w:p>
    <w:p>
      <w:pPr>
        <w:spacing w:line="60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项目后续管护良好，健全了工作机制，印发了《酉阳自治县青华林场公益性资产后续管护制度》，明确项目资产后续管护工作职责，按照“谁受益、谁负担、谁管理”“因地制宜，注重实效”的原则，推动村、组、户联动，分级负责，规范运行。依据评分标准，此部分得满分。</w:t>
      </w:r>
    </w:p>
    <w:p>
      <w:pPr>
        <w:spacing w:line="600" w:lineRule="exact"/>
        <w:ind w:left="440" w:leftChars="200"/>
        <w:jc w:val="both"/>
        <w:outlineLvl w:val="2"/>
        <w:rPr>
          <w:rFonts w:ascii="Times New Roman" w:hAnsi="Times New Roman" w:eastAsia="方正仿宋_GBK" w:cs="Times New Roman"/>
          <w:bCs/>
          <w:color w:val="000000" w:themeColor="text1"/>
          <w:sz w:val="28"/>
          <w:szCs w:val="28"/>
          <w:lang w:val="en-US" w:bidi="ar-SA"/>
          <w14:textFill>
            <w14:solidFill>
              <w14:schemeClr w14:val="tx1"/>
            </w14:solidFill>
          </w14:textFill>
        </w:rPr>
      </w:pPr>
      <w:bookmarkStart w:id="81" w:name="_Toc15272"/>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4.项目满意度情况</w:t>
      </w:r>
      <w:bookmarkEnd w:id="81"/>
    </w:p>
    <w:p>
      <w:pPr>
        <w:spacing w:line="560" w:lineRule="exact"/>
        <w:ind w:firstLine="560" w:firstLineChars="200"/>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通过对2022年度青华林场信息化管理系统建设项目受益农户或职工进行满意度调查，可以看出农户或职工对项目的满意度较高，项目满意度综合平均分为90分。此部分得满分。</w:t>
      </w: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82" w:name="_Toc11996"/>
      <w:bookmarkStart w:id="83" w:name="_Toc9560"/>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四、加减分指标</w:t>
      </w:r>
      <w:bookmarkEnd w:id="82"/>
      <w:bookmarkEnd w:id="83"/>
    </w:p>
    <w:p>
      <w:pPr>
        <w:spacing w:line="560" w:lineRule="exact"/>
        <w:ind w:firstLine="560" w:firstLineChars="200"/>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经调研，酉阳县2022年度青华林场衔接资金项目执行中无随意调减衔接资金预算、数据作假情况，无额外加减指标分值情况。</w:t>
      </w: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84" w:name="_Toc5952"/>
      <w:bookmarkStart w:id="85" w:name="_Toc29249"/>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五、综合评价情况及评价结论</w:t>
      </w:r>
      <w:bookmarkEnd w:id="76"/>
      <w:bookmarkEnd w:id="84"/>
      <w:bookmarkEnd w:id="85"/>
    </w:p>
    <w:p>
      <w:pPr>
        <w:spacing w:line="560" w:lineRule="exact"/>
        <w:ind w:firstLine="560" w:firstLineChars="200"/>
        <w:jc w:val="both"/>
        <w:rPr>
          <w:rFonts w:ascii="Times New Roman" w:hAnsi="Times New Roman" w:eastAsia="方正仿宋_GBK" w:cs="方正仿宋_GBK"/>
          <w:b/>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评价工作组通过资料收集分析、指标体系研读、现场调研访谈、问卷调查等方式，对重庆市酉阳县2022年财政衔接资金项目进行绩效评分。</w:t>
      </w:r>
      <w:r>
        <w:rPr>
          <w:rFonts w:hint="eastAsia" w:ascii="Times New Roman" w:hAnsi="Times New Roman" w:eastAsia="方正仿宋_GBK" w:cs="Times New Roman"/>
          <w:b/>
          <w:color w:val="000000" w:themeColor="text1"/>
          <w:sz w:val="28"/>
          <w:szCs w:val="28"/>
          <w:lang w:val="en-US" w:bidi="ar-SA"/>
          <w14:textFill>
            <w14:solidFill>
              <w14:schemeClr w14:val="tx1"/>
            </w14:solidFill>
          </w14:textFill>
        </w:rPr>
        <w:t>最终结果：评价总分为95.97分，评价结果等级为“优”。</w:t>
      </w:r>
      <w:r>
        <w:rPr>
          <w:rFonts w:ascii="Times New Roman" w:hAnsi="Times New Roman" w:eastAsia="方正仿宋_GBK" w:cs="Times New Roman"/>
          <w:bCs/>
          <w:color w:val="000000" w:themeColor="text1"/>
          <w:sz w:val="28"/>
          <w:szCs w:val="28"/>
          <w:lang w:val="en-US" w:bidi="ar-SA"/>
          <w14:textFill>
            <w14:solidFill>
              <w14:schemeClr w14:val="tx1"/>
            </w14:solidFill>
          </w14:textFill>
        </w:rPr>
        <w:t>综合得分情况如</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图4</w:t>
      </w:r>
      <w:r>
        <w:rPr>
          <w:rFonts w:ascii="Times New Roman" w:hAnsi="Times New Roman" w:eastAsia="方正仿宋_GBK" w:cs="Times New Roman"/>
          <w:bCs/>
          <w:color w:val="000000" w:themeColor="text1"/>
          <w:sz w:val="28"/>
          <w:szCs w:val="28"/>
          <w:lang w:val="en-US" w:bidi="ar-SA"/>
          <w14:textFill>
            <w14:solidFill>
              <w14:schemeClr w14:val="tx1"/>
            </w14:solidFill>
          </w14:textFill>
        </w:rPr>
        <w:t>.1所示：</w:t>
      </w:r>
    </w:p>
    <w:p>
      <w:pPr>
        <w:pStyle w:val="2"/>
        <w:jc w:val="center"/>
        <w:rPr>
          <w:rFonts w:ascii="Times New Roman"/>
          <w:color w:val="000000" w:themeColor="text1"/>
          <w14:textFill>
            <w14:solidFill>
              <w14:schemeClr w14:val="tx1"/>
            </w14:solidFill>
          </w14:textFill>
        </w:rPr>
      </w:pPr>
    </w:p>
    <w:p>
      <w:pPr>
        <w:pStyle w:val="2"/>
        <w:jc w:val="center"/>
        <w:rPr>
          <w:rFonts w:asci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4572635" cy="1849120"/>
            <wp:effectExtent l="4445" t="4445" r="13970" b="1333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jc w:val="center"/>
        <w:rPr>
          <w:rFonts w:ascii="Times New Roman" w:hAnsi="Times New Roman" w:eastAsia="方正仿宋_GBK" w:cs="Times New Roman"/>
          <w:b/>
          <w:color w:val="000000" w:themeColor="text1"/>
          <w:sz w:val="24"/>
          <w:szCs w:val="24"/>
          <w:lang w:val="en-US" w:bidi="ar-SA"/>
          <w14:textFill>
            <w14:solidFill>
              <w14:schemeClr w14:val="tx1"/>
            </w14:solidFill>
          </w14:textFill>
        </w:rPr>
      </w:pPr>
      <w:r>
        <w:rPr>
          <w:rFonts w:hint="eastAsia" w:ascii="Times New Roman" w:hAnsi="Times New Roman" w:eastAsia="方正仿宋_GBK" w:cs="Times New Roman"/>
          <w:b/>
          <w:color w:val="000000" w:themeColor="text1"/>
          <w:sz w:val="24"/>
          <w:szCs w:val="24"/>
          <w:lang w:val="en-US" w:bidi="ar-SA"/>
          <w14:textFill>
            <w14:solidFill>
              <w14:schemeClr w14:val="tx1"/>
            </w14:solidFill>
          </w14:textFill>
        </w:rPr>
        <w:t>图4.1   绩效评价综合得分情况</w:t>
      </w:r>
    </w:p>
    <w:p>
      <w:pPr>
        <w:pStyle w:val="2"/>
        <w:jc w:val="center"/>
        <w:rPr>
          <w:rFonts w:ascii="Times New Roman"/>
          <w:b/>
          <w:bCs/>
          <w:color w:val="000000" w:themeColor="text1"/>
          <w14:textFill>
            <w14:solidFill>
              <w14:schemeClr w14:val="tx1"/>
            </w14:solidFill>
          </w14:textFill>
        </w:rPr>
      </w:pPr>
    </w:p>
    <w:p>
      <w:pPr>
        <w:pStyle w:val="3"/>
        <w:spacing w:before="0" w:line="56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86" w:name="_Toc6665"/>
      <w:bookmarkStart w:id="87" w:name="_Toc31634"/>
      <w:bookmarkStart w:id="88" w:name="_Toc9361"/>
      <w:bookmarkStart w:id="89" w:name="_Toc26880"/>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六、项目成效</w:t>
      </w:r>
      <w:bookmarkEnd w:id="86"/>
      <w:bookmarkEnd w:id="87"/>
    </w:p>
    <w:p>
      <w:pPr>
        <w:topLinePunct/>
        <w:autoSpaceDN/>
        <w:spacing w:line="560" w:lineRule="exact"/>
        <w:ind w:firstLine="562" w:firstLineChars="200"/>
        <w:jc w:val="both"/>
        <w:rPr>
          <w:rFonts w:ascii="Times New Roman" w:hAnsi="Times New Roman" w:eastAsia="方正仿宋_GBK" w:cs="方正仿宋_GBK"/>
          <w:b/>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b/>
          <w:color w:val="000000" w:themeColor="text1"/>
          <w:kern w:val="2"/>
          <w:sz w:val="28"/>
          <w:szCs w:val="28"/>
          <w:lang w:val="en-US" w:bidi="ar-SA"/>
          <w14:textFill>
            <w14:solidFill>
              <w14:schemeClr w14:val="tx1"/>
            </w14:solidFill>
          </w14:textFill>
        </w:rPr>
        <w:t>（一）巩固拓展脱贫攻坚成果，助推乡村振兴和少数民族发展</w:t>
      </w:r>
    </w:p>
    <w:p>
      <w:pPr>
        <w:pStyle w:val="2"/>
        <w:spacing w:line="600" w:lineRule="exact"/>
        <w:ind w:firstLine="562" w:firstLineChars="200"/>
        <w:rPr>
          <w:rFonts w:ascii="Times New Roman" w:eastAsia="方正仿宋_GBK" w:cs="Times New Roman"/>
          <w:bCs/>
          <w:color w:val="000000" w:themeColor="text1"/>
          <w:sz w:val="32"/>
          <w:szCs w:val="32"/>
          <w14:textFill>
            <w14:solidFill>
              <w14:schemeClr w14:val="tx1"/>
            </w14:solidFill>
          </w14:textFill>
        </w:rPr>
      </w:pPr>
      <w:r>
        <w:rPr>
          <w:rFonts w:hint="eastAsia" w:ascii="Times New Roman" w:eastAsia="方正仿宋_GBK" w:cs="方正仿宋_GBK"/>
          <w:b/>
          <w:color w:val="000000" w:themeColor="text1"/>
          <w:kern w:val="2"/>
          <w:sz w:val="28"/>
          <w:szCs w:val="28"/>
          <w14:textFill>
            <w14:solidFill>
              <w14:schemeClr w14:val="tx1"/>
            </w14:solidFill>
          </w14:textFill>
        </w:rPr>
        <w:t>（二）投入产出效果显著，财政资金使用效益突出</w:t>
      </w:r>
    </w:p>
    <w:p>
      <w:pPr>
        <w:pStyle w:val="2"/>
        <w:rPr>
          <w:rFonts w:ascii="Times New Roman"/>
          <w:color w:val="000000" w:themeColor="text1"/>
          <w14:textFill>
            <w14:solidFill>
              <w14:schemeClr w14:val="tx1"/>
            </w14:solidFill>
          </w14:textFill>
        </w:rPr>
      </w:pPr>
    </w:p>
    <w:p>
      <w:pPr>
        <w:pStyle w:val="2"/>
        <w:ind w:firstLine="562" w:firstLineChars="200"/>
        <w:rPr>
          <w:rFonts w:ascii="Times New Roman" w:eastAsia="方正仿宋_GBK" w:cs="方正仿宋_GBK"/>
          <w:b/>
          <w:color w:val="000000" w:themeColor="text1"/>
          <w:kern w:val="2"/>
          <w:sz w:val="28"/>
          <w:szCs w:val="28"/>
          <w14:textFill>
            <w14:solidFill>
              <w14:schemeClr w14:val="tx1"/>
            </w14:solidFill>
          </w14:textFill>
        </w:rPr>
      </w:pPr>
      <w:r>
        <w:rPr>
          <w:rFonts w:hint="eastAsia" w:ascii="Times New Roman" w:eastAsia="方正仿宋_GBK" w:cs="方正仿宋_GBK"/>
          <w:b/>
          <w:color w:val="000000" w:themeColor="text1"/>
          <w:kern w:val="2"/>
          <w:sz w:val="28"/>
          <w:szCs w:val="28"/>
          <w14:textFill>
            <w14:solidFill>
              <w14:schemeClr w14:val="tx1"/>
            </w14:solidFill>
          </w14:textFill>
        </w:rPr>
        <w:t>（三）取得创新成果，助力乡村全面振兴</w:t>
      </w:r>
    </w:p>
    <w:p>
      <w:pPr>
        <w:pStyle w:val="3"/>
        <w:spacing w:before="0" w:line="600" w:lineRule="exact"/>
        <w:ind w:right="0" w:firstLine="560" w:firstLineChars="200"/>
        <w:rPr>
          <w:rFonts w:ascii="Times New Roman" w:hAnsi="Times New Roman" w:eastAsia="方正黑体_GBK" w:cs="Times New Roman"/>
          <w:b w:val="0"/>
          <w:color w:val="000000" w:themeColor="text1"/>
          <w:sz w:val="28"/>
          <w:szCs w:val="28"/>
          <w:lang w:val="en-US" w:bidi="ar-SA"/>
          <w14:textFill>
            <w14:solidFill>
              <w14:schemeClr w14:val="tx1"/>
            </w14:solidFill>
          </w14:textFill>
        </w:rPr>
      </w:pPr>
      <w:bookmarkStart w:id="90" w:name="_Toc2625"/>
      <w:bookmarkStart w:id="91" w:name="_Toc6111"/>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七、存在的问题</w:t>
      </w:r>
      <w:bookmarkEnd w:id="88"/>
      <w:bookmarkEnd w:id="90"/>
      <w:bookmarkEnd w:id="91"/>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92" w:name="_Toc7358"/>
      <w:bookmarkStart w:id="93" w:name="_Toc13499"/>
      <w:bookmarkStart w:id="94" w:name="_Toc19097_WPSOffice_Level2"/>
      <w:bookmarkStart w:id="95" w:name="_Toc23955"/>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（一）项目管理方面</w:t>
      </w:r>
      <w:bookmarkEnd w:id="92"/>
      <w:bookmarkEnd w:id="93"/>
    </w:p>
    <w:p>
      <w:pPr>
        <w:autoSpaceDE/>
        <w:autoSpaceDN/>
        <w:spacing w:line="560" w:lineRule="exact"/>
        <w:ind w:firstLine="560" w:firstLineChars="200"/>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2.项目管理有待加强，报送资料质量有待提高</w:t>
      </w:r>
    </w:p>
    <w:p>
      <w:pPr>
        <w:autoSpaceDE/>
        <w:autoSpaceDN/>
        <w:spacing w:line="560" w:lineRule="exact"/>
        <w:ind w:firstLine="560" w:firstLineChars="200"/>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（2）项目管理有待加强</w:t>
      </w:r>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96" w:name="_Toc8236"/>
      <w:bookmarkStart w:id="97" w:name="_Toc28264"/>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（二）项目产出方面</w:t>
      </w:r>
      <w:bookmarkEnd w:id="96"/>
      <w:bookmarkEnd w:id="97"/>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98" w:name="_Toc30767"/>
      <w:bookmarkStart w:id="99" w:name="_Toc8196"/>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（三）项目使用成效方面</w:t>
      </w:r>
      <w:bookmarkEnd w:id="98"/>
      <w:bookmarkEnd w:id="99"/>
    </w:p>
    <w:p>
      <w:pPr>
        <w:pStyle w:val="3"/>
        <w:spacing w:before="0" w:line="600" w:lineRule="exact"/>
        <w:ind w:right="0" w:firstLine="560" w:firstLineChars="200"/>
        <w:rPr>
          <w:rFonts w:ascii="Times New Roman" w:hAnsi="Times New Roman" w:eastAsia="方正黑体_GBK"/>
          <w:color w:val="000000" w:themeColor="text1"/>
          <w:lang w:val="en-US"/>
          <w14:textFill>
            <w14:solidFill>
              <w14:schemeClr w14:val="tx1"/>
            </w14:solidFill>
          </w14:textFill>
        </w:rPr>
      </w:pPr>
      <w:bookmarkStart w:id="100" w:name="_Toc16366"/>
      <w:bookmarkStart w:id="101" w:name="_Toc4471"/>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八、相关建议</w:t>
      </w:r>
      <w:bookmarkEnd w:id="100"/>
      <w:bookmarkEnd w:id="101"/>
    </w:p>
    <w:bookmarkEnd w:id="94"/>
    <w:bookmarkEnd w:id="95"/>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102" w:name="_Toc21838"/>
      <w:bookmarkStart w:id="103" w:name="_Toc952"/>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（一）项目管理方面</w:t>
      </w:r>
      <w:bookmarkEnd w:id="102"/>
      <w:bookmarkEnd w:id="103"/>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1.加强绩效管理工作，提高绩效资料规范性、逻辑性</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建议青华林场加强绩效管理，提高绩效资料规范性、</w:t>
      </w: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逻辑性</w:t>
      </w: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一是项目主管部门加强对项目申请镇街、村（社）的绩效管理培训，落实培训效果，绩效指标设置应科学、合理、符合实际，绩效目标申报表根据项目库入库建设任务设置的指标及目标值，年中应根据财评建设任务及时在“预算一体化系统”调整年度绩效目标、绩效指标及目标值，确保绩效目标申报、运行监控、绩效自评表的相关性；二是绩效监控及自评材料需与提供的佐证材料证明一致，项目主管部门应加强管理，如自评结果与佐证资料不一致的及时通知项目责任单位整改，保证绩效材料的一致性</w:t>
      </w: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2.项目主管部门提高监管力度，项目实施单位加强监理采购管理</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一是建议项目主管部门建立提高监管力度，发现问题及时反馈项目责任单位整改，定时通报错误示范，督促项目经办人互相学习监督，保障项目日常管理资料报送质量。</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二是针对覆盖面广、实施主体多、项目内容相似的项目，建议项目主管部门细化项目管理，进一步明确验收标准、进度拨款申请佐证，加强进度款佐证管理，严格资金拨付程序。</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三是建议项目实施单位加强监理采购管理，对监理单位的采购进行最低、最高限价，避免出现恶意低价中标后不履行合同义务情况，落实监理监督管理职责，避免发生工程质量问题。</w:t>
      </w:r>
    </w:p>
    <w:p>
      <w:pPr>
        <w:pStyle w:val="4"/>
        <w:spacing w:line="560" w:lineRule="exact"/>
        <w:ind w:left="0" w:firstLine="560" w:firstLineChars="200"/>
        <w:jc w:val="both"/>
        <w:rPr>
          <w:rFonts w:ascii="Times New Roman" w:hAnsi="Times New Roman" w:eastAsia="方正楷体_GBK" w:cs="Times New Roman"/>
          <w:b w:val="0"/>
          <w:color w:val="000000" w:themeColor="text1"/>
          <w:sz w:val="28"/>
          <w:szCs w:val="28"/>
          <w:lang w:val="en-US" w:bidi="ar-SA"/>
          <w14:textFill>
            <w14:solidFill>
              <w14:schemeClr w14:val="tx1"/>
            </w14:solidFill>
          </w14:textFill>
        </w:rPr>
      </w:pPr>
      <w:bookmarkStart w:id="104" w:name="_Toc31622"/>
      <w:bookmarkStart w:id="105" w:name="_Toc3289"/>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（二）项目产出方面</w:t>
      </w:r>
      <w:bookmarkEnd w:id="104"/>
      <w:bookmarkEnd w:id="105"/>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1.加强项目成本控制，提高财政资金使用效果</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一是建议项目实施单位前期加强对设计方案的审核，从成本控制角度要求设计方出具2个及以上设计方案，提供建设材料、设施设备市场比价，实地走访勘察记录等佐证资料，充分验证设计科学性、成本合理性依据，避免因增加不必要的面积、高度而产生的成本浪费。对于景观设计方面的材料，在满足设计要求的基础上，保留实用性高、使用寿命长等特点，建议推广“就地取材”采购方式，优先采购本地库存充足的材料、设施设备等，减少不必要的高额运输成本。</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二是建议建立“三方协调”机制，项目业主单位与施工单位、设计单位组织协调沟通会，施工过程中充分了解设计方案中的建设材料、设施设备是否有更合适的替代品，做到“早发现、早调整，早控制”。同时可以鼓励和引导周边群众参与项目监督，对于反馈建议可行性高、成本控制有效的意见，采取一定措施整改，提高财政资金使用效果</w:t>
      </w: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w:t>
      </w:r>
    </w:p>
    <w:p>
      <w:pPr>
        <w:pStyle w:val="4"/>
        <w:spacing w:line="560" w:lineRule="exact"/>
        <w:ind w:left="0" w:firstLine="560" w:firstLineChars="200"/>
        <w:jc w:val="both"/>
        <w:rPr>
          <w:rFonts w:ascii="Times New Roman" w:hAnsi="Times New Roman"/>
          <w:color w:val="000000" w:themeColor="text1"/>
          <w:lang w:val="en-US"/>
          <w14:textFill>
            <w14:solidFill>
              <w14:schemeClr w14:val="tx1"/>
            </w14:solidFill>
          </w14:textFill>
        </w:rPr>
      </w:pPr>
      <w:bookmarkStart w:id="106" w:name="_Toc4422"/>
      <w:bookmarkStart w:id="107" w:name="_Toc30394"/>
      <w:r>
        <w:rPr>
          <w:rFonts w:hint="eastAsia" w:ascii="Times New Roman" w:hAnsi="Times New Roman" w:eastAsia="方正楷体_GBK" w:cs="Times New Roman"/>
          <w:b w:val="0"/>
          <w:color w:val="000000" w:themeColor="text1"/>
          <w:sz w:val="28"/>
          <w:szCs w:val="28"/>
          <w:lang w:val="en-US" w:bidi="ar-SA"/>
          <w14:textFill>
            <w14:solidFill>
              <w14:schemeClr w14:val="tx1"/>
            </w14:solidFill>
          </w14:textFill>
        </w:rPr>
        <w:t>（三）项目使用成效方面</w:t>
      </w:r>
      <w:bookmarkEnd w:id="106"/>
      <w:bookmarkEnd w:id="107"/>
    </w:p>
    <w:p>
      <w:pPr>
        <w:autoSpaceDE/>
        <w:autoSpaceDN/>
        <w:spacing w:line="560" w:lineRule="exact"/>
        <w:ind w:firstLine="560" w:firstLineChars="200"/>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1.进一步加强项目前期调研工作，加大后续管护力度</w:t>
      </w:r>
    </w:p>
    <w:p>
      <w:pPr>
        <w:autoSpaceDE/>
        <w:autoSpaceDN/>
        <w:spacing w:line="560" w:lineRule="exact"/>
        <w:ind w:firstLine="560" w:firstLineChars="2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一是建议项目主管部门制定项目“回头看”汇报制度，在竣工验收完成后，次年根据月、季度、半年汇报前3年项目后续管护情况，可提供实时照片、录像，打视频现场汇报等方式，掌握项目管护情况，对于管护力度不足的项目，实行限时整改；如果是质量问题未及时进行维护的，在签订施工合同时明确质量标准，收取一定保证金，确定质保时间，从源头控制项目质量问题。</w:t>
      </w:r>
    </w:p>
    <w:p>
      <w:pPr>
        <w:autoSpaceDE/>
        <w:autoSpaceDN/>
        <w:spacing w:line="560" w:lineRule="exact"/>
        <w:ind w:firstLine="560" w:firstLineChars="200"/>
        <w:jc w:val="both"/>
        <w:rPr>
          <w:rFonts w:ascii="Times New Roman" w:hAnsi="Times New Roman" w:eastAsia="方正仿宋_GBK" w:cs="方正仿宋_GBK"/>
          <w:color w:val="000000" w:themeColor="text1"/>
          <w:kern w:val="2"/>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二是建议项目主管部门加强项目入库管理，必要时采取专家论证、风险评估、绩效评估等方式，既要保证项目建设的可行性，又要实地调研周边生态、经济、社会、可持续效益是否合理，对于项目申报单位提供的绩效目标，应加大核实力度，避免数据虚化、不真实影响入库项目质量，去除“重建轻用”思维，以此提高项目持续有效运行能力</w:t>
      </w:r>
      <w:r>
        <w:rPr>
          <w:rFonts w:hint="eastAsia" w:ascii="Times New Roman" w:hAnsi="Times New Roman" w:eastAsia="方正仿宋_GBK" w:cs="方正仿宋_GBK"/>
          <w:color w:val="000000" w:themeColor="text1"/>
          <w:kern w:val="2"/>
          <w:sz w:val="28"/>
          <w:szCs w:val="28"/>
          <w:lang w:val="en-US" w:bidi="ar-SA"/>
          <w14:textFill>
            <w14:solidFill>
              <w14:schemeClr w14:val="tx1"/>
            </w14:solidFill>
          </w14:textFill>
        </w:rPr>
        <w:t>。</w:t>
      </w:r>
    </w:p>
    <w:p>
      <w:pPr>
        <w:pStyle w:val="3"/>
        <w:spacing w:before="0" w:line="600" w:lineRule="exact"/>
        <w:ind w:right="0" w:firstLine="560" w:firstLineChars="200"/>
        <w:rPr>
          <w:rFonts w:ascii="Times New Roman" w:hAnsi="Times New Roman" w:eastAsia="方正黑体_GBK"/>
          <w:color w:val="000000" w:themeColor="text1"/>
          <w:lang w:val="en-US"/>
          <w14:textFill>
            <w14:solidFill>
              <w14:schemeClr w14:val="tx1"/>
            </w14:solidFill>
          </w14:textFill>
        </w:rPr>
      </w:pPr>
      <w:bookmarkStart w:id="108" w:name="_Toc17534"/>
      <w:r>
        <w:rPr>
          <w:rFonts w:hint="eastAsia" w:ascii="Times New Roman" w:hAnsi="Times New Roman" w:eastAsia="方正黑体_GBK" w:cs="Times New Roman"/>
          <w:b w:val="0"/>
          <w:color w:val="000000" w:themeColor="text1"/>
          <w:sz w:val="28"/>
          <w:szCs w:val="28"/>
          <w:lang w:val="en-US" w:bidi="ar-SA"/>
          <w14:textFill>
            <w14:solidFill>
              <w14:schemeClr w14:val="tx1"/>
            </w14:solidFill>
          </w14:textFill>
        </w:rPr>
        <w:t>八、其他</w:t>
      </w:r>
      <w:bookmarkEnd w:id="108"/>
    </w:p>
    <w:p>
      <w:pPr>
        <w:autoSpaceDE/>
        <w:autoSpaceDN/>
        <w:spacing w:line="560" w:lineRule="exact"/>
        <w:ind w:firstLine="560" w:firstLineChars="200"/>
        <w:jc w:val="both"/>
        <w:rPr>
          <w:rFonts w:ascii="Times New Roman" w:hAnsi="Times New Roman" w:eastAsia="方正楷体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除本报告所反映的上述问题外，评价小组还注意到还有其他客观因素影响项目实施效果，建议给予适当关注：</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1.项目前期入库至财评时间耗时过长，几乎到当年6月才开始实施，一是产业项目在建设期间属于空置状态，错过了农作物播种最佳季节，农作物当年有一定的减产，可能影响当年业主、农户收入；二是开工时间较晚，为达到序时支付进度，难免出现赶工期导致的质量问题。</w:t>
      </w:r>
    </w:p>
    <w:p>
      <w:pPr>
        <w:autoSpaceDE/>
        <w:autoSpaceDN/>
        <w:spacing w:line="560" w:lineRule="exact"/>
        <w:ind w:firstLine="560" w:firstLineChars="200"/>
        <w:jc w:val="both"/>
        <w:rPr>
          <w:rFonts w:ascii="Times New Roman" w:hAnsi="Times New Roman" w:eastAsia="方正仿宋_GBK" w:cs="方正仿宋_GBK"/>
          <w:bCs/>
          <w:color w:val="000000" w:themeColor="text1"/>
          <w:sz w:val="28"/>
          <w:szCs w:val="28"/>
          <w:lang w:val="en-US" w:bidi="ar-SA"/>
          <w14:textFill>
            <w14:solidFill>
              <w14:schemeClr w14:val="tx1"/>
            </w14:solidFill>
          </w14:textFill>
        </w:rPr>
      </w:pPr>
      <w:r>
        <w:rPr>
          <w:rFonts w:hint="eastAsia" w:ascii="Times New Roman" w:hAnsi="Times New Roman" w:eastAsia="方正仿宋_GBK" w:cs="方正仿宋_GBK"/>
          <w:bCs/>
          <w:color w:val="000000" w:themeColor="text1"/>
          <w:sz w:val="28"/>
          <w:szCs w:val="28"/>
          <w:lang w:val="en-US" w:bidi="ar-SA"/>
          <w14:textFill>
            <w14:solidFill>
              <w14:schemeClr w14:val="tx1"/>
            </w14:solidFill>
          </w14:textFill>
        </w:rPr>
        <w:t>2.不同镇街之间缺乏项目成果信息共享，技术指导不到位，例如土地pH值改良，事前没有对肥料用量进行技术指导，事后没有检测pH酸碱值是否达标；蔬菜大棚搭建，河边镇没有共享八塘镇、七塘镇成熟的大棚使用技术，还处于落后摸索阶段，实用性不高。</w:t>
      </w:r>
    </w:p>
    <w:p>
      <w:pPr>
        <w:pStyle w:val="2"/>
        <w:rPr>
          <w:rFonts w:ascii="Times New Roman"/>
          <w:color w:val="000000" w:themeColor="text1"/>
          <w14:textFill>
            <w14:solidFill>
              <w14:schemeClr w14:val="tx1"/>
            </w14:solidFill>
          </w14:textFill>
        </w:rPr>
      </w:pPr>
    </w:p>
    <w:p>
      <w:pPr>
        <w:pStyle w:val="2"/>
        <w:rPr>
          <w:rFonts w:ascii="Times New Roman"/>
          <w:color w:val="000000" w:themeColor="text1"/>
          <w14:textFill>
            <w14:solidFill>
              <w14:schemeClr w14:val="tx1"/>
            </w14:solidFill>
          </w14:textFill>
        </w:rPr>
      </w:pPr>
    </w:p>
    <w:p>
      <w:pPr>
        <w:topLinePunct/>
        <w:autoSpaceDN/>
        <w:spacing w:line="600" w:lineRule="exact"/>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w:t>
      </w:r>
      <w:bookmarkEnd w:id="89"/>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w:t>
      </w:r>
      <w:bookmarkStart w:id="109" w:name="_Toc18169"/>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1.酉阳县2022年度衔接资金绩效评价指标体系</w:t>
      </w:r>
    </w:p>
    <w:p>
      <w:pPr>
        <w:topLinePunct/>
        <w:autoSpaceDN/>
        <w:spacing w:line="600" w:lineRule="exact"/>
        <w:ind w:left="1756" w:leftChars="671" w:hanging="280" w:hangingChars="1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2.酉阳县2022年度衔接资金绩效评价指标得分与扣分明细表</w:t>
      </w:r>
    </w:p>
    <w:p>
      <w:pPr>
        <w:topLinePunct/>
        <w:autoSpaceDN/>
        <w:spacing w:line="600" w:lineRule="exact"/>
        <w:ind w:left="1756" w:leftChars="671" w:hanging="280" w:hangingChars="1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3.酉阳县2022年度衔接资金绩效评价调查问卷</w:t>
      </w:r>
    </w:p>
    <w:p>
      <w:pPr>
        <w:topLinePunct/>
        <w:autoSpaceDN/>
        <w:spacing w:line="600" w:lineRule="exact"/>
        <w:ind w:left="1756" w:leftChars="671" w:hanging="280" w:hangingChars="100"/>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4.飞如（重庆）企业管理咨询有限公司营业执照复印件</w:t>
      </w:r>
    </w:p>
    <w:p>
      <w:pPr>
        <w:topLinePunct/>
        <w:autoSpaceDN/>
        <w:spacing w:line="600" w:lineRule="exact"/>
        <w:ind w:firstLine="1600" w:firstLineChars="500"/>
        <w:jc w:val="both"/>
        <w:rPr>
          <w:rFonts w:ascii="Times New Roman" w:hAnsi="Times New Roman"/>
          <w:color w:val="000000" w:themeColor="text1"/>
          <w:sz w:val="32"/>
          <w14:textFill>
            <w14:solidFill>
              <w14:schemeClr w14:val="tx1"/>
            </w14:solidFill>
          </w14:textFill>
        </w:rPr>
      </w:pPr>
    </w:p>
    <w:p>
      <w:pPr>
        <w:rPr>
          <w:rFonts w:ascii="Times New Roman" w:hAnsi="Times New Roman"/>
          <w:color w:val="000000" w:themeColor="text1"/>
          <w:lang w:val="en-US"/>
          <w14:textFill>
            <w14:solidFill>
              <w14:schemeClr w14:val="tx1"/>
            </w14:solidFill>
          </w14:textFill>
        </w:rPr>
      </w:pPr>
      <w:r>
        <w:rPr>
          <w:rFonts w:ascii="Times New Roman" w:hAnsi="Times New Roman"/>
          <w:color w:val="000000" w:themeColor="text1"/>
          <w:sz w:val="32"/>
          <w:lang w:val="en-US" w:bidi="ar-SA"/>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293370</wp:posOffset>
                </wp:positionH>
                <wp:positionV relativeFrom="paragraph">
                  <wp:posOffset>130810</wp:posOffset>
                </wp:positionV>
                <wp:extent cx="2718435" cy="1167130"/>
                <wp:effectExtent l="0" t="0" r="5715" b="13970"/>
                <wp:wrapNone/>
                <wp:docPr id="13" name="文本框 13"/>
                <wp:cNvGraphicFramePr/>
                <a:graphic xmlns:a="http://schemas.openxmlformats.org/drawingml/2006/main">
                  <a:graphicData uri="http://schemas.microsoft.com/office/word/2010/wordprocessingShape">
                    <wps:wsp>
                      <wps:cNvSpPr txBox="1"/>
                      <wps:spPr>
                        <a:xfrm>
                          <a:off x="0" y="0"/>
                          <a:ext cx="2718435" cy="11671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ascii="Times New Roman" w:hAnsi="Times New Roman" w:eastAsia="方正仿宋_GBK" w:cs="方正仿宋_GBK"/>
                                <w:bCs/>
                                <w:sz w:val="28"/>
                                <w:szCs w:val="28"/>
                                <w:lang w:val="en-US" w:bidi="ar-SA"/>
                              </w:rPr>
                            </w:pPr>
                            <w:r>
                              <w:rPr>
                                <w:rFonts w:hint="eastAsia" w:ascii="Times New Roman" w:hAnsi="Times New Roman" w:eastAsia="方正仿宋_GBK" w:cs="方正仿宋_GBK"/>
                                <w:bCs/>
                                <w:sz w:val="28"/>
                                <w:szCs w:val="28"/>
                                <w:lang w:val="en-US" w:bidi="ar-SA"/>
                              </w:rPr>
                              <w:t>飞如（重庆）企业管理</w:t>
                            </w:r>
                          </w:p>
                          <w:p>
                            <w:pPr>
                              <w:jc w:val="center"/>
                              <w:rPr>
                                <w:rFonts w:ascii="Times New Roman" w:hAnsi="Times New Roman" w:eastAsia="方正仿宋_GBK" w:cs="方正仿宋_GBK"/>
                                <w:bCs/>
                                <w:sz w:val="28"/>
                                <w:szCs w:val="28"/>
                                <w:lang w:val="en-US" w:bidi="ar-SA"/>
                              </w:rPr>
                            </w:pPr>
                            <w:r>
                              <w:rPr>
                                <w:rFonts w:hint="eastAsia" w:ascii="Times New Roman" w:hAnsi="Times New Roman" w:eastAsia="方正仿宋_GBK" w:cs="方正仿宋_GBK"/>
                                <w:bCs/>
                                <w:sz w:val="28"/>
                                <w:szCs w:val="28"/>
                                <w:lang w:val="en-US" w:bidi="ar-SA"/>
                              </w:rPr>
                              <w:t>咨询有限公司</w:t>
                            </w:r>
                          </w:p>
                          <w:p>
                            <w:pPr>
                              <w:pStyle w:val="2"/>
                              <w:rPr>
                                <w:sz w:val="28"/>
                                <w:szCs w:val="28"/>
                              </w:rPr>
                            </w:pPr>
                          </w:p>
                          <w:p>
                            <w:pPr>
                              <w:jc w:val="center"/>
                              <w:rPr>
                                <w:sz w:val="28"/>
                                <w:szCs w:val="28"/>
                              </w:rPr>
                            </w:pPr>
                            <w:r>
                              <w:rPr>
                                <w:rFonts w:hint="eastAsia" w:ascii="Times New Roman" w:hAnsi="Times New Roman" w:eastAsia="方正仿宋_GBK" w:cs="方正仿宋_GBK"/>
                                <w:bCs/>
                                <w:sz w:val="28"/>
                                <w:szCs w:val="28"/>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28"/>
                                <w:szCs w:val="28"/>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1pt;margin-top:10.3pt;height:91.9pt;width:214.05pt;z-index:251660288;mso-width-relative:page;mso-height-relative:page;" fillcolor="#FFFFFF [3201]" filled="t" stroked="f" coordsize="21600,21600" o:gfxdata="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SHhoLUAAAACQEAAA8A&#10;AAAAAAAAAQAgAAAAIgAAAGRycy9kb3ducmV2LnhtbFBLAQIUABQAAAAIAIdO4kAVUl09VAIAAJIE&#10;AAAOAAAAAAAAAAEAIAAAACMBAABkcnMvZTJvRG9jLnhtbFBLBQYAAAAABgAGAFkBAADpBQAAAAA=&#10;">
                <v:fill on="t" focussize="0,0"/>
                <v:stroke on="f" weight="0.5pt"/>
                <v:imagedata o:title=""/>
                <o:lock v:ext="edit" aspectratio="f"/>
                <v:textbox>
                  <w:txbxContent>
                    <w:p>
                      <w:pPr>
                        <w:jc w:val="center"/>
                        <w:rPr>
                          <w:rFonts w:ascii="Times New Roman" w:hAnsi="Times New Roman" w:eastAsia="方正仿宋_GBK" w:cs="方正仿宋_GBK"/>
                          <w:bCs/>
                          <w:sz w:val="28"/>
                          <w:szCs w:val="28"/>
                          <w:lang w:val="en-US" w:bidi="ar-SA"/>
                        </w:rPr>
                      </w:pPr>
                      <w:r>
                        <w:rPr>
                          <w:rFonts w:hint="eastAsia" w:ascii="Times New Roman" w:hAnsi="Times New Roman" w:eastAsia="方正仿宋_GBK" w:cs="方正仿宋_GBK"/>
                          <w:bCs/>
                          <w:sz w:val="28"/>
                          <w:szCs w:val="28"/>
                          <w:lang w:val="en-US" w:bidi="ar-SA"/>
                        </w:rPr>
                        <w:t>飞如（重庆）企业管理</w:t>
                      </w:r>
                    </w:p>
                    <w:p>
                      <w:pPr>
                        <w:jc w:val="center"/>
                        <w:rPr>
                          <w:rFonts w:ascii="Times New Roman" w:hAnsi="Times New Roman" w:eastAsia="方正仿宋_GBK" w:cs="方正仿宋_GBK"/>
                          <w:bCs/>
                          <w:sz w:val="28"/>
                          <w:szCs w:val="28"/>
                          <w:lang w:val="en-US" w:bidi="ar-SA"/>
                        </w:rPr>
                      </w:pPr>
                      <w:r>
                        <w:rPr>
                          <w:rFonts w:hint="eastAsia" w:ascii="Times New Roman" w:hAnsi="Times New Roman" w:eastAsia="方正仿宋_GBK" w:cs="方正仿宋_GBK"/>
                          <w:bCs/>
                          <w:sz w:val="28"/>
                          <w:szCs w:val="28"/>
                          <w:lang w:val="en-US" w:bidi="ar-SA"/>
                        </w:rPr>
                        <w:t>咨询有限公司</w:t>
                      </w:r>
                    </w:p>
                    <w:p>
                      <w:pPr>
                        <w:pStyle w:val="2"/>
                        <w:rPr>
                          <w:sz w:val="28"/>
                          <w:szCs w:val="28"/>
                        </w:rPr>
                      </w:pPr>
                    </w:p>
                    <w:p>
                      <w:pPr>
                        <w:jc w:val="center"/>
                        <w:rPr>
                          <w:sz w:val="28"/>
                          <w:szCs w:val="28"/>
                        </w:rPr>
                      </w:pPr>
                      <w:r>
                        <w:rPr>
                          <w:rFonts w:hint="eastAsia" w:ascii="Times New Roman" w:hAnsi="Times New Roman" w:eastAsia="方正仿宋_GBK" w:cs="方正仿宋_GBK"/>
                          <w:bCs/>
                          <w:sz w:val="28"/>
                          <w:szCs w:val="28"/>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28"/>
                          <w:szCs w:val="28"/>
                          <w:lang w:val="en-US" w:bidi="ar-SA"/>
                        </w:rPr>
                        <w:t>重庆市</w:t>
                      </w:r>
                    </w:p>
                  </w:txbxContent>
                </v:textbox>
              </v:shape>
            </w:pict>
          </mc:Fallback>
        </mc:AlternateContent>
      </w:r>
    </w:p>
    <w:p>
      <w:pPr>
        <w:rPr>
          <w:rFonts w:ascii="Times New Roman" w:hAnsi="Times New Roman"/>
          <w:color w:val="000000" w:themeColor="text1"/>
          <w:lang w:val="en-US"/>
          <w14:textFill>
            <w14:solidFill>
              <w14:schemeClr w14:val="tx1"/>
            </w14:solidFill>
          </w14:textFill>
        </w:rPr>
      </w:pPr>
      <w:r>
        <w:rPr>
          <w:rFonts w:ascii="Times New Roman" w:hAnsi="Times New Roman"/>
          <w:color w:val="000000" w:themeColor="text1"/>
          <w:sz w:val="32"/>
          <w:lang w:val="en-US" w:bidi="ar-SA"/>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3049905</wp:posOffset>
                </wp:positionH>
                <wp:positionV relativeFrom="paragraph">
                  <wp:posOffset>-34290</wp:posOffset>
                </wp:positionV>
                <wp:extent cx="2444115" cy="1099820"/>
                <wp:effectExtent l="0" t="0" r="13335" b="5080"/>
                <wp:wrapNone/>
                <wp:docPr id="12" name="文本框 12"/>
                <wp:cNvGraphicFramePr/>
                <a:graphic xmlns:a="http://schemas.openxmlformats.org/drawingml/2006/main">
                  <a:graphicData uri="http://schemas.microsoft.com/office/word/2010/wordprocessingShape">
                    <wps:wsp>
                      <wps:cNvSpPr txBox="1"/>
                      <wps:spPr>
                        <a:xfrm>
                          <a:off x="0" y="0"/>
                          <a:ext cx="2444115" cy="10998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ascii="Times New Roman" w:eastAsia="方正仿宋_GBK" w:cs="方正仿宋_GBK"/>
                                <w:bCs/>
                                <w:color w:val="auto"/>
                                <w:sz w:val="28"/>
                                <w:szCs w:val="28"/>
                              </w:rPr>
                            </w:pPr>
                          </w:p>
                          <w:p>
                            <w:pPr>
                              <w:pStyle w:val="2"/>
                              <w:rPr>
                                <w:rFonts w:ascii="Times New Roman" w:eastAsia="方正仿宋_GBK" w:cs="方正仿宋_GBK"/>
                                <w:bCs/>
                                <w:color w:val="000000" w:themeColor="text1"/>
                                <w:sz w:val="28"/>
                                <w:szCs w:val="28"/>
                                <w14:textFill>
                                  <w14:solidFill>
                                    <w14:schemeClr w14:val="tx1"/>
                                  </w14:solidFill>
                                </w14:textFill>
                              </w:rPr>
                            </w:pPr>
                            <w:r>
                              <w:rPr>
                                <w:rFonts w:hint="eastAsia" w:ascii="Times New Roman" w:eastAsia="方正仿宋_GBK" w:cs="方正仿宋_GBK"/>
                                <w:bCs/>
                                <w:color w:val="000000" w:themeColor="text1"/>
                                <w:sz w:val="28"/>
                                <w:szCs w:val="28"/>
                                <w14:textFill>
                                  <w14:solidFill>
                                    <w14:schemeClr w14:val="tx1"/>
                                  </w14:solidFill>
                                </w14:textFill>
                              </w:rPr>
                              <w:t>副   教   授 ：</w:t>
                            </w:r>
                          </w:p>
                          <w:p>
                            <w:pPr>
                              <w:pStyle w:val="2"/>
                              <w:rPr>
                                <w:rFonts w:ascii="Times New Roman" w:eastAsia="方正仿宋_GBK" w:cs="方正仿宋_GBK"/>
                                <w:bCs/>
                                <w:color w:val="000000" w:themeColor="text1"/>
                                <w:sz w:val="28"/>
                                <w:szCs w:val="28"/>
                                <w14:textFill>
                                  <w14:solidFill>
                                    <w14:schemeClr w14:val="tx1"/>
                                  </w14:solidFill>
                                </w14:textFill>
                              </w:rPr>
                            </w:pPr>
                          </w:p>
                          <w:p>
                            <w:pPr>
                              <w:pStyle w:val="2"/>
                              <w:rPr>
                                <w:rFonts w:ascii="Times New Roman" w:eastAsia="方正仿宋_GBK" w:cs="方正仿宋_GBK"/>
                                <w:bCs/>
                                <w:color w:val="000000" w:themeColor="text1"/>
                                <w:sz w:val="28"/>
                                <w:szCs w:val="28"/>
                                <w14:textFill>
                                  <w14:solidFill>
                                    <w14:schemeClr w14:val="tx1"/>
                                  </w14:solidFill>
                                </w14:textFill>
                              </w:rPr>
                            </w:pPr>
                            <w:r>
                              <w:rPr>
                                <w:rFonts w:hint="eastAsia" w:ascii="Times New Roman" w:eastAsia="方正仿宋_GBK" w:cs="方正仿宋_GBK"/>
                                <w:bCs/>
                                <w:color w:val="000000" w:themeColor="text1"/>
                                <w:sz w:val="28"/>
                                <w:szCs w:val="28"/>
                                <w14:textFill>
                                  <w14:solidFill>
                                    <w14:schemeClr w14:val="tx1"/>
                                  </w14:solidFill>
                                </w14:textFill>
                              </w:rPr>
                              <w:t>高级会计师：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0.15pt;margin-top:-2.7pt;height:86.6pt;width:192.45pt;z-index:251661312;mso-width-relative:page;mso-height-relative:page;" fillcolor="#FFFFFF [3201]" filled="t" stroked="f" coordsize="21600,21600" o:gfxdata="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GBdYl9YAAAAKAQAA&#10;DwAAAAAAAAABACAAAAAiAAAAZHJzL2Rvd25yZXYueG1sUEsBAhQAFAAAAAgAh07iQMU58iNUAgAA&#10;kgQAAA4AAAAAAAAAAQAgAAAAJQEAAGRycy9lMm9Eb2MueG1sUEsFBgAAAAAGAAYAWQEAAOsFAAAA&#10;AA==&#10;">
                <v:fill on="t" focussize="0,0"/>
                <v:stroke on="f" weight="0.5pt"/>
                <v:imagedata o:title=""/>
                <o:lock v:ext="edit" aspectratio="f"/>
                <v:textbox>
                  <w:txbxContent>
                    <w:p>
                      <w:pPr>
                        <w:pStyle w:val="2"/>
                        <w:rPr>
                          <w:rFonts w:ascii="Times New Roman" w:eastAsia="方正仿宋_GBK" w:cs="方正仿宋_GBK"/>
                          <w:bCs/>
                          <w:color w:val="auto"/>
                          <w:sz w:val="28"/>
                          <w:szCs w:val="28"/>
                        </w:rPr>
                      </w:pPr>
                    </w:p>
                    <w:p>
                      <w:pPr>
                        <w:pStyle w:val="2"/>
                        <w:rPr>
                          <w:rFonts w:ascii="Times New Roman" w:eastAsia="方正仿宋_GBK" w:cs="方正仿宋_GBK"/>
                          <w:bCs/>
                          <w:color w:val="000000" w:themeColor="text1"/>
                          <w:sz w:val="28"/>
                          <w:szCs w:val="28"/>
                          <w14:textFill>
                            <w14:solidFill>
                              <w14:schemeClr w14:val="tx1"/>
                            </w14:solidFill>
                          </w14:textFill>
                        </w:rPr>
                      </w:pPr>
                      <w:r>
                        <w:rPr>
                          <w:rFonts w:hint="eastAsia" w:ascii="Times New Roman" w:eastAsia="方正仿宋_GBK" w:cs="方正仿宋_GBK"/>
                          <w:bCs/>
                          <w:color w:val="000000" w:themeColor="text1"/>
                          <w:sz w:val="28"/>
                          <w:szCs w:val="28"/>
                          <w14:textFill>
                            <w14:solidFill>
                              <w14:schemeClr w14:val="tx1"/>
                            </w14:solidFill>
                          </w14:textFill>
                        </w:rPr>
                        <w:t>副   教   授 ：</w:t>
                      </w:r>
                    </w:p>
                    <w:p>
                      <w:pPr>
                        <w:pStyle w:val="2"/>
                        <w:rPr>
                          <w:rFonts w:ascii="Times New Roman" w:eastAsia="方正仿宋_GBK" w:cs="方正仿宋_GBK"/>
                          <w:bCs/>
                          <w:color w:val="000000" w:themeColor="text1"/>
                          <w:sz w:val="28"/>
                          <w:szCs w:val="28"/>
                          <w14:textFill>
                            <w14:solidFill>
                              <w14:schemeClr w14:val="tx1"/>
                            </w14:solidFill>
                          </w14:textFill>
                        </w:rPr>
                      </w:pPr>
                    </w:p>
                    <w:p>
                      <w:pPr>
                        <w:pStyle w:val="2"/>
                        <w:rPr>
                          <w:rFonts w:ascii="Times New Roman" w:eastAsia="方正仿宋_GBK" w:cs="方正仿宋_GBK"/>
                          <w:bCs/>
                          <w:color w:val="000000" w:themeColor="text1"/>
                          <w:sz w:val="28"/>
                          <w:szCs w:val="28"/>
                          <w14:textFill>
                            <w14:solidFill>
                              <w14:schemeClr w14:val="tx1"/>
                            </w14:solidFill>
                          </w14:textFill>
                        </w:rPr>
                      </w:pPr>
                      <w:r>
                        <w:rPr>
                          <w:rFonts w:hint="eastAsia" w:ascii="Times New Roman" w:eastAsia="方正仿宋_GBK" w:cs="方正仿宋_GBK"/>
                          <w:bCs/>
                          <w:color w:val="000000" w:themeColor="text1"/>
                          <w:sz w:val="28"/>
                          <w:szCs w:val="28"/>
                          <w14:textFill>
                            <w14:solidFill>
                              <w14:schemeClr w14:val="tx1"/>
                            </w14:solidFill>
                          </w14:textFill>
                        </w:rPr>
                        <w:t>高级会计师：</w:t>
                      </w:r>
                    </w:p>
                  </w:txbxContent>
                </v:textbox>
              </v:shape>
            </w:pict>
          </mc:Fallback>
        </mc:AlternateContent>
      </w:r>
    </w:p>
    <w:p>
      <w:pPr>
        <w:rPr>
          <w:rFonts w:ascii="Times New Roman" w:hAnsi="Times New Roman"/>
          <w:color w:val="000000" w:themeColor="text1"/>
          <w:lang w:val="en-US"/>
          <w14:textFill>
            <w14:solidFill>
              <w14:schemeClr w14:val="tx1"/>
            </w14:solidFill>
          </w14:textFill>
        </w:rPr>
      </w:pPr>
    </w:p>
    <w:p>
      <w:pPr>
        <w:rPr>
          <w:rFonts w:ascii="Times New Roman" w:hAnsi="Times New Roman"/>
          <w:color w:val="000000" w:themeColor="text1"/>
          <w:lang w:val="en-US"/>
          <w14:textFill>
            <w14:solidFill>
              <w14:schemeClr w14:val="tx1"/>
            </w14:solidFill>
          </w14:textFill>
        </w:rPr>
      </w:pPr>
    </w:p>
    <w:p>
      <w:pPr>
        <w:rPr>
          <w:rFonts w:ascii="Times New Roman" w:hAnsi="Times New Roman" w:eastAsia="方正仿宋_GBK" w:cs="Times New Roman"/>
          <w:bCs/>
          <w:color w:val="000000" w:themeColor="text1"/>
          <w:sz w:val="28"/>
          <w:szCs w:val="28"/>
          <w:lang w:val="en-US" w:bidi="ar-SA"/>
          <w14:textFill>
            <w14:solidFill>
              <w14:schemeClr w14:val="tx1"/>
            </w14:solidFill>
          </w14:textFill>
        </w:rPr>
        <w:sectPr>
          <w:footerReference r:id="rId4" w:type="default"/>
          <w:pgSz w:w="11911" w:h="16838"/>
          <w:pgMar w:top="2098" w:right="1474" w:bottom="1984" w:left="1587" w:header="0" w:footer="1196" w:gutter="0"/>
          <w:cols w:space="0" w:num="1"/>
        </w:sectPr>
      </w:pPr>
    </w:p>
    <w:bookmarkEnd w:id="109"/>
    <w:p>
      <w:pPr>
        <w:topLinePunct/>
        <w:autoSpaceDN/>
        <w:spacing w:line="600" w:lineRule="exact"/>
        <w:jc w:val="both"/>
        <w:rPr>
          <w:rFonts w:ascii="Times New Roman" w:hAnsi="Times New Roman" w:eastAsia="方正仿宋_GBK" w:cs="Times New Roman"/>
          <w:b/>
          <w:color w:val="000000" w:themeColor="text1"/>
          <w:sz w:val="28"/>
          <w:szCs w:val="28"/>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附件1：</w:t>
      </w:r>
    </w:p>
    <w:p>
      <w:pPr>
        <w:pStyle w:val="2"/>
        <w:rPr>
          <w:rFonts w:ascii="Times New Roman"/>
          <w:color w:val="000000" w:themeColor="text1"/>
          <w14:textFill>
            <w14:solidFill>
              <w14:schemeClr w14:val="tx1"/>
            </w14:solidFill>
          </w14:textFill>
        </w:rPr>
      </w:pPr>
    </w:p>
    <w:p>
      <w:pPr>
        <w:pStyle w:val="2"/>
        <w:spacing w:after="120" w:afterLines="50"/>
        <w:jc w:val="center"/>
        <w:rPr>
          <w:rFonts w:ascii="Times New Roman" w:eastAsia="方正小标宋_GBK" w:cs="Times New Roman"/>
          <w:bCs/>
          <w:color w:val="000000" w:themeColor="text1"/>
          <w:sz w:val="32"/>
          <w:szCs w:val="32"/>
          <w14:textFill>
            <w14:solidFill>
              <w14:schemeClr w14:val="tx1"/>
            </w14:solidFill>
          </w14:textFill>
        </w:rPr>
      </w:pPr>
      <w:r>
        <w:rPr>
          <w:rFonts w:hint="eastAsia" w:ascii="Times New Roman" w:eastAsia="方正小标宋_GBK" w:cs="Times New Roman"/>
          <w:bCs/>
          <w:color w:val="000000" w:themeColor="text1"/>
          <w:sz w:val="32"/>
          <w:szCs w:val="32"/>
          <w14:textFill>
            <w14:solidFill>
              <w14:schemeClr w14:val="tx1"/>
            </w14:solidFill>
          </w14:textFill>
        </w:rPr>
        <w:t>酉阳县青华林场信息化管理系统建设项目2022年度</w:t>
      </w:r>
    </w:p>
    <w:p>
      <w:pPr>
        <w:pStyle w:val="2"/>
        <w:spacing w:after="120" w:afterLines="50"/>
        <w:jc w:val="center"/>
        <w:rPr>
          <w:rFonts w:ascii="Times New Roman" w:eastAsia="方正小标宋_GBK" w:cs="Times New Roman"/>
          <w:bCs/>
          <w:color w:val="000000" w:themeColor="text1"/>
          <w:sz w:val="32"/>
          <w:szCs w:val="32"/>
          <w14:textFill>
            <w14:solidFill>
              <w14:schemeClr w14:val="tx1"/>
            </w14:solidFill>
          </w14:textFill>
        </w:rPr>
      </w:pPr>
      <w:r>
        <w:rPr>
          <w:rFonts w:hint="eastAsia" w:ascii="Times New Roman" w:eastAsia="方正小标宋_GBK" w:cs="Times New Roman"/>
          <w:bCs/>
          <w:color w:val="000000" w:themeColor="text1"/>
          <w:sz w:val="32"/>
          <w:szCs w:val="32"/>
          <w14:textFill>
            <w14:solidFill>
              <w14:schemeClr w14:val="tx1"/>
            </w14:solidFill>
          </w14:textFill>
        </w:rPr>
        <w:t>衔接资金绩效评价指标体系</w:t>
      </w:r>
    </w:p>
    <w:p>
      <w:pPr>
        <w:pStyle w:val="2"/>
        <w:rPr>
          <w:rFonts w:ascii="Times New Roman" w:eastAsia="方正小标宋_GBK" w:cs="Times New Roman"/>
          <w:bCs/>
          <w:color w:val="000000" w:themeColor="text1"/>
          <w:sz w:val="32"/>
          <w:szCs w:val="32"/>
          <w14:textFill>
            <w14:solidFill>
              <w14:schemeClr w14:val="tx1"/>
            </w14:solidFill>
          </w14:textFill>
        </w:rPr>
      </w:pPr>
    </w:p>
    <w:tbl>
      <w:tblPr>
        <w:tblStyle w:val="14"/>
        <w:tblW w:w="4874" w:type="pct"/>
        <w:jc w:val="center"/>
        <w:tblLayout w:type="fixed"/>
        <w:tblCellMar>
          <w:top w:w="0" w:type="dxa"/>
          <w:left w:w="108" w:type="dxa"/>
          <w:bottom w:w="0" w:type="dxa"/>
          <w:right w:w="108" w:type="dxa"/>
        </w:tblCellMar>
      </w:tblPr>
      <w:tblGrid>
        <w:gridCol w:w="882"/>
        <w:gridCol w:w="1088"/>
        <w:gridCol w:w="700"/>
        <w:gridCol w:w="5088"/>
        <w:gridCol w:w="1926"/>
        <w:gridCol w:w="729"/>
      </w:tblGrid>
      <w:tr>
        <w:tblPrEx>
          <w:tblCellMar>
            <w:top w:w="0" w:type="dxa"/>
            <w:left w:w="108" w:type="dxa"/>
            <w:bottom w:w="0" w:type="dxa"/>
            <w:right w:w="108" w:type="dxa"/>
          </w:tblCellMar>
        </w:tblPrEx>
        <w:trPr>
          <w:trHeight w:val="72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序号</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指标满分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指标评价值及得分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数据来源</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是否核心指标</w:t>
            </w:r>
          </w:p>
        </w:tc>
      </w:tr>
      <w:tr>
        <w:tblPrEx>
          <w:tblCellMar>
            <w:top w:w="0" w:type="dxa"/>
            <w:left w:w="108" w:type="dxa"/>
            <w:bottom w:w="0" w:type="dxa"/>
            <w:right w:w="108" w:type="dxa"/>
          </w:tblCellMar>
        </w:tblPrEx>
        <w:trPr>
          <w:trHeight w:val="420" w:hRule="atLeast"/>
          <w:jc w:val="center"/>
        </w:trPr>
        <w:tc>
          <w:tcPr>
            <w:tcW w:w="9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合计</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100</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基础分100分（调整指标最高加5分，最高减35分）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宋体"/>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79"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（一）</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资金投入</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15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主要评价县级财政资金投入和安排情况</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宋体"/>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02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县本级预算安排财政衔接资金投入</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县本级预算安排的衔接资金增幅≥0，得满分；否则得0分。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防返贫监测信息系统，自评材料，资金文件，抽查评价及考核结果等。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2</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资金分解下达进度</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主要评价分解下达当年资金及次年提前批资金。在收到市财政下达预算文件之日起，下达资金项目计划的时长，≤30日得5分，超过60日不得分，30-60日按比例得分。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防返贫监测信息系统，预算一体化系统，资金文件等。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3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3</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中央财政衔接资金用于产业比例</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1.2022年度，中央财政衔接资金用于产业的比例≥55%，达到比例的得</w:t>
            </w:r>
            <w:r>
              <w:rPr>
                <w:rFonts w:hint="eastAsia" w:ascii="Times New Roman" w:hAnsi="Times New Roman" w:cs="宋体"/>
                <w:color w:val="000000" w:themeColor="text1"/>
                <w:sz w:val="21"/>
                <w:szCs w:val="21"/>
                <w:lang w:val="en-US" w:bidi="ar"/>
                <w14:textFill>
                  <w14:solidFill>
                    <w14:schemeClr w14:val="tx1"/>
                  </w14:solidFill>
                </w14:textFill>
              </w:rPr>
              <w:t>3</w:t>
            </w:r>
            <w:r>
              <w:rPr>
                <w:rFonts w:hint="eastAsia" w:ascii="Times New Roman" w:hAnsi="Times New Roman" w:eastAsia="宋体" w:cs="宋体"/>
                <w:color w:val="000000" w:themeColor="text1"/>
                <w:sz w:val="21"/>
                <w:szCs w:val="21"/>
                <w:lang w:val="en-US" w:bidi="ar"/>
                <w14:textFill>
                  <w14:solidFill>
                    <w14:schemeClr w14:val="tx1"/>
                  </w14:solidFill>
                </w14:textFill>
              </w:rPr>
              <w:t>分，否则按每低于考核比例1个百分点扣1分进行扣减，扣完为止。</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2.中央财政衔接资金用于产业的比例不低于上年度比例，得2分，否则得0分</w:t>
            </w:r>
            <w:r>
              <w:rPr>
                <w:rStyle w:val="42"/>
                <w:rFonts w:hint="default" w:ascii="Times New Roman" w:hAnsi="Times New Roman"/>
                <w:color w:val="000000" w:themeColor="text1"/>
                <w:sz w:val="21"/>
                <w:szCs w:val="21"/>
                <w:lang w:val="en-US" w:bidi="ar"/>
                <w14:textFill>
                  <w14:solidFill>
                    <w14:schemeClr w14:val="tx1"/>
                  </w14:solidFill>
                </w14:textFill>
              </w:rPr>
              <w:t>。</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54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（二）</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项目管理</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35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主要评价及考核项目管理责任落实情况</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ascii="Times New Roman" w:hAnsi="Times New Roman" w:eastAsia="宋体" w:cs="宋体"/>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96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4</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项目库建设管理情况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10</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1.项目入库是否及时充分、程序是否规范、内容是否完整，4分；</w:t>
            </w:r>
          </w:p>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2.入库项目是否具备实施条件，</w:t>
            </w:r>
            <w:r>
              <w:rPr>
                <w:rFonts w:hint="eastAsia" w:ascii="Times New Roman" w:hAnsi="Times New Roman" w:cs="宋体"/>
                <w:color w:val="000000" w:themeColor="text1"/>
                <w:sz w:val="21"/>
                <w:szCs w:val="21"/>
                <w:lang w:val="en-US" w:bidi="ar"/>
                <w14:textFill>
                  <w14:solidFill>
                    <w14:schemeClr w14:val="tx1"/>
                  </w14:solidFill>
                </w14:textFill>
              </w:rPr>
              <w:t>4</w:t>
            </w:r>
            <w:r>
              <w:rPr>
                <w:rFonts w:hint="eastAsia" w:ascii="Times New Roman" w:hAnsi="Times New Roman" w:eastAsia="宋体" w:cs="宋体"/>
                <w:color w:val="000000" w:themeColor="text1"/>
                <w:sz w:val="21"/>
                <w:szCs w:val="21"/>
                <w:lang w:val="en-US" w:bidi="ar"/>
                <w14:textFill>
                  <w14:solidFill>
                    <w14:schemeClr w14:val="tx1"/>
                  </w14:solidFill>
                </w14:textFill>
              </w:rPr>
              <w:t>分；</w:t>
            </w:r>
          </w:p>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3.衔接资金是否用于项目库之外的项目，2分。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核心</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指标</w:t>
            </w:r>
          </w:p>
        </w:tc>
      </w:tr>
      <w:tr>
        <w:tblPrEx>
          <w:tblCellMar>
            <w:top w:w="0" w:type="dxa"/>
            <w:left w:w="108" w:type="dxa"/>
            <w:bottom w:w="0" w:type="dxa"/>
            <w:right w:w="108" w:type="dxa"/>
          </w:tblCellMar>
        </w:tblPrEx>
        <w:trPr>
          <w:trHeight w:val="859"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项目绩效管理情况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8</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考核具体项目实施方案明确绩效目标情况、开展跟踪监督情况、事后评价情况等。</w:t>
            </w:r>
          </w:p>
          <w:p>
            <w:pPr>
              <w:pStyle w:val="2"/>
              <w:rPr>
                <w:rFonts w:ascii="Times New Roman" w:eastAsia="宋体" w:cs="宋体"/>
                <w:color w:val="000000" w:themeColor="text1"/>
                <w:sz w:val="21"/>
                <w:szCs w:val="21"/>
                <w:lang w:bidi="ar"/>
                <w14:textFill>
                  <w14:solidFill>
                    <w14:schemeClr w14:val="tx1"/>
                  </w14:solidFill>
                </w14:textFill>
              </w:rPr>
            </w:pPr>
            <w:r>
              <w:rPr>
                <w:rFonts w:hint="eastAsia" w:ascii="Times New Roman" w:eastAsia="宋体" w:cs="宋体"/>
                <w:color w:val="000000" w:themeColor="text1"/>
                <w:sz w:val="21"/>
                <w:szCs w:val="21"/>
                <w:lang w:bidi="ar"/>
                <w14:textFill>
                  <w14:solidFill>
                    <w14:schemeClr w14:val="tx1"/>
                  </w14:solidFill>
                </w14:textFill>
              </w:rPr>
              <w:t>1.绩效管理资料完整，即项目绩效申报表、绩效运行监控表、绩效自评表及自评报告完整，4分；</w:t>
            </w:r>
          </w:p>
          <w:p>
            <w:pPr>
              <w:pStyle w:val="2"/>
              <w:rPr>
                <w:rFonts w:ascii="Times New Roman" w:eastAsia="宋体" w:cs="宋体"/>
                <w:color w:val="000000" w:themeColor="text1"/>
                <w:sz w:val="21"/>
                <w:szCs w:val="21"/>
                <w:lang w:bidi="ar"/>
                <w14:textFill>
                  <w14:solidFill>
                    <w14:schemeClr w14:val="tx1"/>
                  </w14:solidFill>
                </w14:textFill>
              </w:rPr>
            </w:pPr>
            <w:r>
              <w:rPr>
                <w:rFonts w:hint="eastAsia" w:ascii="Times New Roman" w:eastAsia="宋体" w:cs="宋体"/>
                <w:color w:val="000000" w:themeColor="text1"/>
                <w:sz w:val="21"/>
                <w:szCs w:val="21"/>
                <w:lang w:bidi="ar"/>
                <w14:textFill>
                  <w14:solidFill>
                    <w14:schemeClr w14:val="tx1"/>
                  </w14:solidFill>
                </w14:textFill>
              </w:rPr>
              <w:t>2.项目绩效目标设置合理、科学，1分；</w:t>
            </w:r>
          </w:p>
          <w:p>
            <w:pPr>
              <w:pStyle w:val="2"/>
              <w:rPr>
                <w:rFonts w:ascii="Times New Roman" w:eastAsia="宋体" w:cs="宋体"/>
                <w:color w:val="000000" w:themeColor="text1"/>
                <w:sz w:val="21"/>
                <w:szCs w:val="21"/>
                <w:lang w:bidi="ar"/>
                <w14:textFill>
                  <w14:solidFill>
                    <w14:schemeClr w14:val="tx1"/>
                  </w14:solidFill>
                </w14:textFill>
              </w:rPr>
            </w:pPr>
            <w:r>
              <w:rPr>
                <w:rFonts w:hint="eastAsia" w:ascii="Times New Roman" w:eastAsia="宋体" w:cs="宋体"/>
                <w:color w:val="000000" w:themeColor="text1"/>
                <w:sz w:val="21"/>
                <w:szCs w:val="21"/>
                <w:lang w:bidi="ar"/>
                <w14:textFill>
                  <w14:solidFill>
                    <w14:schemeClr w14:val="tx1"/>
                  </w14:solidFill>
                </w14:textFill>
              </w:rPr>
              <w:t>3.项目绩效指标设置合理、规范、准确，1分；</w:t>
            </w:r>
          </w:p>
          <w:p>
            <w:pPr>
              <w:pStyle w:val="2"/>
              <w:rPr>
                <w:rFonts w:ascii="Times New Roman" w:eastAsia="宋体" w:cs="宋体"/>
                <w:color w:val="000000" w:themeColor="text1"/>
                <w:sz w:val="21"/>
                <w:szCs w:val="21"/>
                <w:lang w:bidi="ar"/>
                <w14:textFill>
                  <w14:solidFill>
                    <w14:schemeClr w14:val="tx1"/>
                  </w14:solidFill>
                </w14:textFill>
              </w:rPr>
            </w:pPr>
            <w:r>
              <w:rPr>
                <w:rFonts w:hint="eastAsia" w:ascii="Times New Roman" w:eastAsia="宋体" w:cs="宋体"/>
                <w:color w:val="000000" w:themeColor="text1"/>
                <w:sz w:val="21"/>
                <w:szCs w:val="21"/>
                <w:lang w:bidi="ar"/>
                <w14:textFill>
                  <w14:solidFill>
                    <w14:schemeClr w14:val="tx1"/>
                  </w14:solidFill>
                </w14:textFill>
              </w:rPr>
              <w:t>4.绩效监控、自评完成值符合实际、真实，2分。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核心</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指标</w:t>
            </w:r>
          </w:p>
        </w:tc>
      </w:tr>
      <w:tr>
        <w:tblPrEx>
          <w:tblCellMar>
            <w:top w:w="0" w:type="dxa"/>
            <w:left w:w="108" w:type="dxa"/>
            <w:bottom w:w="0" w:type="dxa"/>
            <w:right w:w="108" w:type="dxa"/>
          </w:tblCellMar>
        </w:tblPrEx>
        <w:trPr>
          <w:trHeight w:val="150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6</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信息公开和公告公示制度落实情况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三级评价及考核。</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1.县级按要求公开资金分配结果、项目库、资金项目计划、计划完成情况等，得</w:t>
            </w:r>
            <w:r>
              <w:rPr>
                <w:rFonts w:hint="eastAsia" w:ascii="Times New Roman" w:hAnsi="Times New Roman" w:cs="宋体"/>
                <w:color w:val="000000" w:themeColor="text1"/>
                <w:sz w:val="21"/>
                <w:szCs w:val="21"/>
                <w:lang w:val="en-US" w:bidi="ar"/>
                <w14:textFill>
                  <w14:solidFill>
                    <w14:schemeClr w14:val="tx1"/>
                  </w14:solidFill>
                </w14:textFill>
              </w:rPr>
              <w:t>1</w:t>
            </w:r>
            <w:r>
              <w:rPr>
                <w:rFonts w:hint="eastAsia" w:ascii="Times New Roman" w:hAnsi="Times New Roman" w:eastAsia="宋体" w:cs="宋体"/>
                <w:color w:val="000000" w:themeColor="text1"/>
                <w:sz w:val="21"/>
                <w:szCs w:val="21"/>
                <w:lang w:val="en-US" w:bidi="ar"/>
                <w14:textFill>
                  <w14:solidFill>
                    <w14:schemeClr w14:val="tx1"/>
                  </w14:solidFill>
                </w14:textFill>
              </w:rPr>
              <w:t>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2.镇（街）级根据抽查项目落实公开公示要求的比例赋分，满分</w:t>
            </w:r>
            <w:r>
              <w:rPr>
                <w:rFonts w:hint="eastAsia" w:ascii="Times New Roman" w:hAnsi="Times New Roman" w:cs="宋体"/>
                <w:color w:val="000000" w:themeColor="text1"/>
                <w:sz w:val="21"/>
                <w:szCs w:val="21"/>
                <w:lang w:val="en-US" w:bidi="ar"/>
                <w14:textFill>
                  <w14:solidFill>
                    <w14:schemeClr w14:val="tx1"/>
                  </w14:solidFill>
                </w14:textFill>
              </w:rPr>
              <w:t>2</w:t>
            </w:r>
            <w:r>
              <w:rPr>
                <w:rFonts w:hint="eastAsia" w:ascii="Times New Roman" w:hAnsi="Times New Roman" w:eastAsia="宋体" w:cs="宋体"/>
                <w:color w:val="000000" w:themeColor="text1"/>
                <w:sz w:val="21"/>
                <w:szCs w:val="21"/>
                <w:lang w:val="en-US" w:bidi="ar"/>
                <w14:textFill>
                  <w14:solidFill>
                    <w14:schemeClr w14:val="tx1"/>
                  </w14:solidFill>
                </w14:textFill>
              </w:rPr>
              <w:t>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3.青华林场根据抽查项目落实公开公示要求的比例赋分，满分</w:t>
            </w:r>
            <w:r>
              <w:rPr>
                <w:rFonts w:hint="eastAsia" w:ascii="Times New Roman" w:hAnsi="Times New Roman" w:cs="宋体"/>
                <w:color w:val="000000" w:themeColor="text1"/>
                <w:sz w:val="21"/>
                <w:szCs w:val="21"/>
                <w:lang w:val="en-US" w:bidi="ar"/>
                <w14:textFill>
                  <w14:solidFill>
                    <w14:schemeClr w14:val="tx1"/>
                  </w14:solidFill>
                </w14:textFill>
              </w:rPr>
              <w:t>2</w:t>
            </w:r>
            <w:r>
              <w:rPr>
                <w:rFonts w:hint="eastAsia" w:ascii="Times New Roman" w:hAnsi="Times New Roman" w:eastAsia="宋体" w:cs="宋体"/>
                <w:color w:val="000000" w:themeColor="text1"/>
                <w:sz w:val="21"/>
                <w:szCs w:val="21"/>
                <w:lang w:val="en-US" w:bidi="ar"/>
                <w14:textFill>
                  <w14:solidFill>
                    <w14:schemeClr w14:val="tx1"/>
                  </w14:solidFill>
                </w14:textFill>
              </w:rPr>
              <w:t>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7</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跟踪督促及发现问题整改情况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1.项目主管部门定期开展项目实施和资金支出进度等跟踪督促情况，按要求落实到位的得2分，未完全落实到位的扣1分，相关资料缺失的扣0.5分。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2.跟踪督促及各类检查发现问题整改到位情况，满分</w:t>
            </w:r>
            <w:r>
              <w:rPr>
                <w:rFonts w:hint="eastAsia" w:ascii="Times New Roman" w:hAnsi="Times New Roman" w:cs="宋体"/>
                <w:color w:val="000000" w:themeColor="text1"/>
                <w:sz w:val="21"/>
                <w:szCs w:val="21"/>
                <w:lang w:val="en-US" w:bidi="ar"/>
                <w14:textFill>
                  <w14:solidFill>
                    <w14:schemeClr w14:val="tx1"/>
                  </w14:solidFill>
                </w14:textFill>
              </w:rPr>
              <w:t>2</w:t>
            </w:r>
            <w:r>
              <w:rPr>
                <w:rFonts w:hint="eastAsia" w:ascii="Times New Roman" w:hAnsi="Times New Roman" w:eastAsia="宋体" w:cs="宋体"/>
                <w:color w:val="000000" w:themeColor="text1"/>
                <w:sz w:val="21"/>
                <w:szCs w:val="21"/>
                <w:lang w:val="en-US" w:bidi="ar"/>
                <w14:textFill>
                  <w14:solidFill>
                    <w14:schemeClr w14:val="tx1"/>
                  </w14:solidFill>
                </w14:textFill>
              </w:rPr>
              <w:t>分，每发现一个项目存在未整改问题，扣0.5分，扣完为止。</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3.乡村振兴部门对全国12317防止返贫监测和乡村振兴咨询服务平台（简称12317平台）反馈问题处理情况，满分1分，根据未处理问题比例扣减。</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自评材料，审计等各类监督检查报告，12317平台，抽查评价及考核结果等。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1117"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8</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资料报送情况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4</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1.绩效评价资料及时报送情况，1分；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2.日常管理资料高质量及时报送情况，高质量报送2分；及时报送1分。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部门、镇（街）等绩效评价单位。</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5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9</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预算执行率</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3</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2022</w:t>
            </w:r>
            <w:r>
              <w:rPr>
                <w:rFonts w:hint="eastAsia" w:ascii="Times New Roman" w:hAnsi="Times New Roman" w:eastAsia="宋体" w:cs="宋体"/>
                <w:color w:val="000000" w:themeColor="text1"/>
                <w:sz w:val="21"/>
                <w:szCs w:val="21"/>
                <w:lang w:val="en-US" w:bidi="ar"/>
                <w14:textFill>
                  <w14:solidFill>
                    <w14:schemeClr w14:val="tx1"/>
                  </w14:solidFill>
                </w14:textFill>
              </w:rPr>
              <w:t>年资金预算执行率达到100%，得</w:t>
            </w:r>
            <w:r>
              <w:rPr>
                <w:rFonts w:hint="eastAsia" w:ascii="Times New Roman" w:hAnsi="Times New Roman" w:cs="宋体"/>
                <w:color w:val="000000" w:themeColor="text1"/>
                <w:sz w:val="21"/>
                <w:szCs w:val="21"/>
                <w:lang w:val="en-US" w:bidi="ar"/>
                <w14:textFill>
                  <w14:solidFill>
                    <w14:schemeClr w14:val="tx1"/>
                  </w14:solidFill>
                </w14:textFill>
              </w:rPr>
              <w:t>3</w:t>
            </w:r>
            <w:r>
              <w:rPr>
                <w:rFonts w:hint="eastAsia" w:ascii="Times New Roman" w:hAnsi="Times New Roman" w:eastAsia="宋体" w:cs="宋体"/>
                <w:color w:val="000000" w:themeColor="text1"/>
                <w:sz w:val="21"/>
                <w:szCs w:val="21"/>
                <w:lang w:val="en-US" w:bidi="ar"/>
                <w14:textFill>
                  <w14:solidFill>
                    <w14:schemeClr w14:val="tx1"/>
                  </w14:solidFill>
                </w14:textFill>
              </w:rPr>
              <w:t>分；执行率在85%-100%之间，按比例得分；执行率低于85%，得0分。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防返贫监测信息系统，自评材料等。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48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（三）</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kern w:val="2"/>
                <w:sz w:val="21"/>
                <w:szCs w:val="21"/>
                <w:lang w:val="en-US" w:bidi="ar-SA"/>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项目产出</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kern w:val="2"/>
                <w:sz w:val="21"/>
                <w:szCs w:val="21"/>
                <w:lang w:val="en-US" w:bidi="ar-SA"/>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15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主要评价及考核资金使用效果</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95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项目实际完成任务量</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6</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抽查项目实际完成任务量达到绩效目标申报的任务量（绩效目标以财评下达的审定文件为准）6分。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自评材料，验收材料。</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核心</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指标</w:t>
            </w:r>
          </w:p>
        </w:tc>
      </w:tr>
      <w:tr>
        <w:tblPrEx>
          <w:tblCellMar>
            <w:top w:w="0" w:type="dxa"/>
            <w:left w:w="108" w:type="dxa"/>
            <w:bottom w:w="0" w:type="dxa"/>
            <w:right w:w="108" w:type="dxa"/>
          </w:tblCellMar>
        </w:tblPrEx>
        <w:trPr>
          <w:trHeight w:val="73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11</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项目完成质量</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4</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项目质量达到相应标准，验收合格4分。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自评材料，验收材料。</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77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12</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项目完成时效</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3</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项目按照实施方案、合同、协议规定时间完成3分；未按照规定时间完成但能提供相关说明、佐证材料的不扣分。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自评材料，验收材料。</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77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13</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项目成本控制</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2</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项目成本控制合理2分，若抽查走访时，有反映浪费的，每个扣1分，扣完为止。</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自评材料，验收材料，现场抽查走访结果。</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555"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（三）</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使用成效</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cs="宋体"/>
                <w:b/>
                <w:bCs/>
                <w:color w:val="000000" w:themeColor="text1"/>
                <w:sz w:val="21"/>
                <w:szCs w:val="21"/>
                <w:lang w:val="en-US" w:bidi="ar"/>
                <w14:textFill>
                  <w14:solidFill>
                    <w14:schemeClr w14:val="tx1"/>
                  </w14:solidFill>
                </w14:textFill>
              </w:rPr>
              <w:t>35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主要评价及考核资金使用效果</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ascii="Times New Roman" w:hAnsi="Times New Roman" w:eastAsia="宋体" w:cs="宋体"/>
                <w:b/>
                <w:bCs/>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68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14</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有序推进项目实施等工作情况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4</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color w:val="000000" w:themeColor="text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主要通过支出进度评价及考核有序推进项目前期工作、组织实施、验收和资金支付情况，于7月中旬、10月中旬定期调度。</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1.7月中旬支出进度评分2分。资金支出进度达到全市平均进度或者序时进度的，得满分；未达到的按照与序时进度的比例扣分。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2.10月中旬支出进度评分2分。资金支出进度达到全市平均进度或者序时进度的，得满分；未达到的按照与序时进度的比例扣分。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防返贫监测信息系统，竣工验收材料等。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66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15</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资金使用效益</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26</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sz w:val="21"/>
                <w:szCs w:val="21"/>
                <w:lang w:val="en-US" w:bidi="ar"/>
              </w:rPr>
            </w:pPr>
            <w:r>
              <w:rPr>
                <w:rFonts w:hint="eastAsia" w:ascii="Times New Roman" w:hAnsi="Times New Roman" w:eastAsia="宋体" w:cs="宋体"/>
                <w:sz w:val="21"/>
                <w:szCs w:val="21"/>
                <w:lang w:val="en-US" w:bidi="ar"/>
              </w:rPr>
              <w:t>①青华林场职工人均收入增速高于县林业系统职工平均收入增速的，或欠发达国有林场职工平均收入较上年有所提高的，得6分，否则按比例得分。</w:t>
            </w:r>
          </w:p>
          <w:p>
            <w:pPr>
              <w:widowControl/>
              <w:textAlignment w:val="center"/>
              <w:rPr>
                <w:rFonts w:ascii="Times New Roman" w:hAnsi="Times New Roman" w:eastAsia="宋体" w:cs="宋体"/>
                <w:sz w:val="21"/>
                <w:szCs w:val="21"/>
                <w:lang w:val="en-US" w:bidi="ar"/>
              </w:rPr>
            </w:pPr>
            <w:r>
              <w:rPr>
                <w:rFonts w:hint="eastAsia" w:ascii="Times New Roman" w:hAnsi="Times New Roman" w:eastAsia="宋体" w:cs="宋体"/>
                <w:sz w:val="21"/>
                <w:szCs w:val="21"/>
                <w:lang w:val="en-US" w:bidi="ar"/>
              </w:rPr>
              <w:t>②项目成效，满分20分，根据抽查项目情况赋分。评价及考核内容包括抽查项目实际完成任务量是否达到绩效目标申报的任务量、使用衔接资金用途是否突破国家及市级有关规定。</w:t>
            </w:r>
          </w:p>
          <w:p>
            <w:pPr>
              <w:widowControl/>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sz w:val="21"/>
                <w:szCs w:val="21"/>
                <w:lang w:val="en-US" w:bidi="ar"/>
              </w:rPr>
              <w:t>产业类项目是否实现绩效目标、往年项目是否持续有效运行等；质量是否达到相应标准、后续管护是否存在问题等；是否实现预期目标，达到相应效益。</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县级自评材料，相关部门统计数据，抽查评价及考核结果等。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核心</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指标</w:t>
            </w:r>
          </w:p>
        </w:tc>
      </w:tr>
      <w:tr>
        <w:tblPrEx>
          <w:tblCellMar>
            <w:top w:w="0" w:type="dxa"/>
            <w:left w:w="108" w:type="dxa"/>
            <w:bottom w:w="0" w:type="dxa"/>
            <w:right w:w="108" w:type="dxa"/>
          </w:tblCellMar>
        </w:tblPrEx>
        <w:trPr>
          <w:trHeight w:val="377"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16</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项目满意度情况</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满意度调查问卷共设9个问题，每个问题选项分为ABCD，依次对应3、2、1、0分，调查问卷综合平均得分8.1分（含）以上（即满意度达90%）得满分；满意度为60%（含）-90%，按比例得分；满意度60%以下，不得分。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调查问卷。</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70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（四）</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加减分指标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-35</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主要评价衔接资金机制创新和违规违纪情况</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ascii="Times New Roman" w:hAnsi="Times New Roman" w:eastAsia="宋体" w:cs="宋体"/>
                <w:color w:val="000000" w:themeColor="text1"/>
                <w:sz w:val="21"/>
                <w:szCs w:val="21"/>
                <w14:textFill>
                  <w14:solidFill>
                    <w14:schemeClr w14:val="tx1"/>
                  </w14:solidFill>
                </w14:textFill>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00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17</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加分指标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最高加5分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1.财政衔接资金是否在分配、使用、监管等各方面实现机制创新，能提供任何一项机制创新的有效材料，得2分。</w:t>
            </w:r>
          </w:p>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2.评价当年国家或市级对酉阳县财政衔接资金绩效评价中，被市级及以上单位及其第三方总结经验做法，并调研推广的，得3分。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651"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18</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执行中随意调减衔接资金预算</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直接扣减5分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县本级安排的衔接资金预算在执行中调减的，直接扣减5分。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县级预算报告、预算指标数据，县级自评材料，抽查评价及考核结果。</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100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19</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数据作假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直接扣减10分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该指标为减分指标。主要评价及考核部门或镇（街）在跟踪调度数据和年末上报绩效自评材料时，提供的数据资料真实性、准确性。如通过各类监督检查和抽查发现弄虚作假的，直接扣减10分。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自评材料、各类监督检查和抽查结果。</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186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cs="宋体"/>
                <w:color w:val="000000" w:themeColor="text1"/>
                <w:sz w:val="21"/>
                <w:szCs w:val="21"/>
                <w:lang w:val="en-US" w:bidi="ar"/>
                <w14:textFill>
                  <w14:solidFill>
                    <w14:schemeClr w14:val="tx1"/>
                  </w14:solidFill>
                </w14:textFill>
              </w:rPr>
              <w:t>20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减分指标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最高减20分</w:t>
            </w:r>
          </w:p>
        </w:tc>
        <w:tc>
          <w:tcPr>
            <w:tcW w:w="24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宋体"/>
                <w:color w:val="000000" w:themeColor="text1"/>
                <w:kern w:val="2"/>
                <w:sz w:val="21"/>
                <w:szCs w:val="21"/>
                <w:lang w:val="en-US" w:bidi="ar-SA"/>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①由各级审计、监管检查、纪检监察等发现和曝光的违规使用衔接资金的情况（包括内部资料或媒介披露的、经核实的问题），视检查查出违纪违规问题及整改情况扣分。中央领导、市领导同志做出过批示的，经查实为衔接资金方面问题的，直接扣减5分，情节严重的，最高扣减15分。</w:t>
            </w:r>
            <w:r>
              <w:rPr>
                <w:rFonts w:hint="eastAsia" w:ascii="Times New Roman" w:hAnsi="Times New Roman" w:eastAsia="宋体" w:cs="宋体"/>
                <w:color w:val="000000" w:themeColor="text1"/>
                <w:sz w:val="21"/>
                <w:szCs w:val="21"/>
                <w:lang w:val="en-US" w:bidi="ar"/>
                <w14:textFill>
                  <w14:solidFill>
                    <w14:schemeClr w14:val="tx1"/>
                  </w14:solidFill>
                </w14:textFill>
              </w:rPr>
              <w:br w:type="textWrapping"/>
            </w:r>
            <w:r>
              <w:rPr>
                <w:rFonts w:hint="eastAsia" w:ascii="Times New Roman" w:hAnsi="Times New Roman" w:eastAsia="宋体" w:cs="宋体"/>
                <w:color w:val="000000" w:themeColor="text1"/>
                <w:sz w:val="21"/>
                <w:szCs w:val="21"/>
                <w:lang w:val="en-US" w:bidi="ar"/>
                <w14:textFill>
                  <w14:solidFill>
                    <w14:schemeClr w14:val="tx1"/>
                  </w14:solidFill>
                </w14:textFill>
              </w:rPr>
              <w:t>②评价当年国家、市级对我县财政衔接资金绩效评价中，出现重大失误，影响全县绩效评价的，扣3分；报送虚假数据，造成不良影响的，扣2分。</w:t>
            </w:r>
          </w:p>
        </w:tc>
        <w:tc>
          <w:tcPr>
            <w:tcW w:w="9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纪委监委、审计、财政等部门检查报告，相关上报材料等。</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bl>
    <w:p>
      <w:pPr>
        <w:pStyle w:val="2"/>
        <w:rPr>
          <w:rFonts w:ascii="Times New Roman" w:eastAsia="方正小标宋_GBK" w:cs="Times New Roman"/>
          <w:bCs/>
          <w:color w:val="000000" w:themeColor="text1"/>
          <w:sz w:val="32"/>
          <w:szCs w:val="32"/>
          <w14:textFill>
            <w14:solidFill>
              <w14:schemeClr w14:val="tx1"/>
            </w14:solidFill>
          </w14:textFill>
        </w:rPr>
        <w:sectPr>
          <w:footerReference r:id="rId5" w:type="default"/>
          <w:pgSz w:w="11906" w:h="16838"/>
          <w:pgMar w:top="720" w:right="720" w:bottom="720" w:left="720" w:header="0" w:footer="1196" w:gutter="0"/>
          <w:cols w:space="0" w:num="1"/>
        </w:sectPr>
      </w:pPr>
    </w:p>
    <w:p>
      <w:pPr>
        <w:topLinePunct/>
        <w:autoSpaceDN/>
        <w:spacing w:line="600" w:lineRule="exact"/>
        <w:jc w:val="both"/>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附件2：</w:t>
      </w:r>
    </w:p>
    <w:p>
      <w:pPr>
        <w:jc w:val="center"/>
        <w:rPr>
          <w:rFonts w:ascii="Times New Roman" w:hAnsi="Times New Roman" w:eastAsia="方正小标宋_GBK" w:cs="Times New Roman"/>
          <w:bCs/>
          <w:color w:val="000000" w:themeColor="text1"/>
          <w:sz w:val="32"/>
          <w:szCs w:val="32"/>
          <w:lang w:val="en-US" w:bidi="ar-SA"/>
          <w14:textFill>
            <w14:solidFill>
              <w14:schemeClr w14:val="tx1"/>
            </w14:solidFill>
          </w14:textFill>
        </w:rPr>
      </w:pPr>
      <w:r>
        <w:rPr>
          <w:rFonts w:hint="eastAsia" w:ascii="Times New Roman" w:hAnsi="Times New Roman" w:eastAsia="方正小标宋_GBK" w:cs="Times New Roman"/>
          <w:bCs/>
          <w:color w:val="000000" w:themeColor="text1"/>
          <w:sz w:val="32"/>
          <w:szCs w:val="32"/>
          <w:lang w:val="en-US" w:bidi="ar-SA"/>
          <w14:textFill>
            <w14:solidFill>
              <w14:schemeClr w14:val="tx1"/>
            </w14:solidFill>
          </w14:textFill>
        </w:rPr>
        <w:t>青华林场信息化管理系统建设项目2022年度衔接资金</w:t>
      </w:r>
    </w:p>
    <w:p>
      <w:pPr>
        <w:jc w:val="center"/>
        <w:rPr>
          <w:rFonts w:ascii="Times New Roman" w:hAnsi="Times New Roman" w:eastAsia="方正小标宋_GBK" w:cs="Times New Roman"/>
          <w:bCs/>
          <w:color w:val="000000" w:themeColor="text1"/>
          <w:sz w:val="32"/>
          <w:szCs w:val="32"/>
          <w:lang w:val="en-US" w:bidi="ar-SA"/>
          <w14:textFill>
            <w14:solidFill>
              <w14:schemeClr w14:val="tx1"/>
            </w14:solidFill>
          </w14:textFill>
        </w:rPr>
      </w:pPr>
      <w:r>
        <w:rPr>
          <w:rFonts w:hint="eastAsia" w:ascii="Times New Roman" w:hAnsi="Times New Roman" w:eastAsia="方正小标宋_GBK" w:cs="Times New Roman"/>
          <w:bCs/>
          <w:color w:val="000000" w:themeColor="text1"/>
          <w:sz w:val="32"/>
          <w:szCs w:val="32"/>
          <w:lang w:val="en-US" w:bidi="ar-SA"/>
          <w14:textFill>
            <w14:solidFill>
              <w14:schemeClr w14:val="tx1"/>
            </w14:solidFill>
          </w14:textFill>
        </w:rPr>
        <w:t>绩效评价指标得分与扣分明细表</w:t>
      </w:r>
    </w:p>
    <w:tbl>
      <w:tblPr>
        <w:tblStyle w:val="14"/>
        <w:tblW w:w="4672" w:type="pct"/>
        <w:jc w:val="center"/>
        <w:tblLayout w:type="fixed"/>
        <w:tblCellMar>
          <w:top w:w="0" w:type="dxa"/>
          <w:left w:w="108" w:type="dxa"/>
          <w:bottom w:w="0" w:type="dxa"/>
          <w:right w:w="108" w:type="dxa"/>
        </w:tblCellMar>
      </w:tblPr>
      <w:tblGrid>
        <w:gridCol w:w="866"/>
        <w:gridCol w:w="1424"/>
        <w:gridCol w:w="939"/>
        <w:gridCol w:w="813"/>
        <w:gridCol w:w="863"/>
        <w:gridCol w:w="5081"/>
      </w:tblGrid>
      <w:tr>
        <w:tblPrEx>
          <w:tblCellMar>
            <w:top w:w="0" w:type="dxa"/>
            <w:left w:w="108" w:type="dxa"/>
            <w:bottom w:w="0" w:type="dxa"/>
            <w:right w:w="108" w:type="dxa"/>
          </w:tblCellMar>
        </w:tblPrEx>
        <w:trPr>
          <w:trHeight w:val="326" w:hRule="atLeast"/>
          <w:tblHeader/>
          <w:jc w:val="center"/>
        </w:trPr>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序号</w:t>
            </w:r>
          </w:p>
        </w:tc>
        <w:tc>
          <w:tcPr>
            <w:tcW w:w="71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w:t>
            </w:r>
          </w:p>
        </w:tc>
        <w:tc>
          <w:tcPr>
            <w:tcW w:w="38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指标得分情况</w:t>
            </w:r>
          </w:p>
        </w:tc>
      </w:tr>
      <w:tr>
        <w:tblPrEx>
          <w:tblCellMar>
            <w:top w:w="0" w:type="dxa"/>
            <w:left w:w="108" w:type="dxa"/>
            <w:bottom w:w="0" w:type="dxa"/>
            <w:right w:w="108" w:type="dxa"/>
          </w:tblCellMar>
        </w:tblPrEx>
        <w:trPr>
          <w:trHeight w:val="448" w:hRule="atLeast"/>
          <w:tblHeader/>
          <w:jc w:val="center"/>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宋体"/>
                <w:b/>
                <w:bCs/>
                <w:color w:val="000000" w:themeColor="text1"/>
                <w:sz w:val="21"/>
                <w:szCs w:val="21"/>
                <w14:textFill>
                  <w14:solidFill>
                    <w14:schemeClr w14:val="tx1"/>
                  </w14:solidFill>
                </w14:textFill>
              </w:rPr>
            </w:pPr>
          </w:p>
        </w:tc>
        <w:tc>
          <w:tcPr>
            <w:tcW w:w="71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宋体"/>
                <w:b/>
                <w:bCs/>
                <w:color w:val="000000" w:themeColor="text1"/>
                <w:sz w:val="21"/>
                <w:szCs w:val="21"/>
                <w14:textFill>
                  <w14:solidFill>
                    <w14:schemeClr w14:val="tx1"/>
                  </w14:solidFill>
                </w14:textFill>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得分</w:t>
            </w:r>
          </w:p>
        </w:tc>
        <w:tc>
          <w:tcPr>
            <w:tcW w:w="407" w:type="pct"/>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分值</w:t>
            </w:r>
          </w:p>
        </w:tc>
        <w:tc>
          <w:tcPr>
            <w:tcW w:w="432" w:type="pc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扣分</w:t>
            </w:r>
          </w:p>
        </w:tc>
        <w:tc>
          <w:tcPr>
            <w:tcW w:w="2543" w:type="pct"/>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扣分情况</w:t>
            </w:r>
          </w:p>
        </w:tc>
      </w:tr>
      <w:tr>
        <w:tblPrEx>
          <w:tblCellMar>
            <w:top w:w="0" w:type="dxa"/>
            <w:left w:w="108" w:type="dxa"/>
            <w:bottom w:w="0" w:type="dxa"/>
            <w:right w:w="108" w:type="dxa"/>
          </w:tblCellMar>
        </w:tblPrEx>
        <w:trPr>
          <w:trHeight w:val="256"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宋体"/>
                <w:b/>
                <w:bCs/>
                <w:color w:val="000000" w:themeColor="text1"/>
                <w:sz w:val="21"/>
                <w:szCs w:val="21"/>
                <w14:textFill>
                  <w14:solidFill>
                    <w14:schemeClr w14:val="tx1"/>
                  </w14:solidFill>
                </w14:textFill>
              </w:rPr>
            </w:pP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合计</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95.97</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14:textFill>
                  <w14:solidFill>
                    <w14:schemeClr w14:val="tx1"/>
                  </w14:solidFill>
                </w14:textFill>
              </w:rPr>
              <w:t>100</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4.03</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256"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（一）</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资金投入</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15</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县本级预算安排财政衔接资金投入</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584"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2</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资金分解下达进度</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3</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中央财政衔接资金用于产业比例</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44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（二）</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项目管理</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34.03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0.97</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06"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4</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项目库建设管理情况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10</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799"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5</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项目绩效管理情况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7.7</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8</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0.3</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1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6</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信息公开和公告公示制度落实情况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9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7</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跟踪督促及发现问题整改情况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1025"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8</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资料报送情况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3.33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4</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0.67</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701"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9</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预算执行率</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3</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3</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44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（三）</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14:textFill>
                  <w14:solidFill>
                    <w14:schemeClr w14:val="tx1"/>
                  </w14:solidFill>
                </w14:textFill>
              </w:rPr>
              <w:t>项目产出</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13.27</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1.73</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10"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10</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项目实际完成任务量</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6</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89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11</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项目完成质量</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4</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4</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89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12</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项目完成时效</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2.77</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0.23</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897"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13</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项目成本控制</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0.5</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2</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1.5</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323"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（四）</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使用成效</w:t>
            </w:r>
          </w:p>
        </w:tc>
        <w:tc>
          <w:tcPr>
            <w:tcW w:w="470"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33.67</w:t>
            </w:r>
          </w:p>
        </w:tc>
        <w:tc>
          <w:tcPr>
            <w:tcW w:w="407"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35</w:t>
            </w:r>
          </w:p>
        </w:tc>
        <w:tc>
          <w:tcPr>
            <w:tcW w:w="432"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1.33</w:t>
            </w:r>
          </w:p>
        </w:tc>
        <w:tc>
          <w:tcPr>
            <w:tcW w:w="2543"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1219"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14</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有序推进项目实施等工作情况</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4</w:t>
            </w:r>
          </w:p>
        </w:tc>
        <w:tc>
          <w:tcPr>
            <w:tcW w:w="40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4</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w:t>
            </w:r>
          </w:p>
        </w:tc>
        <w:tc>
          <w:tcPr>
            <w:tcW w:w="25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p>
        </w:tc>
      </w:tr>
      <w:tr>
        <w:tblPrEx>
          <w:tblCellMar>
            <w:top w:w="0" w:type="dxa"/>
            <w:left w:w="108" w:type="dxa"/>
            <w:bottom w:w="0" w:type="dxa"/>
            <w:right w:w="108" w:type="dxa"/>
          </w:tblCellMar>
        </w:tblPrEx>
        <w:trPr>
          <w:trHeight w:val="1274"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15</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资金使用效益</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15.24</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16</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0.76</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63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16</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项目满意度情况</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4.43</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0.57</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p>
        </w:tc>
      </w:tr>
      <w:tr>
        <w:tblPrEx>
          <w:tblCellMar>
            <w:top w:w="0" w:type="dxa"/>
            <w:left w:w="108" w:type="dxa"/>
            <w:bottom w:w="0" w:type="dxa"/>
            <w:right w:w="108" w:type="dxa"/>
          </w:tblCellMar>
        </w:tblPrEx>
        <w:trPr>
          <w:trHeight w:val="565"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（五）</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加减分</w:t>
            </w:r>
          </w:p>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指标</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+5</w:t>
            </w:r>
          </w:p>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-35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751"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17</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加分指标</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最高加5分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998"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18</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执行中随意调减衔接资金预算</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直接扣减5分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751"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19</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数据作假</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直接扣减10分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r>
        <w:tblPrEx>
          <w:tblCellMar>
            <w:top w:w="0" w:type="dxa"/>
            <w:left w:w="108" w:type="dxa"/>
            <w:bottom w:w="0" w:type="dxa"/>
            <w:right w:w="108" w:type="dxa"/>
          </w:tblCellMar>
        </w:tblPrEx>
        <w:trPr>
          <w:trHeight w:val="760" w:hRule="atLeast"/>
          <w:jc w:val="center"/>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29</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减分指标</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b/>
                <w:bCs/>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b/>
                <w:bCs/>
                <w:color w:val="000000" w:themeColor="text1"/>
                <w:sz w:val="21"/>
                <w:szCs w:val="21"/>
                <w:lang w:val="en-US" w:bidi="ar"/>
                <w14:textFill>
                  <w14:solidFill>
                    <w14:schemeClr w14:val="tx1"/>
                  </w14:solidFill>
                </w14:textFill>
              </w:rPr>
              <w:t>最高减20分</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14:textFill>
                  <w14:solidFill>
                    <w14:schemeClr w14:val="tx1"/>
                  </w14:solidFill>
                </w14:textFill>
              </w:rPr>
            </w:pPr>
            <w:r>
              <w:rPr>
                <w:rFonts w:hint="eastAsia" w:ascii="Times New Roman" w:hAnsi="Times New Roman" w:eastAsia="宋体" w:cs="宋体"/>
                <w:color w:val="000000" w:themeColor="text1"/>
                <w:sz w:val="21"/>
                <w:szCs w:val="21"/>
                <w:lang w:val="en-US"/>
                <w14:textFill>
                  <w14:solidFill>
                    <w14:schemeClr w14:val="tx1"/>
                  </w14:solidFill>
                </w14:textFill>
              </w:rPr>
              <w:t>0</w:t>
            </w:r>
          </w:p>
        </w:tc>
        <w:tc>
          <w:tcPr>
            <w:tcW w:w="25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宋体"/>
                <w:color w:val="000000" w:themeColor="text1"/>
                <w:sz w:val="21"/>
                <w:szCs w:val="21"/>
                <w:lang w:val="en-US" w:bidi="ar"/>
                <w14:textFill>
                  <w14:solidFill>
                    <w14:schemeClr w14:val="tx1"/>
                  </w14:solidFill>
                </w14:textFill>
              </w:rPr>
            </w:pPr>
            <w:r>
              <w:rPr>
                <w:rFonts w:hint="eastAsia" w:ascii="Times New Roman" w:hAnsi="Times New Roman" w:eastAsia="宋体" w:cs="宋体"/>
                <w:color w:val="000000" w:themeColor="text1"/>
                <w:sz w:val="21"/>
                <w:szCs w:val="21"/>
                <w:lang w:val="en-US" w:bidi="ar"/>
                <w14:textFill>
                  <w14:solidFill>
                    <w14:schemeClr w14:val="tx1"/>
                  </w14:solidFill>
                </w14:textFill>
              </w:rPr>
              <w:t>-</w:t>
            </w:r>
          </w:p>
        </w:tc>
      </w:tr>
    </w:tbl>
    <w:p>
      <w:pPr>
        <w:pStyle w:val="2"/>
        <w:rPr>
          <w:rFonts w:ascii="Times New Roman"/>
          <w:color w:val="000000" w:themeColor="text1"/>
          <w14:textFill>
            <w14:solidFill>
              <w14:schemeClr w14:val="tx1"/>
            </w14:solidFill>
          </w14:textFill>
        </w:rPr>
      </w:pPr>
    </w:p>
    <w:p>
      <w:pPr>
        <w:pStyle w:val="2"/>
        <w:rPr>
          <w:rFonts w:ascii="Times New Roman"/>
          <w:color w:val="000000" w:themeColor="text1"/>
          <w14:textFill>
            <w14:solidFill>
              <w14:schemeClr w14:val="tx1"/>
            </w14:solidFill>
          </w14:textFill>
        </w:rPr>
      </w:pPr>
    </w:p>
    <w:p>
      <w:pPr>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br w:type="page"/>
      </w:r>
    </w:p>
    <w:p>
      <w:pPr>
        <w:topLinePunct/>
        <w:autoSpaceDN/>
        <w:spacing w:line="600" w:lineRule="exact"/>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附件3：</w:t>
      </w:r>
    </w:p>
    <w:p>
      <w:pPr>
        <w:keepNext/>
        <w:keepLines/>
        <w:autoSpaceDE/>
        <w:autoSpaceDN/>
        <w:spacing w:before="100" w:after="100"/>
        <w:jc w:val="center"/>
        <w:rPr>
          <w:rFonts w:ascii="Times New Roman" w:hAnsi="Times New Roman"/>
          <w:color w:val="000000" w:themeColor="text1"/>
          <w:sz w:val="28"/>
          <w:szCs w:val="18"/>
          <w:lang w:val="en-US"/>
          <w14:textFill>
            <w14:solidFill>
              <w14:schemeClr w14:val="tx1"/>
            </w14:solidFill>
          </w14:textFill>
        </w:rPr>
      </w:pPr>
      <w:r>
        <w:rPr>
          <w:rFonts w:hint="eastAsia" w:ascii="Times New Roman" w:hAnsi="Times New Roman"/>
          <w:color w:val="000000" w:themeColor="text1"/>
          <w:sz w:val="28"/>
          <w:szCs w:val="18"/>
          <w:lang w:val="en-US"/>
          <w14:textFill>
            <w14:solidFill>
              <w14:schemeClr w14:val="tx1"/>
            </w14:solidFill>
          </w14:textFill>
        </w:rPr>
        <w:t>酉阳土家族苗族自治县青华林场信息化管理系统建设项目</w:t>
      </w:r>
    </w:p>
    <w:p>
      <w:pPr>
        <w:keepNext/>
        <w:keepLines/>
        <w:autoSpaceDE/>
        <w:autoSpaceDN/>
        <w:spacing w:before="100" w:after="100"/>
        <w:jc w:val="center"/>
        <w:rPr>
          <w:rFonts w:ascii="Times New Roman" w:hAnsi="Times New Roman" w:eastAsia="宋体"/>
          <w:color w:val="000000" w:themeColor="text1"/>
          <w:sz w:val="28"/>
          <w:szCs w:val="18"/>
          <w:lang w:val="en-US"/>
          <w14:textFill>
            <w14:solidFill>
              <w14:schemeClr w14:val="tx1"/>
            </w14:solidFill>
          </w14:textFill>
        </w:rPr>
      </w:pPr>
      <w:r>
        <w:rPr>
          <w:rFonts w:hint="eastAsia" w:ascii="Times New Roman" w:hAnsi="Times New Roman"/>
          <w:color w:val="000000" w:themeColor="text1"/>
          <w:sz w:val="28"/>
          <w:szCs w:val="18"/>
          <w:lang w:val="en-US"/>
          <w14:textFill>
            <w14:solidFill>
              <w14:schemeClr w14:val="tx1"/>
            </w14:solidFill>
          </w14:textFill>
        </w:rPr>
        <w:t>2022年度财政衔接推进乡村振兴补助资金调查问卷</w:t>
      </w:r>
    </w:p>
    <w:p>
      <w:pPr>
        <w:pStyle w:val="33"/>
        <w:autoSpaceDE/>
        <w:autoSpaceDN/>
        <w:spacing w:before="120" w:beforeLines="50" w:after="120" w:afterLines="50" w:line="560" w:lineRule="exact"/>
        <w:ind w:firstLine="0" w:firstLineChars="0"/>
        <w:rPr>
          <w:rFonts w:ascii="Times New Roman" w:hAnsi="Times New Roman" w:eastAsia="方正仿宋_GBK" w:cs="方正仿宋_GBK"/>
          <w:b/>
          <w:bCs/>
          <w:color w:val="000000" w:themeColor="text1"/>
          <w:sz w:val="28"/>
          <w:szCs w:val="28"/>
          <w:u w:val="single"/>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 </w:t>
      </w:r>
      <w:r>
        <w:rPr>
          <w:rFonts w:hint="eastAsia" w:ascii="Times New Roman" w:hAnsi="Times New Roman" w:eastAsia="方正仿宋_GBK" w:cs="方正仿宋_GBK"/>
          <w:b/>
          <w:bCs/>
          <w:color w:val="000000" w:themeColor="text1"/>
          <w:sz w:val="28"/>
          <w:szCs w:val="28"/>
          <w:lang w:val="en-US"/>
          <w14:textFill>
            <w14:solidFill>
              <w14:schemeClr w14:val="tx1"/>
            </w14:solidFill>
          </w14:textFill>
        </w:rPr>
        <w:t>项目类型：产业项目、扶贫项目、村基础设施、其他项目（               ）</w:t>
      </w:r>
      <w:r>
        <w:rPr>
          <w:rFonts w:hint="eastAsia" w:ascii="Times New Roman" w:hAnsi="Times New Roman" w:eastAsia="方正仿宋_GBK" w:cs="方正仿宋_GBK"/>
          <w:color w:val="000000" w:themeColor="text1"/>
          <w:sz w:val="28"/>
          <w:szCs w:val="28"/>
          <w:u w:val="single"/>
          <w:lang w:val="en-US"/>
          <w14:textFill>
            <w14:solidFill>
              <w14:schemeClr w14:val="tx1"/>
            </w14:solidFill>
          </w14:textFill>
        </w:rPr>
        <w:t xml:space="preserve"> </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b/>
          <w:bCs/>
          <w:color w:val="000000" w:themeColor="text1"/>
          <w:sz w:val="28"/>
          <w:szCs w:val="28"/>
          <w:lang w:val="en-US"/>
          <w14:textFill>
            <w14:solidFill>
              <w14:schemeClr w14:val="tx1"/>
            </w14:solidFill>
          </w14:textFill>
        </w:rPr>
        <w:t>一、调查信息</w:t>
      </w:r>
    </w:p>
    <w:p>
      <w:pPr>
        <w:pStyle w:val="33"/>
        <w:autoSpaceDE/>
        <w:autoSpaceDN/>
        <w:spacing w:before="120" w:beforeLines="50" w:after="120" w:afterLines="50" w:line="560" w:lineRule="exact"/>
        <w:ind w:firstLine="280" w:firstLineChars="10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镇街：                     姓名：                 受益对象：是 / 否  </w:t>
      </w:r>
    </w:p>
    <w:p>
      <w:pPr>
        <w:pStyle w:val="33"/>
        <w:autoSpaceDE/>
        <w:autoSpaceDN/>
        <w:spacing w:line="560" w:lineRule="exact"/>
        <w:ind w:firstLine="0" w:firstLineChars="0"/>
        <w:rPr>
          <w:rFonts w:ascii="Times New Roman" w:hAnsi="Times New Roman" w:eastAsia="方正仿宋_GBK" w:cs="方正仿宋_GBK"/>
          <w:b/>
          <w:bCs/>
          <w:color w:val="000000" w:themeColor="text1"/>
          <w:sz w:val="28"/>
          <w:szCs w:val="28"/>
          <w:lang w:val="en-US"/>
          <w14:textFill>
            <w14:solidFill>
              <w14:schemeClr w14:val="tx1"/>
            </w14:solidFill>
          </w14:textFill>
        </w:rPr>
      </w:pPr>
      <w:r>
        <w:rPr>
          <w:rFonts w:hint="eastAsia" w:ascii="Times New Roman" w:hAnsi="Times New Roman" w:eastAsia="方正仿宋_GBK" w:cs="方正仿宋_GBK"/>
          <w:b/>
          <w:bCs/>
          <w:color w:val="000000" w:themeColor="text1"/>
          <w:sz w:val="28"/>
          <w:szCs w:val="28"/>
          <w:lang w:val="en-US"/>
          <w14:textFill>
            <w14:solidFill>
              <w14:schemeClr w14:val="tx1"/>
            </w14:solidFill>
          </w14:textFill>
        </w:rPr>
        <w:t>二、知晓度问题</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1、您对青华林场信息化管理系统建设项目2022年度财政衔接推进乡村振兴补助资金（以下简称“衔接资金”）涉及项目的了解程度为（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A.非常了解           B.比较了解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C.基本了解           D.不太了解</w:t>
      </w:r>
    </w:p>
    <w:p>
      <w:pPr>
        <w:pStyle w:val="33"/>
        <w:autoSpaceDE/>
        <w:autoSpaceDN/>
        <w:spacing w:line="560" w:lineRule="exact"/>
        <w:ind w:firstLine="0" w:firstLineChars="0"/>
        <w:rPr>
          <w:rFonts w:ascii="Times New Roman" w:hAnsi="Times New Roman" w:eastAsia="方正仿宋_GBK" w:cs="方正仿宋_GBK"/>
          <w:b/>
          <w:bCs/>
          <w:color w:val="000000" w:themeColor="text1"/>
          <w:sz w:val="28"/>
          <w:szCs w:val="28"/>
          <w:lang w:val="en-US"/>
          <w14:textFill>
            <w14:solidFill>
              <w14:schemeClr w14:val="tx1"/>
            </w14:solidFill>
          </w14:textFill>
        </w:rPr>
      </w:pPr>
      <w:r>
        <w:rPr>
          <w:rFonts w:hint="eastAsia" w:ascii="Times New Roman" w:hAnsi="Times New Roman" w:eastAsia="方正仿宋_GBK" w:cs="方正仿宋_GBK"/>
          <w:b/>
          <w:bCs/>
          <w:color w:val="000000" w:themeColor="text1"/>
          <w:sz w:val="28"/>
          <w:szCs w:val="28"/>
          <w:lang w:val="en-US"/>
          <w14:textFill>
            <w14:solidFill>
              <w14:schemeClr w14:val="tx1"/>
            </w14:solidFill>
          </w14:textFill>
        </w:rPr>
        <w:t>三、满意度问题</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1、您对青华林场信息化管理系统建设项目2022年度衔接资金项目管理/实施过程的满意度评价为（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A.非常满意           B.比较满意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C.基本满意           D.不太满意</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2、您对青华林场信息化管理系统建设项目2022年度衔接资金项目实施效果的满意度评价为（  ）</w:t>
      </w:r>
    </w:p>
    <w:p>
      <w:pPr>
        <w:pStyle w:val="33"/>
        <w:autoSpaceDE/>
        <w:autoSpaceDN/>
        <w:spacing w:line="560" w:lineRule="exact"/>
        <w:ind w:firstLine="56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A.非常满意           B.比较满意  </w:t>
      </w:r>
    </w:p>
    <w:p>
      <w:pPr>
        <w:pStyle w:val="33"/>
        <w:autoSpaceDE/>
        <w:autoSpaceDN/>
        <w:spacing w:line="560" w:lineRule="exact"/>
        <w:ind w:firstLine="0" w:firstLineChars="0"/>
        <w:rPr>
          <w:rFonts w:ascii="Times New Roman" w:hAnsi="Times New Roman" w:eastAsia="方正仿宋_GBK" w:cs="方正仿宋_GBK"/>
          <w:color w:val="000000" w:themeColor="text1"/>
          <w:sz w:val="28"/>
          <w:szCs w:val="28"/>
          <w:lang w:val="en-US"/>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 xml:space="preserve">    C.基本满意           D.不太满意</w:t>
      </w:r>
    </w:p>
    <w:p>
      <w:pPr>
        <w:pStyle w:val="33"/>
        <w:autoSpaceDE/>
        <w:autoSpaceDN/>
        <w:spacing w:line="560" w:lineRule="exact"/>
        <w:ind w:firstLine="0" w:firstLineChars="0"/>
        <w:rPr>
          <w:rFonts w:ascii="Times New Roman" w:hAnsi="Times New Roman" w:eastAsia="仿宋_GB2312"/>
          <w:color w:val="000000" w:themeColor="text1"/>
          <w14:textFill>
            <w14:solidFill>
              <w14:schemeClr w14:val="tx1"/>
            </w14:solidFill>
          </w14:textFill>
        </w:rPr>
      </w:pPr>
      <w:r>
        <w:rPr>
          <w:rFonts w:hint="eastAsia" w:ascii="Times New Roman" w:hAnsi="Times New Roman" w:eastAsia="方正仿宋_GBK" w:cs="方正仿宋_GBK"/>
          <w:color w:val="000000" w:themeColor="text1"/>
          <w:sz w:val="28"/>
          <w:szCs w:val="28"/>
          <w:lang w:val="en-US"/>
          <w14:textFill>
            <w14:solidFill>
              <w14:schemeClr w14:val="tx1"/>
            </w14:solidFill>
          </w14:textFill>
        </w:rPr>
        <w:t>3、您对青华林场信息化管理系统建设项目2022年度衔接资金项目还有哪些意见或建议？</w:t>
      </w:r>
    </w:p>
    <w:p>
      <w:pPr>
        <w:rPr>
          <w:rFonts w:ascii="Times New Roman" w:hAnsi="Times New Roman"/>
          <w:color w:val="000000" w:themeColor="text1"/>
          <w:lang w:val="en-US"/>
          <w14:textFill>
            <w14:solidFill>
              <w14:schemeClr w14:val="tx1"/>
            </w14:solidFill>
          </w14:textFill>
        </w:rPr>
        <w:sectPr>
          <w:footerReference r:id="rId6" w:type="default"/>
          <w:pgSz w:w="11911" w:h="16838"/>
          <w:pgMar w:top="720" w:right="720" w:bottom="720" w:left="720" w:header="0" w:footer="1196" w:gutter="0"/>
          <w:cols w:space="0" w:num="1"/>
        </w:sectPr>
      </w:pPr>
    </w:p>
    <w:p>
      <w:pPr>
        <w:topLinePunct/>
        <w:autoSpaceDN/>
        <w:spacing w:line="600" w:lineRule="exact"/>
        <w:jc w:val="both"/>
        <w:rPr>
          <w:rFonts w:ascii="Times New Roman" w:hAnsi="Times New Roman" w:eastAsia="方正仿宋_GBK" w:cs="Times New Roman"/>
          <w:bCs/>
          <w:color w:val="000000" w:themeColor="text1"/>
          <w:sz w:val="28"/>
          <w:szCs w:val="28"/>
          <w:lang w:val="en-US" w:bidi="ar-SA"/>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附件4：</w:t>
      </w:r>
    </w:p>
    <w:p>
      <w:pPr>
        <w:topLinePunct/>
        <w:autoSpaceDN/>
        <w:spacing w:line="600" w:lineRule="exact"/>
        <w:jc w:val="center"/>
        <w:rPr>
          <w:rFonts w:ascii="Times New Roman" w:hAnsi="Times New Roman"/>
          <w:color w:val="000000" w:themeColor="text1"/>
          <w:lang w:val="en-US"/>
          <w14:textFill>
            <w14:solidFill>
              <w14:schemeClr w14:val="tx1"/>
            </w14:solidFill>
          </w14:textFill>
        </w:rPr>
      </w:pPr>
      <w:r>
        <w:rPr>
          <w:rFonts w:hint="eastAsia" w:ascii="Times New Roman" w:hAnsi="Times New Roman" w:eastAsia="方正仿宋_GBK" w:cs="Times New Roman"/>
          <w:bCs/>
          <w:color w:val="000000" w:themeColor="text1"/>
          <w:sz w:val="28"/>
          <w:szCs w:val="28"/>
          <w:lang w:val="en-US" w:bidi="ar-SA"/>
          <w14:textFill>
            <w14:solidFill>
              <w14:schemeClr w14:val="tx1"/>
            </w14:solidFill>
          </w14:textFill>
        </w:rPr>
        <w:t>飞如（重庆）企业管理咨询有限公司营业执照复印件</w:t>
      </w:r>
    </w:p>
    <w:p>
      <w:pPr>
        <w:pStyle w:val="2"/>
        <w:jc w:val="center"/>
        <w:rPr>
          <w:rFonts w:ascii="Times New Roman"/>
          <w:color w:val="000000" w:themeColor="text1"/>
          <w14:textFill>
            <w14:solidFill>
              <w14:schemeClr w14:val="tx1"/>
            </w14:solidFill>
          </w14:textFill>
        </w:rPr>
      </w:pPr>
      <w:r>
        <w:rPr>
          <w:rFonts w:hint="eastAsia" w:ascii="Times New Roman" w:eastAsia="方正仿宋_GBK" w:cs="Times New Roman"/>
          <w:bCs/>
          <w:color w:val="auto"/>
          <w:sz w:val="32"/>
          <w:szCs w:val="32"/>
        </w:rPr>
        <w:drawing>
          <wp:inline distT="0" distB="0" distL="114300" distR="114300">
            <wp:extent cx="8415655" cy="6246495"/>
            <wp:effectExtent l="0" t="0" r="1905" b="4445"/>
            <wp:docPr id="7" name="图片 7" descr="5787f7a393c23c99ddd0aca23f07d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787f7a393c23c99ddd0aca23f07d5b"/>
                    <pic:cNvPicPr>
                      <a:picLocks noChangeAspect="1"/>
                    </pic:cNvPicPr>
                  </pic:nvPicPr>
                  <pic:blipFill>
                    <a:blip r:embed="rId13"/>
                    <a:stretch>
                      <a:fillRect/>
                    </a:stretch>
                  </pic:blipFill>
                  <pic:spPr>
                    <a:xfrm rot="16200000">
                      <a:off x="0" y="0"/>
                      <a:ext cx="8415655" cy="6246495"/>
                    </a:xfrm>
                    <a:prstGeom prst="rect">
                      <a:avLst/>
                    </a:prstGeom>
                  </pic:spPr>
                </pic:pic>
              </a:graphicData>
            </a:graphic>
          </wp:inline>
        </w:drawing>
      </w:r>
    </w:p>
    <w:sectPr>
      <w:pgSz w:w="11911" w:h="16838"/>
      <w:pgMar w:top="720" w:right="720" w:bottom="720" w:left="720" w:header="0" w:footer="1196"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7" w:lineRule="exact"/>
      <w:ind w:firstLine="7880"/>
      <w:rPr>
        <w:rFonts w:ascii="宋体" w:hAnsi="宋体" w:eastAsia="宋体" w:cs="宋体"/>
        <w:sz w:val="31"/>
        <w:szCs w:val="31"/>
      </w:rPr>
    </w:pPr>
    <w:r>
      <w:rPr>
        <w:sz w:val="31"/>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7" w:lineRule="exact"/>
      <w:ind w:firstLine="7880"/>
      <w:rPr>
        <w:rFonts w:ascii="宋体" w:hAnsi="宋体" w:eastAsia="宋体" w:cs="宋体"/>
        <w:sz w:val="31"/>
        <w:szCs w:val="3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7" w:lineRule="exact"/>
      <w:ind w:firstLine="7880"/>
      <w:rPr>
        <w:rFonts w:ascii="宋体" w:hAnsi="宋体" w:eastAsia="宋体" w:cs="宋体"/>
        <w:sz w:val="31"/>
        <w:szCs w:val="3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19DCFE"/>
    <w:multiLevelType w:val="singleLevel"/>
    <w:tmpl w:val="6219DCFE"/>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 w:name="KSO_WPS_MARK_KEY" w:val="82e21e38-9e3d-40ec-bfc0-a0cfddabac33"/>
  </w:docVars>
  <w:rsids>
    <w:rsidRoot w:val="006244D5"/>
    <w:rsid w:val="00006C92"/>
    <w:rsid w:val="00044E67"/>
    <w:rsid w:val="00067D85"/>
    <w:rsid w:val="00107FE2"/>
    <w:rsid w:val="00143D9F"/>
    <w:rsid w:val="00172C40"/>
    <w:rsid w:val="00232BCD"/>
    <w:rsid w:val="0025085E"/>
    <w:rsid w:val="00294D91"/>
    <w:rsid w:val="00350296"/>
    <w:rsid w:val="003519E9"/>
    <w:rsid w:val="00352991"/>
    <w:rsid w:val="00376C9D"/>
    <w:rsid w:val="003E751F"/>
    <w:rsid w:val="003F4C96"/>
    <w:rsid w:val="004156B2"/>
    <w:rsid w:val="004256AC"/>
    <w:rsid w:val="004E2A63"/>
    <w:rsid w:val="00512410"/>
    <w:rsid w:val="00514B21"/>
    <w:rsid w:val="00523B0B"/>
    <w:rsid w:val="00565E7A"/>
    <w:rsid w:val="00567882"/>
    <w:rsid w:val="005933F6"/>
    <w:rsid w:val="00622901"/>
    <w:rsid w:val="006244D5"/>
    <w:rsid w:val="007854F0"/>
    <w:rsid w:val="00790E96"/>
    <w:rsid w:val="007A2C8E"/>
    <w:rsid w:val="0080255A"/>
    <w:rsid w:val="0085035C"/>
    <w:rsid w:val="008B4C57"/>
    <w:rsid w:val="00962C40"/>
    <w:rsid w:val="009646E8"/>
    <w:rsid w:val="009977D2"/>
    <w:rsid w:val="009F3F38"/>
    <w:rsid w:val="009F7BF0"/>
    <w:rsid w:val="00A0423D"/>
    <w:rsid w:val="00AD1B99"/>
    <w:rsid w:val="00AF0EA2"/>
    <w:rsid w:val="00B46918"/>
    <w:rsid w:val="00B6295F"/>
    <w:rsid w:val="00B642C0"/>
    <w:rsid w:val="00B90E25"/>
    <w:rsid w:val="00BF37F2"/>
    <w:rsid w:val="00C037D8"/>
    <w:rsid w:val="00C06598"/>
    <w:rsid w:val="00C54474"/>
    <w:rsid w:val="00C56A01"/>
    <w:rsid w:val="00C634A5"/>
    <w:rsid w:val="00C95821"/>
    <w:rsid w:val="00CB6D47"/>
    <w:rsid w:val="00D5495D"/>
    <w:rsid w:val="00D770D1"/>
    <w:rsid w:val="00D851B9"/>
    <w:rsid w:val="00DB15D5"/>
    <w:rsid w:val="00E17F6D"/>
    <w:rsid w:val="00E21C6F"/>
    <w:rsid w:val="00E331D9"/>
    <w:rsid w:val="00E364A1"/>
    <w:rsid w:val="00E37CAE"/>
    <w:rsid w:val="00E41BAD"/>
    <w:rsid w:val="00E962AD"/>
    <w:rsid w:val="00EC0D7C"/>
    <w:rsid w:val="00FB4547"/>
    <w:rsid w:val="00FD1046"/>
    <w:rsid w:val="00FD63A0"/>
    <w:rsid w:val="010F0AC6"/>
    <w:rsid w:val="012A342E"/>
    <w:rsid w:val="01450273"/>
    <w:rsid w:val="015A3F5B"/>
    <w:rsid w:val="016559B0"/>
    <w:rsid w:val="01683783"/>
    <w:rsid w:val="01787946"/>
    <w:rsid w:val="01895066"/>
    <w:rsid w:val="019874FD"/>
    <w:rsid w:val="01A16D45"/>
    <w:rsid w:val="01BA268A"/>
    <w:rsid w:val="01D55DDE"/>
    <w:rsid w:val="01EF25A1"/>
    <w:rsid w:val="02003D01"/>
    <w:rsid w:val="021C29C7"/>
    <w:rsid w:val="02290C40"/>
    <w:rsid w:val="02353A89"/>
    <w:rsid w:val="02594BB4"/>
    <w:rsid w:val="026F3444"/>
    <w:rsid w:val="02705979"/>
    <w:rsid w:val="029C6870"/>
    <w:rsid w:val="029D33DC"/>
    <w:rsid w:val="029E04B7"/>
    <w:rsid w:val="02A172F7"/>
    <w:rsid w:val="02BA0C0F"/>
    <w:rsid w:val="02C42123"/>
    <w:rsid w:val="02E252C9"/>
    <w:rsid w:val="02ED60E0"/>
    <w:rsid w:val="02F9038C"/>
    <w:rsid w:val="031102F2"/>
    <w:rsid w:val="03166721"/>
    <w:rsid w:val="0317318F"/>
    <w:rsid w:val="031E276F"/>
    <w:rsid w:val="035C5045"/>
    <w:rsid w:val="03806EEB"/>
    <w:rsid w:val="038250C9"/>
    <w:rsid w:val="03A07CD8"/>
    <w:rsid w:val="03C30C20"/>
    <w:rsid w:val="03C90905"/>
    <w:rsid w:val="03EA03D9"/>
    <w:rsid w:val="03EC404F"/>
    <w:rsid w:val="042104B6"/>
    <w:rsid w:val="046F1E35"/>
    <w:rsid w:val="046F36B0"/>
    <w:rsid w:val="04793EA6"/>
    <w:rsid w:val="047D5273"/>
    <w:rsid w:val="04926CC9"/>
    <w:rsid w:val="04B0662E"/>
    <w:rsid w:val="04C81350"/>
    <w:rsid w:val="04DC40FC"/>
    <w:rsid w:val="04EE3780"/>
    <w:rsid w:val="04F512AE"/>
    <w:rsid w:val="04F82B4C"/>
    <w:rsid w:val="05083A6D"/>
    <w:rsid w:val="05240026"/>
    <w:rsid w:val="055661F0"/>
    <w:rsid w:val="055B0EDE"/>
    <w:rsid w:val="057926AF"/>
    <w:rsid w:val="05972CC9"/>
    <w:rsid w:val="05987035"/>
    <w:rsid w:val="05A30AD4"/>
    <w:rsid w:val="05B13426"/>
    <w:rsid w:val="060C0684"/>
    <w:rsid w:val="067E7102"/>
    <w:rsid w:val="06A44E95"/>
    <w:rsid w:val="06B329A9"/>
    <w:rsid w:val="06B331CE"/>
    <w:rsid w:val="06C175FD"/>
    <w:rsid w:val="06DA2E91"/>
    <w:rsid w:val="06EB46EA"/>
    <w:rsid w:val="06FE6D53"/>
    <w:rsid w:val="07083A18"/>
    <w:rsid w:val="0711795A"/>
    <w:rsid w:val="076609DD"/>
    <w:rsid w:val="07666493"/>
    <w:rsid w:val="077B0190"/>
    <w:rsid w:val="077F71B4"/>
    <w:rsid w:val="079B2C23"/>
    <w:rsid w:val="07AB17E5"/>
    <w:rsid w:val="07B37081"/>
    <w:rsid w:val="07F5211D"/>
    <w:rsid w:val="07FE2B6F"/>
    <w:rsid w:val="081F06C9"/>
    <w:rsid w:val="082D69F6"/>
    <w:rsid w:val="082F71DB"/>
    <w:rsid w:val="083E7AE7"/>
    <w:rsid w:val="08530B39"/>
    <w:rsid w:val="0863197F"/>
    <w:rsid w:val="08C3672A"/>
    <w:rsid w:val="08C6368D"/>
    <w:rsid w:val="08D37B58"/>
    <w:rsid w:val="08F137D2"/>
    <w:rsid w:val="08F858A4"/>
    <w:rsid w:val="09044958"/>
    <w:rsid w:val="09357E7F"/>
    <w:rsid w:val="0965108F"/>
    <w:rsid w:val="098A5507"/>
    <w:rsid w:val="098C6D85"/>
    <w:rsid w:val="098D2B78"/>
    <w:rsid w:val="09934E69"/>
    <w:rsid w:val="09A97220"/>
    <w:rsid w:val="09C86CDE"/>
    <w:rsid w:val="09F5047C"/>
    <w:rsid w:val="0A1874BB"/>
    <w:rsid w:val="0A2A3A2F"/>
    <w:rsid w:val="0A316AA0"/>
    <w:rsid w:val="0A3F72FF"/>
    <w:rsid w:val="0A625A99"/>
    <w:rsid w:val="0A6673DA"/>
    <w:rsid w:val="0AA172D2"/>
    <w:rsid w:val="0ABD2B14"/>
    <w:rsid w:val="0B1F3CF3"/>
    <w:rsid w:val="0B446AEB"/>
    <w:rsid w:val="0B534AEA"/>
    <w:rsid w:val="0B5367F4"/>
    <w:rsid w:val="0B7A453D"/>
    <w:rsid w:val="0B884C29"/>
    <w:rsid w:val="0BAE0408"/>
    <w:rsid w:val="0BBD516A"/>
    <w:rsid w:val="0BD2312D"/>
    <w:rsid w:val="0C547C5B"/>
    <w:rsid w:val="0C6D50DA"/>
    <w:rsid w:val="0CB50AAE"/>
    <w:rsid w:val="0CCF50FB"/>
    <w:rsid w:val="0CE52586"/>
    <w:rsid w:val="0CE852BF"/>
    <w:rsid w:val="0D2C1532"/>
    <w:rsid w:val="0D426E03"/>
    <w:rsid w:val="0D842B28"/>
    <w:rsid w:val="0D8F2CA4"/>
    <w:rsid w:val="0DC112E7"/>
    <w:rsid w:val="0DC31C70"/>
    <w:rsid w:val="0DD417AA"/>
    <w:rsid w:val="0DE34E63"/>
    <w:rsid w:val="0DED5359"/>
    <w:rsid w:val="0E2E6128"/>
    <w:rsid w:val="0E4017EB"/>
    <w:rsid w:val="0E4B304F"/>
    <w:rsid w:val="0E53520E"/>
    <w:rsid w:val="0E5F38A6"/>
    <w:rsid w:val="0EAD08CB"/>
    <w:rsid w:val="0EC75580"/>
    <w:rsid w:val="0ED65CAC"/>
    <w:rsid w:val="0ED7055A"/>
    <w:rsid w:val="0EE86771"/>
    <w:rsid w:val="0EEA4D73"/>
    <w:rsid w:val="0F133A47"/>
    <w:rsid w:val="0F3D0999"/>
    <w:rsid w:val="0F621B73"/>
    <w:rsid w:val="0F6F0288"/>
    <w:rsid w:val="0F8B4523"/>
    <w:rsid w:val="0F917E25"/>
    <w:rsid w:val="0FBA495B"/>
    <w:rsid w:val="0FBA5DEB"/>
    <w:rsid w:val="0FD214A3"/>
    <w:rsid w:val="10072DB1"/>
    <w:rsid w:val="103B592F"/>
    <w:rsid w:val="10480502"/>
    <w:rsid w:val="10590F9C"/>
    <w:rsid w:val="108E438F"/>
    <w:rsid w:val="109B0B7C"/>
    <w:rsid w:val="10B55C89"/>
    <w:rsid w:val="10E65189"/>
    <w:rsid w:val="10EA5A3E"/>
    <w:rsid w:val="10EE19D3"/>
    <w:rsid w:val="112151E6"/>
    <w:rsid w:val="115B2DE0"/>
    <w:rsid w:val="115B7B25"/>
    <w:rsid w:val="11824F75"/>
    <w:rsid w:val="1189460F"/>
    <w:rsid w:val="118D7DA0"/>
    <w:rsid w:val="11B31EB9"/>
    <w:rsid w:val="11B60B2B"/>
    <w:rsid w:val="11B90F2C"/>
    <w:rsid w:val="11BA77DC"/>
    <w:rsid w:val="11BB7121"/>
    <w:rsid w:val="121F6908"/>
    <w:rsid w:val="126A07BD"/>
    <w:rsid w:val="12A40C96"/>
    <w:rsid w:val="12AA4FE8"/>
    <w:rsid w:val="12C7422C"/>
    <w:rsid w:val="12EF7287"/>
    <w:rsid w:val="130F5F5B"/>
    <w:rsid w:val="139B6C01"/>
    <w:rsid w:val="13E41F25"/>
    <w:rsid w:val="13F90453"/>
    <w:rsid w:val="1404150D"/>
    <w:rsid w:val="140572D4"/>
    <w:rsid w:val="14347C98"/>
    <w:rsid w:val="14590AE5"/>
    <w:rsid w:val="14681AE4"/>
    <w:rsid w:val="149503B7"/>
    <w:rsid w:val="14AF695E"/>
    <w:rsid w:val="14B23F21"/>
    <w:rsid w:val="14BB15B7"/>
    <w:rsid w:val="14C21CB9"/>
    <w:rsid w:val="14E71FA9"/>
    <w:rsid w:val="15362824"/>
    <w:rsid w:val="15516C94"/>
    <w:rsid w:val="159F7737"/>
    <w:rsid w:val="15B42132"/>
    <w:rsid w:val="15BA3129"/>
    <w:rsid w:val="15C4237D"/>
    <w:rsid w:val="15E72E94"/>
    <w:rsid w:val="15E738E4"/>
    <w:rsid w:val="15F871B9"/>
    <w:rsid w:val="15F91407"/>
    <w:rsid w:val="16044DC6"/>
    <w:rsid w:val="16585AA6"/>
    <w:rsid w:val="16743D7A"/>
    <w:rsid w:val="16881768"/>
    <w:rsid w:val="169D77CF"/>
    <w:rsid w:val="16D669B7"/>
    <w:rsid w:val="16E752D0"/>
    <w:rsid w:val="16F9788C"/>
    <w:rsid w:val="17132F77"/>
    <w:rsid w:val="173A5BFF"/>
    <w:rsid w:val="17416797"/>
    <w:rsid w:val="174942C0"/>
    <w:rsid w:val="174B7C36"/>
    <w:rsid w:val="17580B1C"/>
    <w:rsid w:val="17A02689"/>
    <w:rsid w:val="17A65E45"/>
    <w:rsid w:val="17B85B31"/>
    <w:rsid w:val="17CB398B"/>
    <w:rsid w:val="17CC3931"/>
    <w:rsid w:val="17FA6EAF"/>
    <w:rsid w:val="18074676"/>
    <w:rsid w:val="180B65AB"/>
    <w:rsid w:val="18172726"/>
    <w:rsid w:val="18187942"/>
    <w:rsid w:val="182E0B2E"/>
    <w:rsid w:val="18521F51"/>
    <w:rsid w:val="1856622E"/>
    <w:rsid w:val="18FA0228"/>
    <w:rsid w:val="18FF6BF1"/>
    <w:rsid w:val="1912647A"/>
    <w:rsid w:val="191A066E"/>
    <w:rsid w:val="193667C5"/>
    <w:rsid w:val="19484C7F"/>
    <w:rsid w:val="19681EC7"/>
    <w:rsid w:val="196D49B7"/>
    <w:rsid w:val="197314D4"/>
    <w:rsid w:val="1983795E"/>
    <w:rsid w:val="19870158"/>
    <w:rsid w:val="19BB0C68"/>
    <w:rsid w:val="19BC3524"/>
    <w:rsid w:val="19C27C72"/>
    <w:rsid w:val="19CB55E1"/>
    <w:rsid w:val="19DA7C15"/>
    <w:rsid w:val="19EB27D8"/>
    <w:rsid w:val="1A314890"/>
    <w:rsid w:val="1A807514"/>
    <w:rsid w:val="1AA4245F"/>
    <w:rsid w:val="1ABA6F1D"/>
    <w:rsid w:val="1AD87B7D"/>
    <w:rsid w:val="1ADC6053"/>
    <w:rsid w:val="1ADF004E"/>
    <w:rsid w:val="1B1D48D7"/>
    <w:rsid w:val="1B56156C"/>
    <w:rsid w:val="1B656C9B"/>
    <w:rsid w:val="1B775C21"/>
    <w:rsid w:val="1B81713C"/>
    <w:rsid w:val="1B861F29"/>
    <w:rsid w:val="1B8E7547"/>
    <w:rsid w:val="1B9E5DA3"/>
    <w:rsid w:val="1BAE55F8"/>
    <w:rsid w:val="1BB014E2"/>
    <w:rsid w:val="1BED1EC2"/>
    <w:rsid w:val="1BEE68D0"/>
    <w:rsid w:val="1BEF1511"/>
    <w:rsid w:val="1C0978C6"/>
    <w:rsid w:val="1C6A6503"/>
    <w:rsid w:val="1CA85066"/>
    <w:rsid w:val="1CE80A97"/>
    <w:rsid w:val="1D036703"/>
    <w:rsid w:val="1D162AF5"/>
    <w:rsid w:val="1D181666"/>
    <w:rsid w:val="1D183F2A"/>
    <w:rsid w:val="1D1C4952"/>
    <w:rsid w:val="1D213F28"/>
    <w:rsid w:val="1D5726AE"/>
    <w:rsid w:val="1D690CE3"/>
    <w:rsid w:val="1D8B05A9"/>
    <w:rsid w:val="1DC238A2"/>
    <w:rsid w:val="1DD1262B"/>
    <w:rsid w:val="1DF20AF5"/>
    <w:rsid w:val="1E0404CC"/>
    <w:rsid w:val="1E232711"/>
    <w:rsid w:val="1E242AE4"/>
    <w:rsid w:val="1E414B44"/>
    <w:rsid w:val="1E430C83"/>
    <w:rsid w:val="1E4D3E8D"/>
    <w:rsid w:val="1E52218C"/>
    <w:rsid w:val="1E5F309E"/>
    <w:rsid w:val="1E8862E1"/>
    <w:rsid w:val="1E963843"/>
    <w:rsid w:val="1E9F5DBC"/>
    <w:rsid w:val="1EB479C7"/>
    <w:rsid w:val="1EBC0D15"/>
    <w:rsid w:val="1EDC4E98"/>
    <w:rsid w:val="1EEC0D97"/>
    <w:rsid w:val="1F186FC2"/>
    <w:rsid w:val="1F25612C"/>
    <w:rsid w:val="1F273937"/>
    <w:rsid w:val="1F3268A8"/>
    <w:rsid w:val="1F346211"/>
    <w:rsid w:val="1F383EEA"/>
    <w:rsid w:val="1F3D5929"/>
    <w:rsid w:val="1F51312D"/>
    <w:rsid w:val="1F75506D"/>
    <w:rsid w:val="1F9C1140"/>
    <w:rsid w:val="1F9E5604"/>
    <w:rsid w:val="1FEF3661"/>
    <w:rsid w:val="20126D60"/>
    <w:rsid w:val="20141263"/>
    <w:rsid w:val="201C701D"/>
    <w:rsid w:val="2022655D"/>
    <w:rsid w:val="20245242"/>
    <w:rsid w:val="204B6E64"/>
    <w:rsid w:val="207E0A2F"/>
    <w:rsid w:val="20852F5B"/>
    <w:rsid w:val="209938BA"/>
    <w:rsid w:val="20A822D2"/>
    <w:rsid w:val="20DC578E"/>
    <w:rsid w:val="211C506A"/>
    <w:rsid w:val="212F76CD"/>
    <w:rsid w:val="213F5A5C"/>
    <w:rsid w:val="215221FA"/>
    <w:rsid w:val="216953D5"/>
    <w:rsid w:val="217D5FB8"/>
    <w:rsid w:val="218E50EE"/>
    <w:rsid w:val="21916A1F"/>
    <w:rsid w:val="21DE0A18"/>
    <w:rsid w:val="21EF55AB"/>
    <w:rsid w:val="22014A35"/>
    <w:rsid w:val="226B069B"/>
    <w:rsid w:val="22731DD5"/>
    <w:rsid w:val="229009FF"/>
    <w:rsid w:val="229D2BF1"/>
    <w:rsid w:val="22A0270B"/>
    <w:rsid w:val="22D7355D"/>
    <w:rsid w:val="22E96DB0"/>
    <w:rsid w:val="22EB15A1"/>
    <w:rsid w:val="230C58A1"/>
    <w:rsid w:val="23120782"/>
    <w:rsid w:val="233F3995"/>
    <w:rsid w:val="2346360F"/>
    <w:rsid w:val="234B5AEE"/>
    <w:rsid w:val="23A12A5F"/>
    <w:rsid w:val="23B13C20"/>
    <w:rsid w:val="23B34EF1"/>
    <w:rsid w:val="23C82878"/>
    <w:rsid w:val="23D45BCF"/>
    <w:rsid w:val="23D62E94"/>
    <w:rsid w:val="23E32EED"/>
    <w:rsid w:val="23F2659B"/>
    <w:rsid w:val="240161FD"/>
    <w:rsid w:val="2416234E"/>
    <w:rsid w:val="2449193A"/>
    <w:rsid w:val="244E44AC"/>
    <w:rsid w:val="244F7307"/>
    <w:rsid w:val="245120C3"/>
    <w:rsid w:val="247753E3"/>
    <w:rsid w:val="247817E2"/>
    <w:rsid w:val="24D76C97"/>
    <w:rsid w:val="24D9609E"/>
    <w:rsid w:val="24DF4C76"/>
    <w:rsid w:val="25126491"/>
    <w:rsid w:val="252539F1"/>
    <w:rsid w:val="252860EE"/>
    <w:rsid w:val="254B24E9"/>
    <w:rsid w:val="25565941"/>
    <w:rsid w:val="25631DA5"/>
    <w:rsid w:val="256A5E8B"/>
    <w:rsid w:val="2578281E"/>
    <w:rsid w:val="259124D5"/>
    <w:rsid w:val="25C30CC5"/>
    <w:rsid w:val="25D15A56"/>
    <w:rsid w:val="25F1402B"/>
    <w:rsid w:val="26131D32"/>
    <w:rsid w:val="261C3F69"/>
    <w:rsid w:val="26334646"/>
    <w:rsid w:val="26703483"/>
    <w:rsid w:val="267A55B4"/>
    <w:rsid w:val="26D73717"/>
    <w:rsid w:val="26D81377"/>
    <w:rsid w:val="26FC5277"/>
    <w:rsid w:val="27014240"/>
    <w:rsid w:val="270D7685"/>
    <w:rsid w:val="27194799"/>
    <w:rsid w:val="271F6352"/>
    <w:rsid w:val="27383287"/>
    <w:rsid w:val="278A5BD4"/>
    <w:rsid w:val="279C6C3D"/>
    <w:rsid w:val="27B83F68"/>
    <w:rsid w:val="27DC2E17"/>
    <w:rsid w:val="27F86AFA"/>
    <w:rsid w:val="27FF2675"/>
    <w:rsid w:val="28062143"/>
    <w:rsid w:val="28212DE4"/>
    <w:rsid w:val="2828411B"/>
    <w:rsid w:val="28377723"/>
    <w:rsid w:val="283D1C10"/>
    <w:rsid w:val="28453634"/>
    <w:rsid w:val="286330A7"/>
    <w:rsid w:val="287F6F5C"/>
    <w:rsid w:val="288264BF"/>
    <w:rsid w:val="288822B5"/>
    <w:rsid w:val="28A10753"/>
    <w:rsid w:val="28C73273"/>
    <w:rsid w:val="28CE6B0E"/>
    <w:rsid w:val="290F11CF"/>
    <w:rsid w:val="2912437C"/>
    <w:rsid w:val="29190EF5"/>
    <w:rsid w:val="291C141B"/>
    <w:rsid w:val="292F7EA3"/>
    <w:rsid w:val="293042C6"/>
    <w:rsid w:val="293729A5"/>
    <w:rsid w:val="295C1F92"/>
    <w:rsid w:val="299562FB"/>
    <w:rsid w:val="29AA0009"/>
    <w:rsid w:val="29C56E8D"/>
    <w:rsid w:val="29E654E5"/>
    <w:rsid w:val="29EE17D8"/>
    <w:rsid w:val="2A1A6F3D"/>
    <w:rsid w:val="2A34684B"/>
    <w:rsid w:val="2A4454A6"/>
    <w:rsid w:val="2A50414F"/>
    <w:rsid w:val="2A5C7555"/>
    <w:rsid w:val="2A790DDA"/>
    <w:rsid w:val="2A8D5A53"/>
    <w:rsid w:val="2A9A0B9D"/>
    <w:rsid w:val="2A9A247E"/>
    <w:rsid w:val="2AD00C84"/>
    <w:rsid w:val="2AD23B54"/>
    <w:rsid w:val="2AEB5F9F"/>
    <w:rsid w:val="2B017C78"/>
    <w:rsid w:val="2B166B29"/>
    <w:rsid w:val="2B192634"/>
    <w:rsid w:val="2B1D6E01"/>
    <w:rsid w:val="2B342032"/>
    <w:rsid w:val="2B5E27E9"/>
    <w:rsid w:val="2B6B38AD"/>
    <w:rsid w:val="2B805EE8"/>
    <w:rsid w:val="2BAA530D"/>
    <w:rsid w:val="2BDB4839"/>
    <w:rsid w:val="2C106027"/>
    <w:rsid w:val="2C2D6333"/>
    <w:rsid w:val="2C484235"/>
    <w:rsid w:val="2CC16941"/>
    <w:rsid w:val="2CD072F7"/>
    <w:rsid w:val="2D051035"/>
    <w:rsid w:val="2D1847C8"/>
    <w:rsid w:val="2D1A3E74"/>
    <w:rsid w:val="2D625BDF"/>
    <w:rsid w:val="2DA21206"/>
    <w:rsid w:val="2DA47E3B"/>
    <w:rsid w:val="2DD15E75"/>
    <w:rsid w:val="2DE83402"/>
    <w:rsid w:val="2E4915DD"/>
    <w:rsid w:val="2E555585"/>
    <w:rsid w:val="2E9F0E21"/>
    <w:rsid w:val="2EC21E8A"/>
    <w:rsid w:val="2ED0377B"/>
    <w:rsid w:val="2ED41554"/>
    <w:rsid w:val="2EE36470"/>
    <w:rsid w:val="2EEC43A2"/>
    <w:rsid w:val="2EEC7CD3"/>
    <w:rsid w:val="2F184386"/>
    <w:rsid w:val="2F3D28DF"/>
    <w:rsid w:val="2F7D494F"/>
    <w:rsid w:val="2F872A1B"/>
    <w:rsid w:val="2FA42F3F"/>
    <w:rsid w:val="2FAE64B8"/>
    <w:rsid w:val="2FD460A4"/>
    <w:rsid w:val="2FDB0F1C"/>
    <w:rsid w:val="2FE35DAB"/>
    <w:rsid w:val="2FE93B75"/>
    <w:rsid w:val="30003A0B"/>
    <w:rsid w:val="30225FFD"/>
    <w:rsid w:val="302A3C52"/>
    <w:rsid w:val="30663B02"/>
    <w:rsid w:val="307C739B"/>
    <w:rsid w:val="30825EAE"/>
    <w:rsid w:val="308D5815"/>
    <w:rsid w:val="30F319F4"/>
    <w:rsid w:val="30F53D11"/>
    <w:rsid w:val="30FF07C0"/>
    <w:rsid w:val="310A2CCF"/>
    <w:rsid w:val="310A7178"/>
    <w:rsid w:val="31590030"/>
    <w:rsid w:val="317B0A9C"/>
    <w:rsid w:val="31BA675B"/>
    <w:rsid w:val="31C15B7B"/>
    <w:rsid w:val="31C83A3D"/>
    <w:rsid w:val="31FF107D"/>
    <w:rsid w:val="320D3FAF"/>
    <w:rsid w:val="326F5AEB"/>
    <w:rsid w:val="327654B7"/>
    <w:rsid w:val="328775EE"/>
    <w:rsid w:val="32A76A85"/>
    <w:rsid w:val="32BA4CAB"/>
    <w:rsid w:val="32D06BD2"/>
    <w:rsid w:val="335860FC"/>
    <w:rsid w:val="338D5AB7"/>
    <w:rsid w:val="339C7C8B"/>
    <w:rsid w:val="33D66908"/>
    <w:rsid w:val="33FD5811"/>
    <w:rsid w:val="34125C7E"/>
    <w:rsid w:val="34471347"/>
    <w:rsid w:val="345937F0"/>
    <w:rsid w:val="348C2DFC"/>
    <w:rsid w:val="34B53B87"/>
    <w:rsid w:val="350A6CCB"/>
    <w:rsid w:val="3525715A"/>
    <w:rsid w:val="352C3C1A"/>
    <w:rsid w:val="35503A46"/>
    <w:rsid w:val="35792A67"/>
    <w:rsid w:val="3582328F"/>
    <w:rsid w:val="35980838"/>
    <w:rsid w:val="35AD335B"/>
    <w:rsid w:val="35C96FCE"/>
    <w:rsid w:val="35CC2EB2"/>
    <w:rsid w:val="35D501BC"/>
    <w:rsid w:val="35DB576F"/>
    <w:rsid w:val="35F63027"/>
    <w:rsid w:val="35F93D60"/>
    <w:rsid w:val="36053541"/>
    <w:rsid w:val="360E0E48"/>
    <w:rsid w:val="36121410"/>
    <w:rsid w:val="36435A6D"/>
    <w:rsid w:val="36602F53"/>
    <w:rsid w:val="36735AD6"/>
    <w:rsid w:val="36AA3C6A"/>
    <w:rsid w:val="36DE3E63"/>
    <w:rsid w:val="36DF0081"/>
    <w:rsid w:val="36E15DBA"/>
    <w:rsid w:val="372458E9"/>
    <w:rsid w:val="376123C1"/>
    <w:rsid w:val="37625BCA"/>
    <w:rsid w:val="3778343C"/>
    <w:rsid w:val="377A726D"/>
    <w:rsid w:val="37DB2E1F"/>
    <w:rsid w:val="37F83CDF"/>
    <w:rsid w:val="38047E90"/>
    <w:rsid w:val="381A2CF4"/>
    <w:rsid w:val="38386B27"/>
    <w:rsid w:val="384D3875"/>
    <w:rsid w:val="38540446"/>
    <w:rsid w:val="385E2DC0"/>
    <w:rsid w:val="385F3343"/>
    <w:rsid w:val="38C11CBD"/>
    <w:rsid w:val="39060703"/>
    <w:rsid w:val="39376D02"/>
    <w:rsid w:val="39871166"/>
    <w:rsid w:val="39873B11"/>
    <w:rsid w:val="398B750F"/>
    <w:rsid w:val="399A59DB"/>
    <w:rsid w:val="39A2484C"/>
    <w:rsid w:val="39AF7E03"/>
    <w:rsid w:val="39B052D2"/>
    <w:rsid w:val="39CD1B01"/>
    <w:rsid w:val="39DE4D17"/>
    <w:rsid w:val="39E41315"/>
    <w:rsid w:val="39E745A6"/>
    <w:rsid w:val="39FA7CB2"/>
    <w:rsid w:val="39FD310A"/>
    <w:rsid w:val="3A1453C1"/>
    <w:rsid w:val="3A3E4831"/>
    <w:rsid w:val="3A7625CE"/>
    <w:rsid w:val="3A876EC2"/>
    <w:rsid w:val="3AD348E0"/>
    <w:rsid w:val="3ADC4FFF"/>
    <w:rsid w:val="3AEF1E6D"/>
    <w:rsid w:val="3B054178"/>
    <w:rsid w:val="3B10428E"/>
    <w:rsid w:val="3B1F301B"/>
    <w:rsid w:val="3B6E3A27"/>
    <w:rsid w:val="3B784F71"/>
    <w:rsid w:val="3B7B161F"/>
    <w:rsid w:val="3B9D3BD6"/>
    <w:rsid w:val="3BCE2ED2"/>
    <w:rsid w:val="3C207F65"/>
    <w:rsid w:val="3C27170E"/>
    <w:rsid w:val="3C364192"/>
    <w:rsid w:val="3C8446EA"/>
    <w:rsid w:val="3C86638F"/>
    <w:rsid w:val="3C8A7F52"/>
    <w:rsid w:val="3C9C357C"/>
    <w:rsid w:val="3CA342DD"/>
    <w:rsid w:val="3CAD2A9D"/>
    <w:rsid w:val="3CAF4F95"/>
    <w:rsid w:val="3CB10672"/>
    <w:rsid w:val="3CC01978"/>
    <w:rsid w:val="3CD967E3"/>
    <w:rsid w:val="3CF33CCC"/>
    <w:rsid w:val="3D2E44BF"/>
    <w:rsid w:val="3D385409"/>
    <w:rsid w:val="3D450A35"/>
    <w:rsid w:val="3D600ED4"/>
    <w:rsid w:val="3D963862"/>
    <w:rsid w:val="3D9E1559"/>
    <w:rsid w:val="3DAA5760"/>
    <w:rsid w:val="3DB46D0B"/>
    <w:rsid w:val="3DC92CFC"/>
    <w:rsid w:val="3DE67FB2"/>
    <w:rsid w:val="3E32264F"/>
    <w:rsid w:val="3E597DC7"/>
    <w:rsid w:val="3E8D1E9E"/>
    <w:rsid w:val="3E95332D"/>
    <w:rsid w:val="3EA206CB"/>
    <w:rsid w:val="3ED100BA"/>
    <w:rsid w:val="3EE82646"/>
    <w:rsid w:val="3F2E1C22"/>
    <w:rsid w:val="3F7B0026"/>
    <w:rsid w:val="3F9872BD"/>
    <w:rsid w:val="3FA717FA"/>
    <w:rsid w:val="3FE20D64"/>
    <w:rsid w:val="3FF316B1"/>
    <w:rsid w:val="3FF81456"/>
    <w:rsid w:val="401720E5"/>
    <w:rsid w:val="40183AC7"/>
    <w:rsid w:val="4029372F"/>
    <w:rsid w:val="402D275C"/>
    <w:rsid w:val="404E158E"/>
    <w:rsid w:val="40500482"/>
    <w:rsid w:val="40594958"/>
    <w:rsid w:val="405E05B5"/>
    <w:rsid w:val="406263D6"/>
    <w:rsid w:val="406330A4"/>
    <w:rsid w:val="407E0125"/>
    <w:rsid w:val="409D6B76"/>
    <w:rsid w:val="40A35A72"/>
    <w:rsid w:val="40D03FEE"/>
    <w:rsid w:val="40EF73D4"/>
    <w:rsid w:val="410563DD"/>
    <w:rsid w:val="410818CC"/>
    <w:rsid w:val="410C38D9"/>
    <w:rsid w:val="41161CB7"/>
    <w:rsid w:val="4122577B"/>
    <w:rsid w:val="414348DF"/>
    <w:rsid w:val="41436A02"/>
    <w:rsid w:val="4176237F"/>
    <w:rsid w:val="41821292"/>
    <w:rsid w:val="418756F4"/>
    <w:rsid w:val="418B0293"/>
    <w:rsid w:val="418B5436"/>
    <w:rsid w:val="41AC267E"/>
    <w:rsid w:val="41AF045B"/>
    <w:rsid w:val="41B67C34"/>
    <w:rsid w:val="41C8158D"/>
    <w:rsid w:val="41CE2F2A"/>
    <w:rsid w:val="41DB4818"/>
    <w:rsid w:val="41E63DC8"/>
    <w:rsid w:val="41ED06D7"/>
    <w:rsid w:val="41FB36A0"/>
    <w:rsid w:val="42230D34"/>
    <w:rsid w:val="42BF7FF3"/>
    <w:rsid w:val="42FA0102"/>
    <w:rsid w:val="42FE3C2B"/>
    <w:rsid w:val="432D0083"/>
    <w:rsid w:val="43557DEF"/>
    <w:rsid w:val="435905E4"/>
    <w:rsid w:val="43721FF5"/>
    <w:rsid w:val="4384413B"/>
    <w:rsid w:val="43C72595"/>
    <w:rsid w:val="43EA221D"/>
    <w:rsid w:val="43FB634F"/>
    <w:rsid w:val="43FD36FF"/>
    <w:rsid w:val="44414E08"/>
    <w:rsid w:val="44557097"/>
    <w:rsid w:val="447162F6"/>
    <w:rsid w:val="447C0600"/>
    <w:rsid w:val="44877D74"/>
    <w:rsid w:val="448B4867"/>
    <w:rsid w:val="45356EC9"/>
    <w:rsid w:val="454B3FF6"/>
    <w:rsid w:val="4571395B"/>
    <w:rsid w:val="4579507B"/>
    <w:rsid w:val="45A77C24"/>
    <w:rsid w:val="45EF6A40"/>
    <w:rsid w:val="45FB180F"/>
    <w:rsid w:val="460236E1"/>
    <w:rsid w:val="4633371B"/>
    <w:rsid w:val="463B4324"/>
    <w:rsid w:val="46577051"/>
    <w:rsid w:val="467F21AA"/>
    <w:rsid w:val="468273E7"/>
    <w:rsid w:val="469973CA"/>
    <w:rsid w:val="46B54692"/>
    <w:rsid w:val="46B6369B"/>
    <w:rsid w:val="46BA58D8"/>
    <w:rsid w:val="46BD4085"/>
    <w:rsid w:val="46E57B7C"/>
    <w:rsid w:val="47201C8D"/>
    <w:rsid w:val="47A03F0A"/>
    <w:rsid w:val="47A4436E"/>
    <w:rsid w:val="47AF799A"/>
    <w:rsid w:val="47B82258"/>
    <w:rsid w:val="47C914E4"/>
    <w:rsid w:val="47C954FA"/>
    <w:rsid w:val="47DA7B13"/>
    <w:rsid w:val="47DC506E"/>
    <w:rsid w:val="47F35602"/>
    <w:rsid w:val="481B05F8"/>
    <w:rsid w:val="486B6508"/>
    <w:rsid w:val="487336F2"/>
    <w:rsid w:val="488D2019"/>
    <w:rsid w:val="489B3EA5"/>
    <w:rsid w:val="48CF0C62"/>
    <w:rsid w:val="48F0738F"/>
    <w:rsid w:val="490F18E4"/>
    <w:rsid w:val="49611CA6"/>
    <w:rsid w:val="49634572"/>
    <w:rsid w:val="49635DB3"/>
    <w:rsid w:val="49663916"/>
    <w:rsid w:val="49780211"/>
    <w:rsid w:val="4984777C"/>
    <w:rsid w:val="4A0D21C2"/>
    <w:rsid w:val="4A4765E8"/>
    <w:rsid w:val="4A4D24B3"/>
    <w:rsid w:val="4A5834AA"/>
    <w:rsid w:val="4A6024A5"/>
    <w:rsid w:val="4A665290"/>
    <w:rsid w:val="4A6C6703"/>
    <w:rsid w:val="4A760296"/>
    <w:rsid w:val="4A9A704A"/>
    <w:rsid w:val="4AD0468A"/>
    <w:rsid w:val="4ADF571F"/>
    <w:rsid w:val="4AE34F6A"/>
    <w:rsid w:val="4AF73F97"/>
    <w:rsid w:val="4AFF42EE"/>
    <w:rsid w:val="4B082E12"/>
    <w:rsid w:val="4B216237"/>
    <w:rsid w:val="4B8F3D4F"/>
    <w:rsid w:val="4BC03B26"/>
    <w:rsid w:val="4BCD1C09"/>
    <w:rsid w:val="4BFE1C90"/>
    <w:rsid w:val="4BFE4849"/>
    <w:rsid w:val="4C107FF0"/>
    <w:rsid w:val="4C183521"/>
    <w:rsid w:val="4C2D49A5"/>
    <w:rsid w:val="4C786019"/>
    <w:rsid w:val="4CB555B4"/>
    <w:rsid w:val="4CDC612E"/>
    <w:rsid w:val="4D003873"/>
    <w:rsid w:val="4D0841AC"/>
    <w:rsid w:val="4D0B4BF9"/>
    <w:rsid w:val="4D32018A"/>
    <w:rsid w:val="4D341814"/>
    <w:rsid w:val="4D6658F9"/>
    <w:rsid w:val="4D7165A9"/>
    <w:rsid w:val="4D981DA3"/>
    <w:rsid w:val="4DAD7BA9"/>
    <w:rsid w:val="4DC372D1"/>
    <w:rsid w:val="4DCB63FF"/>
    <w:rsid w:val="4DE1776B"/>
    <w:rsid w:val="4E2F131B"/>
    <w:rsid w:val="4E30447D"/>
    <w:rsid w:val="4E380969"/>
    <w:rsid w:val="4E5D3DCC"/>
    <w:rsid w:val="4E60009F"/>
    <w:rsid w:val="4EA330F5"/>
    <w:rsid w:val="4EA57984"/>
    <w:rsid w:val="4ED041FE"/>
    <w:rsid w:val="4EE872FC"/>
    <w:rsid w:val="4EF61BBB"/>
    <w:rsid w:val="4F0F0F98"/>
    <w:rsid w:val="4F1160ED"/>
    <w:rsid w:val="4F172D6D"/>
    <w:rsid w:val="4F2560CB"/>
    <w:rsid w:val="4F557EFB"/>
    <w:rsid w:val="4F7B372A"/>
    <w:rsid w:val="4F7C4662"/>
    <w:rsid w:val="4F8456B5"/>
    <w:rsid w:val="4F9055B9"/>
    <w:rsid w:val="4FA03935"/>
    <w:rsid w:val="4FBD2448"/>
    <w:rsid w:val="4FD63283"/>
    <w:rsid w:val="4FF6732F"/>
    <w:rsid w:val="4FFE79AD"/>
    <w:rsid w:val="502665C5"/>
    <w:rsid w:val="504601DC"/>
    <w:rsid w:val="504F4530"/>
    <w:rsid w:val="5058272A"/>
    <w:rsid w:val="50783B64"/>
    <w:rsid w:val="50906185"/>
    <w:rsid w:val="50995100"/>
    <w:rsid w:val="50A53EF8"/>
    <w:rsid w:val="50A565EC"/>
    <w:rsid w:val="50A91647"/>
    <w:rsid w:val="50B07693"/>
    <w:rsid w:val="50B96C00"/>
    <w:rsid w:val="513D38B5"/>
    <w:rsid w:val="51870AAC"/>
    <w:rsid w:val="51A875AB"/>
    <w:rsid w:val="51AB7907"/>
    <w:rsid w:val="51BD4F38"/>
    <w:rsid w:val="51C70D88"/>
    <w:rsid w:val="51CA4DA4"/>
    <w:rsid w:val="51D96346"/>
    <w:rsid w:val="51E042EF"/>
    <w:rsid w:val="51FF18E6"/>
    <w:rsid w:val="5201085F"/>
    <w:rsid w:val="52022FF8"/>
    <w:rsid w:val="520428E6"/>
    <w:rsid w:val="52151E72"/>
    <w:rsid w:val="52260FD9"/>
    <w:rsid w:val="52496620"/>
    <w:rsid w:val="524F41CB"/>
    <w:rsid w:val="5253273C"/>
    <w:rsid w:val="52682944"/>
    <w:rsid w:val="52862838"/>
    <w:rsid w:val="52EC5058"/>
    <w:rsid w:val="52EE789F"/>
    <w:rsid w:val="52FA5894"/>
    <w:rsid w:val="531C01DD"/>
    <w:rsid w:val="53396A70"/>
    <w:rsid w:val="53445A89"/>
    <w:rsid w:val="53585F26"/>
    <w:rsid w:val="536E3CD2"/>
    <w:rsid w:val="53875A21"/>
    <w:rsid w:val="53A6222D"/>
    <w:rsid w:val="53FD1138"/>
    <w:rsid w:val="5408377A"/>
    <w:rsid w:val="541B0AE9"/>
    <w:rsid w:val="54337B8B"/>
    <w:rsid w:val="545804DE"/>
    <w:rsid w:val="546464D2"/>
    <w:rsid w:val="547E5EAC"/>
    <w:rsid w:val="549A07E1"/>
    <w:rsid w:val="549B4B9B"/>
    <w:rsid w:val="54A43723"/>
    <w:rsid w:val="54A96914"/>
    <w:rsid w:val="54AA329E"/>
    <w:rsid w:val="54F04900"/>
    <w:rsid w:val="5511263D"/>
    <w:rsid w:val="55202F57"/>
    <w:rsid w:val="55342CF9"/>
    <w:rsid w:val="55465FB8"/>
    <w:rsid w:val="554E3DBB"/>
    <w:rsid w:val="55606EAB"/>
    <w:rsid w:val="558A5CBD"/>
    <w:rsid w:val="558B2E46"/>
    <w:rsid w:val="558C48E3"/>
    <w:rsid w:val="559A0A85"/>
    <w:rsid w:val="55AE6A96"/>
    <w:rsid w:val="55D47C97"/>
    <w:rsid w:val="55E656B5"/>
    <w:rsid w:val="55F13E0C"/>
    <w:rsid w:val="56665B78"/>
    <w:rsid w:val="56791EC5"/>
    <w:rsid w:val="56794FD1"/>
    <w:rsid w:val="568F636E"/>
    <w:rsid w:val="569C10C3"/>
    <w:rsid w:val="56C56958"/>
    <w:rsid w:val="56E34BBD"/>
    <w:rsid w:val="572E7B3A"/>
    <w:rsid w:val="57587596"/>
    <w:rsid w:val="57946EAA"/>
    <w:rsid w:val="57BA6D87"/>
    <w:rsid w:val="57D55747"/>
    <w:rsid w:val="57F77635"/>
    <w:rsid w:val="581E3971"/>
    <w:rsid w:val="583E755A"/>
    <w:rsid w:val="584D392F"/>
    <w:rsid w:val="584E1E05"/>
    <w:rsid w:val="585D1A50"/>
    <w:rsid w:val="587520E1"/>
    <w:rsid w:val="588E4FB9"/>
    <w:rsid w:val="58AE63E6"/>
    <w:rsid w:val="58DA63FA"/>
    <w:rsid w:val="590100F9"/>
    <w:rsid w:val="590621C5"/>
    <w:rsid w:val="59074CA7"/>
    <w:rsid w:val="59160223"/>
    <w:rsid w:val="595D6334"/>
    <w:rsid w:val="596A3CB8"/>
    <w:rsid w:val="59914706"/>
    <w:rsid w:val="59C6764E"/>
    <w:rsid w:val="59C86212"/>
    <w:rsid w:val="59CA7788"/>
    <w:rsid w:val="59D47005"/>
    <w:rsid w:val="5A274662"/>
    <w:rsid w:val="5A2F4173"/>
    <w:rsid w:val="5A395EA7"/>
    <w:rsid w:val="5A493218"/>
    <w:rsid w:val="5A4B67A2"/>
    <w:rsid w:val="5A733228"/>
    <w:rsid w:val="5A7D3298"/>
    <w:rsid w:val="5A897922"/>
    <w:rsid w:val="5ABB196A"/>
    <w:rsid w:val="5ABE0BA8"/>
    <w:rsid w:val="5AD05F93"/>
    <w:rsid w:val="5AE07915"/>
    <w:rsid w:val="5AE170B4"/>
    <w:rsid w:val="5AE4678E"/>
    <w:rsid w:val="5B3F00F8"/>
    <w:rsid w:val="5B5204B8"/>
    <w:rsid w:val="5B5C5E6F"/>
    <w:rsid w:val="5B6E2DB6"/>
    <w:rsid w:val="5B841170"/>
    <w:rsid w:val="5B9F361E"/>
    <w:rsid w:val="5BB634EB"/>
    <w:rsid w:val="5BB95776"/>
    <w:rsid w:val="5BFD3D99"/>
    <w:rsid w:val="5BFE015D"/>
    <w:rsid w:val="5C162508"/>
    <w:rsid w:val="5C2A28E8"/>
    <w:rsid w:val="5C3E4367"/>
    <w:rsid w:val="5C8E4BD6"/>
    <w:rsid w:val="5C930343"/>
    <w:rsid w:val="5CCA7E59"/>
    <w:rsid w:val="5CD528C3"/>
    <w:rsid w:val="5CF93415"/>
    <w:rsid w:val="5D044E45"/>
    <w:rsid w:val="5D1B5DA0"/>
    <w:rsid w:val="5D4F6922"/>
    <w:rsid w:val="5D650BAD"/>
    <w:rsid w:val="5D8F75D6"/>
    <w:rsid w:val="5D9442DC"/>
    <w:rsid w:val="5D954A77"/>
    <w:rsid w:val="5DB11B95"/>
    <w:rsid w:val="5DB27E16"/>
    <w:rsid w:val="5DB402DB"/>
    <w:rsid w:val="5DDA30DD"/>
    <w:rsid w:val="5E2F770E"/>
    <w:rsid w:val="5E507E67"/>
    <w:rsid w:val="5E6E17B7"/>
    <w:rsid w:val="5E7C0071"/>
    <w:rsid w:val="5E8069F0"/>
    <w:rsid w:val="5EA20306"/>
    <w:rsid w:val="5EAC285D"/>
    <w:rsid w:val="5EC026F5"/>
    <w:rsid w:val="5ED14739"/>
    <w:rsid w:val="5EE40301"/>
    <w:rsid w:val="5EFB63C2"/>
    <w:rsid w:val="5F1B2BEC"/>
    <w:rsid w:val="5F1E3FE1"/>
    <w:rsid w:val="5F2F0EE5"/>
    <w:rsid w:val="5F504CC5"/>
    <w:rsid w:val="5F574A90"/>
    <w:rsid w:val="5F5D2E4C"/>
    <w:rsid w:val="5F6659BE"/>
    <w:rsid w:val="5F73441E"/>
    <w:rsid w:val="5F796DBA"/>
    <w:rsid w:val="5FA743E0"/>
    <w:rsid w:val="5FA85D98"/>
    <w:rsid w:val="5FB15373"/>
    <w:rsid w:val="5FCB7D27"/>
    <w:rsid w:val="5FE658C7"/>
    <w:rsid w:val="600D0297"/>
    <w:rsid w:val="601A0A51"/>
    <w:rsid w:val="60270E10"/>
    <w:rsid w:val="605B738C"/>
    <w:rsid w:val="605E16FE"/>
    <w:rsid w:val="6060501D"/>
    <w:rsid w:val="607C5479"/>
    <w:rsid w:val="608004CF"/>
    <w:rsid w:val="60990DCB"/>
    <w:rsid w:val="60A712DC"/>
    <w:rsid w:val="60C14B55"/>
    <w:rsid w:val="60EA2DDE"/>
    <w:rsid w:val="60F31E23"/>
    <w:rsid w:val="60F731F4"/>
    <w:rsid w:val="60FD37AE"/>
    <w:rsid w:val="610466DC"/>
    <w:rsid w:val="61234C46"/>
    <w:rsid w:val="613E426D"/>
    <w:rsid w:val="61447C12"/>
    <w:rsid w:val="614D0A29"/>
    <w:rsid w:val="61591BA1"/>
    <w:rsid w:val="615D0EE2"/>
    <w:rsid w:val="615F10FE"/>
    <w:rsid w:val="61961A8A"/>
    <w:rsid w:val="619A3FB7"/>
    <w:rsid w:val="61AE1315"/>
    <w:rsid w:val="61CA2A1B"/>
    <w:rsid w:val="6205181D"/>
    <w:rsid w:val="620D3DB7"/>
    <w:rsid w:val="621D4AC0"/>
    <w:rsid w:val="62444081"/>
    <w:rsid w:val="62472EFB"/>
    <w:rsid w:val="6252656D"/>
    <w:rsid w:val="625667D6"/>
    <w:rsid w:val="62787A57"/>
    <w:rsid w:val="629172E2"/>
    <w:rsid w:val="62C6671E"/>
    <w:rsid w:val="62C73E2E"/>
    <w:rsid w:val="62CC6257"/>
    <w:rsid w:val="62DA6058"/>
    <w:rsid w:val="62DB2A06"/>
    <w:rsid w:val="62E3578E"/>
    <w:rsid w:val="62FA2787"/>
    <w:rsid w:val="63083C0F"/>
    <w:rsid w:val="63184F16"/>
    <w:rsid w:val="631D301E"/>
    <w:rsid w:val="634B45A8"/>
    <w:rsid w:val="63534C92"/>
    <w:rsid w:val="635D7461"/>
    <w:rsid w:val="63750765"/>
    <w:rsid w:val="638F43EA"/>
    <w:rsid w:val="6393508F"/>
    <w:rsid w:val="63940887"/>
    <w:rsid w:val="63A75940"/>
    <w:rsid w:val="63B16569"/>
    <w:rsid w:val="63C52EFD"/>
    <w:rsid w:val="63D35241"/>
    <w:rsid w:val="63ED06DA"/>
    <w:rsid w:val="64043FCC"/>
    <w:rsid w:val="64177854"/>
    <w:rsid w:val="642301C1"/>
    <w:rsid w:val="64331993"/>
    <w:rsid w:val="64594BEE"/>
    <w:rsid w:val="645E569D"/>
    <w:rsid w:val="6477675E"/>
    <w:rsid w:val="64A675F1"/>
    <w:rsid w:val="64BD4976"/>
    <w:rsid w:val="64C305FB"/>
    <w:rsid w:val="64E248C4"/>
    <w:rsid w:val="6500554E"/>
    <w:rsid w:val="650A1380"/>
    <w:rsid w:val="650D158F"/>
    <w:rsid w:val="6555661D"/>
    <w:rsid w:val="65653C9B"/>
    <w:rsid w:val="657064DA"/>
    <w:rsid w:val="65795A10"/>
    <w:rsid w:val="657D5FF6"/>
    <w:rsid w:val="65806115"/>
    <w:rsid w:val="659E6EBC"/>
    <w:rsid w:val="65A27A7B"/>
    <w:rsid w:val="65B135CD"/>
    <w:rsid w:val="65B137D4"/>
    <w:rsid w:val="65C85EC3"/>
    <w:rsid w:val="65CA63E3"/>
    <w:rsid w:val="66194694"/>
    <w:rsid w:val="661A790E"/>
    <w:rsid w:val="663F7526"/>
    <w:rsid w:val="669205DF"/>
    <w:rsid w:val="66CB6B86"/>
    <w:rsid w:val="66FC2FF1"/>
    <w:rsid w:val="67130530"/>
    <w:rsid w:val="6726656C"/>
    <w:rsid w:val="67303400"/>
    <w:rsid w:val="67353A82"/>
    <w:rsid w:val="67382738"/>
    <w:rsid w:val="67401BB9"/>
    <w:rsid w:val="678751FE"/>
    <w:rsid w:val="67D244FB"/>
    <w:rsid w:val="67DF1928"/>
    <w:rsid w:val="680B51D4"/>
    <w:rsid w:val="683D6686"/>
    <w:rsid w:val="6842203A"/>
    <w:rsid w:val="685811CC"/>
    <w:rsid w:val="68597819"/>
    <w:rsid w:val="688857D6"/>
    <w:rsid w:val="68A35D74"/>
    <w:rsid w:val="68A641D1"/>
    <w:rsid w:val="68CD19D8"/>
    <w:rsid w:val="68DF3400"/>
    <w:rsid w:val="68F40D9C"/>
    <w:rsid w:val="68F51530"/>
    <w:rsid w:val="68FC356E"/>
    <w:rsid w:val="690E5E14"/>
    <w:rsid w:val="6932152A"/>
    <w:rsid w:val="695C053F"/>
    <w:rsid w:val="69854892"/>
    <w:rsid w:val="69907069"/>
    <w:rsid w:val="69B15FFD"/>
    <w:rsid w:val="69D25D5E"/>
    <w:rsid w:val="69FB4174"/>
    <w:rsid w:val="6A0C0BDF"/>
    <w:rsid w:val="6A363050"/>
    <w:rsid w:val="6A442A2C"/>
    <w:rsid w:val="6A4964A7"/>
    <w:rsid w:val="6A794CC2"/>
    <w:rsid w:val="6A861054"/>
    <w:rsid w:val="6A9962E0"/>
    <w:rsid w:val="6ABC5F1A"/>
    <w:rsid w:val="6AE76BE9"/>
    <w:rsid w:val="6B0443DF"/>
    <w:rsid w:val="6B15068F"/>
    <w:rsid w:val="6B3C3D82"/>
    <w:rsid w:val="6BA07421"/>
    <w:rsid w:val="6BC26F5B"/>
    <w:rsid w:val="6BEB7217"/>
    <w:rsid w:val="6BF3345F"/>
    <w:rsid w:val="6C0F6C19"/>
    <w:rsid w:val="6C413D4B"/>
    <w:rsid w:val="6C450302"/>
    <w:rsid w:val="6C554B01"/>
    <w:rsid w:val="6CA108CC"/>
    <w:rsid w:val="6CB075B5"/>
    <w:rsid w:val="6CD50F66"/>
    <w:rsid w:val="6CD61499"/>
    <w:rsid w:val="6CDE737B"/>
    <w:rsid w:val="6CE34991"/>
    <w:rsid w:val="6CF631A1"/>
    <w:rsid w:val="6D2E4F07"/>
    <w:rsid w:val="6D2E53A8"/>
    <w:rsid w:val="6D3B5103"/>
    <w:rsid w:val="6D4B3997"/>
    <w:rsid w:val="6D5F224C"/>
    <w:rsid w:val="6D644FAE"/>
    <w:rsid w:val="6D653784"/>
    <w:rsid w:val="6D6E1A1C"/>
    <w:rsid w:val="6DAE0822"/>
    <w:rsid w:val="6DC34DF4"/>
    <w:rsid w:val="6E2D47D4"/>
    <w:rsid w:val="6E326F12"/>
    <w:rsid w:val="6E446928"/>
    <w:rsid w:val="6E567AD5"/>
    <w:rsid w:val="6E7959A6"/>
    <w:rsid w:val="6E8A42D1"/>
    <w:rsid w:val="6EBC1751"/>
    <w:rsid w:val="6EBC327A"/>
    <w:rsid w:val="6ED0708B"/>
    <w:rsid w:val="6EF94940"/>
    <w:rsid w:val="6F1572A0"/>
    <w:rsid w:val="6F2135E0"/>
    <w:rsid w:val="6F286FD3"/>
    <w:rsid w:val="6F30067C"/>
    <w:rsid w:val="6F346230"/>
    <w:rsid w:val="6F3F5972"/>
    <w:rsid w:val="6F441E81"/>
    <w:rsid w:val="6F7F7031"/>
    <w:rsid w:val="6FBC4BC3"/>
    <w:rsid w:val="6FBD3BBF"/>
    <w:rsid w:val="6FC0002D"/>
    <w:rsid w:val="6FD26052"/>
    <w:rsid w:val="700F0BF2"/>
    <w:rsid w:val="705362D1"/>
    <w:rsid w:val="705A140E"/>
    <w:rsid w:val="7079169B"/>
    <w:rsid w:val="7091014D"/>
    <w:rsid w:val="70934124"/>
    <w:rsid w:val="70D51C3E"/>
    <w:rsid w:val="70D866A8"/>
    <w:rsid w:val="710B2AC1"/>
    <w:rsid w:val="71113CD0"/>
    <w:rsid w:val="7114182C"/>
    <w:rsid w:val="7118285B"/>
    <w:rsid w:val="716245B3"/>
    <w:rsid w:val="718D3EE6"/>
    <w:rsid w:val="71937695"/>
    <w:rsid w:val="71C231A3"/>
    <w:rsid w:val="71C5762C"/>
    <w:rsid w:val="71EF487C"/>
    <w:rsid w:val="720832E0"/>
    <w:rsid w:val="72140F8B"/>
    <w:rsid w:val="722217DF"/>
    <w:rsid w:val="72482623"/>
    <w:rsid w:val="726A16B0"/>
    <w:rsid w:val="72B7138B"/>
    <w:rsid w:val="72D15C3A"/>
    <w:rsid w:val="72EB4ACD"/>
    <w:rsid w:val="7348740E"/>
    <w:rsid w:val="734963A5"/>
    <w:rsid w:val="73581DD3"/>
    <w:rsid w:val="737F023F"/>
    <w:rsid w:val="739F65EF"/>
    <w:rsid w:val="73DC5739"/>
    <w:rsid w:val="73F70242"/>
    <w:rsid w:val="744C0A3B"/>
    <w:rsid w:val="74634609"/>
    <w:rsid w:val="746A1E3C"/>
    <w:rsid w:val="747A5184"/>
    <w:rsid w:val="74AA2334"/>
    <w:rsid w:val="74CD1315"/>
    <w:rsid w:val="74EC0AA3"/>
    <w:rsid w:val="751610E2"/>
    <w:rsid w:val="755F3023"/>
    <w:rsid w:val="75646839"/>
    <w:rsid w:val="756E770A"/>
    <w:rsid w:val="757271FA"/>
    <w:rsid w:val="75A30D32"/>
    <w:rsid w:val="75BB7601"/>
    <w:rsid w:val="75C60E30"/>
    <w:rsid w:val="75CF02E7"/>
    <w:rsid w:val="75D215E5"/>
    <w:rsid w:val="76293489"/>
    <w:rsid w:val="76355688"/>
    <w:rsid w:val="76407B85"/>
    <w:rsid w:val="76460F60"/>
    <w:rsid w:val="764619A4"/>
    <w:rsid w:val="76474442"/>
    <w:rsid w:val="76860814"/>
    <w:rsid w:val="769402EF"/>
    <w:rsid w:val="769B0FA7"/>
    <w:rsid w:val="76AC69AB"/>
    <w:rsid w:val="76C050DB"/>
    <w:rsid w:val="76D452AF"/>
    <w:rsid w:val="76E00296"/>
    <w:rsid w:val="770E787D"/>
    <w:rsid w:val="773242B0"/>
    <w:rsid w:val="774E77F3"/>
    <w:rsid w:val="77923A4B"/>
    <w:rsid w:val="77C925FD"/>
    <w:rsid w:val="77FC455B"/>
    <w:rsid w:val="77FE6FED"/>
    <w:rsid w:val="77FF2C1B"/>
    <w:rsid w:val="783D2124"/>
    <w:rsid w:val="78490FE8"/>
    <w:rsid w:val="788913B9"/>
    <w:rsid w:val="788E0CDC"/>
    <w:rsid w:val="78B8729C"/>
    <w:rsid w:val="78DA786B"/>
    <w:rsid w:val="78DB4272"/>
    <w:rsid w:val="78DC5373"/>
    <w:rsid w:val="78F10974"/>
    <w:rsid w:val="79382CFA"/>
    <w:rsid w:val="794364F0"/>
    <w:rsid w:val="794F1EF5"/>
    <w:rsid w:val="79510FB6"/>
    <w:rsid w:val="79640FCA"/>
    <w:rsid w:val="798D3252"/>
    <w:rsid w:val="79986B03"/>
    <w:rsid w:val="79B80F53"/>
    <w:rsid w:val="79C72000"/>
    <w:rsid w:val="79CE4C1B"/>
    <w:rsid w:val="79DA54A3"/>
    <w:rsid w:val="79EF4A2B"/>
    <w:rsid w:val="79F3642F"/>
    <w:rsid w:val="7A0C6A1F"/>
    <w:rsid w:val="7A15297A"/>
    <w:rsid w:val="7A1B0D3B"/>
    <w:rsid w:val="7A721197"/>
    <w:rsid w:val="7A740554"/>
    <w:rsid w:val="7A837320"/>
    <w:rsid w:val="7A954DE7"/>
    <w:rsid w:val="7AB10EDD"/>
    <w:rsid w:val="7ABD6FEE"/>
    <w:rsid w:val="7AC93C30"/>
    <w:rsid w:val="7AE55ECF"/>
    <w:rsid w:val="7AE962AA"/>
    <w:rsid w:val="7B117EEE"/>
    <w:rsid w:val="7B230A7F"/>
    <w:rsid w:val="7B3311D9"/>
    <w:rsid w:val="7B522D1D"/>
    <w:rsid w:val="7B602E6F"/>
    <w:rsid w:val="7B886D4F"/>
    <w:rsid w:val="7B98728E"/>
    <w:rsid w:val="7BCC0659"/>
    <w:rsid w:val="7C0301CA"/>
    <w:rsid w:val="7C045178"/>
    <w:rsid w:val="7C3B4DA0"/>
    <w:rsid w:val="7C4630A6"/>
    <w:rsid w:val="7C4E46EC"/>
    <w:rsid w:val="7C510313"/>
    <w:rsid w:val="7C582AD5"/>
    <w:rsid w:val="7C5B4F35"/>
    <w:rsid w:val="7C6816EB"/>
    <w:rsid w:val="7C823B8D"/>
    <w:rsid w:val="7C882840"/>
    <w:rsid w:val="7CA65445"/>
    <w:rsid w:val="7CA9653F"/>
    <w:rsid w:val="7CCB4754"/>
    <w:rsid w:val="7CF55250"/>
    <w:rsid w:val="7D0C5147"/>
    <w:rsid w:val="7D1A51BC"/>
    <w:rsid w:val="7D2A1DBE"/>
    <w:rsid w:val="7D481CC2"/>
    <w:rsid w:val="7D541CF2"/>
    <w:rsid w:val="7D656309"/>
    <w:rsid w:val="7D682254"/>
    <w:rsid w:val="7D6B2997"/>
    <w:rsid w:val="7D6C1216"/>
    <w:rsid w:val="7D851A94"/>
    <w:rsid w:val="7DA21DA6"/>
    <w:rsid w:val="7DE247F1"/>
    <w:rsid w:val="7DF37A09"/>
    <w:rsid w:val="7DFB7131"/>
    <w:rsid w:val="7E0C6CD2"/>
    <w:rsid w:val="7E3537C1"/>
    <w:rsid w:val="7E5D0C46"/>
    <w:rsid w:val="7E7F6511"/>
    <w:rsid w:val="7E8232A9"/>
    <w:rsid w:val="7E867566"/>
    <w:rsid w:val="7ECC3373"/>
    <w:rsid w:val="7F0A5217"/>
    <w:rsid w:val="7F2A554B"/>
    <w:rsid w:val="7F52243A"/>
    <w:rsid w:val="7F7D0BF3"/>
    <w:rsid w:val="7FB31BD2"/>
    <w:rsid w:val="7FC05006"/>
    <w:rsid w:val="7FC16407"/>
    <w:rsid w:val="7FD669BC"/>
    <w:rsid w:val="7FE335F0"/>
    <w:rsid w:val="7FF43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微软雅黑" w:hAnsi="微软雅黑" w:eastAsia="微软雅黑" w:cs="微软雅黑"/>
      <w:sz w:val="22"/>
      <w:szCs w:val="22"/>
      <w:lang w:val="zh-CN" w:eastAsia="zh-CN" w:bidi="zh-CN"/>
    </w:rPr>
  </w:style>
  <w:style w:type="paragraph" w:styleId="3">
    <w:name w:val="heading 1"/>
    <w:basedOn w:val="1"/>
    <w:next w:val="1"/>
    <w:qFormat/>
    <w:uiPriority w:val="1"/>
    <w:pPr>
      <w:spacing w:before="18"/>
      <w:ind w:right="1136" w:hanging="1307"/>
      <w:outlineLvl w:val="0"/>
    </w:pPr>
    <w:rPr>
      <w:rFonts w:ascii="宋体" w:hAnsi="宋体" w:eastAsia="宋体" w:cs="宋体"/>
      <w:b/>
      <w:bCs/>
      <w:sz w:val="48"/>
      <w:szCs w:val="48"/>
    </w:rPr>
  </w:style>
  <w:style w:type="paragraph" w:styleId="4">
    <w:name w:val="heading 2"/>
    <w:basedOn w:val="1"/>
    <w:next w:val="1"/>
    <w:qFormat/>
    <w:uiPriority w:val="1"/>
    <w:pPr>
      <w:ind w:left="1058"/>
      <w:outlineLvl w:val="1"/>
    </w:pPr>
    <w:rPr>
      <w:b/>
      <w:bCs/>
      <w:sz w:val="32"/>
      <w:szCs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semiHidden/>
    <w:unhideWhenUsed/>
    <w:qFormat/>
    <w:uiPriority w:val="99"/>
  </w:style>
  <w:style w:type="paragraph" w:styleId="7">
    <w:name w:val="Body Text"/>
    <w:basedOn w:val="1"/>
    <w:qFormat/>
    <w:uiPriority w:val="1"/>
    <w:rPr>
      <w:sz w:val="32"/>
      <w:szCs w:val="32"/>
    </w:rPr>
  </w:style>
  <w:style w:type="paragraph" w:styleId="8">
    <w:name w:val="toc 3"/>
    <w:basedOn w:val="1"/>
    <w:next w:val="1"/>
    <w:qFormat/>
    <w:uiPriority w:val="1"/>
    <w:pPr>
      <w:spacing w:before="233"/>
      <w:ind w:left="741"/>
    </w:pPr>
    <w:rPr>
      <w:sz w:val="32"/>
      <w:szCs w:val="32"/>
    </w:rPr>
  </w:style>
  <w:style w:type="paragraph" w:styleId="9">
    <w:name w:val="Balloon Text"/>
    <w:basedOn w:val="1"/>
    <w:link w:val="41"/>
    <w:qFormat/>
    <w:uiPriority w:val="0"/>
    <w:rPr>
      <w:sz w:val="18"/>
      <w:szCs w:val="18"/>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toc 1"/>
    <w:basedOn w:val="1"/>
    <w:next w:val="1"/>
    <w:qFormat/>
    <w:uiPriority w:val="1"/>
    <w:pPr>
      <w:spacing w:before="6"/>
      <w:ind w:left="101"/>
    </w:pPr>
    <w:rPr>
      <w:rFonts w:ascii="宋体" w:hAnsi="宋体" w:eastAsia="宋体" w:cs="宋体"/>
      <w:b/>
      <w:bCs/>
      <w:sz w:val="32"/>
      <w:szCs w:val="32"/>
    </w:rPr>
  </w:style>
  <w:style w:type="paragraph" w:styleId="13">
    <w:name w:val="toc 2"/>
    <w:basedOn w:val="1"/>
    <w:next w:val="1"/>
    <w:qFormat/>
    <w:uiPriority w:val="1"/>
    <w:pPr>
      <w:spacing w:before="211"/>
      <w:ind w:left="101"/>
    </w:pPr>
    <w:rPr>
      <w:rFonts w:ascii="宋体" w:hAnsi="宋体" w:eastAsia="宋体" w:cs="宋体"/>
      <w:b/>
      <w:bCs/>
      <w:i/>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Emphasis"/>
    <w:basedOn w:val="16"/>
    <w:qFormat/>
    <w:uiPriority w:val="0"/>
    <w:rPr>
      <w:i/>
    </w:rPr>
  </w:style>
  <w:style w:type="character" w:styleId="18">
    <w:name w:val="Hyperlink"/>
    <w:basedOn w:val="16"/>
    <w:qFormat/>
    <w:uiPriority w:val="0"/>
    <w:rPr>
      <w:color w:val="0000FF"/>
      <w:u w:val="single"/>
    </w:r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qFormat/>
    <w:uiPriority w:val="1"/>
    <w:pPr>
      <w:ind w:left="1885" w:hanging="828"/>
    </w:pPr>
  </w:style>
  <w:style w:type="paragraph" w:customStyle="1" w:styleId="21">
    <w:name w:val="Table Paragraph"/>
    <w:basedOn w:val="1"/>
    <w:qFormat/>
    <w:uiPriority w:val="1"/>
    <w:rPr>
      <w:rFonts w:ascii="宋体" w:hAnsi="宋体" w:eastAsia="宋体" w:cs="宋体"/>
    </w:rPr>
  </w:style>
  <w:style w:type="character" w:customStyle="1" w:styleId="22">
    <w:name w:val="font31"/>
    <w:basedOn w:val="16"/>
    <w:qFormat/>
    <w:uiPriority w:val="0"/>
    <w:rPr>
      <w:rFonts w:hint="default" w:ascii="Times New Roman" w:hAnsi="Times New Roman" w:cs="Times New Roman"/>
      <w:color w:val="000000"/>
      <w:sz w:val="22"/>
      <w:szCs w:val="22"/>
      <w:u w:val="none"/>
    </w:rPr>
  </w:style>
  <w:style w:type="character" w:customStyle="1" w:styleId="23">
    <w:name w:val="font01"/>
    <w:basedOn w:val="16"/>
    <w:qFormat/>
    <w:uiPriority w:val="0"/>
    <w:rPr>
      <w:rFonts w:hint="default" w:ascii="方正小标宋_GBK" w:hAnsi="方正小标宋_GBK" w:eastAsia="方正小标宋_GBK" w:cs="方正小标宋_GBK"/>
      <w:color w:val="000000"/>
      <w:sz w:val="36"/>
      <w:szCs w:val="36"/>
      <w:u w:val="none"/>
    </w:rPr>
  </w:style>
  <w:style w:type="character" w:customStyle="1" w:styleId="24">
    <w:name w:val="font51"/>
    <w:basedOn w:val="16"/>
    <w:qFormat/>
    <w:uiPriority w:val="0"/>
    <w:rPr>
      <w:rFonts w:hint="default" w:ascii="方正小标宋_GBK" w:hAnsi="方正小标宋_GBK" w:eastAsia="方正小标宋_GBK" w:cs="方正小标宋_GBK"/>
      <w:color w:val="000000"/>
      <w:sz w:val="28"/>
      <w:szCs w:val="28"/>
      <w:u w:val="none"/>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7">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8">
    <w:name w:val="font81"/>
    <w:basedOn w:val="16"/>
    <w:qFormat/>
    <w:uiPriority w:val="0"/>
    <w:rPr>
      <w:rFonts w:hint="eastAsia" w:ascii="宋体" w:hAnsi="宋体" w:eastAsia="宋体" w:cs="宋体"/>
      <w:color w:val="000000"/>
      <w:sz w:val="20"/>
      <w:szCs w:val="20"/>
      <w:u w:val="none"/>
    </w:rPr>
  </w:style>
  <w:style w:type="character" w:customStyle="1" w:styleId="29">
    <w:name w:val="font71"/>
    <w:basedOn w:val="16"/>
    <w:qFormat/>
    <w:uiPriority w:val="0"/>
    <w:rPr>
      <w:rFonts w:hint="default" w:ascii="楷体_GB2312" w:eastAsia="楷体_GB2312" w:cs="楷体_GB2312"/>
      <w:color w:val="000000"/>
      <w:sz w:val="20"/>
      <w:szCs w:val="20"/>
      <w:u w:val="none"/>
    </w:rPr>
  </w:style>
  <w:style w:type="character" w:customStyle="1" w:styleId="30">
    <w:name w:val="font91"/>
    <w:basedOn w:val="16"/>
    <w:qFormat/>
    <w:uiPriority w:val="0"/>
    <w:rPr>
      <w:rFonts w:ascii="宋体" w:hAnsi="宋体" w:eastAsia="宋体" w:cs="宋体"/>
      <w:color w:val="000000"/>
      <w:sz w:val="20"/>
      <w:szCs w:val="20"/>
      <w:u w:val="none"/>
    </w:rPr>
  </w:style>
  <w:style w:type="character" w:customStyle="1" w:styleId="31">
    <w:name w:val="font11"/>
    <w:basedOn w:val="16"/>
    <w:qFormat/>
    <w:uiPriority w:val="0"/>
    <w:rPr>
      <w:rFonts w:hint="eastAsia" w:ascii="宋体" w:hAnsi="宋体" w:eastAsia="宋体" w:cs="宋体"/>
      <w:color w:val="000000"/>
      <w:sz w:val="20"/>
      <w:szCs w:val="20"/>
      <w:u w:val="none"/>
    </w:rPr>
  </w:style>
  <w:style w:type="character" w:customStyle="1" w:styleId="32">
    <w:name w:val="font61"/>
    <w:basedOn w:val="16"/>
    <w:qFormat/>
    <w:uiPriority w:val="0"/>
    <w:rPr>
      <w:rFonts w:hint="default" w:ascii="楷体_GB2312" w:eastAsia="楷体_GB2312" w:cs="楷体_GB2312"/>
      <w:color w:val="000000"/>
      <w:sz w:val="20"/>
      <w:szCs w:val="20"/>
      <w:u w:val="none"/>
    </w:rPr>
  </w:style>
  <w:style w:type="paragraph" w:customStyle="1" w:styleId="33">
    <w:name w:val="List Paragraph1"/>
    <w:basedOn w:val="1"/>
    <w:qFormat/>
    <w:uiPriority w:val="99"/>
    <w:pPr>
      <w:ind w:firstLine="420" w:firstLineChars="200"/>
    </w:pPr>
  </w:style>
  <w:style w:type="character" w:customStyle="1" w:styleId="34">
    <w:name w:val="font101"/>
    <w:basedOn w:val="16"/>
    <w:qFormat/>
    <w:uiPriority w:val="0"/>
    <w:rPr>
      <w:rFonts w:hint="eastAsia" w:ascii="宋体" w:hAnsi="宋体" w:eastAsia="宋体" w:cs="宋体"/>
      <w:color w:val="000000"/>
      <w:sz w:val="18"/>
      <w:szCs w:val="18"/>
      <w:u w:val="none"/>
    </w:rPr>
  </w:style>
  <w:style w:type="character" w:customStyle="1" w:styleId="35">
    <w:name w:val="font21"/>
    <w:basedOn w:val="16"/>
    <w:qFormat/>
    <w:uiPriority w:val="0"/>
    <w:rPr>
      <w:rFonts w:hint="default" w:ascii="Times New Roman" w:hAnsi="Times New Roman" w:cs="Times New Roman"/>
      <w:color w:val="000000"/>
      <w:sz w:val="32"/>
      <w:szCs w:val="32"/>
      <w:u w:val="none"/>
    </w:rPr>
  </w:style>
  <w:style w:type="character" w:customStyle="1" w:styleId="36">
    <w:name w:val="font41"/>
    <w:basedOn w:val="16"/>
    <w:qFormat/>
    <w:uiPriority w:val="0"/>
    <w:rPr>
      <w:rFonts w:hint="eastAsia" w:ascii="宋体" w:hAnsi="宋体" w:eastAsia="宋体" w:cs="宋体"/>
      <w:color w:val="000000"/>
      <w:sz w:val="18"/>
      <w:szCs w:val="18"/>
      <w:u w:val="none"/>
    </w:rPr>
  </w:style>
  <w:style w:type="character" w:customStyle="1" w:styleId="37">
    <w:name w:val="font112"/>
    <w:basedOn w:val="16"/>
    <w:qFormat/>
    <w:uiPriority w:val="0"/>
    <w:rPr>
      <w:rFonts w:hint="eastAsia" w:ascii="宋体" w:hAnsi="宋体" w:eastAsia="宋体" w:cs="宋体"/>
      <w:color w:val="000000"/>
      <w:sz w:val="20"/>
      <w:szCs w:val="20"/>
      <w:u w:val="none"/>
    </w:rPr>
  </w:style>
  <w:style w:type="character" w:customStyle="1" w:styleId="38">
    <w:name w:val="font131"/>
    <w:basedOn w:val="16"/>
    <w:qFormat/>
    <w:uiPriority w:val="0"/>
    <w:rPr>
      <w:rFonts w:hint="default" w:ascii="Times New Roman" w:hAnsi="Times New Roman" w:cs="Times New Roman"/>
      <w:color w:val="000000"/>
      <w:sz w:val="20"/>
      <w:szCs w:val="20"/>
      <w:u w:val="none"/>
    </w:rPr>
  </w:style>
  <w:style w:type="character" w:customStyle="1" w:styleId="39">
    <w:name w:val="font141"/>
    <w:basedOn w:val="16"/>
    <w:qFormat/>
    <w:uiPriority w:val="0"/>
    <w:rPr>
      <w:rFonts w:hint="default" w:ascii="Times New Roman" w:hAnsi="Times New Roman" w:cs="Times New Roman"/>
      <w:color w:val="000000"/>
      <w:sz w:val="20"/>
      <w:szCs w:val="20"/>
      <w:u w:val="none"/>
    </w:rPr>
  </w:style>
  <w:style w:type="character" w:customStyle="1" w:styleId="40">
    <w:name w:val="font151"/>
    <w:basedOn w:val="16"/>
    <w:qFormat/>
    <w:uiPriority w:val="0"/>
    <w:rPr>
      <w:rFonts w:hint="default" w:ascii="Times New Roman" w:hAnsi="Times New Roman" w:cs="Times New Roman"/>
      <w:color w:val="000000"/>
      <w:sz w:val="18"/>
      <w:szCs w:val="18"/>
      <w:u w:val="none"/>
    </w:rPr>
  </w:style>
  <w:style w:type="character" w:customStyle="1" w:styleId="41">
    <w:name w:val="批注框文本 Char"/>
    <w:basedOn w:val="16"/>
    <w:link w:val="9"/>
    <w:qFormat/>
    <w:uiPriority w:val="0"/>
    <w:rPr>
      <w:rFonts w:ascii="微软雅黑" w:hAnsi="微软雅黑" w:eastAsia="微软雅黑" w:cs="微软雅黑"/>
      <w:sz w:val="18"/>
      <w:szCs w:val="18"/>
      <w:lang w:val="zh-CN" w:bidi="zh-CN"/>
    </w:rPr>
  </w:style>
  <w:style w:type="character" w:customStyle="1" w:styleId="42">
    <w:name w:val="font121"/>
    <w:basedOn w:val="1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9863;&#23665;&#21306;2023&#24180;&#37325;&#28857;&#32489;&#25928;&#35780;&#20215;\1&#32489;&#25928;&#35780;&#20215;&#25253;&#21578;\2022&#29863;&#23665;&#34900;&#25509;&#36164;&#37329;&#39033;&#30446;&#32489;&#25928;&#35780;&#20215;&#25351;&#26631;&#30456;&#20851;&#25968;&#25454;&#20998;&#26512;&#24773;&#20917;8.1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21016;&#22925;&#20278;\Desktop\&#29863;&#23665;&#20065;&#26449;&#25391;&#20852;&#39033;&#30446;&#32489;&#25928;&#35780;&#20215;\2022&#29863;&#23665;&#34900;&#25509;&#36164;&#37329;&#39033;&#30446;&#32489;&#25928;&#35780;&#20215;&#25351;&#26631;&#30456;&#20851;&#25968;&#25454;&#20998;&#26512;&#24773;&#20917;8.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9863;&#23665;&#21306;2023&#24180;&#37325;&#28857;&#32489;&#25928;&#35780;&#20215;\1&#32489;&#25928;&#35780;&#20215;&#25253;&#21578;\2022&#29863;&#23665;&#34900;&#25509;&#36164;&#37329;&#39033;&#30446;&#32489;&#25928;&#35780;&#20215;&#25351;&#26631;&#30456;&#20851;&#25968;&#25454;&#20998;&#26512;&#24773;&#20917;8.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861275311282"/>
          <c:y val="0.0705128205128205"/>
          <c:w val="0.82110426361464"/>
          <c:h val="0.52025641025641"/>
        </c:manualLayout>
      </c:layout>
      <c:barChart>
        <c:barDir val="col"/>
        <c:grouping val="clustered"/>
        <c:varyColors val="0"/>
        <c:ser>
          <c:idx val="0"/>
          <c:order val="0"/>
          <c:tx>
            <c:strRef>
              <c:f>[2022璧山衔接资金项目绩效评价指标相关数据分析情况8.8.xlsx]项目指标得分情况!$B$1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[2022璧山衔接资金项目绩效评价指标相关数据分析情况8.8.xlsx]项目指标得分情况!$A$2:$A$4</c:f>
              <c:strCache>
                <c:ptCount val="3"/>
                <c:pt idx="0">
                  <c:v>区本级预算安排财政衔接资金投入</c:v>
                </c:pt>
                <c:pt idx="1">
                  <c:v>资金分解下达进度</c:v>
                </c:pt>
                <c:pt idx="2">
                  <c:v>中央财政衔接资金用于产业比例</c:v>
                </c:pt>
              </c:strCache>
            </c:strRef>
          </c:cat>
          <c:val>
            <c:numRef>
              <c:f>[2022璧山衔接资金项目绩效评价指标相关数据分析情况8.8.xlsx]项目指标得分情况!$B$2:$B$4</c:f>
              <c:numCache>
                <c:formatCode>General</c:formatCode>
                <c:ptCount val="3"/>
                <c:pt idx="0">
                  <c:v>5</c:v>
                </c:pt>
                <c:pt idx="1">
                  <c:v>5</c:v>
                </c:pt>
                <c:pt idx="2">
                  <c:v>5</c:v>
                </c:pt>
              </c:numCache>
            </c:numRef>
          </c:val>
        </c:ser>
        <c:ser>
          <c:idx val="1"/>
          <c:order val="1"/>
          <c:tx>
            <c:strRef>
              <c:f>[2022璧山衔接资金项目绩效评价指标相关数据分析情况8.8.xlsx]项目指标得分情况!$C$1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[2022璧山衔接资金项目绩效评价指标相关数据分析情况8.8.xlsx]项目指标得分情况!$A$2:$A$4</c:f>
              <c:strCache>
                <c:ptCount val="3"/>
                <c:pt idx="0">
                  <c:v>区本级预算安排财政衔接资金投入</c:v>
                </c:pt>
                <c:pt idx="1">
                  <c:v>资金分解下达进度</c:v>
                </c:pt>
                <c:pt idx="2">
                  <c:v>中央财政衔接资金用于产业比例</c:v>
                </c:pt>
              </c:strCache>
            </c:strRef>
          </c:cat>
          <c:val>
            <c:numRef>
              <c:f>[2022璧山衔接资金项目绩效评价指标相关数据分析情况8.8.xlsx]项目指标得分情况!$C$2:$C$4</c:f>
              <c:numCache>
                <c:formatCode>General</c:formatCode>
                <c:ptCount val="3"/>
                <c:pt idx="0">
                  <c:v>5</c:v>
                </c:pt>
                <c:pt idx="1">
                  <c:v>5</c:v>
                </c:pt>
                <c:pt idx="2">
                  <c:v>5</c:v>
                </c:pt>
              </c:numCache>
            </c:numRef>
          </c:val>
        </c:ser>
        <c:dLbls>
          <c:showLegendKey val="0"/>
          <c:showVal val="0"/>
          <c:showCatName val="0"/>
          <c:showSerName val="0"/>
          <c:showPercent val="0"/>
          <c:showBubbleSize val="0"/>
        </c:dLbls>
        <c:gapWidth val="100"/>
        <c:overlap val="-24"/>
        <c:axId val="160943616"/>
        <c:axId val="141293760"/>
      </c:barChart>
      <c:catAx>
        <c:axId val="1609436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93760"/>
        <c:crosses val="autoZero"/>
        <c:auto val="1"/>
        <c:lblAlgn val="ctr"/>
        <c:lblOffset val="100"/>
        <c:noMultiLvlLbl val="0"/>
      </c:catAx>
      <c:valAx>
        <c:axId val="141293760"/>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6094361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[2022璧山衔接资金项目绩效评价指标相关数据分析情况8.10.xlsx]项目指标得分情况!$B$9</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[2022璧山衔接资金项目绩效评价指标相关数据分析情况8.10.xlsx]项目指标得分情况!$A$10:$A$15</c:f>
              <c:strCache>
                <c:ptCount val="6"/>
                <c:pt idx="0">
                  <c:v>项目库建设管理情况</c:v>
                </c:pt>
                <c:pt idx="1">
                  <c:v>项目绩效管理情况</c:v>
                </c:pt>
                <c:pt idx="2">
                  <c:v>信息公开和公告公示制度落实情况</c:v>
                </c:pt>
                <c:pt idx="3">
                  <c:v>跟踪督促及发现问题整改情况</c:v>
                </c:pt>
                <c:pt idx="4">
                  <c:v>资料报送情况</c:v>
                </c:pt>
                <c:pt idx="5">
                  <c:v>预算执行率</c:v>
                </c:pt>
              </c:strCache>
            </c:strRef>
          </c:cat>
          <c:val>
            <c:numRef>
              <c:f>[2022璧山衔接资金项目绩效评价指标相关数据分析情况8.10.xlsx]项目指标得分情况!$B$10:$B$15</c:f>
              <c:numCache>
                <c:formatCode>General</c:formatCode>
                <c:ptCount val="6"/>
                <c:pt idx="0">
                  <c:v>10</c:v>
                </c:pt>
                <c:pt idx="1">
                  <c:v>8</c:v>
                </c:pt>
                <c:pt idx="2">
                  <c:v>5</c:v>
                </c:pt>
                <c:pt idx="3">
                  <c:v>5</c:v>
                </c:pt>
                <c:pt idx="4">
                  <c:v>4</c:v>
                </c:pt>
                <c:pt idx="5">
                  <c:v>3</c:v>
                </c:pt>
              </c:numCache>
            </c:numRef>
          </c:val>
        </c:ser>
        <c:ser>
          <c:idx val="1"/>
          <c:order val="1"/>
          <c:tx>
            <c:strRef>
              <c:f>[2022璧山衔接资金项目绩效评价指标相关数据分析情况8.10.xlsx]项目指标得分情况!$C$9</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[2022璧山衔接资金项目绩效评价指标相关数据分析情况8.10.xlsx]项目指标得分情况!$A$10:$A$15</c:f>
              <c:strCache>
                <c:ptCount val="6"/>
                <c:pt idx="0">
                  <c:v>项目库建设管理情况</c:v>
                </c:pt>
                <c:pt idx="1">
                  <c:v>项目绩效管理情况</c:v>
                </c:pt>
                <c:pt idx="2">
                  <c:v>信息公开和公告公示制度落实情况</c:v>
                </c:pt>
                <c:pt idx="3">
                  <c:v>跟踪督促及发现问题整改情况</c:v>
                </c:pt>
                <c:pt idx="4">
                  <c:v>资料报送情况</c:v>
                </c:pt>
                <c:pt idx="5">
                  <c:v>预算执行率</c:v>
                </c:pt>
              </c:strCache>
            </c:strRef>
          </c:cat>
          <c:val>
            <c:numRef>
              <c:f>[2022璧山衔接资金项目绩效评价指标相关数据分析情况8.10.xlsx]项目指标得分情况!$C$10:$C$15</c:f>
              <c:numCache>
                <c:formatCode>General</c:formatCode>
                <c:ptCount val="6"/>
                <c:pt idx="0">
                  <c:v>10</c:v>
                </c:pt>
                <c:pt idx="1">
                  <c:v>7.7</c:v>
                </c:pt>
                <c:pt idx="2">
                  <c:v>5</c:v>
                </c:pt>
                <c:pt idx="3">
                  <c:v>5</c:v>
                </c:pt>
                <c:pt idx="4">
                  <c:v>3.33</c:v>
                </c:pt>
                <c:pt idx="5">
                  <c:v>3</c:v>
                </c:pt>
              </c:numCache>
            </c:numRef>
          </c:val>
        </c:ser>
        <c:dLbls>
          <c:showLegendKey val="0"/>
          <c:showVal val="0"/>
          <c:showCatName val="0"/>
          <c:showSerName val="0"/>
          <c:showPercent val="0"/>
          <c:showBubbleSize val="0"/>
        </c:dLbls>
        <c:gapWidth val="100"/>
        <c:overlap val="-24"/>
        <c:axId val="55390208"/>
        <c:axId val="141287424"/>
      </c:barChart>
      <c:catAx>
        <c:axId val="55390208"/>
        <c:scaling>
          <c:orientation val="minMax"/>
        </c:scaling>
        <c:delete val="0"/>
        <c:axPos val="b"/>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87424"/>
        <c:crosses val="autoZero"/>
        <c:auto val="1"/>
        <c:lblAlgn val="ctr"/>
        <c:lblOffset val="100"/>
        <c:noMultiLvlLbl val="0"/>
      </c:catAx>
      <c:valAx>
        <c:axId val="141287424"/>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5539020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[2022璧山衔接资金项目绩效评价指标相关数据分析情况8.8.xlsx]项目指标得分情况!$B$19</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[2022璧山衔接资金项目绩效评价指标相关数据分析情况8.8.xlsx]项目指标得分情况!$A$20:$A$23</c:f>
              <c:strCache>
                <c:ptCount val="4"/>
                <c:pt idx="0">
                  <c:v>项目实际完成任务量</c:v>
                </c:pt>
                <c:pt idx="1">
                  <c:v>项目完成质量</c:v>
                </c:pt>
                <c:pt idx="2">
                  <c:v>项目完成时效</c:v>
                </c:pt>
                <c:pt idx="3">
                  <c:v>项目成本控制</c:v>
                </c:pt>
              </c:strCache>
            </c:strRef>
          </c:cat>
          <c:val>
            <c:numRef>
              <c:f>[2022璧山衔接资金项目绩效评价指标相关数据分析情况8.8.xlsx]项目指标得分情况!$B$20:$B$23</c:f>
              <c:numCache>
                <c:formatCode>General</c:formatCode>
                <c:ptCount val="4"/>
                <c:pt idx="0">
                  <c:v>6</c:v>
                </c:pt>
                <c:pt idx="1">
                  <c:v>4</c:v>
                </c:pt>
                <c:pt idx="2">
                  <c:v>3</c:v>
                </c:pt>
                <c:pt idx="3">
                  <c:v>2</c:v>
                </c:pt>
              </c:numCache>
            </c:numRef>
          </c:val>
        </c:ser>
        <c:ser>
          <c:idx val="1"/>
          <c:order val="1"/>
          <c:tx>
            <c:strRef>
              <c:f>[2022璧山衔接资金项目绩效评价指标相关数据分析情况8.8.xlsx]项目指标得分情况!$C$19</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[2022璧山衔接资金项目绩效评价指标相关数据分析情况8.8.xlsx]项目指标得分情况!$A$20:$A$23</c:f>
              <c:strCache>
                <c:ptCount val="4"/>
                <c:pt idx="0">
                  <c:v>项目实际完成任务量</c:v>
                </c:pt>
                <c:pt idx="1">
                  <c:v>项目完成质量</c:v>
                </c:pt>
                <c:pt idx="2">
                  <c:v>项目完成时效</c:v>
                </c:pt>
                <c:pt idx="3">
                  <c:v>项目成本控制</c:v>
                </c:pt>
              </c:strCache>
            </c:strRef>
          </c:cat>
          <c:val>
            <c:numRef>
              <c:f>[2022璧山衔接资金项目绩效评价指标相关数据分析情况8.8.xlsx]项目指标得分情况!$C$20:$C$23</c:f>
              <c:numCache>
                <c:formatCode>General</c:formatCode>
                <c:ptCount val="4"/>
                <c:pt idx="0">
                  <c:v>6</c:v>
                </c:pt>
                <c:pt idx="1">
                  <c:v>4</c:v>
                </c:pt>
                <c:pt idx="2">
                  <c:v>2.77</c:v>
                </c:pt>
                <c:pt idx="3">
                  <c:v>0.5</c:v>
                </c:pt>
              </c:numCache>
            </c:numRef>
          </c:val>
        </c:ser>
        <c:dLbls>
          <c:showLegendKey val="0"/>
          <c:showVal val="0"/>
          <c:showCatName val="0"/>
          <c:showSerName val="0"/>
          <c:showPercent val="0"/>
          <c:showBubbleSize val="0"/>
        </c:dLbls>
        <c:gapWidth val="100"/>
        <c:overlap val="-24"/>
        <c:axId val="55429120"/>
        <c:axId val="141289152"/>
      </c:barChart>
      <c:catAx>
        <c:axId val="5542912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89152"/>
        <c:crosses val="autoZero"/>
        <c:auto val="1"/>
        <c:lblAlgn val="ctr"/>
        <c:lblOffset val="100"/>
        <c:noMultiLvlLbl val="0"/>
      </c:catAx>
      <c:valAx>
        <c:axId val="14128915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5542912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[2022璧山衔接资金项目绩效评价指标相关数据分析情况8.8.xlsx]项目指标得分情况!$B$32</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[2022璧山衔接资金项目绩效评价指标相关数据分析情况8.8.xlsx]项目指标得分情况!$A$33:$A$36</c:f>
              <c:strCache>
                <c:ptCount val="4"/>
                <c:pt idx="0">
                  <c:v>有序推进项目实施等工作情况</c:v>
                </c:pt>
                <c:pt idx="1">
                  <c:v>巩固拓展脱贫攻坚成果情况</c:v>
                </c:pt>
                <c:pt idx="2">
                  <c:v>资金使用效益</c:v>
                </c:pt>
                <c:pt idx="3">
                  <c:v>项目满意度情况</c:v>
                </c:pt>
              </c:strCache>
            </c:strRef>
          </c:cat>
          <c:val>
            <c:numRef>
              <c:f>[2022璧山衔接资金项目绩效评价指标相关数据分析情况8.8.xlsx]项目指标得分情况!$B$33:$B$36</c:f>
              <c:numCache>
                <c:formatCode>General</c:formatCode>
                <c:ptCount val="4"/>
                <c:pt idx="0">
                  <c:v>4</c:v>
                </c:pt>
                <c:pt idx="1">
                  <c:v>10</c:v>
                </c:pt>
                <c:pt idx="2">
                  <c:v>16</c:v>
                </c:pt>
                <c:pt idx="3">
                  <c:v>5</c:v>
                </c:pt>
              </c:numCache>
            </c:numRef>
          </c:val>
        </c:ser>
        <c:ser>
          <c:idx val="1"/>
          <c:order val="1"/>
          <c:tx>
            <c:strRef>
              <c:f>[2022璧山衔接资金项目绩效评价指标相关数据分析情况8.8.xlsx]项目指标得分情况!$C$32</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[2022璧山衔接资金项目绩效评价指标相关数据分析情况8.8.xlsx]项目指标得分情况!$A$33:$A$36</c:f>
              <c:strCache>
                <c:ptCount val="4"/>
                <c:pt idx="0">
                  <c:v>有序推进项目实施等工作情况</c:v>
                </c:pt>
                <c:pt idx="1">
                  <c:v>巩固拓展脱贫攻坚成果情况</c:v>
                </c:pt>
                <c:pt idx="2">
                  <c:v>资金使用效益</c:v>
                </c:pt>
                <c:pt idx="3">
                  <c:v>项目满意度情况</c:v>
                </c:pt>
              </c:strCache>
            </c:strRef>
          </c:cat>
          <c:val>
            <c:numRef>
              <c:f>[2022璧山衔接资金项目绩效评价指标相关数据分析情况8.8.xlsx]项目指标得分情况!$C$33:$C$36</c:f>
              <c:numCache>
                <c:formatCode>General</c:formatCode>
                <c:ptCount val="4"/>
                <c:pt idx="0">
                  <c:v>4</c:v>
                </c:pt>
                <c:pt idx="1">
                  <c:v>10</c:v>
                </c:pt>
                <c:pt idx="2">
                  <c:v>15.24</c:v>
                </c:pt>
                <c:pt idx="3">
                  <c:v>4.43</c:v>
                </c:pt>
              </c:numCache>
            </c:numRef>
          </c:val>
        </c:ser>
        <c:dLbls>
          <c:showLegendKey val="0"/>
          <c:showVal val="0"/>
          <c:showCatName val="0"/>
          <c:showSerName val="0"/>
          <c:showPercent val="0"/>
          <c:showBubbleSize val="0"/>
        </c:dLbls>
        <c:gapWidth val="100"/>
        <c:overlap val="-24"/>
        <c:axId val="55429632"/>
        <c:axId val="141290880"/>
      </c:barChart>
      <c:catAx>
        <c:axId val="5542963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90880"/>
        <c:crosses val="autoZero"/>
        <c:auto val="1"/>
        <c:lblAlgn val="ctr"/>
        <c:lblOffset val="100"/>
        <c:noMultiLvlLbl val="0"/>
      </c:catAx>
      <c:valAx>
        <c:axId val="141290880"/>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5542963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[2022璧山衔接资金项目绩效评价指标相关数据分析情况8.10.xlsx]项目指标得分情况!$B$41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[2022璧山衔接资金项目绩效评价指标相关数据分析情况8.10.xlsx]项目指标得分情况!$A$42:$A$45</c:f>
              <c:strCache>
                <c:ptCount val="4"/>
                <c:pt idx="0">
                  <c:v>资金投入</c:v>
                </c:pt>
                <c:pt idx="1">
                  <c:v>项目管理</c:v>
                </c:pt>
                <c:pt idx="2">
                  <c:v>项目产出</c:v>
                </c:pt>
                <c:pt idx="3">
                  <c:v>使用成效</c:v>
                </c:pt>
              </c:strCache>
            </c:strRef>
          </c:cat>
          <c:val>
            <c:numRef>
              <c:f>[2022璧山衔接资金项目绩效评价指标相关数据分析情况8.10.xlsx]项目指标得分情况!$B$42:$B$45</c:f>
              <c:numCache>
                <c:formatCode>General</c:formatCode>
                <c:ptCount val="4"/>
                <c:pt idx="0">
                  <c:v>15</c:v>
                </c:pt>
                <c:pt idx="1">
                  <c:v>35</c:v>
                </c:pt>
                <c:pt idx="2">
                  <c:v>15</c:v>
                </c:pt>
                <c:pt idx="3">
                  <c:v>35</c:v>
                </c:pt>
              </c:numCache>
            </c:numRef>
          </c:val>
        </c:ser>
        <c:ser>
          <c:idx val="1"/>
          <c:order val="1"/>
          <c:tx>
            <c:strRef>
              <c:f>[2022璧山衔接资金项目绩效评价指标相关数据分析情况8.10.xlsx]项目指标得分情况!$C$41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[2022璧山衔接资金项目绩效评价指标相关数据分析情况8.10.xlsx]项目指标得分情况!$A$42:$A$45</c:f>
              <c:strCache>
                <c:ptCount val="4"/>
                <c:pt idx="0">
                  <c:v>资金投入</c:v>
                </c:pt>
                <c:pt idx="1">
                  <c:v>项目管理</c:v>
                </c:pt>
                <c:pt idx="2">
                  <c:v>项目产出</c:v>
                </c:pt>
                <c:pt idx="3">
                  <c:v>使用成效</c:v>
                </c:pt>
              </c:strCache>
            </c:strRef>
          </c:cat>
          <c:val>
            <c:numRef>
              <c:f>[2022璧山衔接资金项目绩效评价指标相关数据分析情况8.10.xlsx]项目指标得分情况!$C$42:$C$45</c:f>
              <c:numCache>
                <c:formatCode>General</c:formatCode>
                <c:ptCount val="4"/>
                <c:pt idx="0">
                  <c:v>15</c:v>
                </c:pt>
                <c:pt idx="1">
                  <c:v>34.03</c:v>
                </c:pt>
                <c:pt idx="2">
                  <c:v>13.27</c:v>
                </c:pt>
                <c:pt idx="3">
                  <c:v>33.67</c:v>
                </c:pt>
              </c:numCache>
            </c:numRef>
          </c:val>
        </c:ser>
        <c:dLbls>
          <c:showLegendKey val="0"/>
          <c:showVal val="0"/>
          <c:showCatName val="0"/>
          <c:showSerName val="0"/>
          <c:showPercent val="0"/>
          <c:showBubbleSize val="0"/>
        </c:dLbls>
        <c:gapWidth val="100"/>
        <c:overlap val="-24"/>
        <c:axId val="55430144"/>
        <c:axId val="141294336"/>
      </c:barChart>
      <c:catAx>
        <c:axId val="5543014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41294336"/>
        <c:crosses val="autoZero"/>
        <c:auto val="1"/>
        <c:lblAlgn val="ctr"/>
        <c:lblOffset val="100"/>
        <c:noMultiLvlLbl val="0"/>
      </c:catAx>
      <c:valAx>
        <c:axId val="14129433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5543014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2436</Words>
  <Characters>13888</Characters>
  <Lines>115</Lines>
  <Paragraphs>32</Paragraphs>
  <TotalTime>13</TotalTime>
  <ScaleCrop>false</ScaleCrop>
  <LinksUpToDate>false</LinksUpToDate>
  <CharactersWithSpaces>16292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2021-08-16T03:20:00Z</dcterms:created>
  <dc:creator>微软用户</dc:creator>
  <cp:lastModifiedBy>温星星</cp:lastModifiedBy>
  <cp:lastPrinted>2022-06-30T05:43:00Z</cp:lastPrinted>
  <dcterms:modified xsi:type="dcterms:W3CDTF">2024-03-05T01:48:06Z</dcterms:modified>
  <dc:title>北京市市级预算支出项目</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2052-12.1.0.16388</vt:lpwstr>
  </property>
  <property fmtid="{D5CDD505-2E9C-101B-9397-08002B2CF9AE}" pid="6" name="KSOSaveFontToCloudKey">
    <vt:lpwstr>275735777_btnclosed</vt:lpwstr>
  </property>
  <property fmtid="{D5CDD505-2E9C-101B-9397-08002B2CF9AE}" pid="7" name="ICV">
    <vt:lpwstr>26AE00AB8CE14941BA63BE100FC2056D_13</vt:lpwstr>
  </property>
</Properties>
</file>